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568325</wp:posOffset>
            </wp:positionH>
            <wp:positionV relativeFrom="page">
              <wp:posOffset>646430</wp:posOffset>
            </wp:positionV>
            <wp:extent cx="6420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page">
              <wp:posOffset>568325</wp:posOffset>
            </wp:positionH>
            <wp:positionV relativeFrom="page">
              <wp:posOffset>603250</wp:posOffset>
            </wp:positionV>
            <wp:extent cx="6420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0485" cy="1714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50" w:lineRule="exact"/>
        <w:rPr>
          <w:sz w:val="24"/>
          <w:szCs w:val="24"/>
          <w:color w:val="auto"/>
        </w:rPr>
      </w:pPr>
    </w:p>
    <w:p>
      <w:pPr>
        <w:ind w:left="1000" w:hanging="317"/>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35" w:lineRule="exact"/>
        <w:rPr>
          <w:sz w:val="24"/>
          <w:szCs w:val="24"/>
          <w:color w:val="auto"/>
        </w:rPr>
      </w:pPr>
    </w:p>
    <w:p>
      <w:pPr>
        <w:ind w:left="1000"/>
        <w:spacing w:after="0"/>
        <w:tabs>
          <w:tab w:leader="none" w:pos="3340" w:val="left"/>
        </w:tabs>
        <w:rPr>
          <w:sz w:val="20"/>
          <w:szCs w:val="20"/>
          <w:color w:val="auto"/>
        </w:rPr>
      </w:pPr>
      <w:r>
        <w:rPr>
          <w:rFonts w:ascii="Times New Roman" w:cs="Times New Roman" w:eastAsia="Times New Roman" w:hAnsi="Times New Roman"/>
          <w:sz w:val="15"/>
          <w:szCs w:val="15"/>
          <w:b w:val="1"/>
          <w:bCs w:val="1"/>
          <w:color w:val="auto"/>
        </w:rPr>
        <w:t>For the Fiscal Year ended</w:t>
      </w:r>
      <w:r>
        <w:rPr>
          <w:sz w:val="20"/>
          <w:szCs w:val="20"/>
          <w:color w:val="auto"/>
        </w:rPr>
        <w:tab/>
      </w:r>
      <w:r>
        <w:rPr>
          <w:rFonts w:ascii="Times New Roman" w:cs="Times New Roman" w:eastAsia="Times New Roman" w:hAnsi="Times New Roman"/>
          <w:sz w:val="15"/>
          <w:szCs w:val="15"/>
          <w:b w:val="1"/>
          <w:bCs w:val="1"/>
          <w:color w:val="auto"/>
        </w:rPr>
        <w:t>December 31, 2020</w:t>
      </w:r>
    </w:p>
    <w:p>
      <w:pPr>
        <w:spacing w:after="0" w:line="6" w:lineRule="exact"/>
        <w:rPr>
          <w:sz w:val="24"/>
          <w:szCs w:val="24"/>
          <w:color w:val="auto"/>
        </w:rPr>
      </w:pPr>
    </w:p>
    <w:p>
      <w:pPr>
        <w:ind w:left="1000" w:hanging="317"/>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tbl>
      <w:tblPr>
        <w:tblLayout w:type="fixed"/>
        <w:tblInd w:w="260" w:type="dxa"/>
        <w:tblCellMar>
          <w:top w:w="0" w:type="dxa"/>
          <w:left w:w="0" w:type="dxa"/>
          <w:bottom w:w="0" w:type="dxa"/>
          <w:right w:w="0" w:type="dxa"/>
        </w:tblCellMar>
      </w:tblPr>
      <w:tr>
        <w:trPr>
          <w:trHeight w:val="203"/>
        </w:trPr>
        <w:tc>
          <w:tcPr>
            <w:tcW w:w="3440" w:type="dxa"/>
            <w:vAlign w:val="bottom"/>
          </w:tcPr>
          <w:p>
            <w:pPr>
              <w:ind w:left="7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4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001-36002</w:t>
            </w:r>
          </w:p>
        </w:tc>
        <w:tc>
          <w:tcPr>
            <w:tcW w:w="5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5"/>
        </w:trPr>
        <w:tc>
          <w:tcPr>
            <w:tcW w:w="3440" w:type="dxa"/>
            <w:vAlign w:val="bottom"/>
          </w:tcPr>
          <w:p>
            <w:pPr>
              <w:spacing w:after="0"/>
              <w:rPr>
                <w:sz w:val="24"/>
                <w:szCs w:val="24"/>
                <w:color w:val="auto"/>
              </w:rPr>
            </w:pPr>
          </w:p>
        </w:tc>
        <w:tc>
          <w:tcPr>
            <w:tcW w:w="4240" w:type="dxa"/>
            <w:vAlign w:val="bottom"/>
            <w:gridSpan w:val="4"/>
          </w:tcPr>
          <w:p>
            <w:pPr>
              <w:jc w:val="center"/>
              <w:ind w:right="50"/>
              <w:spacing w:after="0"/>
              <w:rPr>
                <w:sz w:val="20"/>
                <w:szCs w:val="20"/>
                <w:color w:val="auto"/>
              </w:rPr>
            </w:pPr>
            <w:r>
              <w:rPr>
                <w:rFonts w:ascii="Times New Roman" w:cs="Times New Roman" w:eastAsia="Times New Roman" w:hAnsi="Times New Roman"/>
                <w:sz w:val="40"/>
                <w:szCs w:val="40"/>
                <w:b w:val="1"/>
                <w:bCs w:val="1"/>
                <w:color w:val="auto"/>
                <w:w w:val="98"/>
              </w:rPr>
              <w:t>Clearway Energy, Inc.</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2"/>
                <w:szCs w:val="22"/>
                <w:color w:val="auto"/>
              </w:rPr>
            </w:pPr>
          </w:p>
        </w:tc>
        <w:tc>
          <w:tcPr>
            <w:tcW w:w="424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44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20" w:type="dxa"/>
            <w:vAlign w:val="bottom"/>
          </w:tcPr>
          <w:p>
            <w:pPr>
              <w:jc w:val="right"/>
              <w:ind w:right="1351"/>
              <w:spacing w:after="0"/>
              <w:rPr>
                <w:sz w:val="20"/>
                <w:szCs w:val="20"/>
                <w:color w:val="auto"/>
              </w:rPr>
            </w:pPr>
            <w:r>
              <w:rPr>
                <w:rFonts w:ascii="Times New Roman" w:cs="Times New Roman" w:eastAsia="Times New Roman" w:hAnsi="Times New Roman"/>
                <w:sz w:val="18"/>
                <w:szCs w:val="18"/>
                <w:b w:val="1"/>
                <w:bCs w:val="1"/>
                <w:color w:val="auto"/>
              </w:rPr>
              <w:t>46-1777204</w:t>
            </w:r>
          </w:p>
        </w:tc>
        <w:tc>
          <w:tcPr>
            <w:tcW w:w="0" w:type="dxa"/>
            <w:vAlign w:val="bottom"/>
          </w:tcPr>
          <w:p>
            <w:pPr>
              <w:spacing w:after="0"/>
              <w:rPr>
                <w:sz w:val="1"/>
                <w:szCs w:val="1"/>
                <w:color w:val="auto"/>
              </w:rPr>
            </w:pPr>
          </w:p>
        </w:tc>
      </w:tr>
      <w:tr>
        <w:trPr>
          <w:trHeight w:val="180"/>
        </w:trPr>
        <w:tc>
          <w:tcPr>
            <w:tcW w:w="3440" w:type="dxa"/>
            <w:vAlign w:val="bottom"/>
          </w:tcPr>
          <w:p>
            <w:pPr>
              <w:jc w:val="center"/>
              <w:ind w:left="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20" w:type="dxa"/>
            <w:vAlign w:val="bottom"/>
          </w:tcPr>
          <w:p>
            <w:pPr>
              <w:jc w:val="center"/>
              <w:ind w:right="851"/>
              <w:spacing w:after="0" w:line="18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4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tcPr>
          <w:p>
            <w:pPr>
              <w:jc w:val="center"/>
              <w:ind w:right="831"/>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74"/>
        </w:trPr>
        <w:tc>
          <w:tcPr>
            <w:tcW w:w="344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8"/>
              </w:rPr>
              <w:t>300 Carnegie Center, Suite 300</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Princeton</w:t>
            </w:r>
          </w:p>
        </w:tc>
        <w:tc>
          <w:tcPr>
            <w:tcW w:w="2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560" w:type="dxa"/>
            <w:vAlign w:val="bottom"/>
          </w:tcPr>
          <w:p>
            <w:pPr>
              <w:spacing w:after="0"/>
              <w:rPr>
                <w:sz w:val="23"/>
                <w:szCs w:val="23"/>
                <w:color w:val="auto"/>
              </w:rPr>
            </w:pPr>
          </w:p>
        </w:tc>
        <w:tc>
          <w:tcPr>
            <w:tcW w:w="2820" w:type="dxa"/>
            <w:vAlign w:val="bottom"/>
          </w:tcPr>
          <w:p>
            <w:pPr>
              <w:jc w:val="right"/>
              <w:ind w:right="1571"/>
              <w:spacing w:after="0"/>
              <w:rPr>
                <w:sz w:val="20"/>
                <w:szCs w:val="20"/>
                <w:color w:val="auto"/>
              </w:rPr>
            </w:pPr>
            <w:r>
              <w:rPr>
                <w:rFonts w:ascii="Times New Roman" w:cs="Times New Roman" w:eastAsia="Times New Roman" w:hAnsi="Times New Roman"/>
                <w:sz w:val="18"/>
                <w:szCs w:val="18"/>
                <w:b w:val="1"/>
                <w:bCs w:val="1"/>
                <w:color w:val="auto"/>
              </w:rPr>
              <w:t>08540</w:t>
            </w:r>
          </w:p>
        </w:tc>
        <w:tc>
          <w:tcPr>
            <w:tcW w:w="0" w:type="dxa"/>
            <w:vAlign w:val="bottom"/>
          </w:tcPr>
          <w:p>
            <w:pPr>
              <w:spacing w:after="0"/>
              <w:rPr>
                <w:sz w:val="1"/>
                <w:szCs w:val="1"/>
                <w:color w:val="auto"/>
              </w:rPr>
            </w:pPr>
          </w:p>
        </w:tc>
      </w:tr>
      <w:tr>
        <w:trPr>
          <w:trHeight w:val="234"/>
        </w:trPr>
        <w:tc>
          <w:tcPr>
            <w:tcW w:w="7120" w:type="dxa"/>
            <w:vAlign w:val="bottom"/>
            <w:gridSpan w:val="4"/>
          </w:tcPr>
          <w:p>
            <w:pPr>
              <w:ind w:left="20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60" w:type="dxa"/>
            <w:vAlign w:val="bottom"/>
          </w:tcPr>
          <w:p>
            <w:pPr>
              <w:spacing w:after="0"/>
              <w:rPr>
                <w:sz w:val="20"/>
                <w:szCs w:val="20"/>
                <w:color w:val="auto"/>
              </w:rPr>
            </w:pPr>
          </w:p>
        </w:tc>
        <w:tc>
          <w:tcPr>
            <w:tcW w:w="2820" w:type="dxa"/>
            <w:vAlign w:val="bottom"/>
          </w:tcPr>
          <w:p>
            <w:pPr>
              <w:jc w:val="center"/>
              <w:ind w:right="851"/>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83"/>
        </w:trPr>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20" w:type="dxa"/>
            <w:vAlign w:val="bottom"/>
          </w:tcPr>
          <w:p>
            <w:pPr>
              <w:jc w:val="center"/>
              <w:ind w:right="1094"/>
              <w:spacing w:after="0"/>
              <w:rPr>
                <w:sz w:val="20"/>
                <w:szCs w:val="20"/>
                <w:color w:val="auto"/>
              </w:rPr>
            </w:pPr>
            <w:r>
              <w:rPr>
                <w:rFonts w:ascii="Times New Roman" w:cs="Times New Roman" w:eastAsia="Times New Roman" w:hAnsi="Times New Roman"/>
                <w:sz w:val="16"/>
                <w:szCs w:val="16"/>
                <w:b w:val="1"/>
                <w:bCs w:val="1"/>
                <w:color w:val="auto"/>
              </w:rPr>
              <w:t>(609) 608-1525</w:t>
            </w:r>
          </w:p>
        </w:tc>
        <w:tc>
          <w:tcPr>
            <w:tcW w:w="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3680" w:type="dxa"/>
            <w:vAlign w:val="bottom"/>
            <w:gridSpan w:val="3"/>
          </w:tcPr>
          <w:p>
            <w:pPr>
              <w:jc w:val="center"/>
              <w:ind w:left="58"/>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5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4240" w:type="dxa"/>
            <w:vAlign w:val="bottom"/>
            <w:gridSpan w:val="4"/>
          </w:tcPr>
          <w:p>
            <w:pPr>
              <w:jc w:val="center"/>
              <w:ind w:right="29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40" w:type="dxa"/>
            <w:vAlign w:val="bottom"/>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40" w:type="dxa"/>
            <w:vAlign w:val="bottom"/>
          </w:tcPr>
          <w:p>
            <w:pPr>
              <w:spacing w:after="0"/>
              <w:rPr>
                <w:sz w:val="21"/>
                <w:szCs w:val="21"/>
                <w:color w:val="auto"/>
              </w:rPr>
            </w:pPr>
          </w:p>
        </w:tc>
        <w:tc>
          <w:tcPr>
            <w:tcW w:w="3240" w:type="dxa"/>
            <w:vAlign w:val="bottom"/>
            <w:gridSpan w:val="2"/>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0"/>
        </w:trPr>
        <w:tc>
          <w:tcPr>
            <w:tcW w:w="34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320" w:type="dxa"/>
            <w:vAlign w:val="bottom"/>
          </w:tcPr>
          <w:p>
            <w:pPr>
              <w:jc w:val="center"/>
              <w:ind w:right="1094"/>
              <w:spacing w:after="0"/>
              <w:rPr>
                <w:sz w:val="20"/>
                <w:szCs w:val="20"/>
                <w:color w:val="auto"/>
              </w:rPr>
            </w:pPr>
            <w:r>
              <w:rPr>
                <w:rFonts w:ascii="Times New Roman" w:cs="Times New Roman" w:eastAsia="Times New Roman" w:hAnsi="Times New Roman"/>
                <w:sz w:val="18"/>
                <w:szCs w:val="18"/>
                <w:color w:val="auto"/>
                <w:w w:val="99"/>
              </w:rPr>
              <w:t>CWEN.A</w:t>
            </w:r>
          </w:p>
        </w:tc>
        <w:tc>
          <w:tcPr>
            <w:tcW w:w="560" w:type="dxa"/>
            <w:vAlign w:val="bottom"/>
          </w:tcPr>
          <w:p>
            <w:pPr>
              <w:spacing w:after="0"/>
              <w:rPr>
                <w:sz w:val="19"/>
                <w:szCs w:val="19"/>
                <w:color w:val="auto"/>
              </w:rPr>
            </w:pPr>
          </w:p>
        </w:tc>
        <w:tc>
          <w:tcPr>
            <w:tcW w:w="282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44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20" w:type="dxa"/>
            <w:vAlign w:val="bottom"/>
          </w:tcPr>
          <w:p>
            <w:pPr>
              <w:jc w:val="center"/>
              <w:ind w:right="1114"/>
              <w:spacing w:after="0"/>
              <w:rPr>
                <w:sz w:val="20"/>
                <w:szCs w:val="20"/>
                <w:color w:val="auto"/>
              </w:rPr>
            </w:pPr>
            <w:r>
              <w:rPr>
                <w:rFonts w:ascii="Times New Roman" w:cs="Times New Roman" w:eastAsia="Times New Roman" w:hAnsi="Times New Roman"/>
                <w:sz w:val="18"/>
                <w:szCs w:val="18"/>
                <w:color w:val="auto"/>
                <w:w w:val="98"/>
              </w:rPr>
              <w:t>CWEN</w:t>
            </w:r>
          </w:p>
        </w:tc>
        <w:tc>
          <w:tcPr>
            <w:tcW w:w="560" w:type="dxa"/>
            <w:vAlign w:val="bottom"/>
          </w:tcPr>
          <w:p>
            <w:pPr>
              <w:spacing w:after="0"/>
              <w:rPr>
                <w:sz w:val="20"/>
                <w:szCs w:val="20"/>
                <w:color w:val="auto"/>
              </w:rPr>
            </w:pPr>
          </w:p>
        </w:tc>
        <w:tc>
          <w:tcPr>
            <w:tcW w:w="282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81"/>
        </w:trPr>
        <w:tc>
          <w:tcPr>
            <w:tcW w:w="3440" w:type="dxa"/>
            <w:vAlign w:val="bottom"/>
          </w:tcPr>
          <w:p>
            <w:pPr>
              <w:spacing w:after="0"/>
              <w:rPr>
                <w:sz w:val="24"/>
                <w:szCs w:val="24"/>
                <w:color w:val="auto"/>
              </w:rPr>
            </w:pPr>
          </w:p>
        </w:tc>
        <w:tc>
          <w:tcPr>
            <w:tcW w:w="424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20" w:type="dxa"/>
            <w:vAlign w:val="bottom"/>
          </w:tcPr>
          <w:p>
            <w:pPr>
              <w:jc w:val="center"/>
              <w:ind w:right="874"/>
              <w:spacing w:after="0"/>
              <w:rPr>
                <w:sz w:val="20"/>
                <w:szCs w:val="20"/>
                <w:color w:val="auto"/>
              </w:rPr>
            </w:pPr>
            <w:r>
              <w:rPr>
                <w:rFonts w:ascii="Times New Roman" w:cs="Times New Roman" w:eastAsia="Times New Roman" w:hAnsi="Times New Roman"/>
                <w:sz w:val="16"/>
                <w:szCs w:val="16"/>
                <w:b w:val="1"/>
                <w:bCs w:val="1"/>
                <w:color w:val="auto"/>
              </w:rPr>
              <w:t>None</w:t>
            </w:r>
          </w:p>
        </w:tc>
        <w:tc>
          <w:tcPr>
            <w:tcW w:w="560" w:type="dxa"/>
            <w:vAlign w:val="bottom"/>
          </w:tcPr>
          <w:p>
            <w:pPr>
              <w:spacing w:after="0"/>
              <w:rPr>
                <w:sz w:val="16"/>
                <w:szCs w:val="16"/>
                <w:color w:val="auto"/>
              </w:rPr>
            </w:pPr>
          </w:p>
        </w:tc>
        <w:tc>
          <w:tcPr>
            <w:tcW w:w="2820" w:type="dxa"/>
            <w:vAlign w:val="bottom"/>
            <w:vMerge w:val="restart"/>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8"/>
        </w:trPr>
        <w:tc>
          <w:tcPr>
            <w:tcW w:w="76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2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60"/>
        <w:spacing w:after="0" w:line="184" w:lineRule="exact"/>
        <w:tabs>
          <w:tab w:leader="none" w:pos="8820" w:val="left"/>
          <w:tab w:leader="none" w:pos="940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74" w:lineRule="exact"/>
        <w:rPr>
          <w:sz w:val="24"/>
          <w:szCs w:val="24"/>
          <w:color w:val="auto"/>
        </w:rPr>
      </w:pPr>
    </w:p>
    <w:p>
      <w:pPr>
        <w:ind w:left="300" w:right="220" w:firstLine="171"/>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4480"/>
        <w:spacing w:after="0" w:line="184" w:lineRule="exact"/>
        <w:tabs>
          <w:tab w:leader="none" w:pos="5660" w:val="left"/>
          <w:tab w:leader="none" w:pos="6360" w:val="left"/>
        </w:tabs>
        <w:rPr>
          <w:sz w:val="20"/>
          <w:szCs w:val="20"/>
          <w:color w:val="auto"/>
        </w:rPr>
      </w:pPr>
      <w:r>
        <w:rPr>
          <w:rFonts w:ascii="Times New Roman" w:cs="Times New Roman" w:eastAsia="Times New Roman" w:hAnsi="Times New Roman"/>
          <w:sz w:val="16"/>
          <w:szCs w:val="16"/>
          <w:color w:val="auto"/>
        </w:rPr>
        <w:t>90 days.</w:t>
      </w:r>
      <w:r>
        <w:rPr>
          <w:sz w:val="20"/>
          <w:szCs w:val="20"/>
          <w:color w:val="auto"/>
        </w:rPr>
        <w:tab/>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4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17" w:lineRule="exact"/>
        <w:rPr>
          <w:sz w:val="24"/>
          <w:szCs w:val="24"/>
          <w:color w:val="auto"/>
        </w:rPr>
      </w:pPr>
    </w:p>
    <w:p>
      <w:pPr>
        <w:spacing w:after="0" w:line="184" w:lineRule="exact"/>
        <w:tabs>
          <w:tab w:leader="none" w:pos="10100" w:val="left"/>
          <w:tab w:leader="none" w:pos="1076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34" w:lineRule="exact"/>
        <w:rPr>
          <w:sz w:val="24"/>
          <w:szCs w:val="24"/>
          <w:color w:val="auto"/>
        </w:rPr>
      </w:pPr>
    </w:p>
    <w:p>
      <w:pPr>
        <w:jc w:val="both"/>
        <w:ind w:firstLine="243"/>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1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Large accelerated filer</w:t>
            </w:r>
          </w:p>
        </w:tc>
        <w:tc>
          <w:tcPr>
            <w:tcW w:w="1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1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9" w:lineRule="exact"/>
        <w:rPr>
          <w:sz w:val="24"/>
          <w:szCs w:val="24"/>
          <w:color w:val="auto"/>
        </w:rPr>
      </w:pPr>
    </w:p>
    <w:p>
      <w:pPr>
        <w:ind w:firstLine="243"/>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260"/>
        <w:spacing w:after="0" w:line="162" w:lineRule="exact"/>
        <w:tabs>
          <w:tab w:leader="none" w:pos="6300" w:val="left"/>
          <w:tab w:leader="none" w:pos="68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Arial" w:cs="Arial" w:eastAsia="Arial" w:hAnsi="Arial"/>
          <w:sz w:val="14"/>
          <w:szCs w:val="14"/>
          <w:color w:val="auto"/>
        </w:rPr>
        <w:t>x</w:t>
      </w:r>
    </w:p>
    <w:p>
      <w:pPr>
        <w:spacing w:after="0" w:line="44" w:lineRule="exact"/>
        <w:rPr>
          <w:sz w:val="24"/>
          <w:szCs w:val="24"/>
          <w:color w:val="auto"/>
        </w:rPr>
      </w:pPr>
    </w:p>
    <w:p>
      <w:pPr>
        <w:ind w:firstLine="243"/>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firstLine="243"/>
        <w:spacing w:after="0" w:line="281" w:lineRule="auto"/>
        <w:rPr>
          <w:sz w:val="20"/>
          <w:szCs w:val="20"/>
          <w:color w:val="auto"/>
        </w:rPr>
      </w:pPr>
      <w:r>
        <w:rPr>
          <w:rFonts w:ascii="Times New Roman" w:cs="Times New Roman" w:eastAsia="Times New Roman" w:hAnsi="Times New Roman"/>
          <w:sz w:val="14"/>
          <w:szCs w:val="14"/>
          <w:color w:val="auto"/>
        </w:rPr>
        <w:t>As of the last business day of the most recently completed second fiscal quarter, the aggregate market value of the common stock of the registrant held by non-affiliates was approximately $1,786,941,297 based on the closing sale prices of such shares as reported on the New York Stock Exchange.</w:t>
      </w:r>
    </w:p>
    <w:p>
      <w:pPr>
        <w:spacing w:after="0" w:line="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w:t>
      </w:r>
    </w:p>
    <w:p>
      <w:pPr>
        <w:spacing w:after="0" w:line="43" w:lineRule="exact"/>
        <w:rPr>
          <w:sz w:val="24"/>
          <w:szCs w:val="24"/>
          <w:color w:val="auto"/>
        </w:rPr>
      </w:pPr>
    </w:p>
    <w:tbl>
      <w:tblPr>
        <w:tblLayout w:type="fixed"/>
        <w:tblInd w:w="2040" w:type="dxa"/>
        <w:tblCellMar>
          <w:top w:w="0" w:type="dxa"/>
          <w:left w:w="0" w:type="dxa"/>
          <w:bottom w:w="0" w:type="dxa"/>
          <w:right w:w="0" w:type="dxa"/>
        </w:tblCellMar>
      </w:tblPr>
      <w:tr>
        <w:trPr>
          <w:trHeight w:val="202"/>
        </w:trPr>
        <w:tc>
          <w:tcPr>
            <w:tcW w:w="3940" w:type="dxa"/>
            <w:vAlign w:val="bottom"/>
          </w:tcPr>
          <w:p>
            <w:pPr>
              <w:jc w:val="center"/>
              <w:ind w:right="724"/>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2960" w:type="dxa"/>
            <w:vAlign w:val="bottom"/>
          </w:tcPr>
          <w:p>
            <w:pPr>
              <w:jc w:val="center"/>
              <w:ind w:left="744"/>
              <w:spacing w:after="0"/>
              <w:rPr>
                <w:sz w:val="20"/>
                <w:szCs w:val="20"/>
                <w:color w:val="auto"/>
              </w:rPr>
            </w:pPr>
            <w:r>
              <w:rPr>
                <w:rFonts w:ascii="Times New Roman" w:cs="Times New Roman" w:eastAsia="Times New Roman" w:hAnsi="Times New Roman"/>
                <w:sz w:val="15"/>
                <w:szCs w:val="15"/>
                <w:b w:val="1"/>
                <w:bCs w:val="1"/>
                <w:color w:val="auto"/>
              </w:rPr>
              <w:t>Outstanding at January 31, 2021</w:t>
            </w:r>
          </w:p>
        </w:tc>
      </w:tr>
      <w:tr>
        <w:trPr>
          <w:trHeight w:val="203"/>
        </w:trPr>
        <w:tc>
          <w:tcPr>
            <w:tcW w:w="3940" w:type="dxa"/>
            <w:vAlign w:val="bottom"/>
          </w:tcPr>
          <w:p>
            <w:pPr>
              <w:jc w:val="center"/>
              <w:ind w:right="724"/>
              <w:spacing w:after="0"/>
              <w:rPr>
                <w:sz w:val="20"/>
                <w:szCs w:val="20"/>
                <w:color w:val="auto"/>
              </w:rPr>
            </w:pPr>
            <w:r>
              <w:rPr>
                <w:rFonts w:ascii="Times New Roman" w:cs="Times New Roman" w:eastAsia="Times New Roman" w:hAnsi="Times New Roman"/>
                <w:sz w:val="15"/>
                <w:szCs w:val="15"/>
                <w:color w:val="auto"/>
              </w:rPr>
              <w:t>Common Stock, Class A, par value $0.01 per share</w:t>
            </w:r>
          </w:p>
        </w:tc>
        <w:tc>
          <w:tcPr>
            <w:tcW w:w="296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34,599,645</w:t>
            </w:r>
          </w:p>
        </w:tc>
      </w:tr>
      <w:tr>
        <w:trPr>
          <w:trHeight w:val="203"/>
        </w:trPr>
        <w:tc>
          <w:tcPr>
            <w:tcW w:w="3940" w:type="dxa"/>
            <w:vAlign w:val="bottom"/>
          </w:tcPr>
          <w:p>
            <w:pPr>
              <w:jc w:val="center"/>
              <w:ind w:right="744"/>
              <w:spacing w:after="0"/>
              <w:rPr>
                <w:sz w:val="20"/>
                <w:szCs w:val="20"/>
                <w:color w:val="auto"/>
              </w:rPr>
            </w:pPr>
            <w:r>
              <w:rPr>
                <w:rFonts w:ascii="Times New Roman" w:cs="Times New Roman" w:eastAsia="Times New Roman" w:hAnsi="Times New Roman"/>
                <w:sz w:val="15"/>
                <w:szCs w:val="15"/>
                <w:color w:val="auto"/>
              </w:rPr>
              <w:t>Common Stock, Class B, par value $0.01 per share</w:t>
            </w:r>
          </w:p>
        </w:tc>
        <w:tc>
          <w:tcPr>
            <w:tcW w:w="296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42,738,750</w:t>
            </w:r>
          </w:p>
        </w:tc>
      </w:tr>
      <w:tr>
        <w:trPr>
          <w:trHeight w:val="203"/>
        </w:trPr>
        <w:tc>
          <w:tcPr>
            <w:tcW w:w="3940" w:type="dxa"/>
            <w:vAlign w:val="bottom"/>
          </w:tcPr>
          <w:p>
            <w:pPr>
              <w:jc w:val="center"/>
              <w:ind w:right="744"/>
              <w:spacing w:after="0"/>
              <w:rPr>
                <w:sz w:val="20"/>
                <w:szCs w:val="20"/>
                <w:color w:val="auto"/>
              </w:rPr>
            </w:pPr>
            <w:r>
              <w:rPr>
                <w:rFonts w:ascii="Times New Roman" w:cs="Times New Roman" w:eastAsia="Times New Roman" w:hAnsi="Times New Roman"/>
                <w:sz w:val="15"/>
                <w:szCs w:val="15"/>
                <w:color w:val="auto"/>
              </w:rPr>
              <w:t>Common Stock, Class C, par value $0.01 per share</w:t>
            </w:r>
          </w:p>
        </w:tc>
        <w:tc>
          <w:tcPr>
            <w:tcW w:w="296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81,635,540</w:t>
            </w:r>
          </w:p>
        </w:tc>
      </w:tr>
      <w:tr>
        <w:trPr>
          <w:trHeight w:val="203"/>
        </w:trPr>
        <w:tc>
          <w:tcPr>
            <w:tcW w:w="3940" w:type="dxa"/>
            <w:vAlign w:val="bottom"/>
          </w:tcPr>
          <w:p>
            <w:pPr>
              <w:jc w:val="center"/>
              <w:ind w:right="724"/>
              <w:spacing w:after="0"/>
              <w:rPr>
                <w:sz w:val="20"/>
                <w:szCs w:val="20"/>
                <w:color w:val="auto"/>
              </w:rPr>
            </w:pPr>
            <w:r>
              <w:rPr>
                <w:rFonts w:ascii="Times New Roman" w:cs="Times New Roman" w:eastAsia="Times New Roman" w:hAnsi="Times New Roman"/>
                <w:sz w:val="15"/>
                <w:szCs w:val="15"/>
                <w:color w:val="auto"/>
              </w:rPr>
              <w:t>Common Stock, Class D, par value $0.01 per share</w:t>
            </w:r>
          </w:p>
        </w:tc>
        <w:tc>
          <w:tcPr>
            <w:tcW w:w="296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42,738,750</w:t>
            </w:r>
          </w:p>
        </w:tc>
      </w:tr>
    </w:tbl>
    <w:p>
      <w:pPr>
        <w:spacing w:after="0" w:line="95"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2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Portions of the Registrant's Definitive Proxy Statement relating to its 2021 Annual Meeting of Stockholders</w:t>
      </w:r>
    </w:p>
    <w:p>
      <w:pPr>
        <w:spacing w:after="0" w:line="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45720</wp:posOffset>
            </wp:positionV>
            <wp:extent cx="64204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19685</wp:posOffset>
            </wp:positionV>
            <wp:extent cx="6420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96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960" w:type="dxa"/>
            <w:vAlign w:val="bottom"/>
          </w:tcPr>
          <w:p>
            <w:pPr>
              <w:ind w:left="53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GLOSSARY OF TERMS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233"/>
        </w:trPr>
        <w:tc>
          <w:tcPr>
            <w:tcW w:w="9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230"/>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 — Business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1A — Risk Factors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15</w:t>
              </w:r>
            </w:hyperlink>
          </w:p>
        </w:tc>
        <w:tc>
          <w:tcPr>
            <w:tcW w:w="0" w:type="dxa"/>
            <w:vAlign w:val="bottom"/>
          </w:tcPr>
          <w:p>
            <w:pPr>
              <w:spacing w:after="0"/>
              <w:rPr>
                <w:sz w:val="1"/>
                <w:szCs w:val="1"/>
                <w:color w:val="auto"/>
              </w:rPr>
            </w:pPr>
          </w:p>
        </w:tc>
      </w:tr>
      <w:tr>
        <w:trPr>
          <w:trHeight w:val="229"/>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1B — Unresolved Staff Comments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38</w:t>
              </w:r>
            </w:hyperlink>
          </w:p>
        </w:tc>
        <w:tc>
          <w:tcPr>
            <w:tcW w:w="0" w:type="dxa"/>
            <w:vAlign w:val="bottom"/>
          </w:tcPr>
          <w:p>
            <w:pPr>
              <w:spacing w:after="0"/>
              <w:rPr>
                <w:sz w:val="1"/>
                <w:szCs w:val="1"/>
                <w:color w:val="auto"/>
              </w:rPr>
            </w:pPr>
          </w:p>
        </w:tc>
      </w:tr>
      <w:tr>
        <w:trPr>
          <w:trHeight w:val="230"/>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2 — Properties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39</w:t>
              </w:r>
            </w:hyperlink>
          </w:p>
        </w:tc>
        <w:tc>
          <w:tcPr>
            <w:tcW w:w="0" w:type="dxa"/>
            <w:vAlign w:val="bottom"/>
          </w:tcPr>
          <w:p>
            <w:pPr>
              <w:spacing w:after="0"/>
              <w:rPr>
                <w:sz w:val="1"/>
                <w:szCs w:val="1"/>
                <w:color w:val="auto"/>
              </w:rPr>
            </w:pPr>
          </w:p>
        </w:tc>
      </w:tr>
      <w:tr>
        <w:trPr>
          <w:trHeight w:val="229"/>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3 — Legal Proceedings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42</w:t>
              </w:r>
            </w:hyperlink>
          </w:p>
        </w:tc>
        <w:tc>
          <w:tcPr>
            <w:tcW w:w="0" w:type="dxa"/>
            <w:vAlign w:val="bottom"/>
          </w:tcPr>
          <w:p>
            <w:pPr>
              <w:spacing w:after="0"/>
              <w:rPr>
                <w:sz w:val="1"/>
                <w:szCs w:val="1"/>
                <w:color w:val="auto"/>
              </w:rPr>
            </w:pPr>
          </w:p>
        </w:tc>
      </w:tr>
      <w:tr>
        <w:trPr>
          <w:trHeight w:val="225"/>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4 — Mine Safety Disclosures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42</w:t>
              </w:r>
            </w:hyperlink>
          </w:p>
        </w:tc>
        <w:tc>
          <w:tcPr>
            <w:tcW w:w="0" w:type="dxa"/>
            <w:vAlign w:val="bottom"/>
          </w:tcPr>
          <w:p>
            <w:pPr>
              <w:spacing w:after="0"/>
              <w:rPr>
                <w:sz w:val="1"/>
                <w:szCs w:val="1"/>
                <w:color w:val="auto"/>
              </w:rPr>
            </w:pPr>
          </w:p>
        </w:tc>
      </w:tr>
      <w:tr>
        <w:trPr>
          <w:trHeight w:val="234"/>
        </w:trPr>
        <w:tc>
          <w:tcPr>
            <w:tcW w:w="9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43</w:t>
              </w:r>
            </w:hyperlink>
          </w:p>
        </w:tc>
        <w:tc>
          <w:tcPr>
            <w:tcW w:w="0" w:type="dxa"/>
            <w:vAlign w:val="bottom"/>
          </w:tcPr>
          <w:p>
            <w:pPr>
              <w:spacing w:after="0"/>
              <w:rPr>
                <w:sz w:val="1"/>
                <w:szCs w:val="1"/>
                <w:color w:val="auto"/>
              </w:rPr>
            </w:pPr>
          </w:p>
        </w:tc>
      </w:tr>
      <w:tr>
        <w:trPr>
          <w:trHeight w:val="229"/>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5 — Market for Registrant's Common Equity, Related Stockholder Matters and Issuer Purchases of Equity Securities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43</w:t>
              </w:r>
            </w:hyperlink>
          </w:p>
        </w:tc>
        <w:tc>
          <w:tcPr>
            <w:tcW w:w="0" w:type="dxa"/>
            <w:vAlign w:val="bottom"/>
          </w:tcPr>
          <w:p>
            <w:pPr>
              <w:spacing w:after="0"/>
              <w:rPr>
                <w:sz w:val="1"/>
                <w:szCs w:val="1"/>
                <w:color w:val="auto"/>
              </w:rPr>
            </w:pPr>
          </w:p>
        </w:tc>
      </w:tr>
      <w:tr>
        <w:trPr>
          <w:trHeight w:val="230"/>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6 — Selected Financial Data</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45</w:t>
              </w:r>
            </w:hyperlink>
          </w:p>
        </w:tc>
        <w:tc>
          <w:tcPr>
            <w:tcW w:w="0" w:type="dxa"/>
            <w:vAlign w:val="bottom"/>
          </w:tcPr>
          <w:p>
            <w:pPr>
              <w:spacing w:after="0"/>
              <w:rPr>
                <w:sz w:val="1"/>
                <w:szCs w:val="1"/>
                <w:color w:val="auto"/>
              </w:rPr>
            </w:pPr>
          </w:p>
        </w:tc>
      </w:tr>
      <w:tr>
        <w:trPr>
          <w:trHeight w:val="229"/>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7 — Management's Discussion and Analysis of Financial Condition and Results of Operations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46</w:t>
              </w:r>
            </w:hyperlink>
          </w:p>
        </w:tc>
        <w:tc>
          <w:tcPr>
            <w:tcW w:w="0" w:type="dxa"/>
            <w:vAlign w:val="bottom"/>
          </w:tcPr>
          <w:p>
            <w:pPr>
              <w:spacing w:after="0"/>
              <w:rPr>
                <w:sz w:val="1"/>
                <w:szCs w:val="1"/>
                <w:color w:val="auto"/>
              </w:rPr>
            </w:pPr>
          </w:p>
        </w:tc>
      </w:tr>
      <w:tr>
        <w:trPr>
          <w:trHeight w:val="229"/>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7A — Quantitative and Qualitative Disclosures About Market Risk</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70</w:t>
              </w:r>
            </w:hyperlink>
          </w:p>
        </w:tc>
        <w:tc>
          <w:tcPr>
            <w:tcW w:w="0" w:type="dxa"/>
            <w:vAlign w:val="bottom"/>
          </w:tcPr>
          <w:p>
            <w:pPr>
              <w:spacing w:after="0"/>
              <w:rPr>
                <w:sz w:val="1"/>
                <w:szCs w:val="1"/>
                <w:color w:val="auto"/>
              </w:rPr>
            </w:pPr>
          </w:p>
        </w:tc>
      </w:tr>
      <w:tr>
        <w:trPr>
          <w:trHeight w:val="230"/>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8 — Financial Statements and Supplementary Data</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71</w:t>
              </w:r>
            </w:hyperlink>
          </w:p>
        </w:tc>
        <w:tc>
          <w:tcPr>
            <w:tcW w:w="0" w:type="dxa"/>
            <w:vAlign w:val="bottom"/>
          </w:tcPr>
          <w:p>
            <w:pPr>
              <w:spacing w:after="0"/>
              <w:rPr>
                <w:sz w:val="1"/>
                <w:szCs w:val="1"/>
                <w:color w:val="auto"/>
              </w:rPr>
            </w:pPr>
          </w:p>
        </w:tc>
      </w:tr>
      <w:tr>
        <w:trPr>
          <w:trHeight w:val="229"/>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9 — Changes in Disagreements With Accountants on Accounting and Financial Disclosure</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71</w:t>
              </w:r>
            </w:hyperlink>
          </w:p>
        </w:tc>
        <w:tc>
          <w:tcPr>
            <w:tcW w:w="0" w:type="dxa"/>
            <w:vAlign w:val="bottom"/>
          </w:tcPr>
          <w:p>
            <w:pPr>
              <w:spacing w:after="0"/>
              <w:rPr>
                <w:sz w:val="1"/>
                <w:szCs w:val="1"/>
                <w:color w:val="auto"/>
              </w:rPr>
            </w:pPr>
          </w:p>
        </w:tc>
      </w:tr>
      <w:tr>
        <w:trPr>
          <w:trHeight w:val="229"/>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9A — Controls and Procedures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71</w:t>
              </w:r>
            </w:hyperlink>
          </w:p>
        </w:tc>
        <w:tc>
          <w:tcPr>
            <w:tcW w:w="0" w:type="dxa"/>
            <w:vAlign w:val="bottom"/>
          </w:tcPr>
          <w:p>
            <w:pPr>
              <w:spacing w:after="0"/>
              <w:rPr>
                <w:sz w:val="1"/>
                <w:szCs w:val="1"/>
                <w:color w:val="auto"/>
              </w:rPr>
            </w:pPr>
          </w:p>
        </w:tc>
      </w:tr>
      <w:tr>
        <w:trPr>
          <w:trHeight w:val="226"/>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9B — Other Information</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73</w:t>
              </w:r>
            </w:hyperlink>
          </w:p>
        </w:tc>
        <w:tc>
          <w:tcPr>
            <w:tcW w:w="0" w:type="dxa"/>
            <w:vAlign w:val="bottom"/>
          </w:tcPr>
          <w:p>
            <w:pPr>
              <w:spacing w:after="0"/>
              <w:rPr>
                <w:sz w:val="1"/>
                <w:szCs w:val="1"/>
                <w:color w:val="auto"/>
              </w:rPr>
            </w:pPr>
          </w:p>
        </w:tc>
      </w:tr>
      <w:tr>
        <w:trPr>
          <w:trHeight w:val="233"/>
        </w:trPr>
        <w:tc>
          <w:tcPr>
            <w:tcW w:w="9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74</w:t>
              </w:r>
            </w:hyperlink>
          </w:p>
        </w:tc>
        <w:tc>
          <w:tcPr>
            <w:tcW w:w="0" w:type="dxa"/>
            <w:vAlign w:val="bottom"/>
          </w:tcPr>
          <w:p>
            <w:pPr>
              <w:spacing w:after="0"/>
              <w:rPr>
                <w:sz w:val="1"/>
                <w:szCs w:val="1"/>
                <w:color w:val="auto"/>
              </w:rPr>
            </w:pPr>
          </w:p>
        </w:tc>
      </w:tr>
      <w:tr>
        <w:trPr>
          <w:trHeight w:val="230"/>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10 — Directors, Executive Officers and Corporate Governance</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74</w:t>
              </w:r>
            </w:hyperlink>
          </w:p>
        </w:tc>
        <w:tc>
          <w:tcPr>
            <w:tcW w:w="0" w:type="dxa"/>
            <w:vAlign w:val="bottom"/>
          </w:tcPr>
          <w:p>
            <w:pPr>
              <w:spacing w:after="0"/>
              <w:rPr>
                <w:sz w:val="1"/>
                <w:szCs w:val="1"/>
                <w:color w:val="auto"/>
              </w:rPr>
            </w:pPr>
          </w:p>
        </w:tc>
      </w:tr>
      <w:tr>
        <w:trPr>
          <w:trHeight w:val="229"/>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11 — Executive Compensation</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77</w:t>
              </w:r>
            </w:hyperlink>
          </w:p>
        </w:tc>
        <w:tc>
          <w:tcPr>
            <w:tcW w:w="0" w:type="dxa"/>
            <w:vAlign w:val="bottom"/>
          </w:tcPr>
          <w:p>
            <w:pPr>
              <w:spacing w:after="0"/>
              <w:rPr>
                <w:sz w:val="1"/>
                <w:szCs w:val="1"/>
                <w:color w:val="auto"/>
              </w:rPr>
            </w:pPr>
          </w:p>
        </w:tc>
      </w:tr>
      <w:tr>
        <w:trPr>
          <w:trHeight w:val="229"/>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12 — Security Ownership of Certain Beneficial Owners and Management and Related Stockholder Matters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77</w:t>
              </w:r>
            </w:hyperlink>
          </w:p>
        </w:tc>
        <w:tc>
          <w:tcPr>
            <w:tcW w:w="0" w:type="dxa"/>
            <w:vAlign w:val="bottom"/>
          </w:tcPr>
          <w:p>
            <w:pPr>
              <w:spacing w:after="0"/>
              <w:rPr>
                <w:sz w:val="1"/>
                <w:szCs w:val="1"/>
                <w:color w:val="auto"/>
              </w:rPr>
            </w:pPr>
          </w:p>
        </w:tc>
      </w:tr>
      <w:tr>
        <w:trPr>
          <w:trHeight w:val="230"/>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13 — Certain Relationships and Related Transactions, and Director Independence</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77</w:t>
              </w:r>
            </w:hyperlink>
          </w:p>
        </w:tc>
        <w:tc>
          <w:tcPr>
            <w:tcW w:w="0" w:type="dxa"/>
            <w:vAlign w:val="bottom"/>
          </w:tcPr>
          <w:p>
            <w:pPr>
              <w:spacing w:after="0"/>
              <w:rPr>
                <w:sz w:val="1"/>
                <w:szCs w:val="1"/>
                <w:color w:val="auto"/>
              </w:rPr>
            </w:pPr>
          </w:p>
        </w:tc>
      </w:tr>
      <w:tr>
        <w:trPr>
          <w:trHeight w:val="225"/>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14 — Principal Accounting Fees and Services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77</w:t>
              </w:r>
            </w:hyperlink>
          </w:p>
        </w:tc>
        <w:tc>
          <w:tcPr>
            <w:tcW w:w="0" w:type="dxa"/>
            <w:vAlign w:val="bottom"/>
          </w:tcPr>
          <w:p>
            <w:pPr>
              <w:spacing w:after="0"/>
              <w:rPr>
                <w:sz w:val="1"/>
                <w:szCs w:val="1"/>
                <w:color w:val="auto"/>
              </w:rPr>
            </w:pPr>
          </w:p>
        </w:tc>
      </w:tr>
      <w:tr>
        <w:trPr>
          <w:trHeight w:val="234"/>
        </w:trPr>
        <w:tc>
          <w:tcPr>
            <w:tcW w:w="9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78</w:t>
              </w:r>
            </w:hyperlink>
          </w:p>
        </w:tc>
        <w:tc>
          <w:tcPr>
            <w:tcW w:w="0" w:type="dxa"/>
            <w:vAlign w:val="bottom"/>
          </w:tcPr>
          <w:p>
            <w:pPr>
              <w:spacing w:after="0"/>
              <w:rPr>
                <w:sz w:val="1"/>
                <w:szCs w:val="1"/>
                <w:color w:val="auto"/>
              </w:rPr>
            </w:pPr>
          </w:p>
        </w:tc>
      </w:tr>
      <w:tr>
        <w:trPr>
          <w:trHeight w:val="225"/>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15 — Exhibits, Financial Statement Schedules</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78</w:t>
              </w:r>
            </w:hyperlink>
          </w:p>
        </w:tc>
        <w:tc>
          <w:tcPr>
            <w:tcW w:w="0" w:type="dxa"/>
            <w:vAlign w:val="bottom"/>
          </w:tcPr>
          <w:p>
            <w:pPr>
              <w:spacing w:after="0"/>
              <w:rPr>
                <w:sz w:val="1"/>
                <w:szCs w:val="1"/>
                <w:color w:val="auto"/>
              </w:rPr>
            </w:pPr>
          </w:p>
        </w:tc>
      </w:tr>
      <w:tr>
        <w:trPr>
          <w:trHeight w:val="233"/>
        </w:trPr>
        <w:tc>
          <w:tcPr>
            <w:tcW w:w="9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20" w:type="dxa"/>
            <w:vAlign w:val="bottom"/>
          </w:tcPr>
          <w:p>
            <w:pPr>
              <w:jc w:val="right"/>
              <w:spacing w:after="0"/>
              <w:rPr>
                <w:rFonts w:ascii="Times New Roman" w:cs="Times New Roman" w:eastAsia="Times New Roman" w:hAnsi="Times New Roman"/>
                <w:sz w:val="18"/>
                <w:szCs w:val="18"/>
                <w:u w:val="single" w:color="auto"/>
                <w:color w:val="0000FF"/>
              </w:rPr>
            </w:pPr>
            <w:hyperlink w:anchor="page145">
              <w:r>
                <w:rPr>
                  <w:rFonts w:ascii="Times New Roman" w:cs="Times New Roman" w:eastAsia="Times New Roman" w:hAnsi="Times New Roman"/>
                  <w:sz w:val="18"/>
                  <w:szCs w:val="18"/>
                  <w:u w:val="single" w:color="auto"/>
                  <w:color w:val="0000FF"/>
                </w:rPr>
                <w:t>146</w:t>
              </w:r>
            </w:hyperlink>
          </w:p>
        </w:tc>
        <w:tc>
          <w:tcPr>
            <w:tcW w:w="0" w:type="dxa"/>
            <w:vAlign w:val="bottom"/>
          </w:tcPr>
          <w:p>
            <w:pPr>
              <w:spacing w:after="0"/>
              <w:rPr>
                <w:sz w:val="1"/>
                <w:szCs w:val="1"/>
                <w:color w:val="auto"/>
              </w:rPr>
            </w:pPr>
          </w:p>
        </w:tc>
      </w:tr>
      <w:tr>
        <w:trPr>
          <w:trHeight w:val="234"/>
        </w:trPr>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16 — Form 10-K Summary</w:t>
            </w:r>
          </w:p>
        </w:tc>
        <w:tc>
          <w:tcPr>
            <w:tcW w:w="122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153">
              <w:r>
                <w:rPr>
                  <w:rFonts w:ascii="Times New Roman" w:cs="Times New Roman" w:eastAsia="Times New Roman" w:hAnsi="Times New Roman"/>
                  <w:sz w:val="18"/>
                  <w:szCs w:val="18"/>
                  <w:u w:val="single" w:color="auto"/>
                  <w:color w:val="0000FF"/>
                </w:rPr>
                <w:t>154</w:t>
              </w:r>
            </w:hyperlink>
          </w:p>
        </w:tc>
        <w:tc>
          <w:tcPr>
            <w:tcW w:w="0" w:type="dxa"/>
            <w:vAlign w:val="bottom"/>
          </w:tcPr>
          <w:p>
            <w:pPr>
              <w:spacing w:after="0"/>
              <w:rPr>
                <w:sz w:val="1"/>
                <w:szCs w:val="1"/>
                <w:color w:val="auto"/>
              </w:rPr>
            </w:pPr>
          </w:p>
        </w:tc>
      </w:tr>
      <w:tr>
        <w:trPr>
          <w:trHeight w:val="162"/>
        </w:trPr>
        <w:tc>
          <w:tcPr>
            <w:tcW w:w="99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21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846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378"/>
        </w:trPr>
        <w:tc>
          <w:tcPr>
            <w:tcW w:w="11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202"/>
        </w:trPr>
        <w:tc>
          <w:tcPr>
            <w:tcW w:w="2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2020 Convertible Notes</w:t>
            </w:r>
          </w:p>
        </w:tc>
        <w:tc>
          <w:tcPr>
            <w:tcW w:w="84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$45 million aggregate principal amount of 3.25% convertible notes due 2020, issued by Clearway Energy, Inc.,</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which were repaid on June 1, 2020</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2024 Senior Notes</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$500 million aggregate principal amount of 5.375% unsecured senior notes due 2024, issued by Clearway Energy</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LLC, which were repaid on January 3,2020</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2025 Senior Notes</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$600 million aggregate principal amount of 5.750% unsecured senior notes due 2025, issued by Clearway Energy</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2026 Senior Notes</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$350 million aggregate principal amount of 5.00% unsecured senior notes due 2026, issued by Clearway Energy</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2028 Senior Notes</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$850 million aggregate principal amount of 4.75% unsecured senior notes due 2028, issued by Clearway Energy</w:t>
            </w:r>
          </w:p>
        </w:tc>
      </w:tr>
      <w:tr>
        <w:trPr>
          <w:trHeight w:val="234"/>
        </w:trPr>
        <w:tc>
          <w:tcPr>
            <w:tcW w:w="2780" w:type="dxa"/>
            <w:vAlign w:val="bottom"/>
          </w:tcPr>
          <w:p>
            <w:pPr>
              <w:spacing w:after="0"/>
              <w:rPr>
                <w:sz w:val="20"/>
                <w:szCs w:val="20"/>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LLC</w:t>
            </w:r>
          </w:p>
        </w:tc>
      </w:tr>
      <w:tr>
        <w:trPr>
          <w:trHeight w:val="382"/>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non-GAAP measure, represents earnings before interest, tax, depreciation and amortization adjusted for mark-</w:t>
            </w:r>
          </w:p>
        </w:tc>
      </w:tr>
      <w:tr>
        <w:trPr>
          <w:trHeight w:val="203"/>
        </w:trPr>
        <w:tc>
          <w:tcPr>
            <w:tcW w:w="2780" w:type="dxa"/>
            <w:vAlign w:val="bottom"/>
          </w:tcPr>
          <w:p>
            <w:pPr>
              <w:spacing w:after="0"/>
              <w:rPr>
                <w:sz w:val="17"/>
                <w:szCs w:val="17"/>
                <w:color w:val="auto"/>
              </w:rPr>
            </w:pPr>
          </w:p>
        </w:tc>
        <w:tc>
          <w:tcPr>
            <w:tcW w:w="84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to-market gains or losses, asset write offs and impairments; and factors which the Company does not consider</w:t>
            </w:r>
          </w:p>
        </w:tc>
      </w:tr>
      <w:tr>
        <w:trPr>
          <w:trHeight w:val="234"/>
        </w:trPr>
        <w:tc>
          <w:tcPr>
            <w:tcW w:w="2780" w:type="dxa"/>
            <w:vAlign w:val="bottom"/>
          </w:tcPr>
          <w:p>
            <w:pPr>
              <w:spacing w:after="0"/>
              <w:rPr>
                <w:sz w:val="20"/>
                <w:szCs w:val="20"/>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indicative of future operating performance</w:t>
            </w:r>
          </w:p>
        </w:tc>
      </w:tr>
      <w:tr>
        <w:trPr>
          <w:trHeight w:val="23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ARO</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Retirement Obligation</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ASC</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authoritative GAAP</w:t>
            </w: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Programs</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At-The-Market Equity Offering Programs</w:t>
            </w: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Code</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 11 of the U.S. Code</w:t>
            </w: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Court</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Bankruptcy Court for the Northern District of California</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Buckthorn Solar Drop Down Asset</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Buckthorn Renewables, LLC, which owns 100% of Buckthorn Solar Portfolio, LLC, which was acquired by</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Clearway Energy Operating LLC from NRG on March 30, 2018</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CAFD</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A non-GAAP measure, Cash Available for Distribution is defined as of December 31, 2020 as Adjusted EBITDA</w:t>
            </w:r>
          </w:p>
        </w:tc>
      </w:tr>
      <w:tr>
        <w:trPr>
          <w:trHeight w:val="176"/>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plus cash distributions/return of investment from unconsolidated affiliates, adjustments to reflect CAFD</w:t>
            </w: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generated by unconsolidated investments that were not able to distribute project dividends prior to PG&amp;E's</w:t>
            </w: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emergence from bankruptcy on July 1, 2020 and subsequent release post-bankruptcy, cash receipts from notes</w:t>
            </w:r>
          </w:p>
        </w:tc>
      </w:tr>
      <w:tr>
        <w:trPr>
          <w:trHeight w:val="176"/>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receivable, cash distributions from noncontrolling interests, adjustments to reflect sales-type lease cash payments,</w:t>
            </w: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less cash distributions to noncontrolling interests, maintenance capital expenditures, pro-rata Adjusted EBITDA</w:t>
            </w: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from unconsolidated affiliates, cash interest paid, income taxes paid, principal amortization of indebtedness,</w:t>
            </w: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Walnut Creek investment payments, changes in prepaid and accrued capacity payments, and adjusted for</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 expenses.</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Carlsbad Drop Down</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The acquisition by the Company of the Carlsbad Energy Center, a 527 MW natural gas fired project located in</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Carlsbad, CA</w:t>
            </w: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Master Services Agreements entered into as of August 31, 2018 between the Company, Clearway Energy LLC</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Clearway Energy Operating LLC, and CEG</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CEG ROFO Agreement</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Right of First Offer Agreement, entered into as of August 31, 2018, by and between Clearway Energy Group</w:t>
            </w: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LLC and Clearway Energy, Inc., and solely for purposes of Section 2.4, GIP III Zephyr Acquisition Partners,</w:t>
            </w:r>
          </w:p>
        </w:tc>
      </w:tr>
      <w:tr>
        <w:trPr>
          <w:trHeight w:val="175"/>
        </w:trPr>
        <w:tc>
          <w:tcPr>
            <w:tcW w:w="2780" w:type="dxa"/>
            <w:vAlign w:val="bottom"/>
          </w:tcPr>
          <w:p>
            <w:pPr>
              <w:spacing w:after="0"/>
              <w:rPr>
                <w:sz w:val="15"/>
                <w:szCs w:val="15"/>
                <w:color w:val="auto"/>
              </w:rPr>
            </w:pPr>
          </w:p>
        </w:tc>
        <w:tc>
          <w:tcPr>
            <w:tcW w:w="8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L.P., as amended by the First Amendment dated February 14, 2019, the Second Amendment dated August 1,</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2019, the Third Amendment dated December 6, 2019 and the Fourth Amendment dated November 2, 2020</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Clearway Energy LLC</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The holding company through which the projects are owned by Clearway Energy Group LLC, the holder of Class</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 and Class D units, and Clearway Energy, Inc., the holder of the Class A and Class C units</w:t>
            </w:r>
          </w:p>
        </w:tc>
      </w:tr>
      <w:tr>
        <w:trPr>
          <w:trHeight w:val="180"/>
        </w:trPr>
        <w:tc>
          <w:tcPr>
            <w:tcW w:w="2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Clearway Energy Group LLC</w:t>
            </w:r>
          </w:p>
        </w:tc>
        <w:tc>
          <w:tcPr>
            <w:tcW w:w="8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The holder of the Company's Class B and Class D common shares and Clearway Energy LLC's Class B and</w:t>
            </w:r>
          </w:p>
        </w:tc>
      </w:tr>
      <w:tr>
        <w:trPr>
          <w:trHeight w:val="225"/>
        </w:trPr>
        <w:tc>
          <w:tcPr>
            <w:tcW w:w="27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D units</w:t>
            </w: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holder of the project assets that are owned by Clearway Energy LLC</w:t>
            </w: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Operation Date</w:t>
            </w: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Code</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Clearway Energy, Inc. together with its consolidated subsidiaries</w:t>
            </w:r>
          </w:p>
        </w:tc>
      </w:tr>
      <w:tr>
        <w:trPr>
          <w:trHeight w:val="877"/>
        </w:trPr>
        <w:tc>
          <w:tcPr>
            <w:tcW w:w="2780" w:type="dxa"/>
            <w:vAlign w:val="bottom"/>
          </w:tcPr>
          <w:p>
            <w:pPr>
              <w:spacing w:after="0"/>
              <w:rPr>
                <w:sz w:val="24"/>
                <w:szCs w:val="24"/>
                <w:color w:val="auto"/>
              </w:rPr>
            </w:pPr>
          </w:p>
        </w:tc>
        <w:tc>
          <w:tcPr>
            <w:tcW w:w="84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27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CVSR</w:t>
      </w:r>
      <w:r>
        <w:rPr>
          <w:sz w:val="20"/>
          <w:szCs w:val="20"/>
          <w:color w:val="auto"/>
        </w:rPr>
        <w:tab/>
      </w:r>
      <w:r>
        <w:rPr>
          <w:rFonts w:ascii="Times New Roman" w:cs="Times New Roman" w:eastAsia="Times New Roman" w:hAnsi="Times New Roman"/>
          <w:sz w:val="18"/>
          <w:szCs w:val="18"/>
          <w:color w:val="auto"/>
        </w:rPr>
        <w:t>California Valley Solar Ranch</w:t>
      </w:r>
    </w:p>
    <w:p>
      <w:pPr>
        <w:spacing w:after="0" w:line="27"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CVSR Holdco</w:t>
      </w:r>
      <w:r>
        <w:rPr>
          <w:sz w:val="20"/>
          <w:szCs w:val="20"/>
          <w:color w:val="auto"/>
        </w:rPr>
        <w:tab/>
      </w:r>
      <w:r>
        <w:rPr>
          <w:rFonts w:ascii="Times New Roman" w:cs="Times New Roman" w:eastAsia="Times New Roman" w:hAnsi="Times New Roman"/>
          <w:sz w:val="17"/>
          <w:szCs w:val="17"/>
          <w:color w:val="auto"/>
        </w:rPr>
        <w:t>CVSR Holdco LLC, the indirect owner of CVSR</w:t>
      </w:r>
    </w:p>
    <w:p>
      <w:pPr>
        <w:spacing w:after="0" w:line="23"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DGPV Holdco Entities</w:t>
      </w:r>
      <w:r>
        <w:rPr>
          <w:sz w:val="20"/>
          <w:szCs w:val="20"/>
          <w:color w:val="auto"/>
        </w:rPr>
        <w:tab/>
      </w:r>
      <w:r>
        <w:rPr>
          <w:rFonts w:ascii="Times New Roman" w:cs="Times New Roman" w:eastAsia="Times New Roman" w:hAnsi="Times New Roman"/>
          <w:sz w:val="17"/>
          <w:szCs w:val="17"/>
          <w:color w:val="auto"/>
        </w:rPr>
        <w:t>Collectively, DGPV Holdco 1, DGPV Holdco 2 and DGPV Holdco 3</w:t>
      </w:r>
    </w:p>
    <w:p>
      <w:pPr>
        <w:spacing w:after="0" w:line="23"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DGPV Holdco 1</w:t>
      </w:r>
      <w:r>
        <w:rPr>
          <w:sz w:val="20"/>
          <w:szCs w:val="20"/>
          <w:color w:val="auto"/>
        </w:rPr>
        <w:tab/>
      </w:r>
      <w:r>
        <w:rPr>
          <w:rFonts w:ascii="Times New Roman" w:cs="Times New Roman" w:eastAsia="Times New Roman" w:hAnsi="Times New Roman"/>
          <w:sz w:val="17"/>
          <w:szCs w:val="17"/>
          <w:color w:val="auto"/>
        </w:rPr>
        <w:t>DGPV Holdco 1 LLC</w:t>
      </w:r>
    </w:p>
    <w:p>
      <w:pPr>
        <w:spacing w:after="0" w:line="23"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DGPV Holdco 2</w:t>
      </w:r>
      <w:r>
        <w:rPr>
          <w:sz w:val="20"/>
          <w:szCs w:val="20"/>
          <w:color w:val="auto"/>
        </w:rPr>
        <w:tab/>
      </w:r>
      <w:r>
        <w:rPr>
          <w:rFonts w:ascii="Times New Roman" w:cs="Times New Roman" w:eastAsia="Times New Roman" w:hAnsi="Times New Roman"/>
          <w:sz w:val="17"/>
          <w:szCs w:val="17"/>
          <w:color w:val="auto"/>
        </w:rPr>
        <w:t>DGPV Holdco 2 LLC</w:t>
      </w:r>
    </w:p>
    <w:p>
      <w:pPr>
        <w:spacing w:after="0" w:line="23"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DGPV Holdco 3</w:t>
      </w:r>
      <w:r>
        <w:rPr>
          <w:sz w:val="20"/>
          <w:szCs w:val="20"/>
          <w:color w:val="auto"/>
        </w:rPr>
        <w:tab/>
      </w:r>
      <w:r>
        <w:rPr>
          <w:rFonts w:ascii="Times New Roman" w:cs="Times New Roman" w:eastAsia="Times New Roman" w:hAnsi="Times New Roman"/>
          <w:sz w:val="17"/>
          <w:szCs w:val="17"/>
          <w:color w:val="auto"/>
        </w:rPr>
        <w:t>DGPV Holdco 3 LLC</w:t>
      </w:r>
    </w:p>
    <w:p>
      <w:pPr>
        <w:spacing w:after="0" w:line="6"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Distributed Solar</w:t>
      </w:r>
      <w:r>
        <w:rPr>
          <w:sz w:val="20"/>
          <w:szCs w:val="20"/>
          <w:color w:val="auto"/>
        </w:rPr>
        <w:tab/>
      </w:r>
      <w:r>
        <w:rPr>
          <w:rFonts w:ascii="Times New Roman" w:cs="Times New Roman" w:eastAsia="Times New Roman" w:hAnsi="Times New Roman"/>
          <w:sz w:val="17"/>
          <w:szCs w:val="17"/>
          <w:color w:val="auto"/>
        </w:rPr>
        <w:t>Solar power projects, typically less than 20 MW in size, that primarily sell power produced to customers for</w:t>
      </w:r>
    </w:p>
    <w:p>
      <w:pPr>
        <w:ind w:left="3000"/>
        <w:spacing w:after="0"/>
        <w:rPr>
          <w:sz w:val="20"/>
          <w:szCs w:val="20"/>
          <w:color w:val="auto"/>
        </w:rPr>
      </w:pPr>
      <w:r>
        <w:rPr>
          <w:rFonts w:ascii="Times New Roman" w:cs="Times New Roman" w:eastAsia="Times New Roman" w:hAnsi="Times New Roman"/>
          <w:sz w:val="18"/>
          <w:szCs w:val="18"/>
          <w:color w:val="auto"/>
        </w:rPr>
        <w:t>usage on site, or are interconnected to sell power into the local distribution grid</w:t>
      </w: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Drop Down Assets</w:t>
      </w:r>
      <w:r>
        <w:rPr>
          <w:sz w:val="20"/>
          <w:szCs w:val="20"/>
          <w:color w:val="auto"/>
        </w:rPr>
        <w:tab/>
      </w:r>
      <w:r>
        <w:rPr>
          <w:rFonts w:ascii="Times New Roman" w:cs="Times New Roman" w:eastAsia="Times New Roman" w:hAnsi="Times New Roman"/>
          <w:sz w:val="17"/>
          <w:szCs w:val="17"/>
          <w:color w:val="auto"/>
        </w:rPr>
        <w:t>Collectively, assets under common control acquired by the Company from NRG from January 1, 2014 through</w:t>
      </w:r>
    </w:p>
    <w:p>
      <w:pPr>
        <w:ind w:left="3000" w:right="100"/>
        <w:spacing w:after="0" w:line="226" w:lineRule="auto"/>
        <w:rPr>
          <w:sz w:val="20"/>
          <w:szCs w:val="20"/>
          <w:color w:val="auto"/>
        </w:rPr>
      </w:pPr>
      <w:r>
        <w:rPr>
          <w:rFonts w:ascii="Times New Roman" w:cs="Times New Roman" w:eastAsia="Times New Roman" w:hAnsi="Times New Roman"/>
          <w:sz w:val="18"/>
          <w:szCs w:val="18"/>
          <w:color w:val="auto"/>
        </w:rPr>
        <w:t>the period ended August 31, 2018 and from CEG from August 31, 2018 through the period ending December 31, 2020</w:t>
      </w:r>
    </w:p>
    <w:p>
      <w:pPr>
        <w:ind w:left="20"/>
        <w:spacing w:after="0" w:line="234" w:lineRule="auto"/>
        <w:tabs>
          <w:tab w:leader="none" w:pos="2980" w:val="left"/>
        </w:tabs>
        <w:rPr>
          <w:sz w:val="20"/>
          <w:szCs w:val="20"/>
          <w:color w:val="auto"/>
        </w:rPr>
      </w:pPr>
      <w:r>
        <w:rPr>
          <w:rFonts w:ascii="Times New Roman" w:cs="Times New Roman" w:eastAsia="Times New Roman" w:hAnsi="Times New Roman"/>
          <w:sz w:val="18"/>
          <w:szCs w:val="18"/>
          <w:color w:val="auto"/>
        </w:rPr>
        <w:t>Economic Gross Margin</w:t>
      </w:r>
      <w:r>
        <w:rPr>
          <w:sz w:val="20"/>
          <w:szCs w:val="20"/>
          <w:color w:val="auto"/>
        </w:rPr>
        <w:tab/>
      </w:r>
      <w:r>
        <w:rPr>
          <w:rFonts w:ascii="Times New Roman" w:cs="Times New Roman" w:eastAsia="Times New Roman" w:hAnsi="Times New Roman"/>
          <w:sz w:val="17"/>
          <w:szCs w:val="17"/>
          <w:color w:val="auto"/>
        </w:rPr>
        <w:t>A non-GAAP measure, energy and capacity revenue, less cost of fuels. See Item 7 — Management's Discussion</w:t>
      </w:r>
    </w:p>
    <w:p>
      <w:pPr>
        <w:ind w:left="3000" w:right="460"/>
        <w:spacing w:after="0" w:line="226" w:lineRule="auto"/>
        <w:rPr>
          <w:sz w:val="20"/>
          <w:szCs w:val="20"/>
          <w:color w:val="auto"/>
        </w:rPr>
      </w:pPr>
      <w:r>
        <w:rPr>
          <w:rFonts w:ascii="Times New Roman" w:cs="Times New Roman" w:eastAsia="Times New Roman" w:hAnsi="Times New Roman"/>
          <w:sz w:val="18"/>
          <w:szCs w:val="18"/>
          <w:color w:val="auto"/>
        </w:rPr>
        <w:t>and Analysis of Financial Condition and Results of Operations — Management's discussion of the results of operations for the years ended December 31, 2020 and 2019 for a discussion of this measure.</w:t>
      </w:r>
    </w:p>
    <w:p>
      <w:pPr>
        <w:sectPr>
          <w:pgSz w:w="11900" w:h="16838" w:orient="portrait"/>
          <w:cols w:equalWidth="0" w:num="1">
            <w:col w:w="11240"/>
          </w:cols>
          <w:pgMar w:left="320" w:top="93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ECP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EPA</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EPC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ERCOT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Energy Center Pittsburgh LLC, a subsidiary of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Environmental Protection Agency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Engineering, Procurement and Construction</w:t>
      </w:r>
    </w:p>
    <w:p>
      <w:pPr>
        <w:spacing w:after="0" w:line="27" w:lineRule="exact"/>
        <w:rPr>
          <w:sz w:val="20"/>
          <w:szCs w:val="20"/>
          <w:color w:val="auto"/>
        </w:rPr>
      </w:pPr>
    </w:p>
    <w:p>
      <w:pPr>
        <w:ind w:right="340"/>
        <w:spacing w:after="0" w:line="234" w:lineRule="auto"/>
        <w:rPr>
          <w:sz w:val="20"/>
          <w:szCs w:val="20"/>
          <w:color w:val="auto"/>
        </w:rPr>
      </w:pPr>
      <w:r>
        <w:rPr>
          <w:rFonts w:ascii="Times New Roman" w:cs="Times New Roman" w:eastAsia="Times New Roman" w:hAnsi="Times New Roman"/>
          <w:sz w:val="18"/>
          <w:szCs w:val="18"/>
          <w:color w:val="auto"/>
        </w:rPr>
        <w:t>Electric Reliability Council of Texas, the ISO and the regional reliability coordinator of the various electricity systems within Texas</w:t>
      </w:r>
    </w:p>
    <w:p>
      <w:pPr>
        <w:spacing w:after="0" w:line="1"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EWG</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Exempt Wholesale Generator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FERC</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Federal Energy Regulatory Commission</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FPA</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Federal Power Act</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GenConn</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GenConn Energy LLC</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GHG</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Greenhouse gas</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GIM</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Global Infrastructure Management, LLC</w:t>
            </w:r>
          </w:p>
        </w:tc>
      </w:tr>
      <w:tr>
        <w:trPr>
          <w:trHeight w:val="180"/>
        </w:trPr>
        <w:tc>
          <w:tcPr>
            <w:tcW w:w="2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GIP</w:t>
            </w:r>
          </w:p>
        </w:tc>
        <w:tc>
          <w:tcPr>
            <w:tcW w:w="9140" w:type="dxa"/>
            <w:vAlign w:val="bottom"/>
          </w:tcPr>
          <w:p>
            <w:pPr>
              <w:ind w:left="900"/>
              <w:spacing w:after="0" w:line="181" w:lineRule="exact"/>
              <w:rPr>
                <w:sz w:val="20"/>
                <w:szCs w:val="20"/>
                <w:color w:val="auto"/>
              </w:rPr>
            </w:pPr>
            <w:r>
              <w:rPr>
                <w:rFonts w:ascii="Times New Roman" w:cs="Times New Roman" w:eastAsia="Times New Roman" w:hAnsi="Times New Roman"/>
                <w:sz w:val="18"/>
                <w:szCs w:val="18"/>
                <w:color w:val="auto"/>
              </w:rPr>
              <w:t>Collectively, Global Infrastructure Partners III-C Intermediate AIV 3, L.P., Global Infrastructure Partners III-A/B</w:t>
            </w:r>
          </w:p>
        </w:tc>
      </w:tr>
      <w:tr>
        <w:trPr>
          <w:trHeight w:val="175"/>
        </w:trPr>
        <w:tc>
          <w:tcPr>
            <w:tcW w:w="2100" w:type="dxa"/>
            <w:vAlign w:val="bottom"/>
          </w:tcPr>
          <w:p>
            <w:pPr>
              <w:spacing w:after="0"/>
              <w:rPr>
                <w:sz w:val="15"/>
                <w:szCs w:val="15"/>
                <w:color w:val="auto"/>
              </w:rPr>
            </w:pPr>
          </w:p>
        </w:tc>
        <w:tc>
          <w:tcPr>
            <w:tcW w:w="9140" w:type="dxa"/>
            <w:vAlign w:val="bottom"/>
          </w:tcPr>
          <w:p>
            <w:pPr>
              <w:ind w:left="900"/>
              <w:spacing w:after="0" w:line="176" w:lineRule="exact"/>
              <w:rPr>
                <w:sz w:val="20"/>
                <w:szCs w:val="20"/>
                <w:color w:val="auto"/>
              </w:rPr>
            </w:pPr>
            <w:r>
              <w:rPr>
                <w:rFonts w:ascii="Times New Roman" w:cs="Times New Roman" w:eastAsia="Times New Roman" w:hAnsi="Times New Roman"/>
                <w:sz w:val="18"/>
                <w:szCs w:val="18"/>
                <w:color w:val="auto"/>
              </w:rPr>
              <w:t>AIV 3, L.P., Global Infrastructure Partners III-C Intermediate AIV 2, L.P., Global Infrastructure Partners III-C2</w:t>
            </w:r>
          </w:p>
        </w:tc>
      </w:tr>
      <w:tr>
        <w:trPr>
          <w:trHeight w:val="225"/>
        </w:trPr>
        <w:tc>
          <w:tcPr>
            <w:tcW w:w="2100" w:type="dxa"/>
            <w:vAlign w:val="bottom"/>
          </w:tcPr>
          <w:p>
            <w:pPr>
              <w:spacing w:after="0"/>
              <w:rPr>
                <w:sz w:val="19"/>
                <w:szCs w:val="19"/>
                <w:color w:val="auto"/>
              </w:rPr>
            </w:pP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Intermediate AIV, L.P. and GIP III Zephyr Friends &amp; Family, LLC.</w:t>
            </w:r>
          </w:p>
        </w:tc>
      </w:tr>
      <w:tr>
        <w:trPr>
          <w:trHeight w:val="180"/>
        </w:trPr>
        <w:tc>
          <w:tcPr>
            <w:tcW w:w="2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GIP Transaction</w:t>
            </w:r>
          </w:p>
        </w:tc>
        <w:tc>
          <w:tcPr>
            <w:tcW w:w="9140" w:type="dxa"/>
            <w:vAlign w:val="bottom"/>
          </w:tcPr>
          <w:p>
            <w:pPr>
              <w:ind w:left="900"/>
              <w:spacing w:after="0" w:line="181" w:lineRule="exact"/>
              <w:rPr>
                <w:sz w:val="20"/>
                <w:szCs w:val="20"/>
                <w:color w:val="auto"/>
              </w:rPr>
            </w:pPr>
            <w:r>
              <w:rPr>
                <w:rFonts w:ascii="Times New Roman" w:cs="Times New Roman" w:eastAsia="Times New Roman" w:hAnsi="Times New Roman"/>
                <w:sz w:val="18"/>
                <w:szCs w:val="18"/>
                <w:color w:val="auto"/>
              </w:rPr>
              <w:t>On August 31, 2018, NRG transferred its full ownership interest in the Company to Clearway Energy Group LLC</w:t>
            </w:r>
          </w:p>
        </w:tc>
      </w:tr>
      <w:tr>
        <w:trPr>
          <w:trHeight w:val="175"/>
        </w:trPr>
        <w:tc>
          <w:tcPr>
            <w:tcW w:w="2100" w:type="dxa"/>
            <w:vAlign w:val="bottom"/>
          </w:tcPr>
          <w:p>
            <w:pPr>
              <w:spacing w:after="0"/>
              <w:rPr>
                <w:sz w:val="15"/>
                <w:szCs w:val="15"/>
                <w:color w:val="auto"/>
              </w:rPr>
            </w:pPr>
          </w:p>
        </w:tc>
        <w:tc>
          <w:tcPr>
            <w:tcW w:w="9140" w:type="dxa"/>
            <w:vAlign w:val="bottom"/>
          </w:tcPr>
          <w:p>
            <w:pPr>
              <w:ind w:left="900"/>
              <w:spacing w:after="0" w:line="176" w:lineRule="exact"/>
              <w:rPr>
                <w:sz w:val="20"/>
                <w:szCs w:val="20"/>
                <w:color w:val="auto"/>
              </w:rPr>
            </w:pPr>
            <w:r>
              <w:rPr>
                <w:rFonts w:ascii="Times New Roman" w:cs="Times New Roman" w:eastAsia="Times New Roman" w:hAnsi="Times New Roman"/>
                <w:sz w:val="18"/>
                <w:szCs w:val="18"/>
                <w:color w:val="auto"/>
              </w:rPr>
              <w:t>and subsequently sold 100% of its interests in Clearway Energy Group LLC, which includes NRG's renewable</w:t>
            </w:r>
          </w:p>
        </w:tc>
      </w:tr>
      <w:tr>
        <w:trPr>
          <w:trHeight w:val="176"/>
        </w:trPr>
        <w:tc>
          <w:tcPr>
            <w:tcW w:w="2100" w:type="dxa"/>
            <w:vAlign w:val="bottom"/>
          </w:tcPr>
          <w:p>
            <w:pPr>
              <w:spacing w:after="0"/>
              <w:rPr>
                <w:sz w:val="15"/>
                <w:szCs w:val="15"/>
                <w:color w:val="auto"/>
              </w:rPr>
            </w:pPr>
          </w:p>
        </w:tc>
        <w:tc>
          <w:tcPr>
            <w:tcW w:w="9140" w:type="dxa"/>
            <w:vAlign w:val="bottom"/>
          </w:tcPr>
          <w:p>
            <w:pPr>
              <w:ind w:left="900"/>
              <w:spacing w:after="0" w:line="176" w:lineRule="exact"/>
              <w:rPr>
                <w:sz w:val="20"/>
                <w:szCs w:val="20"/>
                <w:color w:val="auto"/>
              </w:rPr>
            </w:pPr>
            <w:r>
              <w:rPr>
                <w:rFonts w:ascii="Times New Roman" w:cs="Times New Roman" w:eastAsia="Times New Roman" w:hAnsi="Times New Roman"/>
                <w:sz w:val="18"/>
                <w:szCs w:val="18"/>
                <w:color w:val="auto"/>
              </w:rPr>
              <w:t>energy development and operations platform, to an affiliate of GIP. GIP, NRG and the Company also entered into</w:t>
            </w:r>
          </w:p>
        </w:tc>
      </w:tr>
      <w:tr>
        <w:trPr>
          <w:trHeight w:val="175"/>
        </w:trPr>
        <w:tc>
          <w:tcPr>
            <w:tcW w:w="2100" w:type="dxa"/>
            <w:vAlign w:val="bottom"/>
          </w:tcPr>
          <w:p>
            <w:pPr>
              <w:spacing w:after="0"/>
              <w:rPr>
                <w:sz w:val="15"/>
                <w:szCs w:val="15"/>
                <w:color w:val="auto"/>
              </w:rPr>
            </w:pPr>
          </w:p>
        </w:tc>
        <w:tc>
          <w:tcPr>
            <w:tcW w:w="9140" w:type="dxa"/>
            <w:vAlign w:val="bottom"/>
          </w:tcPr>
          <w:p>
            <w:pPr>
              <w:ind w:left="900"/>
              <w:spacing w:after="0" w:line="176" w:lineRule="exact"/>
              <w:rPr>
                <w:sz w:val="20"/>
                <w:szCs w:val="20"/>
                <w:color w:val="auto"/>
              </w:rPr>
            </w:pPr>
            <w:r>
              <w:rPr>
                <w:rFonts w:ascii="Times New Roman" w:cs="Times New Roman" w:eastAsia="Times New Roman" w:hAnsi="Times New Roman"/>
                <w:sz w:val="18"/>
                <w:szCs w:val="18"/>
                <w:color w:val="auto"/>
              </w:rPr>
              <w:t>a consent and indemnity agreement in connection with the purchase and sale agreement, which was signed on</w:t>
            </w:r>
          </w:p>
        </w:tc>
      </w:tr>
      <w:tr>
        <w:trPr>
          <w:trHeight w:val="225"/>
        </w:trPr>
        <w:tc>
          <w:tcPr>
            <w:tcW w:w="2100" w:type="dxa"/>
            <w:vAlign w:val="bottom"/>
          </w:tcPr>
          <w:p>
            <w:pPr>
              <w:spacing w:after="0"/>
              <w:rPr>
                <w:sz w:val="19"/>
                <w:szCs w:val="19"/>
                <w:color w:val="auto"/>
              </w:rPr>
            </w:pP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February 6, 2018</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HLBV</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Hypothetical Liquidation at Book Value</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IRS</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ISO</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Independent System Operator, also referred to as an RTO</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ITC</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Investment Tax Credit</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kWh</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Kilowatt Hour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MBTA</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Migratory Bird Treaty Act</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Megawatt</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MWh</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MWt</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Megawatts Thermal Equivalent</w:t>
            </w:r>
          </w:p>
        </w:tc>
      </w:tr>
      <w:tr>
        <w:trPr>
          <w:trHeight w:val="23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NERC</w:t>
            </w:r>
          </w:p>
        </w:tc>
        <w:tc>
          <w:tcPr>
            <w:tcW w:w="9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North American Electric Reliability Corporation</w:t>
            </w:r>
          </w:p>
        </w:tc>
      </w:tr>
      <w:tr>
        <w:trPr>
          <w:trHeight w:val="877"/>
        </w:trPr>
        <w:tc>
          <w:tcPr>
            <w:tcW w:w="2100" w:type="dxa"/>
            <w:vAlign w:val="bottom"/>
          </w:tcPr>
          <w:p>
            <w:pPr>
              <w:spacing w:after="0"/>
              <w:rPr>
                <w:sz w:val="24"/>
                <w:szCs w:val="24"/>
                <w:color w:val="auto"/>
              </w:rPr>
            </w:pPr>
          </w:p>
        </w:tc>
        <w:tc>
          <w:tcPr>
            <w:tcW w:w="914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100" w:type="dxa"/>
            <w:vAlign w:val="bottom"/>
            <w:tcBorders>
              <w:bottom w:val="single" w:sz="8" w:color="9A9A9A"/>
            </w:tcBorders>
          </w:tcPr>
          <w:p>
            <w:pPr>
              <w:spacing w:after="0"/>
              <w:rPr>
                <w:sz w:val="10"/>
                <w:szCs w:val="10"/>
                <w:color w:val="auto"/>
              </w:rPr>
            </w:pPr>
          </w:p>
        </w:tc>
        <w:tc>
          <w:tcPr>
            <w:tcW w:w="9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Net Exposure</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NOLs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Net Operating Losses</w:t>
            </w:r>
          </w:p>
        </w:tc>
        <w:tc>
          <w:tcPr>
            <w:tcW w:w="0" w:type="dxa"/>
            <w:vAlign w:val="bottom"/>
          </w:tcPr>
          <w:p>
            <w:pPr>
              <w:spacing w:after="0"/>
              <w:rPr>
                <w:sz w:val="1"/>
                <w:szCs w:val="1"/>
                <w:color w:val="auto"/>
              </w:rPr>
            </w:pPr>
          </w:p>
        </w:tc>
      </w:tr>
      <w:tr>
        <w:trPr>
          <w:trHeight w:val="229"/>
        </w:trPr>
        <w:tc>
          <w:tcPr>
            <w:tcW w:w="23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3"/>
                <w:szCs w:val="23"/>
                <w:color w:val="auto"/>
                <w:vertAlign w:val="subscript"/>
              </w:rPr>
              <w:t>x</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Nitrogen Oxides</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NPNS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Normal Purchases and Normal Sales</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NRG</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 Energy, Inc.</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NRG Power Marketing</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 Power Marketing LLC</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NRG TSA</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Transition Services Agreement, entered into as of August 31, 2018, by and between NRG and the Company</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OCI/OCL</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O&amp;M</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PG&amp;E</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Pacific Gas and Electric Company</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PG&amp;E Bankruptcy</w:t>
            </w:r>
          </w:p>
        </w:tc>
        <w:tc>
          <w:tcPr>
            <w:tcW w:w="880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On January 29, 2019, PG&amp;E Corporation and Pacific Gas and Electric Company filed voluntary petitions for</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8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relief under the Bankruptcy Code in the U.S. Bankruptcy Court for the Northern District of California</w:t>
            </w:r>
          </w:p>
        </w:tc>
        <w:tc>
          <w:tcPr>
            <w:tcW w:w="0" w:type="dxa"/>
            <w:vAlign w:val="bottom"/>
          </w:tcPr>
          <w:p>
            <w:pPr>
              <w:spacing w:after="0"/>
              <w:rPr>
                <w:sz w:val="1"/>
                <w:szCs w:val="1"/>
                <w:color w:val="auto"/>
              </w:rPr>
            </w:pPr>
          </w:p>
        </w:tc>
      </w:tr>
      <w:tr>
        <w:trPr>
          <w:trHeight w:val="30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PJM</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PJM Interconnection, LLC</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PPA</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Power Purchase Agreement</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PTC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Production Tax Credit</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PUCT</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Public Utility Commission of Texas</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PUHCA</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Public Utility Holding Company Act of 2005</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PURPA</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Public Utility Regulatory Policies Act of 1978</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QF</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Qualifying Facility under PURPA</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RENOM</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Clearway Renewable Operation &amp; Maintenance LLC</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ROFO</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Right of First Offer</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RPS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Renewable Portfolio Standards</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RTO</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Regional Transmission Organization</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SCE</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Collectively, the 2024 Senior Notes, the 2025 Senior Notes, the 2026 Senior Notes and the 2028 Senior Notes</w:t>
            </w:r>
          </w:p>
        </w:tc>
        <w:tc>
          <w:tcPr>
            <w:tcW w:w="0" w:type="dxa"/>
            <w:vAlign w:val="bottom"/>
          </w:tcPr>
          <w:p>
            <w:pPr>
              <w:spacing w:after="0"/>
              <w:rPr>
                <w:sz w:val="1"/>
                <w:szCs w:val="1"/>
                <w:color w:val="auto"/>
              </w:rPr>
            </w:pPr>
          </w:p>
        </w:tc>
      </w:tr>
      <w:tr>
        <w:trPr>
          <w:trHeight w:val="230"/>
        </w:trPr>
        <w:tc>
          <w:tcPr>
            <w:tcW w:w="23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SO</w:t>
            </w:r>
            <w:r>
              <w:rPr>
                <w:rFonts w:ascii="Times New Roman" w:cs="Times New Roman" w:eastAsia="Times New Roman" w:hAnsi="Times New Roman"/>
                <w:sz w:val="23"/>
                <w:szCs w:val="23"/>
                <w:color w:val="auto"/>
                <w:vertAlign w:val="subscript"/>
              </w:rPr>
              <w:t>2</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Sulfur Dioxide</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SREC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Solar Renewable Energy Credit</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Tax Act</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Tax Cuts and Jobs Act of 2017</w:t>
            </w:r>
          </w:p>
        </w:tc>
        <w:tc>
          <w:tcPr>
            <w:tcW w:w="0" w:type="dxa"/>
            <w:vAlign w:val="bottom"/>
          </w:tcPr>
          <w:p>
            <w:pPr>
              <w:spacing w:after="0"/>
              <w:rPr>
                <w:sz w:val="1"/>
                <w:szCs w:val="1"/>
                <w:color w:val="auto"/>
              </w:rPr>
            </w:pP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Thermal Business</w:t>
            </w:r>
          </w:p>
        </w:tc>
        <w:tc>
          <w:tcPr>
            <w:tcW w:w="8800" w:type="dxa"/>
            <w:vAlign w:val="bottom"/>
          </w:tcPr>
          <w:p>
            <w:pPr>
              <w:ind w:left="620"/>
              <w:spacing w:after="0" w:line="181" w:lineRule="exact"/>
              <w:rPr>
                <w:sz w:val="20"/>
                <w:szCs w:val="20"/>
                <w:color w:val="auto"/>
              </w:rPr>
            </w:pPr>
            <w:r>
              <w:rPr>
                <w:rFonts w:ascii="Times New Roman" w:cs="Times New Roman" w:eastAsia="Times New Roman" w:hAnsi="Times New Roman"/>
                <w:sz w:val="18"/>
                <w:szCs w:val="18"/>
                <w:color w:val="auto"/>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88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25"/>
        </w:trPr>
        <w:tc>
          <w:tcPr>
            <w:tcW w:w="236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governmental units</w:t>
            </w:r>
          </w:p>
        </w:tc>
        <w:tc>
          <w:tcPr>
            <w:tcW w:w="0" w:type="dxa"/>
            <w:vAlign w:val="bottom"/>
          </w:tcPr>
          <w:p>
            <w:pPr>
              <w:spacing w:after="0"/>
              <w:rPr>
                <w:sz w:val="1"/>
                <w:szCs w:val="1"/>
                <w:color w:val="auto"/>
              </w:rPr>
            </w:pP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UPMC Thermal Project</w:t>
            </w:r>
          </w:p>
        </w:tc>
        <w:tc>
          <w:tcPr>
            <w:tcW w:w="8800" w:type="dxa"/>
            <w:vAlign w:val="bottom"/>
          </w:tcPr>
          <w:p>
            <w:pPr>
              <w:ind w:left="620"/>
              <w:spacing w:after="0" w:line="181" w:lineRule="exact"/>
              <w:rPr>
                <w:sz w:val="20"/>
                <w:szCs w:val="20"/>
                <w:color w:val="auto"/>
              </w:rPr>
            </w:pPr>
            <w:r>
              <w:rPr>
                <w:rFonts w:ascii="Times New Roman" w:cs="Times New Roman" w:eastAsia="Times New Roman" w:hAnsi="Times New Roman"/>
                <w:sz w:val="18"/>
                <w:szCs w:val="18"/>
                <w:color w:val="auto"/>
              </w:rPr>
              <w:t>The University of Pittsburgh Medical Center Thermal Project, a 73 MWt district energy system that allows ECP</w:t>
            </w:r>
          </w:p>
        </w:tc>
        <w:tc>
          <w:tcPr>
            <w:tcW w:w="0" w:type="dxa"/>
            <w:vAlign w:val="bottom"/>
          </w:tcPr>
          <w:p>
            <w:pPr>
              <w:spacing w:after="0"/>
              <w:rPr>
                <w:sz w:val="1"/>
                <w:szCs w:val="1"/>
                <w:color w:val="auto"/>
              </w:rPr>
            </w:pPr>
          </w:p>
        </w:tc>
      </w:tr>
      <w:tr>
        <w:trPr>
          <w:trHeight w:val="225"/>
        </w:trPr>
        <w:tc>
          <w:tcPr>
            <w:tcW w:w="236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 provide steam, chilled water and 7.5 MW of emergency backup power service to UPMC</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U.S. DOE</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 Department of Energy</w:t>
            </w:r>
          </w:p>
        </w:tc>
        <w:tc>
          <w:tcPr>
            <w:tcW w:w="0" w:type="dxa"/>
            <w:vAlign w:val="bottom"/>
          </w:tcPr>
          <w:p>
            <w:pPr>
              <w:spacing w:after="0"/>
              <w:rPr>
                <w:sz w:val="1"/>
                <w:szCs w:val="1"/>
                <w:color w:val="auto"/>
              </w:rPr>
            </w:pP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Utah Solar Portfolio</w:t>
            </w:r>
          </w:p>
        </w:tc>
        <w:tc>
          <w:tcPr>
            <w:tcW w:w="8800" w:type="dxa"/>
            <w:vAlign w:val="bottom"/>
          </w:tcPr>
          <w:p>
            <w:pPr>
              <w:ind w:left="620"/>
              <w:spacing w:after="0" w:line="181" w:lineRule="exact"/>
              <w:rPr>
                <w:sz w:val="20"/>
                <w:szCs w:val="20"/>
                <w:color w:val="auto"/>
              </w:rPr>
            </w:pPr>
            <w:r>
              <w:rPr>
                <w:rFonts w:ascii="Times New Roman" w:cs="Times New Roman" w:eastAsia="Times New Roman" w:hAnsi="Times New Roman"/>
                <w:sz w:val="18"/>
                <w:szCs w:val="18"/>
                <w:color w:val="auto"/>
              </w:rPr>
              <w:t>Collection consists of Four Brothers Solar, LLC, Granite Mountain Holdings, LLC, and Iron Springs Holdings,</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88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rPr>
              <w:t>LLC, which are equity investments owned by Four Brothers Capital, LLC, Granite Mountain Capital, LLC, and</w:t>
            </w:r>
          </w:p>
        </w:tc>
        <w:tc>
          <w:tcPr>
            <w:tcW w:w="0" w:type="dxa"/>
            <w:vAlign w:val="bottom"/>
          </w:tcPr>
          <w:p>
            <w:pPr>
              <w:spacing w:after="0"/>
              <w:rPr>
                <w:sz w:val="1"/>
                <w:szCs w:val="1"/>
                <w:color w:val="auto"/>
              </w:rPr>
            </w:pPr>
          </w:p>
        </w:tc>
      </w:tr>
      <w:tr>
        <w:trPr>
          <w:trHeight w:val="225"/>
        </w:trPr>
        <w:tc>
          <w:tcPr>
            <w:tcW w:w="236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Iron Springs Capital, LLC, respectively</w:t>
            </w:r>
          </w:p>
        </w:tc>
        <w:tc>
          <w:tcPr>
            <w:tcW w:w="0" w:type="dxa"/>
            <w:vAlign w:val="bottom"/>
          </w:tcPr>
          <w:p>
            <w:pPr>
              <w:spacing w:after="0"/>
              <w:rPr>
                <w:sz w:val="1"/>
                <w:szCs w:val="1"/>
                <w:color w:val="auto"/>
              </w:rPr>
            </w:pP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Utility Scale Solar</w:t>
            </w:r>
          </w:p>
        </w:tc>
        <w:tc>
          <w:tcPr>
            <w:tcW w:w="8800" w:type="dxa"/>
            <w:vAlign w:val="bottom"/>
          </w:tcPr>
          <w:p>
            <w:pPr>
              <w:ind w:left="620"/>
              <w:spacing w:after="0" w:line="181" w:lineRule="exact"/>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w:t>
            </w:r>
          </w:p>
        </w:tc>
        <w:tc>
          <w:tcPr>
            <w:tcW w:w="0" w:type="dxa"/>
            <w:vAlign w:val="bottom"/>
          </w:tcPr>
          <w:p>
            <w:pPr>
              <w:spacing w:after="0"/>
              <w:rPr>
                <w:sz w:val="1"/>
                <w:szCs w:val="1"/>
                <w:color w:val="auto"/>
              </w:rPr>
            </w:pPr>
          </w:p>
        </w:tc>
      </w:tr>
      <w:tr>
        <w:trPr>
          <w:trHeight w:val="225"/>
        </w:trPr>
        <w:tc>
          <w:tcPr>
            <w:tcW w:w="236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VaR</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Value at Risk</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VIE</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Variable Interest Entity</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Wind TE Holdco</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Wind TE Holdco LLC, an 814 net MW portfolio of twelve wind projects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931"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the energy and transport sectors, and Global Infrastructure Partners III is its third equity fund. The Company is sponsored by GIP through GIP's portfolio company, CEG.</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is one of the largest renewable energy owners in the U.S. with over 4,200 net MW of installed wind and solar generation projects. The Company also owns approximately 2,500 net MW of environmentally-sound, highly efficient natural gas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13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December 31, 2020 </w:t>
      </w:r>
      <w:r>
        <w:rPr>
          <w:rFonts w:ascii="Times New Roman" w:cs="Times New Roman" w:eastAsia="Times New Roman" w:hAnsi="Times New Roman"/>
          <w:sz w:val="18"/>
          <w:szCs w:val="18"/>
          <w:color w:val="231F20"/>
        </w:rPr>
        <w:t>based on CAFD.</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owns 57.61% of the economic interests of Clearway Energy LLC, with CEG retaining 42.39% of the economic interests of Clearway Energy LLC.</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 complete listing of the Company's interests in facilities, operations and/or projects owned or leased as of December 31, 2020 can be found in Item 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175" w:lineRule="exact"/>
        <w:rPr>
          <w:sz w:val="20"/>
          <w:szCs w:val="20"/>
          <w:color w:val="auto"/>
        </w:rPr>
      </w:pPr>
    </w:p>
    <w:p>
      <w:pPr>
        <w:jc w:val="both"/>
        <w:ind w:firstLine="199"/>
        <w:spacing w:after="0" w:line="266" w:lineRule="auto"/>
        <w:rPr>
          <w:sz w:val="20"/>
          <w:szCs w:val="20"/>
          <w:color w:val="auto"/>
        </w:rPr>
      </w:pPr>
      <w:r>
        <w:rPr>
          <w:rFonts w:ascii="Times New Roman" w:cs="Times New Roman" w:eastAsia="Times New Roman" w:hAnsi="Times New Roman"/>
          <w:sz w:val="18"/>
          <w:szCs w:val="18"/>
          <w:color w:val="auto"/>
        </w:rPr>
        <w:t>The Company was formed as a Delaware corporation on December 20, 2012 by NRG. On August 31, 2018, NRG transferred its full ownership interest in the Company to CEG, the holder of NRG's renewable energy development and operations platform, and subsequently sold 100% of its interest in CEG to GIP, referred to hereinafter as the GIP Transaction.</w:t>
      </w:r>
    </w:p>
    <w:p>
      <w:pPr>
        <w:spacing w:after="0" w:line="122" w:lineRule="exact"/>
        <w:rPr>
          <w:sz w:val="20"/>
          <w:szCs w:val="20"/>
          <w:color w:val="auto"/>
        </w:rPr>
      </w:pPr>
    </w:p>
    <w:p>
      <w:pPr>
        <w:jc w:val="both"/>
        <w:ind w:firstLine="253"/>
        <w:spacing w:after="0" w:line="256" w:lineRule="auto"/>
        <w:rPr>
          <w:sz w:val="20"/>
          <w:szCs w:val="20"/>
          <w:color w:val="auto"/>
        </w:rPr>
      </w:pPr>
      <w:r>
        <w:rPr>
          <w:rFonts w:ascii="Times New Roman" w:cs="Times New Roman" w:eastAsia="Times New Roman" w:hAnsi="Times New Roman"/>
          <w:sz w:val="18"/>
          <w:szCs w:val="18"/>
          <w:color w:val="auto"/>
        </w:rPr>
        <w:t>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 As of December 31, 2020, the Company owns 57.61% of the economic interests of Clearway Energy LLC, with CEG retaining 42.39% of the economic interests of Clearway Energy LLC. As a result of the current ownership of the Class B common stock and Class D common stock, CEG controls the Company, and the Company in turn, as the sole managing member of Clearway Energy LLC, controls Clearway Energy LLC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 w:name="page7"/>
    <w:bookmarkEnd w:id="6"/>
    <w:p>
      <w:pPr>
        <w:ind w:left="180"/>
        <w:spacing w:after="0"/>
        <w:rPr>
          <w:sz w:val="20"/>
          <w:szCs w:val="20"/>
          <w:color w:val="auto"/>
        </w:rPr>
      </w:pPr>
      <w:r>
        <w:rPr>
          <w:rFonts w:ascii="Times New Roman" w:cs="Times New Roman" w:eastAsia="Times New Roman" w:hAnsi="Times New Roman"/>
          <w:sz w:val="18"/>
          <w:szCs w:val="18"/>
          <w:color w:val="auto"/>
        </w:rPr>
        <w:t>The diagram below depicts the Company’s organizational structure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120015</wp:posOffset>
            </wp:positionV>
            <wp:extent cx="5863590" cy="4397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75" w:lineRule="exact"/>
        <w:rPr>
          <w:sz w:val="20"/>
          <w:szCs w:val="20"/>
          <w:color w:val="auto"/>
        </w:rPr>
      </w:pPr>
    </w:p>
    <w:p>
      <w:pPr>
        <w:jc w:val="both"/>
        <w:ind w:firstLine="219"/>
        <w:spacing w:after="0" w:line="266" w:lineRule="auto"/>
        <w:rPr>
          <w:sz w:val="20"/>
          <w:szCs w:val="20"/>
          <w:color w:val="auto"/>
        </w:rPr>
      </w:pPr>
      <w:r>
        <w:rPr>
          <w:rFonts w:ascii="Times New Roman" w:cs="Times New Roman" w:eastAsia="Times New Roman" w:hAnsi="Times New Roman"/>
          <w:sz w:val="18"/>
          <w:szCs w:val="18"/>
          <w:color w:val="auto"/>
        </w:rPr>
        <w:t>The Company's primary business strategy is to focus on the acquisition and ownership of assets with predictable, long-term cash flows in order that it may be able to increase the cash dividends paid to holders of the Company's Class A and Class C common stock over time without compromising the ongoing stability of the business.</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plan for executing its business strategy includes the following key components:</w:t>
      </w:r>
    </w:p>
    <w:p>
      <w:pPr>
        <w:spacing w:after="0" w:line="167" w:lineRule="exact"/>
        <w:rPr>
          <w:sz w:val="20"/>
          <w:szCs w:val="20"/>
          <w:color w:val="auto"/>
        </w:rPr>
      </w:pPr>
    </w:p>
    <w:p>
      <w:pPr>
        <w:jc w:val="both"/>
        <w:ind w:firstLine="20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on contracted renewable energy and conventional generation and thermal infrastructure assets. </w:t>
      </w:r>
      <w:r>
        <w:rPr>
          <w:rFonts w:ascii="Times New Roman" w:cs="Times New Roman" w:eastAsia="Times New Roman" w:hAnsi="Times New Roman"/>
          <w:sz w:val="18"/>
          <w:szCs w:val="18"/>
          <w:color w:val="auto"/>
        </w:rPr>
        <w:t>The Company owns and operates utility 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distributed renewable energy and natural gas-fired generation, thermal 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122" w:lineRule="exact"/>
        <w:rPr>
          <w:sz w:val="20"/>
          <w:szCs w:val="20"/>
          <w:color w:val="auto"/>
        </w:rPr>
      </w:pPr>
    </w:p>
    <w:p>
      <w:pPr>
        <w:jc w:val="both"/>
        <w:ind w:firstLine="19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the business through acquisitions of contracted operating assets. </w:t>
      </w:r>
      <w:r>
        <w:rPr>
          <w:rFonts w:ascii="Times New Roman" w:cs="Times New Roman" w:eastAsia="Times New Roman" w:hAnsi="Times New Roman"/>
          <w:sz w:val="18"/>
          <w:szCs w:val="18"/>
          <w:color w:val="auto"/>
        </w:rPr>
        <w:t>The Company believes that its base of operations provides a platform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conventional and renewable power generation and thermal sectors for strategic growth through cash accretive and tax advantaged acquisitions complementary to its existing portfolio. In addition to acquiring renewable generation, conventional generation and thermal infrastructure assets from third parties where the Company believes its knowledge of the market and operating expertise provides it with a competitive advantage, the Company entered into the CEG ROFO Agreement. Under the CEG ROFO Agreement, CEG has granted the Company and its affiliates a right of first offer on any proposed sale, transfer or other disposition of certain assets of CEG, or the CEG ROFO Assets, until August 31, 2023. CEG is not obligated to sell the remaining CEG ROFO Assets to the Company and, if offered by CEG, the Company cannot be sure whether these assets will be offered on acceptable terms, or that the Company will choose to consummate such acquisitions. The Company and CEG work collaboratively in considering new assets to be added under the CEG ROFO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Agreement or to be acquired by the Company outside of the CEG ROFO Agreement. The assets listed below represent the Company's currently committed investments in projects with CEG and the CEG ROFO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Investments and CEG ROFO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Technology</w:t>
            </w:r>
          </w:p>
        </w:tc>
        <w:tc>
          <w:tcPr>
            <w:tcW w:w="21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Gross Capacity (MW)</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COD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13"/>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Pinnacle Repowering</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Wind</w:t>
            </w:r>
          </w:p>
        </w:tc>
        <w:tc>
          <w:tcPr>
            <w:tcW w:w="2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WV</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Committed</w:t>
            </w:r>
          </w:p>
        </w:tc>
      </w:tr>
      <w:tr>
        <w:trPr>
          <w:trHeight w:val="216"/>
        </w:trPr>
        <w:tc>
          <w:tcPr>
            <w:tcW w:w="3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Mesquite Sky </w:t>
            </w:r>
            <w:r>
              <w:rPr>
                <w:rFonts w:ascii="Times New Roman" w:cs="Times New Roman" w:eastAsia="Times New Roman" w:hAnsi="Times New Roman"/>
                <w:sz w:val="21"/>
                <w:szCs w:val="21"/>
                <w:color w:val="auto"/>
                <w:vertAlign w:val="superscript"/>
              </w:rPr>
              <w:t>(a)</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Wind</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345</w:t>
            </w: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TX</w:t>
            </w:r>
          </w:p>
        </w:tc>
        <w:tc>
          <w:tcPr>
            <w:tcW w:w="14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Committed</w:t>
            </w:r>
          </w:p>
        </w:tc>
      </w:tr>
      <w:tr>
        <w:trPr>
          <w:trHeight w:val="216"/>
        </w:trPr>
        <w:tc>
          <w:tcPr>
            <w:tcW w:w="3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Black Rock </w:t>
            </w:r>
            <w:r>
              <w:rPr>
                <w:rFonts w:ascii="Times New Roman" w:cs="Times New Roman" w:eastAsia="Times New Roman" w:hAnsi="Times New Roman"/>
                <w:sz w:val="21"/>
                <w:szCs w:val="21"/>
                <w:color w:val="auto"/>
                <w:vertAlign w:val="superscript"/>
              </w:rPr>
              <w:t>(a)</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Wind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WV</w:t>
            </w:r>
          </w:p>
        </w:tc>
        <w:tc>
          <w:tcPr>
            <w:tcW w:w="1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Committed</w:t>
            </w:r>
          </w:p>
        </w:tc>
      </w:tr>
      <w:tr>
        <w:trPr>
          <w:trHeight w:val="216"/>
        </w:trPr>
        <w:tc>
          <w:tcPr>
            <w:tcW w:w="3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Mililani I </w:t>
            </w:r>
            <w:r>
              <w:rPr>
                <w:rFonts w:ascii="Times New Roman" w:cs="Times New Roman" w:eastAsia="Times New Roman" w:hAnsi="Times New Roman"/>
                <w:sz w:val="21"/>
                <w:szCs w:val="21"/>
                <w:color w:val="auto"/>
                <w:vertAlign w:val="superscript"/>
              </w:rPr>
              <w:t>(a)</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Solar</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2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4"/>
              </w:rPr>
              <w:t>HI</w:t>
            </w:r>
          </w:p>
        </w:tc>
        <w:tc>
          <w:tcPr>
            <w:tcW w:w="14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Committed</w:t>
            </w:r>
          </w:p>
        </w:tc>
      </w:tr>
      <w:tr>
        <w:trPr>
          <w:trHeight w:val="216"/>
        </w:trPr>
        <w:tc>
          <w:tcPr>
            <w:tcW w:w="3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Waiawa </w:t>
            </w:r>
            <w:r>
              <w:rPr>
                <w:rFonts w:ascii="Times New Roman" w:cs="Times New Roman" w:eastAsia="Times New Roman" w:hAnsi="Times New Roman"/>
                <w:sz w:val="21"/>
                <w:szCs w:val="21"/>
                <w:color w:val="auto"/>
                <w:vertAlign w:val="superscript"/>
              </w:rPr>
              <w:t>(a)</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Solar</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4"/>
              </w:rPr>
              <w:t>HI</w:t>
            </w:r>
          </w:p>
        </w:tc>
        <w:tc>
          <w:tcPr>
            <w:tcW w:w="1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Committed</w:t>
            </w:r>
          </w:p>
        </w:tc>
      </w:tr>
      <w:tr>
        <w:trPr>
          <w:trHeight w:val="216"/>
        </w:trPr>
        <w:tc>
          <w:tcPr>
            <w:tcW w:w="3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Daggett </w:t>
            </w:r>
            <w:r>
              <w:rPr>
                <w:rFonts w:ascii="Times New Roman" w:cs="Times New Roman" w:eastAsia="Times New Roman" w:hAnsi="Times New Roman"/>
                <w:sz w:val="21"/>
                <w:szCs w:val="21"/>
                <w:color w:val="auto"/>
                <w:vertAlign w:val="superscript"/>
              </w:rPr>
              <w:t>(a)</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Solar</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482</w:t>
            </w: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CA</w:t>
            </w:r>
          </w:p>
        </w:tc>
        <w:tc>
          <w:tcPr>
            <w:tcW w:w="14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Committed</w:t>
            </w:r>
          </w:p>
        </w:tc>
      </w:tr>
      <w:tr>
        <w:trPr>
          <w:trHeight w:val="21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Wildflower</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Solar</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MS</w:t>
            </w:r>
          </w:p>
        </w:tc>
        <w:tc>
          <w:tcPr>
            <w:tcW w:w="1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ROFO</w:t>
            </w:r>
          </w:p>
        </w:tc>
      </w:tr>
    </w:tbl>
    <w:p>
      <w:pPr>
        <w:spacing w:after="0" w:line="75"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Projects included in a co-investment partnership with Hannon Armstrong Sustainable Infrastructure Capital, Inc</w:t>
      </w:r>
    </w:p>
    <w:p>
      <w:pPr>
        <w:spacing w:after="0" w:line="132" w:lineRule="exact"/>
        <w:rPr>
          <w:sz w:val="20"/>
          <w:szCs w:val="20"/>
          <w:color w:val="auto"/>
        </w:rPr>
      </w:pPr>
    </w:p>
    <w:p>
      <w:pPr>
        <w:ind w:right="40" w:firstLine="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Primary focus on North America. </w:t>
      </w:r>
      <w:r>
        <w:rPr>
          <w:rFonts w:ascii="Times New Roman" w:cs="Times New Roman" w:eastAsia="Times New Roman" w:hAnsi="Times New Roman"/>
          <w:sz w:val="18"/>
          <w:szCs w:val="18"/>
          <w:color w:val="auto"/>
        </w:rPr>
        <w:t>The Company intends to primarily focus its investments in North America (including the unincorporated territories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The Company believes that industry fundamentals in North America present it with significant opportunity to grow its portfolio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12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sound financial practices to grow the dividend. </w:t>
      </w:r>
      <w:r>
        <w:rPr>
          <w:rFonts w:ascii="Times New Roman" w:cs="Times New Roman" w:eastAsia="Times New Roman" w:hAnsi="Times New Roman"/>
          <w:sz w:val="18"/>
          <w:szCs w:val="18"/>
          <w:color w:val="auto"/>
        </w:rPr>
        <w:t>The Company intends to maintain a commitment to disciplined financial analysis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balanced capital structure to enable it to increase its quarterly dividend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Clearway Energy LLC, subject to available capital, market conditions and compliance with associated laws, regulations and other contractual obligations. The Company intends to evaluate various alternatives for financing future acquisitions and refinancing of existing project-level debt, in each case, to reduce the cost of debt, extend maturities and maximize CAFD. The Company believes it has additional flexibility to seek alternative financing arrangements, including, but not limited to, debt financings and equity-like instruments.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38" w:lineRule="exact"/>
        <w:rPr>
          <w:sz w:val="20"/>
          <w:szCs w:val="20"/>
          <w:color w:val="auto"/>
        </w:rPr>
      </w:pPr>
    </w:p>
    <w:p>
      <w:pPr>
        <w:jc w:val="both"/>
        <w:ind w:firstLine="222"/>
        <w:spacing w:after="0" w:line="256" w:lineRule="auto"/>
        <w:rPr>
          <w:sz w:val="20"/>
          <w:szCs w:val="20"/>
          <w:color w:val="auto"/>
        </w:rPr>
      </w:pPr>
      <w:r>
        <w:rPr>
          <w:rFonts w:ascii="Times New Roman" w:cs="Times New Roman" w:eastAsia="Times New Roman" w:hAnsi="Times New Roman"/>
          <w:sz w:val="18"/>
          <w:szCs w:val="18"/>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71" w:lineRule="exact"/>
        <w:rPr>
          <w:sz w:val="20"/>
          <w:szCs w:val="20"/>
          <w:color w:val="auto"/>
        </w:rPr>
      </w:pPr>
    </w:p>
    <w:p>
      <w:pPr>
        <w:jc w:val="both"/>
        <w:ind w:firstLine="25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high quality cash flows. </w:t>
      </w:r>
      <w:r>
        <w:rPr>
          <w:rFonts w:ascii="Times New Roman" w:cs="Times New Roman" w:eastAsia="Times New Roman" w:hAnsi="Times New Roman"/>
          <w:sz w:val="18"/>
          <w:szCs w:val="18"/>
          <w:color w:val="auto"/>
        </w:rPr>
        <w:t>The Company's facilities have a stable, predictable cash flow profile consisting of predominantly long-life electric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generation assets that sell electricity under long-term fixed priced contracts or pursuant to regulated rates with investment grade and certain other creditworthy counterparties. The Company's facilities have minimal fuel risk. For the Company's conventional assets, fuel is provided by the toll counterparty or the cost thereof is a pass-through cost under the Contract for Differences.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based on CAFD, of approximately </w:t>
      </w:r>
      <w:r>
        <w:rPr>
          <w:rFonts w:ascii="Times New Roman" w:cs="Times New Roman" w:eastAsia="Times New Roman" w:hAnsi="Times New Roman"/>
          <w:sz w:val="18"/>
          <w:szCs w:val="18"/>
          <w:color w:val="231F20"/>
        </w:rPr>
        <w:t>13 years</w:t>
      </w:r>
      <w:r>
        <w:rPr>
          <w:rFonts w:ascii="Times New Roman" w:cs="Times New Roman" w:eastAsia="Times New Roman" w:hAnsi="Times New Roman"/>
          <w:sz w:val="18"/>
          <w:szCs w:val="18"/>
          <w:color w:val="auto"/>
        </w:rPr>
        <w:t xml:space="preserve"> as of December 31, 2020, providing long-term cash flow stability. The Company's generation offtake agreements with counterparties for whom credit ratings are available have a weighted-average Moody’s rating of Ba1 based on rated capacity under contract. All of the Company's assets are in the U.S. and accordingly have no currency or repatriation risks.</w:t>
      </w:r>
    </w:p>
    <w:p>
      <w:pPr>
        <w:spacing w:after="0" w:line="134" w:lineRule="exact"/>
        <w:rPr>
          <w:sz w:val="20"/>
          <w:szCs w:val="20"/>
          <w:color w:val="auto"/>
        </w:rPr>
      </w:pPr>
    </w:p>
    <w:p>
      <w:pPr>
        <w:jc w:val="both"/>
        <w:ind w:firstLine="26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Environmentally well-positioned portfolio of assets. </w:t>
      </w:r>
      <w:r>
        <w:rPr>
          <w:rFonts w:ascii="Times New Roman" w:cs="Times New Roman" w:eastAsia="Times New Roman" w:hAnsi="Times New Roman"/>
          <w:sz w:val="18"/>
          <w:szCs w:val="18"/>
          <w:color w:val="auto"/>
        </w:rPr>
        <w:t>The Company's portfolio of electric generation assets consists of 4,208 net MW of renewable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capacity that are non-emitting sources of power generation. The Company's conventional assets consist of the dual fuel-fired GenConn assets as well as the Carlsbad,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1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 quality, long-lived assets with low operating and capital requirements. </w:t>
      </w:r>
      <w:r>
        <w:rPr>
          <w:rFonts w:ascii="Times New Roman" w:cs="Times New Roman" w:eastAsia="Times New Roman" w:hAnsi="Times New Roman"/>
          <w:sz w:val="18"/>
          <w:szCs w:val="18"/>
          <w:color w:val="auto"/>
        </w:rPr>
        <w:t>The Company benefits from a portfolio of relatively younger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thermal infrastructure assets. The Company's assets are comprised of proven and reliable technologies, provided by leading original solar and wind equipment manufacturers such as General Electric, Siemens AG, SunPower Corporation, or SunPower, First Solar Inc., or First Solar, Vestas, Mitsubishi, Trina Solar, JA Solar and Siemens Gamesa. Given the modern nature of the portfolio, which includes a substantial number of relatively low operating and maintenance cost solar and wind generation assets, the Company expects to achieve high fleet availability and expend modest maintenance-related capital expenditures.</w:t>
      </w:r>
    </w:p>
    <w:p>
      <w:pPr>
        <w:spacing w:after="0" w:line="128"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scale and diversity. </w:t>
      </w:r>
      <w:r>
        <w:rPr>
          <w:rFonts w:ascii="Times New Roman" w:cs="Times New Roman" w:eastAsia="Times New Roman" w:hAnsi="Times New Roman"/>
          <w:sz w:val="18"/>
          <w:szCs w:val="18"/>
          <w:color w:val="auto"/>
        </w:rPr>
        <w:t>The Company owns and operates a large and diverse portfolio of electric generation and thermal infrastructure assets.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December 31, 2020, the Company owns and operates a portfolio of 6,690 net MW of primarily contracted renewable and conventional generation assets which benefit from significant diversification in terms of technology, fuel type, counterparty and geography. The Company's Thermal Business consists of thirteen operations, seven of which are district energy centers that provide steam and chilled water to approximately 695 customers, and six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129"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Relationship with GIP and CEG. </w:t>
      </w:r>
      <w:r>
        <w:rPr>
          <w:rFonts w:ascii="Times New Roman" w:cs="Times New Roman" w:eastAsia="Times New Roman" w:hAnsi="Times New Roman"/>
          <w:sz w:val="18"/>
          <w:szCs w:val="18"/>
          <w:color w:val="auto"/>
        </w:rPr>
        <w:t>The Company believes that its relationship with GIP and CEG provides significant benefits. GIM, the manager of GIP,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an independent infrastructure fund manager that invests in infrastructure assets and businesses in both the Organization for Economic Co-operation and Development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Additionally, the Company believes that CEG provides the Company access to a highly capable renewable development and operations platform that is aligned to support the Company's growth.</w:t>
      </w:r>
    </w:p>
    <w:p>
      <w:pPr>
        <w:spacing w:after="0" w:line="128" w:lineRule="exact"/>
        <w:rPr>
          <w:sz w:val="20"/>
          <w:szCs w:val="20"/>
          <w:color w:val="auto"/>
        </w:rPr>
      </w:pPr>
    </w:p>
    <w:p>
      <w:pPr>
        <w:jc w:val="both"/>
        <w:ind w:firstLine="22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Thermal infrastructure business has high entry costs. </w:t>
      </w:r>
      <w:r>
        <w:rPr>
          <w:rFonts w:ascii="Times New Roman" w:cs="Times New Roman" w:eastAsia="Times New Roman" w:hAnsi="Times New Roman"/>
          <w:sz w:val="18"/>
          <w:szCs w:val="18"/>
          <w:color w:val="auto"/>
        </w:rPr>
        <w:t>Significant capital has been invested to construct the Company's thermal infrastructure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serving as a barrier to entry in the markets in which such assets operate.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75" w:lineRule="exact"/>
        <w:rPr>
          <w:sz w:val="20"/>
          <w:szCs w:val="20"/>
          <w:color w:val="auto"/>
        </w:rPr>
      </w:pPr>
    </w:p>
    <w:p>
      <w:pPr>
        <w:jc w:val="both"/>
        <w:ind w:firstLine="226"/>
        <w:spacing w:after="0" w:line="270" w:lineRule="auto"/>
        <w:rPr>
          <w:sz w:val="20"/>
          <w:szCs w:val="20"/>
          <w:color w:val="auto"/>
        </w:rPr>
      </w:pPr>
      <w:r>
        <w:rPr>
          <w:rFonts w:ascii="Times New Roman" w:cs="Times New Roman" w:eastAsia="Times New Roman" w:hAnsi="Times New Roman"/>
          <w:sz w:val="18"/>
          <w:szCs w:val="18"/>
          <w:color w:val="auto"/>
        </w:rPr>
        <w:t xml:space="preserve">The following tables summarize the Company's operating revenues, net income (loss) and assets by segment for the years ended December 31, 2020, 2019 and 2018, as discussed in Item 15 —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to the Consolidated Financial Statements.</w:t>
      </w:r>
    </w:p>
    <w:tbl>
      <w:tblPr>
        <w:tblLayout w:type="fixed"/>
        <w:tblInd w:w="2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Pr>
          <w:p>
            <w:pPr>
              <w:jc w:val="center"/>
              <w:ind w:right="8"/>
              <w:spacing w:after="0" w:line="134"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00" w:type="dxa"/>
            <w:vAlign w:val="bottom"/>
            <w:vMerge w:val="continue"/>
          </w:tcPr>
          <w:p>
            <w:pPr>
              <w:spacing w:after="0"/>
              <w:rPr>
                <w:sz w:val="16"/>
                <w:szCs w:val="16"/>
                <w:color w:val="auto"/>
              </w:rPr>
            </w:pPr>
          </w:p>
        </w:tc>
        <w:tc>
          <w:tcPr>
            <w:tcW w:w="12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10,592</w:t>
            </w:r>
          </w:p>
        </w:tc>
        <w:tc>
          <w:tcPr>
            <w:tcW w:w="0" w:type="dxa"/>
            <w:vAlign w:val="bottom"/>
          </w:tcPr>
          <w:p>
            <w:pPr>
              <w:spacing w:after="0"/>
              <w:rPr>
                <w:sz w:val="1"/>
                <w:szCs w:val="1"/>
                <w:color w:val="auto"/>
              </w:rPr>
            </w:pPr>
          </w:p>
        </w:tc>
      </w:tr>
      <w:tr>
        <w:trPr>
          <w:trHeight w:val="616"/>
        </w:trPr>
        <w:tc>
          <w:tcPr>
            <w:tcW w:w="5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1"/>
                <w:szCs w:val="11"/>
                <w:color w:val="auto"/>
              </w:rPr>
            </w:pPr>
          </w:p>
        </w:tc>
        <w:tc>
          <w:tcPr>
            <w:tcW w:w="8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0" w:type="dxa"/>
            <w:vAlign w:val="bottom"/>
          </w:tcPr>
          <w:p>
            <w:pPr>
              <w:spacing w:after="0"/>
              <w:rPr>
                <w:sz w:val="1"/>
                <w:szCs w:val="1"/>
                <w:color w:val="auto"/>
              </w:rPr>
            </w:pPr>
          </w:p>
        </w:tc>
      </w:tr>
      <w:tr>
        <w:trPr>
          <w:trHeight w:val="724"/>
        </w:trPr>
        <w:tc>
          <w:tcPr>
            <w:tcW w:w="5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1"/>
                <w:szCs w:val="11"/>
                <w:color w:val="auto"/>
              </w:rPr>
            </w:pPr>
          </w:p>
        </w:tc>
        <w:tc>
          <w:tcPr>
            <w:tcW w:w="8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Incentives</w:t>
      </w:r>
    </w:p>
    <w:p>
      <w:pPr>
        <w:spacing w:after="0" w:line="175" w:lineRule="exact"/>
        <w:rPr>
          <w:sz w:val="20"/>
          <w:szCs w:val="20"/>
          <w:color w:val="auto"/>
        </w:rPr>
      </w:pPr>
    </w:p>
    <w:p>
      <w:pPr>
        <w:jc w:val="both"/>
        <w:ind w:firstLine="215"/>
        <w:spacing w:after="0" w:line="261" w:lineRule="auto"/>
        <w:rPr>
          <w:sz w:val="20"/>
          <w:szCs w:val="20"/>
          <w:color w:val="auto"/>
        </w:rPr>
      </w:pPr>
      <w:r>
        <w:rPr>
          <w:rFonts w:ascii="Times New Roman" w:cs="Times New Roman" w:eastAsia="Times New Roman" w:hAnsi="Times New Roman"/>
          <w:sz w:val="18"/>
          <w:szCs w:val="18"/>
          <w:color w:val="auto"/>
        </w:rPr>
        <w:t>Policy incentives in the U.S. have the effect of making the development of renewable energy projects more competitive by providing credits and other tax benefits for a portion of the development costs. A loss of or reduction in such incentives could decrease the attractiveness of renewable energy projects to developers, including CEG, which could reduce the Company's future acquisition opportunities. Such a loss or reduction could also reduce the Company's willingness to pursue or develop certain renewable energy projects due to higher operating costs or decreased revenues under its PPAs.</w:t>
      </w:r>
    </w:p>
    <w:p>
      <w:pPr>
        <w:spacing w:after="0" w:line="12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U.S. federal, state and local governments have established various incentives to support the development of renewable energy projects. These incentives include accelerated tax depreciation, PTCs, ITCs, cash grants, tax abatements and RPS programs. Pursuant to the U.S. federal Modified Accelerated Cost Recovery System, or MACRS, wind and solar projects are generally fully depreciated for tax purposes over a five-year period (before taking into account certain conventions) even though the useful life of such projects is generally much longer than five years. The Tax Act also provides the ability for wind and solar projects to claim immediate expensing for property acquired and placed in service after September 27, 2017, and before January 1, 2023.</w:t>
      </w:r>
    </w:p>
    <w:p>
      <w:pPr>
        <w:spacing w:after="0" w:line="129" w:lineRule="exact"/>
        <w:rPr>
          <w:sz w:val="20"/>
          <w:szCs w:val="20"/>
          <w:color w:val="auto"/>
        </w:rPr>
      </w:pPr>
    </w:p>
    <w:p>
      <w:pPr>
        <w:jc w:val="both"/>
        <w:ind w:firstLine="277"/>
        <w:spacing w:after="0" w:line="253" w:lineRule="auto"/>
        <w:rPr>
          <w:sz w:val="20"/>
          <w:szCs w:val="20"/>
          <w:color w:val="auto"/>
        </w:rPr>
      </w:pPr>
      <w:r>
        <w:rPr>
          <w:rFonts w:ascii="Times New Roman" w:cs="Times New Roman" w:eastAsia="Times New Roman" w:hAnsi="Times New Roman"/>
          <w:sz w:val="18"/>
          <w:szCs w:val="18"/>
          <w:color w:val="auto"/>
        </w:rPr>
        <w:t>Owners of utility-scale wind facilities are eligible to claim an income tax credit (the PTC, or an ITC in lieu of the PTC) upon initially achieving commercial operation. The PTC is determined based on the amount of electricity produced by the wind facility during the first ten years of commercial operation. This incentive was created under the Energy Policy Act of 1992 and has been extended several times. Alternatively, an ITC equal to a percentage of the cost of a wind facility may be claimed in lieu of the PTC. In order to qualify for the PTC (or ITC in lieu of the PTC), construction of a wind facility must begin before a specified date and the taxpayer must maintain a continuous program of construction or continuous efforts to advance the project to completion. The Internal Revenue Service, or IRS, issued guidance stating that the safe harbor for continuous efforts and continuous construction requirements will generally be satisfied if the facility is placed in service no more than four years after the year in which construction of the facility began. In response to the COVID-19 pandemic, the IRS extended this safe harbor by one year for facilities that began construction in 2016 or 2017. The IRS also confirmed that retrofitted wind facilities may re-qualify for PTCs or ITCs pursuant to the beginning construction requirement, as long as the cost basis of the new investment is at least 80% of the facility’s total fair value.</w:t>
      </w:r>
    </w:p>
    <w:p>
      <w:pPr>
        <w:spacing w:after="0" w:line="140" w:lineRule="exact"/>
        <w:rPr>
          <w:sz w:val="20"/>
          <w:szCs w:val="20"/>
          <w:color w:val="auto"/>
        </w:rPr>
      </w:pPr>
    </w:p>
    <w:p>
      <w:pPr>
        <w:jc w:val="both"/>
        <w:ind w:right="20" w:firstLine="280"/>
        <w:spacing w:after="0" w:line="282" w:lineRule="auto"/>
        <w:rPr>
          <w:sz w:val="20"/>
          <w:szCs w:val="20"/>
          <w:color w:val="auto"/>
        </w:rPr>
      </w:pPr>
      <w:r>
        <w:rPr>
          <w:rFonts w:ascii="Times New Roman" w:cs="Times New Roman" w:eastAsia="Times New Roman" w:hAnsi="Times New Roman"/>
          <w:sz w:val="18"/>
          <w:szCs w:val="18"/>
          <w:color w:val="auto"/>
        </w:rPr>
        <w:t>Owners of solar projects are eligible to claim an ITC for new solar projects. Tax credits for qualifying wind and solar projects are subject to the following phase-down schedule.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tbl>
      <w:tblPr>
        <w:tblLayout w:type="fixed"/>
        <w:tblInd w:w="8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color w:val="auto"/>
              </w:rPr>
              <w:t>Year construction of project begins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09"/>
        </w:trPr>
        <w:tc>
          <w:tcPr>
            <w:tcW w:w="27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color w:val="auto"/>
              </w:rPr>
              <w:t>2024</w:t>
            </w:r>
          </w:p>
        </w:tc>
      </w:tr>
      <w:tr>
        <w:trPr>
          <w:trHeight w:val="228"/>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PTC </w:t>
            </w:r>
            <w:r>
              <w:rPr>
                <w:rFonts w:ascii="Times New Roman" w:cs="Times New Roman" w:eastAsia="Times New Roman" w:hAnsi="Times New Roman"/>
                <w:sz w:val="18"/>
                <w:szCs w:val="18"/>
                <w:color w:val="auto"/>
                <w:vertAlign w:val="superscript"/>
              </w:rPr>
              <w:t>(a)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On Shore Wind ITC </w:t>
            </w:r>
            <w:r>
              <w:rPr>
                <w:rFonts w:ascii="Times New Roman" w:cs="Times New Roman" w:eastAsia="Times New Roman" w:hAnsi="Times New Roman"/>
                <w:sz w:val="18"/>
                <w:szCs w:val="18"/>
                <w:color w:val="auto"/>
                <w:vertAlign w:val="superscript"/>
              </w:rPr>
              <w:t>(b)</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Pr>
          <w:p>
            <w:pPr>
              <w:spacing w:after="0"/>
              <w:rPr>
                <w:sz w:val="19"/>
                <w:szCs w:val="19"/>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89"/>
        </w:trPr>
        <w:tc>
          <w:tcPr>
            <w:tcW w:w="2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 xml:space="preserve">Solar ITC </w:t>
            </w:r>
            <w:r>
              <w:rPr>
                <w:rFonts w:ascii="Times New Roman" w:cs="Times New Roman" w:eastAsia="Times New Roman" w:hAnsi="Times New Roman"/>
                <w:sz w:val="18"/>
                <w:szCs w:val="18"/>
                <w:color w:val="auto"/>
                <w:vertAlign w:val="superscript"/>
              </w:rPr>
              <w:t>(c)</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Percentage of the full PTC available for wind projects that begin construction during the applicable year.</w:t>
      </w:r>
    </w:p>
    <w:p>
      <w:pPr>
        <w:ind w:left="160" w:hanging="152"/>
        <w:spacing w:after="0" w:line="187" w:lineRule="auto"/>
        <w:tabs>
          <w:tab w:leader="none" w:pos="16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Taxpayer Certainty and Disaster Tax Relief Act of 2020 provides for a new 30% ITC for offshore wind projects that begin construction before January 1, 2026.</w:t>
      </w:r>
    </w:p>
    <w:p>
      <w:pPr>
        <w:ind w:left="140" w:hanging="132"/>
        <w:spacing w:after="0" w:line="211" w:lineRule="auto"/>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ITC is limited to 10% for projects not placed in service before January 1, 2026.</w:t>
      </w:r>
    </w:p>
    <w:p>
      <w:pPr>
        <w:spacing w:after="0" w:line="222" w:lineRule="exact"/>
        <w:rPr>
          <w:sz w:val="20"/>
          <w:szCs w:val="20"/>
          <w:color w:val="auto"/>
        </w:rPr>
      </w:pPr>
    </w:p>
    <w:p>
      <w:pPr>
        <w:jc w:val="both"/>
        <w:ind w:firstLine="234"/>
        <w:spacing w:after="0" w:line="266" w:lineRule="auto"/>
        <w:rPr>
          <w:sz w:val="20"/>
          <w:szCs w:val="20"/>
          <w:color w:val="auto"/>
        </w:rPr>
      </w:pPr>
      <w:r>
        <w:rPr>
          <w:rFonts w:ascii="Times New Roman" w:cs="Times New Roman" w:eastAsia="Times New Roman" w:hAnsi="Times New Roman"/>
          <w:sz w:val="18"/>
          <w:szCs w:val="18"/>
          <w:color w:val="auto"/>
        </w:rPr>
        <w:t>RPS,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ind w:firstLine="195"/>
        <w:spacing w:after="0" w:line="258" w:lineRule="auto"/>
        <w:rPr>
          <w:sz w:val="20"/>
          <w:szCs w:val="20"/>
          <w:color w:val="auto"/>
        </w:rPr>
      </w:pPr>
      <w:r>
        <w:rPr>
          <w:rFonts w:ascii="Times New Roman" w:cs="Times New Roman" w:eastAsia="Times New Roman" w:hAnsi="Times New Roman"/>
          <w:sz w:val="18"/>
          <w:szCs w:val="18"/>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FERC</w:t>
      </w:r>
    </w:p>
    <w:p>
      <w:pPr>
        <w:spacing w:after="0" w:line="175" w:lineRule="exact"/>
        <w:rPr>
          <w:sz w:val="20"/>
          <w:szCs w:val="20"/>
          <w:color w:val="auto"/>
        </w:rPr>
      </w:pPr>
    </w:p>
    <w:p>
      <w:pPr>
        <w:jc w:val="both"/>
        <w:ind w:firstLine="219"/>
        <w:spacing w:after="0" w:line="258" w:lineRule="auto"/>
        <w:rPr>
          <w:sz w:val="20"/>
          <w:szCs w:val="20"/>
          <w:color w:val="auto"/>
        </w:rPr>
      </w:pPr>
      <w:r>
        <w:rPr>
          <w:rFonts w:ascii="Times New Roman" w:cs="Times New Roman" w:eastAsia="Times New Roman" w:hAnsi="Times New Roman"/>
          <w:sz w:val="18"/>
          <w:szCs w:val="18"/>
          <w:color w:val="auto"/>
        </w:rPr>
        <w:t>FERC, among other things, regulates the transmission and the wholesale sale of electricity in interstate commerce under the authority of the FPA. The transmission and sale of electric energy occurring wholly within ERCOT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129" w:lineRule="exact"/>
        <w:rPr>
          <w:sz w:val="20"/>
          <w:szCs w:val="20"/>
          <w:color w:val="auto"/>
        </w:rPr>
      </w:pPr>
    </w:p>
    <w:p>
      <w:pPr>
        <w:jc w:val="both"/>
        <w:ind w:firstLine="213"/>
        <w:spacing w:after="0" w:line="266" w:lineRule="auto"/>
        <w:rPr>
          <w:sz w:val="20"/>
          <w:szCs w:val="20"/>
          <w:color w:val="auto"/>
        </w:rPr>
      </w:pPr>
      <w:r>
        <w:rPr>
          <w:rFonts w:ascii="Times New Roman" w:cs="Times New Roman" w:eastAsia="Times New Roman" w:hAnsi="Times New Roman"/>
          <w:sz w:val="18"/>
          <w:szCs w:val="18"/>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that are just and reasonable.</w:t>
      </w:r>
    </w:p>
    <w:p>
      <w:pPr>
        <w:spacing w:after="0" w:line="122" w:lineRule="exact"/>
        <w:rPr>
          <w:sz w:val="20"/>
          <w:szCs w:val="20"/>
          <w:color w:val="auto"/>
        </w:rPr>
      </w:pPr>
    </w:p>
    <w:p>
      <w:pPr>
        <w:jc w:val="both"/>
        <w:ind w:firstLine="192"/>
        <w:spacing w:after="0" w:line="261" w:lineRule="auto"/>
        <w:rPr>
          <w:sz w:val="20"/>
          <w:szCs w:val="20"/>
          <w:color w:val="auto"/>
        </w:rPr>
      </w:pPr>
      <w:r>
        <w:rPr>
          <w:rFonts w:ascii="Times New Roman" w:cs="Times New Roman" w:eastAsia="Times New Roman" w:hAnsi="Times New Roman"/>
          <w:sz w:val="18"/>
          <w:szCs w:val="18"/>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126"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entity must comply with the requirements of the regional reliability entity for the region in which it is located.</w:t>
      </w:r>
    </w:p>
    <w:p>
      <w:pPr>
        <w:spacing w:after="0" w:line="122" w:lineRule="exact"/>
        <w:rPr>
          <w:sz w:val="20"/>
          <w:szCs w:val="20"/>
          <w:color w:val="auto"/>
        </w:rPr>
      </w:pPr>
    </w:p>
    <w:p>
      <w:pPr>
        <w:jc w:val="both"/>
        <w:ind w:firstLine="231"/>
        <w:spacing w:after="0" w:line="266" w:lineRule="auto"/>
        <w:rPr>
          <w:sz w:val="20"/>
          <w:szCs w:val="20"/>
          <w:color w:val="auto"/>
        </w:rPr>
      </w:pPr>
      <w:r>
        <w:rPr>
          <w:rFonts w:ascii="Times New Roman" w:cs="Times New Roman" w:eastAsia="Times New Roman" w:hAnsi="Times New Roman"/>
          <w:sz w:val="18"/>
          <w:szCs w:val="18"/>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1" w:name="page12"/>
    <w:bookmarkEnd w:id="11"/>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 number of regulations that may affect the Company are either recently effective for 2021 or under review for potential revision or rescission in 2021, including the Affordable Clean Energy (ACE) rule, state solar photovoltaic module (solar panel) disposal and recycling regulations, and federal Migratory Bird Treaty Act, or MBTA, incidental take regulations. Government leaders have also considered proposed MBTA legislation. The Company will evaluate the impact of the legislation and regulations as they are revised but cannot fully predict the impact of each until anticipated revisions and legal challenges are resolved. To the extent that proposed legislation and new or revised regulations restrict or otherwise impact the Company's operations, the proposed legislation and regulations could have a negative impact on the Company's financial performance.</w:t>
      </w:r>
    </w:p>
    <w:p>
      <w:pPr>
        <w:spacing w:after="0" w:line="1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Affordable Clean Energy Rule </w:t>
      </w:r>
      <w:r>
        <w:rPr>
          <w:rFonts w:ascii="Times New Roman" w:cs="Times New Roman" w:eastAsia="Times New Roman" w:hAnsi="Times New Roman"/>
          <w:sz w:val="18"/>
          <w:szCs w:val="18"/>
          <w:color w:val="auto"/>
        </w:rPr>
        <w:t>— The attention in recent years on GHG emissions has resulted in federal regulations and state legislative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action. In 2015, the EPA finalized the Clean Power Plan, or the CPP, which addressed GHG emissions from existing electric utility steam generating units. The CPP was challenged in court and in 2016 the U.S. Supreme Court stayed the CPP. In 2019, the EPA published the Affordable Clean Energy, or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However, on January 19, 2021, the U.S. Court of Appeals for the District of Columbia Circuit issued a judgment vacating and remanding the ACE rule. The CPP is currently expected to become effective in 2021, barring additional action by the Biden Administration or the U.S. Supreme Court. The reimplementation of the CPP, or a potential replacement of the CPP by the Biden Administration with another program regulating GHG emissions could result in increased operating costs or capital expenses for our conventional power generating facilities.</w:t>
      </w:r>
    </w:p>
    <w:p>
      <w:pPr>
        <w:spacing w:after="0" w:line="134" w:lineRule="exact"/>
        <w:rPr>
          <w:sz w:val="20"/>
          <w:szCs w:val="20"/>
          <w:color w:val="auto"/>
        </w:rPr>
      </w:pPr>
    </w:p>
    <w:p>
      <w:pPr>
        <w:jc w:val="both"/>
        <w:ind w:firstLine="65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Proposed and Final State Solar Photovoltaic Module Disposal and Recycling Regulations </w:t>
      </w:r>
      <w:r>
        <w:rPr>
          <w:rFonts w:ascii="Times New Roman" w:cs="Times New Roman" w:eastAsia="Times New Roman" w:hAnsi="Times New Roman"/>
          <w:sz w:val="18"/>
          <w:szCs w:val="18"/>
          <w:color w:val="auto"/>
        </w:rPr>
        <w:t>— On October 1, 2015, California enacted SB 489,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authorized California’s Department of Toxic Substances Control ("DTSC") to adopt regulations to designate discarded photovoltaic modules, which are classified as hazardous waste, as universal waste subject to universal waste management. On April 19, 2019, the department proposed regulations that would allow discarded photovoltaic modules to be managed as universal waste. The final regulations were approved by the CA Office of Administrative Law in September 2020 and became effective January 1, 2021. DTSC issued the final regulatory text in April 2020 and the regulations became effective January 1, 2021.</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January 2021, the State of Hawaii issued a public notice of proposed rule changes which amongst other items, include proposed new solar panel universal waste rule. This proposed rule would create a new universal waste category for solar panels and allow solar panel waste management to be conducted under the existing regulatory framework.</w:t>
      </w:r>
    </w:p>
    <w:p>
      <w:pPr>
        <w:spacing w:after="0" w:line="201"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Proposed Federal MBTA Incidental Take Legislation and Regulations </w:t>
      </w:r>
      <w:r>
        <w:rPr>
          <w:rFonts w:ascii="Times New Roman" w:cs="Times New Roman" w:eastAsia="Times New Roman" w:hAnsi="Times New Roman"/>
          <w:sz w:val="18"/>
          <w:szCs w:val="18"/>
          <w:color w:val="auto"/>
        </w:rPr>
        <w:t>— On January 15, 2020, the House Natural Resources Committee voted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a bill that would reinstate the interpretation that incidental take is prohibited under the MBTA, overriding the Trump-administration Solicitor’s</w:t>
      </w:r>
    </w:p>
    <w:p>
      <w:pPr>
        <w:jc w:val="both"/>
        <w:spacing w:after="0" w:line="282" w:lineRule="auto"/>
        <w:rPr>
          <w:sz w:val="20"/>
          <w:szCs w:val="20"/>
          <w:color w:val="auto"/>
        </w:rPr>
      </w:pPr>
      <w:r>
        <w:rPr>
          <w:rFonts w:ascii="Times New Roman" w:cs="Times New Roman" w:eastAsia="Times New Roman" w:hAnsi="Times New Roman"/>
          <w:sz w:val="18"/>
          <w:szCs w:val="18"/>
          <w:color w:val="auto"/>
        </w:rPr>
        <w:t>Opinion M-37050 that held the MBTA only applies to intentional takings. The bill also develops a general permitting program that covers incidental take of migratory birds. To the extent that electric generation takes migratory birds, it typically is incidental to its operations.</w:t>
      </w:r>
    </w:p>
    <w:p>
      <w:pPr>
        <w:spacing w:after="0" w:line="108" w:lineRule="exact"/>
        <w:rPr>
          <w:sz w:val="20"/>
          <w:szCs w:val="20"/>
          <w:color w:val="auto"/>
        </w:rPr>
      </w:pPr>
    </w:p>
    <w:p>
      <w:pPr>
        <w:jc w:val="both"/>
        <w:ind w:firstLine="405"/>
        <w:spacing w:after="0" w:line="278" w:lineRule="auto"/>
        <w:rPr>
          <w:sz w:val="20"/>
          <w:szCs w:val="20"/>
          <w:color w:val="auto"/>
        </w:rPr>
      </w:pPr>
      <w:r>
        <w:rPr>
          <w:rFonts w:ascii="Times New Roman" w:cs="Times New Roman" w:eastAsia="Times New Roman" w:hAnsi="Times New Roman"/>
          <w:sz w:val="18"/>
          <w:szCs w:val="18"/>
          <w:color w:val="auto"/>
        </w:rPr>
        <w:t>On January 7, 2021, the U.S. Fish and Wildlife Service (“FWS”) published a final rule codifying the Solicitor’s Opinion M-37050 defining the scope of certain prohibitions under the MBTA. The final rule clarifies that criminal liability for pursuing, hunting, taking, capturing, or killing or attempting to take, capture or kill migratory birds is limited to actions directed at migratory birds, their nests, or their eggs. Under the final rule, these prohibitions do not extend to actions that only incidentally take or kill migratory birds as a result of otherwise lawful activities. However, the final rule and the underlying Solicitor’s Opinion have both been subject to legal challenges. On August 11, 2020, the Southern District Court in New York vacated the Solicitor's Opinion, finding there was not an adequate legal basis for the policy changes articulated in the guidance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document. In addition, on January 19, 2021, environmental groups filed a lawsuit in the U.S. District Court for the Southern District of New York arguing that the FWS’s January 2021 final rule improperly relied on the vacated Solicitor’s Opinion, violates the MBTA, and should be vacated. Finally, on January 20, 2021, President Biden issued an executive order to review and consider suspending, revising, or rescinding agency actions taken between January 20, 2017 and January 20, 2021 determined to be inconsistent with certain public health and environmental goals. This includes a review of both the Solicitor’s Opinion and the FWS’s January 2021 final rule. In response to this directive, on February 9, 2021, the FWS delayed the effective date of the January 2021 final rule until March 8, 2021 and requested public comment to inform its review and a potential extended delay. A return to the position that incidental take is prohibited under the MBTA, or the development of legislation or regulations contrary to the FWS’s January 2021 rule, could increase potential liability and impose additional permitting requirements on our operations.</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State Migratory Bird Incidental Take Legislation and Regulations </w:t>
      </w:r>
      <w:r>
        <w:rPr>
          <w:rFonts w:ascii="Times New Roman" w:cs="Times New Roman" w:eastAsia="Times New Roman" w:hAnsi="Times New Roman"/>
          <w:sz w:val="18"/>
          <w:szCs w:val="18"/>
          <w:color w:val="auto"/>
        </w:rPr>
        <w:t>— In 2019, Assembly Member Kalra introduced AB 454 to protect migratory bird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species in California. This new bill was intended to backstop the MBTA. The bill, which sunsets on January 20, 2025, makes it unlawful to take or possess any migratory bird in California except as provided by pre-2017 federal guidance. The bill was approved by the State Legislature and signed into law by Governor Newsom in October 2019.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The Company sells its electricity and environmental attributes, including RECs, primarily to local utilities under long-term, fixed-price PPAs. During the year ended December 31, 2020, the Company derived approximately 34% of its consolidated revenue from Southern California Edison, or SCE, and approximately 18% of its consolidated revenue from PG&amp;E.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2020, the Company had 301 employees, 56 of which are in Corporate and 245 of which are in the Thermal business. The Company also depends upon personnel of CEG for the provision of management, administration, O&amp;M and certain other services at certain of the Company's renewable generation facilities.</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Company focuses on attracting, developing and retaining a team of highly talented and motivated employees. The Company regularly conducts assessments of its compensation and benefit practices and pay levels to help ensure that staff members are compensated fairly and competitively. The Company devotes extensive resources to staff development and training, including tuition assistance for career-enhancing academic and professional programs. Employee performance is measured in part based on goals that are aligned with the Company's annual objectives. The Company recognizes that its success is based on the talents and dedication of those it employs, and the Company is highly invested in their success. See "Environmental, Social and Governance (ESG)" below for a discussion of the Company's commitment to the health and safety of the Company's employees.</w:t>
      </w:r>
    </w:p>
    <w:p>
      <w:pPr>
        <w:spacing w:after="0" w:line="21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is committed to maintaining a workplace that acknowledges, encourages, and values diversity and inclusion. The Company believes that individual differences, experiences, and strengths enrich the culture and fabric of its organization. Having employees with backgrounds and orientations that reflect a variety of viewpoints and experiences also helps the Company to better understand the needs of its customers and the communities in which it operates.</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By leveraging the multitude of backgrounds and perspectives of its team and developing ongoing relationships with diverse vendors, the Company achieves a collective strength that enhances the work place and makes the Company a better business partner for its customers and others with a stake in the Company’s success.</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2020, the Company launched its Equity, Partnership &amp; Inclusion Council, or EPIC. As part of its commitment, the Company provides education on topics related to diversity, inclusion, and anti-racism. The Company also identified three areas of focus – Our People, Our Product &amp; Customers and Our Purchasing. With the involvement of its employees, EPIC is advancing efforts in each of these areas to identify and implement opportunities for the Company to address equity, partnership and inclusion issues in our business activities.</w:t>
      </w:r>
    </w:p>
    <w:p>
      <w:pPr>
        <w:spacing w:after="0" w:line="125" w:lineRule="exact"/>
        <w:rPr>
          <w:sz w:val="20"/>
          <w:szCs w:val="20"/>
          <w:color w:val="auto"/>
        </w:rPr>
      </w:pPr>
    </w:p>
    <w:p>
      <w:pPr>
        <w:ind w:left="660" w:right="6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Our People </w:t>
      </w:r>
      <w:r>
        <w:rPr>
          <w:rFonts w:ascii="Times New Roman" w:cs="Times New Roman" w:eastAsia="Times New Roman" w:hAnsi="Times New Roman"/>
          <w:sz w:val="18"/>
          <w:szCs w:val="18"/>
          <w:color w:val="auto"/>
        </w:rPr>
        <w:t>focuses on education and training; diversity, equity and inclusion policies and recruitment strategies; community and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partnerships; and maintaining high employee engagement and retention.</w:t>
      </w:r>
    </w:p>
    <w:p>
      <w:pPr>
        <w:spacing w:after="0" w:line="186" w:lineRule="exact"/>
        <w:rPr>
          <w:sz w:val="20"/>
          <w:szCs w:val="20"/>
          <w:color w:val="auto"/>
        </w:rPr>
      </w:pPr>
    </w:p>
    <w:p>
      <w:pPr>
        <w:ind w:left="660" w:right="6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Our Product &amp; Customers </w:t>
      </w:r>
      <w:r>
        <w:rPr>
          <w:rFonts w:ascii="Times New Roman" w:cs="Times New Roman" w:eastAsia="Times New Roman" w:hAnsi="Times New Roman"/>
          <w:sz w:val="18"/>
          <w:szCs w:val="18"/>
          <w:color w:val="auto"/>
        </w:rPr>
        <w:t>focuses on identifying and eliminating any sales practices that could have a discriminatory impact and creating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development for low-income customers.</w:t>
      </w:r>
    </w:p>
    <w:p>
      <w:pPr>
        <w:spacing w:after="0" w:line="186" w:lineRule="exact"/>
        <w:rPr>
          <w:sz w:val="20"/>
          <w:szCs w:val="20"/>
          <w:color w:val="auto"/>
        </w:rPr>
      </w:pPr>
    </w:p>
    <w:p>
      <w:pPr>
        <w:ind w:left="660" w:right="6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Our Purchasing </w:t>
      </w:r>
      <w:r>
        <w:rPr>
          <w:rFonts w:ascii="Times New Roman" w:cs="Times New Roman" w:eastAsia="Times New Roman" w:hAnsi="Times New Roman"/>
          <w:sz w:val="18"/>
          <w:szCs w:val="18"/>
          <w:color w:val="auto"/>
        </w:rPr>
        <w:t>focuses on establishing a non-discriminatory practices standard for the Company’s suppliers, diverse vendor sourcing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benchmarking.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personnel of CEG, the Company relies on other third-party service providers in the daily operations of certain of the Company's renewable and conventional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is committed to engaging with its stakeholders on environmental, social and governance, or ESG, matters in a proactive, holistic and integrated manner. The Company strives to provide recent, credible and comparable data to ESG agencies while engaging institutional investors and investor advocacy organizations around ESG issues. The Company's Corporate Governance, Conflicts and Nominating Committee reviews developing trends and emerging ESG matters, as well as the Company’s strategies, activities policies and communications regarding ESG matters, and makes recommendations to the Company's Board of Directors regarding potential actions by the Company.</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has issued $1.1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 The Company's projects and alignment of its Green Bond Principles (2018) are reviewed by Sustainalytics, an outside consultant with recognized expertise in ESG research and analysis.</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Company includes safety performance goals in the annual incentive plan for its management and the Company had zero fatalities in 2020. 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As discussed in greater detail above, the Company has focused its diversity, equity and inclusion efforts in three areas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Our People, Our Product</w:t>
      </w:r>
    </w:p>
    <w:p>
      <w:pPr>
        <w:spacing w:after="0" w:line="31" w:lineRule="exact"/>
        <w:rPr>
          <w:sz w:val="20"/>
          <w:szCs w:val="20"/>
          <w:color w:val="auto"/>
        </w:rPr>
      </w:pPr>
    </w:p>
    <w:p>
      <w:pPr>
        <w:ind w:firstLine="8"/>
        <w:spacing w:after="0" w:line="243" w:lineRule="auto"/>
        <w:tabs>
          <w:tab w:leader="none" w:pos="1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Our Purchasing – through its launch of EPIC. With the involvement of the Company’s employees, EPIC is advancing efforts in each of these areas to identify and implement opportunities for the Company to address equity, partnership and inclusion issues in its business activities.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"Investor Relations" section of the Company's website, </w:t>
      </w:r>
      <w:r>
        <w:rPr>
          <w:rFonts w:ascii="Times New Roman" w:cs="Times New Roman" w:eastAsia="Times New Roman" w:hAnsi="Times New Roman"/>
          <w:sz w:val="18"/>
          <w:szCs w:val="18"/>
          <w:i w:val="1"/>
          <w:iCs w:val="1"/>
          <w:color w:val="auto"/>
        </w:rPr>
        <w:t>www.clearwayenergy.com</w:t>
      </w:r>
      <w:r>
        <w:rPr>
          <w:rFonts w:ascii="Times New Roman" w:cs="Times New Roman" w:eastAsia="Times New Roman" w:hAnsi="Times New Roman"/>
          <w:sz w:val="18"/>
          <w:szCs w:val="18"/>
          <w:color w:val="auto"/>
        </w:rPr>
        <w:t>, as soon as reasonably practicable after they are electronically filed with, or furnished to, the SEC. The Company also routinely posts press releases, presentations, webcasts, and other information regarding the Company on its website. The information posted on the Company's website is not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business is subject to numerous risks and uncertainties, discussed in more detail in the following section. These risks include among others, the following key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w:t>
      </w:r>
    </w:p>
    <w:p>
      <w:pPr>
        <w:spacing w:after="0" w:line="256" w:lineRule="exact"/>
        <w:rPr>
          <w:sz w:val="20"/>
          <w:szCs w:val="20"/>
          <w:color w:val="auto"/>
        </w:rPr>
      </w:pPr>
    </w:p>
    <w:p>
      <w:pPr>
        <w:ind w:left="660" w:right="320" w:hanging="328"/>
        <w:spacing w:after="0" w:line="239"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ongoing coronavirus (COVID-19) outbreak or any other pandemic could adversely affect the Company’s business, financial condition and results of operations.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Certain facilities are newly constructed and may not perform as expected.</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Company's ability to grow and make acquisitions through cash on hand could be limited.</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 may not be able to effectively identify or consummate any future acquisitions on favorable terms, or at all.</w:t>
      </w:r>
    </w:p>
    <w:p>
      <w:pPr>
        <w:spacing w:after="0" w:line="2" w:lineRule="exact"/>
        <w:rPr>
          <w:rFonts w:ascii="Arial" w:cs="Arial" w:eastAsia="Arial" w:hAnsi="Arial"/>
          <w:sz w:val="20"/>
          <w:szCs w:val="20"/>
          <w:color w:val="auto"/>
        </w:rPr>
      </w:pPr>
    </w:p>
    <w:p>
      <w:pPr>
        <w:ind w:left="660" w:right="100" w:hanging="328"/>
        <w:spacing w:after="0" w:line="228"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1" w:lineRule="exact"/>
        <w:rPr>
          <w:rFonts w:ascii="Arial" w:cs="Arial" w:eastAsia="Arial" w:hAnsi="Arial"/>
          <w:sz w:val="20"/>
          <w:szCs w:val="20"/>
          <w:color w:val="auto"/>
        </w:rPr>
      </w:pPr>
    </w:p>
    <w:p>
      <w:pPr>
        <w:ind w:left="660" w:right="100" w:hanging="328"/>
        <w:spacing w:after="0" w:line="229"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Company’s ability to effectively consummate future acquisitions will also depend on the Company’s ability to arrange the required or desired financing for acquisitions.</w:t>
      </w:r>
    </w:p>
    <w:p>
      <w:pPr>
        <w:spacing w:after="0" w:line="1" w:lineRule="exact"/>
        <w:rPr>
          <w:rFonts w:ascii="Arial" w:cs="Arial" w:eastAsia="Arial" w:hAnsi="Arial"/>
          <w:sz w:val="20"/>
          <w:szCs w:val="20"/>
          <w:color w:val="auto"/>
        </w:rPr>
      </w:pPr>
    </w:p>
    <w:p>
      <w:pPr>
        <w:ind w:left="660" w:right="100" w:hanging="328"/>
        <w:spacing w:after="0" w:line="244" w:lineRule="auto"/>
        <w:tabs>
          <w:tab w:leader="none" w:pos="64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7"/>
          <w:szCs w:val="17"/>
          <w:color w:val="auto"/>
        </w:rPr>
        <w:t>Even if the Company consummates acquisitions that it believes will be accretive to CAFD per share of Class A common stock and Class C common stock, those acquisitions may decrease the CAFD per share of Class A common stock and Class C common stock as a result of incorrect assumptions in the Company’s evaluation of such acquisitions, unforeseen consequences or other external events beyond the Company’s control.</w:t>
      </w:r>
    </w:p>
    <w:p>
      <w:pPr>
        <w:spacing w:after="0" w:line="1" w:lineRule="exact"/>
        <w:rPr>
          <w:rFonts w:ascii="Arial" w:cs="Arial" w:eastAsia="Arial" w:hAnsi="Arial"/>
          <w:sz w:val="19"/>
          <w:szCs w:val="19"/>
          <w:color w:val="auto"/>
        </w:rPr>
      </w:pPr>
    </w:p>
    <w:p>
      <w:pPr>
        <w:ind w:left="660" w:right="200" w:hanging="328"/>
        <w:spacing w:after="0" w:line="229"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Company’s indebtedness could adversely affect its ability to raise additional capital to fund the Company’s operations or pay dividends, and its debt may be adversely affected by changes to, or replacement of, the London Interbank Offered Rate, or LIBOR.</w:t>
      </w:r>
    </w:p>
    <w:p>
      <w:pPr>
        <w:spacing w:after="0" w:line="1" w:lineRule="exact"/>
        <w:rPr>
          <w:rFonts w:ascii="Arial" w:cs="Arial" w:eastAsia="Arial" w:hAnsi="Arial"/>
          <w:sz w:val="20"/>
          <w:szCs w:val="20"/>
          <w:color w:val="auto"/>
        </w:rPr>
      </w:pPr>
    </w:p>
    <w:p>
      <w:pPr>
        <w:ind w:left="660" w:right="120" w:hanging="328"/>
        <w:spacing w:after="0" w:line="231"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1" w:lineRule="exact"/>
        <w:rPr>
          <w:rFonts w:ascii="Arial" w:cs="Arial" w:eastAsia="Arial" w:hAnsi="Arial"/>
          <w:sz w:val="20"/>
          <w:szCs w:val="20"/>
          <w:color w:val="auto"/>
        </w:rPr>
      </w:pPr>
    </w:p>
    <w:p>
      <w:pPr>
        <w:ind w:left="660" w:right="200" w:hanging="328"/>
        <w:spacing w:after="0" w:line="229"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Maintenance, expansion and refurbishment of electric generation facilities involve significant risks that could result in unplanned power outages or reduced output.</w:t>
      </w:r>
    </w:p>
    <w:p>
      <w:pPr>
        <w:spacing w:after="0" w:line="1" w:lineRule="exact"/>
        <w:rPr>
          <w:rFonts w:ascii="Arial" w:cs="Arial" w:eastAsia="Arial" w:hAnsi="Arial"/>
          <w:sz w:val="20"/>
          <w:szCs w:val="20"/>
          <w:color w:val="auto"/>
        </w:rPr>
      </w:pPr>
    </w:p>
    <w:p>
      <w:pPr>
        <w:ind w:left="660" w:right="860" w:hanging="328"/>
        <w:spacing w:after="0" w:line="229"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Supplier and/or customer concentration at certain of the Company's facilities may expose the Company to significant financial credit or performance risks. The Company's operations also depend on key personnel.</w:t>
      </w:r>
    </w:p>
    <w:p>
      <w:pPr>
        <w:spacing w:after="0" w:line="1" w:lineRule="exact"/>
        <w:rPr>
          <w:rFonts w:ascii="Arial" w:cs="Arial" w:eastAsia="Arial" w:hAnsi="Arial"/>
          <w:sz w:val="20"/>
          <w:szCs w:val="20"/>
          <w:color w:val="auto"/>
        </w:rPr>
      </w:pPr>
    </w:p>
    <w:p>
      <w:pPr>
        <w:ind w:left="660" w:right="80" w:hanging="328"/>
        <w:spacing w:after="0" w:line="229"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 w:lineRule="exact"/>
        <w:rPr>
          <w:rFonts w:ascii="Arial" w:cs="Arial" w:eastAsia="Arial" w:hAnsi="Arial"/>
          <w:sz w:val="20"/>
          <w:szCs w:val="20"/>
          <w:color w:val="auto"/>
        </w:rPr>
      </w:pPr>
    </w:p>
    <w:p>
      <w:pPr>
        <w:ind w:left="660" w:right="100" w:hanging="328"/>
        <w:spacing w:after="0" w:line="229"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1" w:lineRule="exact"/>
        <w:rPr>
          <w:rFonts w:ascii="Arial" w:cs="Arial" w:eastAsia="Arial" w:hAnsi="Arial"/>
          <w:sz w:val="20"/>
          <w:szCs w:val="20"/>
          <w:color w:val="auto"/>
        </w:rPr>
      </w:pPr>
    </w:p>
    <w:p>
      <w:pPr>
        <w:ind w:left="660" w:right="440" w:hanging="328"/>
        <w:spacing w:after="0" w:line="229"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 does not own all of the land on which its power generation or thermal assets are located, which could result in disruption to its operations.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Company's businesses are subject to physical, market and economic risks relating to potential effects of climate change.</w:t>
      </w:r>
    </w:p>
    <w:p>
      <w:pPr>
        <w:spacing w:after="0" w:line="2" w:lineRule="exact"/>
        <w:rPr>
          <w:rFonts w:ascii="Arial" w:cs="Arial" w:eastAsia="Arial" w:hAnsi="Arial"/>
          <w:sz w:val="20"/>
          <w:szCs w:val="20"/>
          <w:color w:val="auto"/>
        </w:rPr>
      </w:pPr>
    </w:p>
    <w:p>
      <w:pPr>
        <w:jc w:val="both"/>
        <w:ind w:left="660" w:right="340" w:hanging="328"/>
        <w:spacing w:after="0" w:line="230"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operation of the Company’s businesses is subject to cyber-based security and integrity risk.</w:t>
      </w:r>
    </w:p>
    <w:p>
      <w:pPr>
        <w:spacing w:after="0" w:line="2" w:lineRule="exact"/>
        <w:rPr>
          <w:rFonts w:ascii="Arial" w:cs="Arial" w:eastAsia="Arial" w:hAnsi="Arial"/>
          <w:sz w:val="20"/>
          <w:szCs w:val="20"/>
          <w:color w:val="auto"/>
        </w:rPr>
      </w:pPr>
    </w:p>
    <w:p>
      <w:pPr>
        <w:ind w:left="660" w:right="140" w:hanging="328"/>
        <w:spacing w:after="0" w:line="245"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2" w:lineRule="exact"/>
        <w:rPr>
          <w:rFonts w:ascii="Arial" w:cs="Arial" w:eastAsia="Arial" w:hAnsi="Arial"/>
          <w:sz w:val="20"/>
          <w:szCs w:val="20"/>
          <w:color w:val="auto"/>
        </w:rPr>
      </w:pPr>
    </w:p>
    <w:p>
      <w:pPr>
        <w:ind w:left="660" w:right="180" w:hanging="328"/>
        <w:spacing w:after="0" w:line="229"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Relationship with GIP and CEG</w:t>
      </w:r>
    </w:p>
    <w:p>
      <w:pPr>
        <w:spacing w:after="0" w:line="270" w:lineRule="exact"/>
        <w:rPr>
          <w:sz w:val="20"/>
          <w:szCs w:val="20"/>
          <w:color w:val="auto"/>
        </w:rPr>
      </w:pPr>
    </w:p>
    <w:p>
      <w:pPr>
        <w:ind w:left="660" w:right="720" w:hanging="328"/>
        <w:spacing w:after="0" w:line="247" w:lineRule="auto"/>
        <w:tabs>
          <w:tab w:leader="none" w:pos="648"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GIP, through its ownership of CEG, is the Company's controlling stockholder and exercises substantial influence over the Company. The Company is highly dependent on GIP and CEG.</w:t>
      </w:r>
    </w:p>
    <w:p>
      <w:pPr>
        <w:ind w:left="640" w:hanging="308"/>
        <w:spacing w:after="0" w:line="225"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 may not be able to consummate future acquisitions from CEG.</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 may be unable to terminate the CEG Master Services Agreement, in certain circumstances.</w:t>
      </w:r>
    </w:p>
    <w:p>
      <w:pPr>
        <w:spacing w:after="0" w:line="2" w:lineRule="exact"/>
        <w:rPr>
          <w:rFonts w:ascii="Arial" w:cs="Arial" w:eastAsia="Arial" w:hAnsi="Arial"/>
          <w:sz w:val="20"/>
          <w:szCs w:val="20"/>
          <w:color w:val="auto"/>
        </w:rPr>
      </w:pPr>
    </w:p>
    <w:p>
      <w:pPr>
        <w:ind w:left="660" w:right="160" w:hanging="328"/>
        <w:spacing w:after="0" w:line="228" w:lineRule="auto"/>
        <w:tabs>
          <w:tab w:leader="none" w:pos="648"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 w:lineRule="exact"/>
        <w:rPr>
          <w:rFonts w:ascii="Arial" w:cs="Arial" w:eastAsia="Arial" w:hAnsi="Arial"/>
          <w:sz w:val="20"/>
          <w:szCs w:val="20"/>
          <w:color w:val="auto"/>
        </w:rPr>
      </w:pPr>
    </w:p>
    <w:p>
      <w:pPr>
        <w:ind w:left="660" w:right="300" w:hanging="328"/>
        <w:spacing w:after="0" w:line="237" w:lineRule="auto"/>
        <w:tabs>
          <w:tab w:leader="none" w:pos="648"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 is a “controlled company," controlled by GIP, and as a result, is exempt from certain corporate governance requirements that are designed to provide protection to stockholders of companies that are not controlled companies.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24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is subject to restrictions resulting from environmental, health and safety laws and regulations.</w:t>
      </w:r>
    </w:p>
    <w:p>
      <w:pPr>
        <w:spacing w:after="0" w:line="27" w:lineRule="exact"/>
        <w:rPr>
          <w:rFonts w:ascii="Times New Roman" w:cs="Times New Roman" w:eastAsia="Times New Roman" w:hAnsi="Times New Roman"/>
          <w:sz w:val="18"/>
          <w:szCs w:val="18"/>
          <w:b w:val="1"/>
          <w:bCs w:val="1"/>
          <w:color w:val="auto"/>
        </w:rPr>
      </w:pPr>
    </w:p>
    <w:p>
      <w:pPr>
        <w:ind w:left="660" w:hanging="328"/>
        <w:spacing w:after="0" w:line="227" w:lineRule="auto"/>
        <w:tabs>
          <w:tab w:leader="none" w:pos="648"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ind w:left="660" w:right="360" w:hanging="328"/>
        <w:spacing w:after="0" w:line="23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providing incentives for renewable generation could change at any time and such changes may negatively impact the Company's growth strategy.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certain of the Company's Thermal assets is dependent on regulatory approval.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Common Stock</w:t>
      </w:r>
    </w:p>
    <w:p>
      <w:pPr>
        <w:spacing w:after="0" w:line="256"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 may not be able to continue paying comparable or growing cash dividends to holders of its common stock in the future.</w:t>
      </w:r>
    </w:p>
    <w:p>
      <w:pPr>
        <w:spacing w:after="0" w:line="6"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Market interest rates and reports of securities analysts may have an effect on the value of the Company's Class A and Class C common stock.</w:t>
      </w:r>
    </w:p>
    <w:p>
      <w:pPr>
        <w:spacing w:after="0" w:line="2" w:lineRule="exact"/>
        <w:rPr>
          <w:rFonts w:ascii="Arial" w:cs="Arial" w:eastAsia="Arial" w:hAnsi="Arial"/>
          <w:sz w:val="20"/>
          <w:szCs w:val="20"/>
          <w:color w:val="auto"/>
        </w:rPr>
      </w:pPr>
    </w:p>
    <w:p>
      <w:pPr>
        <w:ind w:left="660" w:right="160" w:hanging="328"/>
        <w:spacing w:after="0" w:line="228"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Market volatility may affect the price of the Company's Class A and Class C common stock, and future issuance of additional shares of common stock may cause dilution of investors' ownership interest.</w:t>
      </w:r>
    </w:p>
    <w:p>
      <w:pPr>
        <w:spacing w:after="0" w:line="1" w:lineRule="exact"/>
        <w:rPr>
          <w:rFonts w:ascii="Arial" w:cs="Arial" w:eastAsia="Arial" w:hAnsi="Arial"/>
          <w:sz w:val="20"/>
          <w:szCs w:val="20"/>
          <w:color w:val="auto"/>
        </w:rPr>
      </w:pPr>
    </w:p>
    <w:p>
      <w:pPr>
        <w:jc w:val="both"/>
        <w:ind w:left="660" w:right="300" w:hanging="328"/>
        <w:spacing w:after="0" w:line="245" w:lineRule="auto"/>
        <w:tabs>
          <w:tab w:leader="none" w:pos="648"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7"/>
          <w:szCs w:val="17"/>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56" w:lineRule="exact"/>
        <w:rPr>
          <w:sz w:val="20"/>
          <w:szCs w:val="20"/>
          <w:color w:val="auto"/>
        </w:rPr>
      </w:pPr>
    </w:p>
    <w:p>
      <w:pPr>
        <w:ind w:left="660" w:right="60" w:hanging="328"/>
        <w:spacing w:after="0" w:line="238" w:lineRule="auto"/>
        <w:tabs>
          <w:tab w:leader="none" w:pos="648" w:val="left"/>
        </w:tabs>
        <w:numPr>
          <w:ilvl w:val="0"/>
          <w:numId w:val="11"/>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ind w:left="640" w:hanging="308"/>
        <w:spacing w:after="0" w:line="225" w:lineRule="auto"/>
        <w:tabs>
          <w:tab w:leader="none" w:pos="64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18"/>
          <w:szCs w:val="18"/>
          <w:color w:val="auto"/>
        </w:rPr>
        <w:t>The Company's ability to use NOLs to offset future income may be limited.</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18"/>
          <w:szCs w:val="18"/>
          <w:color w:val="auto"/>
        </w:rPr>
        <w:t>A valuation allowance may be required for the Company's deferred tax assets.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18"/>
          <w:szCs w:val="18"/>
          <w:color w:val="auto"/>
        </w:rPr>
        <w:t>Distributions to holders of the Company's Class A and Class C common stock may be taxable.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ongoing coronavirus (COVID-19) pandemic or any other pandemic could adversely affect the Company’s business, financial condition and results of operations.</w:t>
      </w:r>
    </w:p>
    <w:p>
      <w:pPr>
        <w:spacing w:after="0" w:line="185"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The ongoing coronavirus (COVID-19) outbreak, which the World Health Organization declared as a pandemic on March 11, 2020, has reached every region of the world and has resulted in widespread adverse impacts on the global economy. In response, the Company has modified certain business and workforce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conform to government restrictions and best practices encouraged by governmental and regulatory authorities. However, the quarantine of personnel or the inability to access the Company’s facilities or customer sites could adversely affect the Company’s operations. Also, the Company has a limited number of highly skilled employees for some of its operations. If a large proportion of the Company’s employees in those critical positions were to contract COVID-19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w:t>
      </w:r>
    </w:p>
    <w:p>
      <w:pPr>
        <w:spacing w:after="0" w:line="215"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There is considerable uncertainty regarding how long the COVID-19 pandemic will persist and affect economic conditions, as well as whether governmental and other measures implemented to try to slow the spread of the virus, such as large-scale travel bans and restrictions, border closures, quarantines, shelter-in-place orders and business and government shutdowns that exist as of the date of this report will be effective or whether new measures will be implemented or reinstated. Restrictions of this nature may cause the Company, its suppliers and other business counterparties to experience operational delays and delays in the delivery of materials and supplies and may cause milestones or deadlines relating to various projects to be missed. As a result, the Company could experience reductions in its sales and corresponding revenues in future periods. In addition, worsening economic conditions could result in the Company’s customers being unable or unwilling to fulfill their contractual obligations over time, or as contracts expire, to replace them with agreements on similar terms, which would impact the Company’s future financial performance. A significant decline in sales for the output the Company generates, whether due to decreases in consumer demand or disruption to its facilities or otherwise, would have a material adverse effect on the Company’s financial expectations, its financial condition, results of operations and cash flows, its ability to make distributions to its stockholders, the market prices of its common stock and its ability to satisfy its debt service obligations.</w:t>
      </w:r>
    </w:p>
    <w:p>
      <w:pPr>
        <w:spacing w:after="0" w:line="21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the date of this report, the Company's efforts to respond to the challenges presented by the conditions described above have allowed the Company to minimize the impacts to its business.</w:t>
      </w:r>
    </w:p>
    <w:p>
      <w:pPr>
        <w:spacing w:after="0" w:line="189"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Additionally, the effects of COVID-19 or any other pandemic on the global economy could adversely affect the Company’s ability to access the capital and other financial markets, and if so, the Company may need to consider alternative sources of funding for some of its operations and for working capital, which may increase its cost of, as well as adversely impact its access to, capital. These uncertain economic conditions may also result in the inability of the Company’s customers and other counterparties to make payments to the Company, on a timely basis or at all, which could adversely affect the Company’s financial expectations, its financial condition, results of operations and cash flows, its ability to make distributions to its stockholders, the market prices of its common stock and its ability to satisfy its debt service obligations.</w:t>
      </w:r>
    </w:p>
    <w:p>
      <w:pPr>
        <w:spacing w:after="0" w:line="211"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duration and persistence of the pandemic, the consequences of governmental and other measures designed to prevent the spread of the virus, the ability of governments and health care providers to timely distribute available vaccines and the efficacy of such vaccines, the duration of the outbreak, actions taken by governmental actions taken by authorities, customers, suppliers and other third parties, workforce availability and the timing and extent to which normal economic and operating conditions resume.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facilities are newly constructed and may not perform as expected.</w:t>
      </w:r>
    </w:p>
    <w:p>
      <w:pPr>
        <w:spacing w:after="0" w:line="175" w:lineRule="exact"/>
        <w:rPr>
          <w:sz w:val="20"/>
          <w:szCs w:val="20"/>
          <w:color w:val="auto"/>
        </w:rPr>
      </w:pPr>
    </w:p>
    <w:p>
      <w:pPr>
        <w:jc w:val="both"/>
        <w:ind w:firstLine="223"/>
        <w:spacing w:after="0" w:line="258" w:lineRule="auto"/>
        <w:rPr>
          <w:sz w:val="20"/>
          <w:szCs w:val="20"/>
          <w:color w:val="auto"/>
        </w:rPr>
      </w:pPr>
      <w:r>
        <w:rPr>
          <w:rFonts w:ascii="Times New Roman" w:cs="Times New Roman" w:eastAsia="Times New Roman" w:hAnsi="Times New Roman"/>
          <w:sz w:val="18"/>
          <w:szCs w:val="18"/>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dividends to holders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Pursuant to the Company's cash dividend policy, the Company intends to distribute a significant amount of the CAFD through regular quarterly distributions and dividends, and the Company's ability to grow and make acquisitions through cash on hand could be limited.</w:t>
      </w:r>
    </w:p>
    <w:p>
      <w:pPr>
        <w:spacing w:after="0" w:line="105" w:lineRule="exact"/>
        <w:rPr>
          <w:sz w:val="20"/>
          <w:szCs w:val="20"/>
          <w:color w:val="auto"/>
        </w:rPr>
      </w:pPr>
    </w:p>
    <w:p>
      <w:pPr>
        <w:jc w:val="both"/>
        <w:ind w:firstLine="208"/>
        <w:spacing w:after="0" w:line="254" w:lineRule="auto"/>
        <w:rPr>
          <w:sz w:val="20"/>
          <w:szCs w:val="20"/>
          <w:color w:val="auto"/>
        </w:rPr>
      </w:pPr>
      <w:r>
        <w:rPr>
          <w:rFonts w:ascii="Times New Roman" w:cs="Times New Roman" w:eastAsia="Times New Roman" w:hAnsi="Times New Roman"/>
          <w:sz w:val="18"/>
          <w:szCs w:val="18"/>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To the extent the Company issues additional equity securities in connection with any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able to effectively identify or consummate any future acquisitions on favorable terms, or at all.</w:t>
      </w:r>
    </w:p>
    <w:p>
      <w:pPr>
        <w:spacing w:after="0" w:line="175" w:lineRule="exact"/>
        <w:rPr>
          <w:sz w:val="20"/>
          <w:szCs w:val="20"/>
          <w:color w:val="auto"/>
        </w:rPr>
      </w:pPr>
    </w:p>
    <w:p>
      <w:pPr>
        <w:jc w:val="both"/>
        <w:ind w:firstLine="241"/>
        <w:spacing w:after="0" w:line="254" w:lineRule="auto"/>
        <w:rPr>
          <w:sz w:val="20"/>
          <w:szCs w:val="20"/>
          <w:color w:val="auto"/>
        </w:rPr>
      </w:pPr>
      <w:r>
        <w:rPr>
          <w:rFonts w:ascii="Times New Roman" w:cs="Times New Roman" w:eastAsia="Times New Roman" w:hAnsi="Times New Roman"/>
          <w:sz w:val="18"/>
          <w:szCs w:val="18"/>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the Company’s common stock.</w:t>
      </w:r>
    </w:p>
    <w:p>
      <w:pPr>
        <w:spacing w:after="0" w:line="138"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105"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8"/>
          <w:szCs w:val="18"/>
          <w:color w:val="auto"/>
        </w:rPr>
        <w:t>A significant portion of the electric power the Company generates is sold under long-term offtake agreements with public utilities or industrial or commercial end-users, with a weighted average remaining duration, based on CAFD, of approximately 13 years. As of December 31, 2020, the largest customers of the Company's power generation assets, including assets in which the Company has less than a 100% membership interest, were SCE and PG&amp;E, which represented 34% and 18%, respectively, of total consolidated revenues generated by the Company during the year ended December 31, 2020. On July 1, 2020, PG&amp;E emerged from bankruptcy.</w:t>
      </w:r>
    </w:p>
    <w:p>
      <w:pPr>
        <w:spacing w:after="0" w:line="12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both"/>
        <w:ind w:firstLine="184"/>
        <w:spacing w:after="0" w:line="253" w:lineRule="auto"/>
        <w:rPr>
          <w:sz w:val="20"/>
          <w:szCs w:val="20"/>
          <w:color w:val="auto"/>
        </w:rPr>
      </w:pPr>
      <w:r>
        <w:rPr>
          <w:rFonts w:ascii="Times New Roman" w:cs="Times New Roman" w:eastAsia="Times New Roman" w:hAnsi="Times New Roman"/>
          <w:sz w:val="18"/>
          <w:szCs w:val="18"/>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to evolving industry standards and changing customer requirements than the Company will be able to. The adoption of more advanced technology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3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effectively consummate future acquisitions will also depend on the Company’s ability to arrange the required or desired financing for acquisitions.</w:t>
      </w:r>
    </w:p>
    <w:p>
      <w:pPr>
        <w:spacing w:after="0" w:line="105" w:lineRule="exact"/>
        <w:rPr>
          <w:sz w:val="20"/>
          <w:szCs w:val="20"/>
          <w:color w:val="auto"/>
        </w:rPr>
      </w:pPr>
    </w:p>
    <w:p>
      <w:pPr>
        <w:jc w:val="both"/>
        <w:ind w:firstLine="261"/>
        <w:spacing w:after="0" w:line="254" w:lineRule="auto"/>
        <w:rPr>
          <w:sz w:val="20"/>
          <w:szCs w:val="20"/>
          <w:color w:val="auto"/>
        </w:rPr>
      </w:pPr>
      <w:r>
        <w:rPr>
          <w:rFonts w:ascii="Times New Roman" w:cs="Times New Roman" w:eastAsia="Times New Roman" w:hAnsi="Times New Roman"/>
          <w:sz w:val="18"/>
          <w:szCs w:val="18"/>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Similarly, the issuance of additional equity securities as consideration for acquisitions could cause significant stockholder dilution and reduce the Company’s dividends if the acquisitions are not sufficiently accretive. The Company’s ability to consummate future acquisitions may also depend on the Company’s ability to obtain any required regulatory approvals for such acquisitions, including, but not limited to, approval by FERC under Section 203 of the FPA.</w:t>
      </w:r>
    </w:p>
    <w:p>
      <w:pPr>
        <w:spacing w:after="0" w:line="138" w:lineRule="exact"/>
        <w:rPr>
          <w:sz w:val="20"/>
          <w:szCs w:val="20"/>
          <w:color w:val="auto"/>
        </w:rPr>
      </w:pPr>
    </w:p>
    <w:p>
      <w:pPr>
        <w:jc w:val="both"/>
        <w:ind w:firstLine="212"/>
        <w:spacing w:after="0" w:line="254" w:lineRule="auto"/>
        <w:rPr>
          <w:sz w:val="20"/>
          <w:szCs w:val="20"/>
          <w:color w:val="auto"/>
        </w:rPr>
      </w:pPr>
      <w:r>
        <w:rPr>
          <w:rFonts w:ascii="Times New Roman" w:cs="Times New Roman" w:eastAsia="Times New Roman" w:hAnsi="Times New Roman"/>
          <w:sz w:val="18"/>
          <w:szCs w:val="18"/>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cash flows and ability to pay dividends to holders of the Company’s common stock.</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the Company consummates acquisitions that it believes will be accretive to CAFD per share of Class A common stock and Class C common stock, those acquisitions may decrease the CAFD per share of Class A common stock and Class C common stock as a result of incorrect assumptions in the Company’s evaluation of such acquisitions, unforeseen consequences or other external events beyond the Company’s control.</w:t>
      </w:r>
    </w:p>
    <w:p>
      <w:pPr>
        <w:spacing w:after="0" w:line="121" w:lineRule="exact"/>
        <w:rPr>
          <w:sz w:val="20"/>
          <w:szCs w:val="20"/>
          <w:color w:val="auto"/>
        </w:rPr>
      </w:pPr>
    </w:p>
    <w:p>
      <w:pPr>
        <w:jc w:val="both"/>
        <w:ind w:firstLine="239"/>
        <w:spacing w:after="0" w:line="254" w:lineRule="auto"/>
        <w:rPr>
          <w:sz w:val="20"/>
          <w:szCs w:val="20"/>
          <w:color w:val="auto"/>
        </w:rPr>
      </w:pPr>
      <w:r>
        <w:rPr>
          <w:rFonts w:ascii="Times New Roman" w:cs="Times New Roman" w:eastAsia="Times New Roman" w:hAnsi="Times New Roman"/>
          <w:sz w:val="18"/>
          <w:szCs w:val="18"/>
          <w:color w:val="auto"/>
        </w:rPr>
        <w:t>The acquisition of existing generation assets involves the risk of overpaying for such projects (or not making acquisitions 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Class A and Class C stockholders. Any failure of the Company’s acquired generation assets to be accretive or difficulty in integrating such acquisition into the Company’s business could have a material adverse effect on the Company’s ability to grow its business and make cash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distributions to its Class A and Class C stockholders.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121"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December 31, 2020, the Company had approximately $7,043 million of total consolidated indebtedness, $5,243 million of which was incurred by the Company's non-guarantor subsidiaries. In addition, the Company’s share of its unconsolidated affiliates’ total indebtedness and letters of credit outstanding as of December 31, 2020, totaled approximately $481 million and $59 million, respectively (calculated as the Company’s unconsolidated affiliates’ total indebtedness as of such date multiplied by the Company’s percentage membership interest in such assets).</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substantial debt could have important negative consequences on the Company’s financial condition, including:</w:t>
      </w:r>
    </w:p>
    <w:p>
      <w:pPr>
        <w:spacing w:after="0" w:line="10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Company’s vulnerability to general economic and industry conditions;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ability to enter into long-term power sales or fuel purchases which require credit support;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ability to fund operations or future acquisitions;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the Company to the risk of increased interest rates because certain of the Company’s borrowings, which may include borrowings under the Company’s revolving credit facility, are at variable rates of interest;</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ability to obtain additional financing for working capital including collateral postings, capital expenditures, debt service requirements, acquisitions and general corporate or other purposes; and</w:t>
      </w: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ability to adjust to changing market conditions and placing it at a competitive disadvantage compared to the Company’s competitors who have less debt.</w:t>
      </w:r>
    </w:p>
    <w:p>
      <w:pPr>
        <w:spacing w:after="0" w:line="127" w:lineRule="exact"/>
        <w:rPr>
          <w:sz w:val="20"/>
          <w:szCs w:val="20"/>
          <w:color w:val="auto"/>
        </w:rPr>
      </w:pPr>
    </w:p>
    <w:p>
      <w:pPr>
        <w:jc w:val="both"/>
        <w:ind w:firstLine="334"/>
        <w:spacing w:after="0" w:line="256" w:lineRule="auto"/>
        <w:rPr>
          <w:sz w:val="20"/>
          <w:szCs w:val="20"/>
          <w:color w:val="auto"/>
        </w:rPr>
      </w:pPr>
      <w:r>
        <w:rPr>
          <w:rFonts w:ascii="Times New Roman" w:cs="Times New Roman" w:eastAsia="Times New Roman" w:hAnsi="Times New Roman"/>
          <w:sz w:val="18"/>
          <w:szCs w:val="18"/>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33" w:lineRule="exact"/>
        <w:rPr>
          <w:sz w:val="20"/>
          <w:szCs w:val="20"/>
          <w:color w:val="auto"/>
        </w:rPr>
      </w:pPr>
    </w:p>
    <w:p>
      <w:pPr>
        <w:jc w:val="both"/>
        <w:ind w:firstLine="262"/>
        <w:spacing w:after="0" w:line="254" w:lineRule="auto"/>
        <w:rPr>
          <w:sz w:val="20"/>
          <w:szCs w:val="20"/>
          <w:color w:val="auto"/>
        </w:rPr>
      </w:pPr>
      <w:r>
        <w:rPr>
          <w:rFonts w:ascii="Times New Roman" w:cs="Times New Roman" w:eastAsia="Times New Roman" w:hAnsi="Times New Roman"/>
          <w:sz w:val="18"/>
          <w:szCs w:val="18"/>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dividends to holders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ind w:firstLine="278"/>
        <w:spacing w:after="0" w:line="256" w:lineRule="auto"/>
        <w:rPr>
          <w:sz w:val="20"/>
          <w:szCs w:val="20"/>
          <w:color w:val="auto"/>
        </w:rPr>
      </w:pPr>
      <w:r>
        <w:rPr>
          <w:rFonts w:ascii="Times New Roman" w:cs="Times New Roman" w:eastAsia="Times New Roman" w:hAnsi="Times New Roman"/>
          <w:sz w:val="18"/>
          <w:szCs w:val="18"/>
          <w:color w:val="auto"/>
        </w:rPr>
        <w:t>Letter of credit facilities to support project-level contractual obligations generally need to be renewed after five to seven 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133" w:lineRule="exact"/>
        <w:rPr>
          <w:sz w:val="20"/>
          <w:szCs w:val="20"/>
          <w:color w:val="auto"/>
        </w:rPr>
      </w:pPr>
    </w:p>
    <w:p>
      <w:pPr>
        <w:jc w:val="both"/>
        <w:ind w:right="20" w:firstLine="214"/>
        <w:spacing w:after="0" w:line="282" w:lineRule="auto"/>
        <w:rPr>
          <w:sz w:val="20"/>
          <w:szCs w:val="20"/>
          <w:color w:val="auto"/>
        </w:rPr>
      </w:pPr>
      <w:r>
        <w:rPr>
          <w:rFonts w:ascii="Times New Roman" w:cs="Times New Roman" w:eastAsia="Times New Roman" w:hAnsi="Times New Roman"/>
          <w:sz w:val="18"/>
          <w:szCs w:val="18"/>
          <w:color w:val="auto"/>
        </w:rPr>
        <w:t>In addition, the Company’s ability to arrange financing, either at the corporate level or at a non-recourse project-level subsidiary, and the costs of such capital, are dependent on numerous factors, including:</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capital market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availability from banks and other financial institutions;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confidence in the Company, its partners, GIP, through CEG, as the Company’s principal stockholder (on a combined voting basis) and the regional wholesale power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performance and the financial performance of the Company subsidiaries;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level of indebtedness and compliance with covenants in debt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acceptable project credit ratings or credit quality;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tax and securities laws that may impact raising capital.</w:t>
      </w:r>
    </w:p>
    <w:p>
      <w:pPr>
        <w:spacing w:after="0" w:line="117" w:lineRule="exact"/>
        <w:rPr>
          <w:sz w:val="20"/>
          <w:szCs w:val="20"/>
          <w:color w:val="auto"/>
        </w:rPr>
      </w:pPr>
    </w:p>
    <w:p>
      <w:pPr>
        <w:jc w:val="both"/>
        <w:ind w:firstLine="191"/>
        <w:spacing w:after="0" w:line="258" w:lineRule="auto"/>
        <w:rPr>
          <w:sz w:val="20"/>
          <w:szCs w:val="20"/>
          <w:color w:val="auto"/>
        </w:rPr>
      </w:pPr>
      <w:r>
        <w:rPr>
          <w:rFonts w:ascii="Times New Roman" w:cs="Times New Roman" w:eastAsia="Times New Roman" w:hAnsi="Times New Roman"/>
          <w:sz w:val="18"/>
          <w:szCs w:val="18"/>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method of determining the London Interbank Offered Rate, or LIBOR, or the replacement of LIBOR with an alternative reference rate, may adversely affect interest expense related to outstanding debt.</w:t>
      </w:r>
    </w:p>
    <w:p>
      <w:pPr>
        <w:spacing w:after="0" w:line="1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Amounts drawn under the Company's revolving credit facility and certain of the Company's project-level debt facilities currently bear interest at rates based on LIBOR. On July 27, 2017, the Financial Conduct Authority in the United Kingdom announced that it would phase out LIBOR as a benchmark by the end of 2021. On November 30, 2020, ICE Benchmark Administration Limited, the administrator of LIBOR, with the support of the United States Federal Reserve and the United Kingdom’s Financial Conduct Authority, announced plans to consult on ceasing publication of USD LIBOR on December 31, 2021 for only the one week and two month USD LIBOR tenors, and on June 30, 2023 for all other USD LIBOR tenors. While this announcement extends the transition period to June 30, 2023, the United States Federal Reserve concurrently issued a statement advising banks to stop new LIBOR issuances by the end of 2021. In light of these recent announcements, the future of LIBOR at this time is uncertain and any changes in the methods by which LIBOR is determined or regulatory activity related to LIBOR’s phase-out could cause LIBOR to perform differently than in the past or cease to exist. While the Company's revolving credit facility includes a mechanism to amend the facilities to reflect the establishment of an alternative rate of interest upon the occurrence of certain events related to the phase-out of LIBOR, many of the Company's project-level debt facilities and swap arrangements do not. The Company has not yet pursued technical amendments or other contractual alternatives to address this matter with respect to all its existing debt facilities and swap arrangements and is continuing to evaluate the impact of LIBOR’s expected replacement. If no such amendments or other contractual alternatives are established on or prior to the phase-out of LIBOR, interest under the Company's revolving credit facility and other project-level debt facilities will bear interest at higher rates based on the prime rate until such amendments or other contractual amendments are established. Even if the Company has entered into interest rate swaps or other derivative instruments for purposes of managing its interest rate exposure or has otherwise amended its interest rate swaps or other derivative instruments to reflect an alternative reference rate, these hedging strategies may not be effective as a result of the replacement or phasing out of LIBOR, and the Company may incur losses as a result. The potential increase in the Company’s interest expense as a result of the phase-out of LIBOR and uncertainty as to the nature of the alternative reference rates could have an adverse effect on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Company's long-term bilateral contracts result from state-mandated procurements and could be declared invalid by a court of competent jurisdiction.</w:t>
      </w:r>
    </w:p>
    <w:p>
      <w:pPr>
        <w:spacing w:after="0" w:line="105" w:lineRule="exact"/>
        <w:rPr>
          <w:sz w:val="20"/>
          <w:szCs w:val="20"/>
          <w:color w:val="auto"/>
        </w:rPr>
      </w:pPr>
    </w:p>
    <w:p>
      <w:pPr>
        <w:jc w:val="both"/>
        <w:ind w:firstLine="207"/>
        <w:spacing w:after="0" w:line="255" w:lineRule="auto"/>
        <w:rPr>
          <w:sz w:val="20"/>
          <w:szCs w:val="20"/>
          <w:color w:val="auto"/>
        </w:rPr>
      </w:pPr>
      <w:r>
        <w:rPr>
          <w:rFonts w:ascii="Times New Roman" w:cs="Times New Roman" w:eastAsia="Times New Roman" w:hAnsi="Times New Roman"/>
          <w:sz w:val="18"/>
          <w:szCs w:val="18"/>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generation of electric energy from solar and wind energy sources depends heavily on suitable meteorological conditions.</w:t>
      </w:r>
    </w:p>
    <w:p>
      <w:pPr>
        <w:spacing w:after="0" w:line="175" w:lineRule="exact"/>
        <w:rPr>
          <w:sz w:val="20"/>
          <w:szCs w:val="20"/>
          <w:color w:val="auto"/>
        </w:rPr>
      </w:pPr>
    </w:p>
    <w:p>
      <w:pPr>
        <w:jc w:val="both"/>
        <w:ind w:firstLine="206"/>
        <w:spacing w:after="0" w:line="236" w:lineRule="auto"/>
        <w:rPr>
          <w:sz w:val="20"/>
          <w:szCs w:val="20"/>
          <w:color w:val="auto"/>
        </w:rPr>
      </w:pPr>
      <w:r>
        <w:rPr>
          <w:rFonts w:ascii="Times New Roman" w:cs="Times New Roman" w:eastAsia="Times New Roman" w:hAnsi="Times New Roman"/>
          <w:sz w:val="18"/>
          <w:szCs w:val="18"/>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wildfires, hailstorms, tornadoes or freezing temperatures and other winter weather conditions.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For example, in February 2021, the Company's wind projects in Texas were unable to operate and experienced outages for a few days as a result of the extreme winter weather conditions.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pacing w:after="0" w:line="9" w:lineRule="exact"/>
        <w:rPr>
          <w:sz w:val="20"/>
          <w:szCs w:val="20"/>
          <w:color w:val="auto"/>
        </w:rPr>
      </w:pPr>
    </w:p>
    <w:p>
      <w:pPr>
        <w:jc w:val="both"/>
        <w:ind w:firstLine="176"/>
        <w:spacing w:after="0" w:line="252" w:lineRule="auto"/>
        <w:rPr>
          <w:sz w:val="20"/>
          <w:szCs w:val="20"/>
          <w:color w:val="auto"/>
        </w:rPr>
      </w:pPr>
      <w:r>
        <w:rPr>
          <w:rFonts w:ascii="Times New Roman" w:cs="Times New Roman" w:eastAsia="Times New Roman" w:hAnsi="Times New Roman"/>
          <w:sz w:val="18"/>
          <w:szCs w:val="18"/>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105" w:lineRule="exact"/>
        <w:rPr>
          <w:sz w:val="20"/>
          <w:szCs w:val="20"/>
          <w:color w:val="auto"/>
        </w:rPr>
      </w:pPr>
    </w:p>
    <w:p>
      <w:pPr>
        <w:jc w:val="both"/>
        <w:ind w:firstLine="198"/>
        <w:spacing w:after="0" w:line="253" w:lineRule="auto"/>
        <w:rPr>
          <w:sz w:val="20"/>
          <w:szCs w:val="20"/>
          <w:color w:val="auto"/>
        </w:rPr>
      </w:pPr>
      <w:r>
        <w:rPr>
          <w:rFonts w:ascii="Times New Roman" w:cs="Times New Roman" w:eastAsia="Times New Roman" w:hAnsi="Times New Roman"/>
          <w:sz w:val="18"/>
          <w:szCs w:val="18"/>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105" w:lineRule="exact"/>
        <w:rPr>
          <w:sz w:val="20"/>
          <w:szCs w:val="20"/>
          <w:color w:val="auto"/>
        </w:rPr>
      </w:pPr>
    </w:p>
    <w:p>
      <w:pPr>
        <w:jc w:val="both"/>
        <w:ind w:firstLine="275"/>
        <w:spacing w:after="0" w:line="261" w:lineRule="auto"/>
        <w:rPr>
          <w:sz w:val="20"/>
          <w:szCs w:val="20"/>
          <w:color w:val="auto"/>
        </w:rPr>
      </w:pPr>
      <w:r>
        <w:rPr>
          <w:rFonts w:ascii="Times New Roman" w:cs="Times New Roman" w:eastAsia="Times New Roman" w:hAnsi="Times New Roman"/>
          <w:sz w:val="18"/>
          <w:szCs w:val="18"/>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Maintenance, expansion and refurbishment of electric generation facilities involve significant risks that could result in unplanned power outages or reduced output.</w:t>
      </w:r>
    </w:p>
    <w:p>
      <w:pPr>
        <w:spacing w:after="0" w:line="10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8"/>
          <w:szCs w:val="18"/>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29" w:lineRule="exact"/>
        <w:rPr>
          <w:sz w:val="20"/>
          <w:szCs w:val="20"/>
          <w:color w:val="auto"/>
        </w:rPr>
      </w:pPr>
    </w:p>
    <w:p>
      <w:pPr>
        <w:jc w:val="both"/>
        <w:ind w:firstLine="234"/>
        <w:spacing w:after="0" w:line="255" w:lineRule="auto"/>
        <w:rPr>
          <w:sz w:val="20"/>
          <w:szCs w:val="20"/>
          <w:color w:val="auto"/>
        </w:rPr>
      </w:pPr>
      <w:r>
        <w:rPr>
          <w:rFonts w:ascii="Times New Roman" w:cs="Times New Roman" w:eastAsia="Times New Roman" w:hAnsi="Times New Roman"/>
          <w:sz w:val="18"/>
          <w:szCs w:val="18"/>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Clean Air Act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facilities may operate, wholly or partially, without long-term power sales agreements.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Supplier and/or customer concentration at certain of the Company's facilities may expose the Company to significant financial credit or performance risks.</w:t>
      </w:r>
    </w:p>
    <w:p>
      <w:pPr>
        <w:spacing w:after="0" w:line="105"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ind w:firstLine="182"/>
        <w:spacing w:after="0" w:line="258" w:lineRule="auto"/>
        <w:rPr>
          <w:sz w:val="20"/>
          <w:szCs w:val="20"/>
          <w:color w:val="auto"/>
        </w:rPr>
      </w:pPr>
      <w:r>
        <w:rPr>
          <w:rFonts w:ascii="Times New Roman" w:cs="Times New Roman" w:eastAsia="Times New Roman" w:hAnsi="Times New Roman"/>
          <w:sz w:val="18"/>
          <w:szCs w:val="18"/>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129" w:lineRule="exact"/>
        <w:rPr>
          <w:sz w:val="20"/>
          <w:szCs w:val="20"/>
          <w:color w:val="auto"/>
        </w:rPr>
      </w:pPr>
    </w:p>
    <w:p>
      <w:pPr>
        <w:jc w:val="both"/>
        <w:ind w:firstLine="225"/>
        <w:spacing w:after="0" w:line="266" w:lineRule="auto"/>
        <w:rPr>
          <w:sz w:val="20"/>
          <w:szCs w:val="20"/>
          <w:color w:val="auto"/>
        </w:rPr>
      </w:pPr>
      <w:r>
        <w:rPr>
          <w:rFonts w:ascii="Times New Roman" w:cs="Times New Roman" w:eastAsia="Times New Roman" w:hAnsi="Times New Roman"/>
          <w:sz w:val="18"/>
          <w:szCs w:val="18"/>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03" w:lineRule="exact"/>
        <w:rPr>
          <w:sz w:val="20"/>
          <w:szCs w:val="20"/>
          <w:color w:val="auto"/>
        </w:rPr>
      </w:pPr>
    </w:p>
    <w:p>
      <w:pPr>
        <w:jc w:val="both"/>
        <w:ind w:firstLine="175"/>
        <w:spacing w:after="0" w:line="253" w:lineRule="auto"/>
        <w:rPr>
          <w:sz w:val="20"/>
          <w:szCs w:val="20"/>
          <w:color w:val="auto"/>
        </w:rPr>
      </w:pPr>
      <w:r>
        <w:rPr>
          <w:rFonts w:ascii="Times New Roman" w:cs="Times New Roman" w:eastAsia="Times New Roman" w:hAnsi="Times New Roman"/>
          <w:sz w:val="18"/>
          <w:szCs w:val="18"/>
          <w:color w:val="auto"/>
        </w:rPr>
        <w:t xml:space="preserve">As described in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140" w:lineRule="exact"/>
        <w:rPr>
          <w:sz w:val="20"/>
          <w:szCs w:val="20"/>
          <w:color w:val="auto"/>
        </w:rPr>
      </w:pPr>
    </w:p>
    <w:p>
      <w:pPr>
        <w:jc w:val="both"/>
        <w:ind w:firstLine="225"/>
        <w:spacing w:after="0" w:line="261" w:lineRule="auto"/>
        <w:rPr>
          <w:sz w:val="20"/>
          <w:szCs w:val="20"/>
          <w:color w:val="auto"/>
        </w:rPr>
      </w:pPr>
      <w:r>
        <w:rPr>
          <w:rFonts w:ascii="Times New Roman" w:cs="Times New Roman" w:eastAsia="Times New Roman" w:hAnsi="Times New Roman"/>
          <w:sz w:val="18"/>
          <w:szCs w:val="18"/>
          <w:color w:val="auto"/>
        </w:rPr>
        <w:t>The approval of co-venturers may also be required for the Company to receive distributions of funds from assets or to sell, pledge, transfer, assign or otherwise convey its interest in such assets, or for the Company to acquire GIP's or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26" w:lineRule="exact"/>
        <w:rPr>
          <w:sz w:val="20"/>
          <w:szCs w:val="20"/>
          <w:color w:val="auto"/>
        </w:rPr>
      </w:pPr>
    </w:p>
    <w:p>
      <w:pPr>
        <w:jc w:val="both"/>
        <w:ind w:firstLine="299"/>
        <w:spacing w:after="0" w:line="282" w:lineRule="auto"/>
        <w:rPr>
          <w:sz w:val="20"/>
          <w:szCs w:val="20"/>
          <w:color w:val="auto"/>
        </w:rPr>
      </w:pPr>
      <w:r>
        <w:rPr>
          <w:rFonts w:ascii="Times New Roman" w:cs="Times New Roman" w:eastAsia="Times New Roman" w:hAnsi="Times New Roman"/>
          <w:sz w:val="18"/>
          <w:szCs w:val="18"/>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10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8"/>
          <w:szCs w:val="18"/>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is subject to restrictions resulting from environmental, health and safety laws and regulations.</w:t>
      </w:r>
    </w:p>
    <w:p>
      <w:pPr>
        <w:spacing w:after="0" w:line="175" w:lineRule="exact"/>
        <w:rPr>
          <w:sz w:val="20"/>
          <w:szCs w:val="20"/>
          <w:color w:val="auto"/>
        </w:rPr>
      </w:pPr>
    </w:p>
    <w:p>
      <w:pPr>
        <w:jc w:val="both"/>
        <w:ind w:firstLine="206"/>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does not own all of the land on which its power generation or thermal assets are located, which could result in disruption to its operations.</w:t>
      </w:r>
    </w:p>
    <w:p>
      <w:pPr>
        <w:spacing w:after="0" w:line="105" w:lineRule="exact"/>
        <w:rPr>
          <w:sz w:val="20"/>
          <w:szCs w:val="20"/>
          <w:color w:val="auto"/>
        </w:rPr>
      </w:pPr>
    </w:p>
    <w:p>
      <w:pPr>
        <w:jc w:val="both"/>
        <w:ind w:firstLine="231"/>
        <w:spacing w:after="0" w:line="256" w:lineRule="auto"/>
        <w:rPr>
          <w:sz w:val="20"/>
          <w:szCs w:val="20"/>
          <w:color w:val="auto"/>
        </w:rPr>
      </w:pPr>
      <w:r>
        <w:rPr>
          <w:rFonts w:ascii="Times New Roman" w:cs="Times New Roman" w:eastAsia="Times New Roman" w:hAnsi="Times New Roman"/>
          <w:sz w:val="18"/>
          <w:szCs w:val="18"/>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105"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businesses are subject to physical, market and economic risks relating to potential effects of climate change.</w:t>
      </w:r>
    </w:p>
    <w:p>
      <w:pPr>
        <w:spacing w:after="0" w:line="175" w:lineRule="exact"/>
        <w:rPr>
          <w:sz w:val="20"/>
          <w:szCs w:val="20"/>
          <w:color w:val="auto"/>
        </w:rPr>
      </w:pPr>
    </w:p>
    <w:p>
      <w:pPr>
        <w:jc w:val="both"/>
        <w:ind w:firstLine="222"/>
        <w:spacing w:after="0" w:line="258" w:lineRule="auto"/>
        <w:rPr>
          <w:sz w:val="20"/>
          <w:szCs w:val="20"/>
          <w:color w:val="auto"/>
        </w:rPr>
      </w:pPr>
      <w:r>
        <w:rPr>
          <w:rFonts w:ascii="Times New Roman" w:cs="Times New Roman" w:eastAsia="Times New Roman" w:hAnsi="Times New Roman"/>
          <w:sz w:val="18"/>
          <w:szCs w:val="18"/>
          <w:color w:val="auto"/>
        </w:rPr>
        <w:t>Climate change creates uncertainty in weather and other environmental conditions, including temperature and precipitation levels, and thus may affect consumer demand for electricity.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129" w:lineRule="exact"/>
        <w:rPr>
          <w:sz w:val="20"/>
          <w:szCs w:val="20"/>
          <w:color w:val="auto"/>
        </w:rPr>
      </w:pPr>
    </w:p>
    <w:p>
      <w:pPr>
        <w:jc w:val="both"/>
        <w:ind w:firstLine="228"/>
        <w:spacing w:after="0" w:line="256" w:lineRule="auto"/>
        <w:rPr>
          <w:sz w:val="20"/>
          <w:szCs w:val="20"/>
          <w:color w:val="auto"/>
        </w:rPr>
      </w:pPr>
      <w:r>
        <w:rPr>
          <w:rFonts w:ascii="Times New Roman" w:cs="Times New Roman" w:eastAsia="Times New Roman" w:hAnsi="Times New Roman"/>
          <w:sz w:val="18"/>
          <w:szCs w:val="18"/>
          <w:color w:val="auto"/>
        </w:rPr>
        <w:t>GHG regulation could increase the cost of electricity generated by fossil fuels, and such increases could reduce demand for the power the Company's conventional assets generate and market. Legislative and regulatory measures to address climate change and GHG emissions are in various phases of discussion or implementation. The EPA regulates GHG emissions from new and modified facilities that are potential major sources of criteria pollutants under the Clean Air Act's Prevention of Significant Deterioration and Title V programs and has adopted regulations that require, among other things, preconstruction and operating permits for certain large stationary sources and the monitoring and reporting of GHGs from certain onshore oil and natural gas production sources on an annual basis.</w:t>
      </w:r>
    </w:p>
    <w:p>
      <w:pPr>
        <w:spacing w:after="0" w:line="133" w:lineRule="exact"/>
        <w:rPr>
          <w:sz w:val="20"/>
          <w:szCs w:val="20"/>
          <w:color w:val="auto"/>
        </w:rPr>
      </w:pPr>
    </w:p>
    <w:p>
      <w:pPr>
        <w:jc w:val="both"/>
        <w:ind w:firstLine="213"/>
        <w:spacing w:after="0" w:line="244" w:lineRule="auto"/>
        <w:rPr>
          <w:sz w:val="20"/>
          <w:szCs w:val="20"/>
          <w:color w:val="auto"/>
        </w:rPr>
      </w:pPr>
      <w:r>
        <w:rPr>
          <w:rFonts w:ascii="Times New Roman" w:cs="Times New Roman" w:eastAsia="Times New Roman" w:hAnsi="Times New Roman"/>
          <w:sz w:val="18"/>
          <w:szCs w:val="18"/>
          <w:color w:val="auto"/>
        </w:rPr>
        <w:t>In addition, in 2015, the U.S., Canada and the U.K. participated in the United Nations Conference on Climate Change, which led to the creation of the Paris Agreement. The Paris Agreement, which was signed by the U.S. in April 2016, requires countries to review and “represent a progression” in their intended nationally determined contributions (which set GHG emission reduction goals) every five years beginning in 2020. In November 2020, the U.S. officially withdrew from the Paris Agreement in November 2020. However, on January 20, 2021, President Biden signed an “Acceptance on Behalf of the</w:t>
      </w:r>
    </w:p>
    <w:p>
      <w:pPr>
        <w:jc w:val="both"/>
        <w:spacing w:after="0" w:line="307" w:lineRule="auto"/>
        <w:rPr>
          <w:sz w:val="20"/>
          <w:szCs w:val="20"/>
          <w:color w:val="auto"/>
        </w:rPr>
      </w:pPr>
      <w:r>
        <w:rPr>
          <w:rFonts w:ascii="Times New Roman" w:cs="Times New Roman" w:eastAsia="Times New Roman" w:hAnsi="Times New Roman"/>
          <w:sz w:val="18"/>
          <w:szCs w:val="18"/>
          <w:color w:val="auto"/>
        </w:rPr>
        <w:t>United States of America” that will allow the U.S. to rejoin the Paris Agreement. The newly signed acceptance, deposited with the United Nations on January 20, reverses the prior withdrawal. The U.S. officially rejoined the Paris Agreement on February 19,</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2021. The U.S. Congress, along with federal and state agencies, </w:t>
      </w:r>
      <w:r>
        <w:rPr>
          <w:rFonts w:ascii="Times New Roman" w:cs="Times New Roman" w:eastAsia="Times New Roman" w:hAnsi="Times New Roman"/>
          <w:sz w:val="18"/>
          <w:szCs w:val="18"/>
          <w:color w:val="231F20"/>
        </w:rPr>
        <w:t>has</w:t>
      </w:r>
      <w:r>
        <w:rPr>
          <w:rFonts w:ascii="Times New Roman" w:cs="Times New Roman" w:eastAsia="Times New Roman" w:hAnsi="Times New Roman"/>
          <w:sz w:val="18"/>
          <w:szCs w:val="18"/>
          <w:color w:val="auto"/>
        </w:rPr>
        <w:t xml:space="preserve"> also considered measures to reduce the emissions of GHGs. 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we gather, transport and store. Conversely, legislation or regulation that sets a price on or otherwise restricts carbon emissions could also benefit the Company by increasing demand for solar or wind energy sources. In addition, governmental, scientific and public concern over the threat of climate change arising from GHG emissions has resulted in increasing political risks in the U.S, including climate change related pledges made by the Biden Administration. Shortly after taking office in January 2021, President Biden issued a series of executive orders designed to address climate change. Reentry into the Paris Agreement and President Biden's executive orders may result in the development of additional regulations or changes to existing regulations. The effect on the Company of any new legislative or regulatory measures will depend on the particular provisions that are ultimately adopted.</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105" w:lineRule="exact"/>
        <w:rPr>
          <w:sz w:val="20"/>
          <w:szCs w:val="20"/>
          <w:color w:val="auto"/>
        </w:rPr>
      </w:pPr>
    </w:p>
    <w:p>
      <w:pPr>
        <w:jc w:val="both"/>
        <w:ind w:firstLine="210"/>
        <w:spacing w:after="0" w:line="255" w:lineRule="auto"/>
        <w:rPr>
          <w:sz w:val="20"/>
          <w:szCs w:val="20"/>
          <w:color w:val="auto"/>
        </w:rPr>
      </w:pPr>
      <w:r>
        <w:rPr>
          <w:rFonts w:ascii="Times New Roman" w:cs="Times New Roman" w:eastAsia="Times New Roman" w:hAnsi="Times New Roman"/>
          <w:sz w:val="18"/>
          <w:szCs w:val="18"/>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35" w:lineRule="exact"/>
        <w:rPr>
          <w:sz w:val="20"/>
          <w:szCs w:val="20"/>
          <w:color w:val="auto"/>
        </w:rPr>
      </w:pPr>
    </w:p>
    <w:p>
      <w:pPr>
        <w:jc w:val="both"/>
        <w:ind w:firstLine="186"/>
        <w:spacing w:after="0" w:line="254" w:lineRule="auto"/>
        <w:rPr>
          <w:sz w:val="20"/>
          <w:szCs w:val="20"/>
          <w:color w:val="auto"/>
        </w:rPr>
      </w:pPr>
      <w:r>
        <w:rPr>
          <w:rFonts w:ascii="Times New Roman" w:cs="Times New Roman" w:eastAsia="Times New Roman" w:hAnsi="Times New Roman"/>
          <w:sz w:val="18"/>
          <w:szCs w:val="18"/>
          <w:color w:val="auto"/>
        </w:rPr>
        <w:t>Furthermore, certain of the Company's power generation and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wildfire,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operation of the Company’s businesses is subject to cyber-based security and integrity risk.</w:t>
      </w:r>
    </w:p>
    <w:p>
      <w:pPr>
        <w:spacing w:after="0" w:line="216" w:lineRule="exact"/>
        <w:rPr>
          <w:sz w:val="20"/>
          <w:szCs w:val="20"/>
          <w:color w:val="auto"/>
        </w:rPr>
      </w:pPr>
    </w:p>
    <w:p>
      <w:pPr>
        <w:jc w:val="both"/>
        <w:ind w:firstLine="354"/>
        <w:spacing w:after="0" w:line="254" w:lineRule="auto"/>
        <w:rPr>
          <w:sz w:val="20"/>
          <w:szCs w:val="20"/>
          <w:color w:val="auto"/>
        </w:rPr>
      </w:pPr>
      <w:r>
        <w:rPr>
          <w:rFonts w:ascii="Times New Roman" w:cs="Times New Roman" w:eastAsia="Times New Roman" w:hAnsi="Times New Roman"/>
          <w:sz w:val="18"/>
          <w:szCs w:val="18"/>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Potential disruptive actions could result from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21" w:lineRule="exact"/>
        <w:rPr>
          <w:sz w:val="20"/>
          <w:szCs w:val="20"/>
          <w:color w:val="auto"/>
        </w:rPr>
      </w:pPr>
    </w:p>
    <w:p>
      <w:pPr>
        <w:jc w:val="both"/>
        <w:ind w:firstLine="204"/>
        <w:spacing w:after="0" w:line="253" w:lineRule="auto"/>
        <w:rPr>
          <w:sz w:val="20"/>
          <w:szCs w:val="20"/>
          <w:color w:val="auto"/>
        </w:rPr>
      </w:pPr>
      <w:r>
        <w:rPr>
          <w:rFonts w:ascii="Times New Roman" w:cs="Times New Roman" w:eastAsia="Times New Roman" w:hAnsi="Times New Roman"/>
          <w:sz w:val="18"/>
          <w:szCs w:val="18"/>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105" w:lineRule="exact"/>
        <w:rPr>
          <w:sz w:val="20"/>
          <w:szCs w:val="20"/>
          <w:color w:val="auto"/>
        </w:rPr>
      </w:pPr>
    </w:p>
    <w:p>
      <w:pPr>
        <w:jc w:val="both"/>
        <w:ind w:firstLine="209"/>
        <w:spacing w:after="0" w:line="261" w:lineRule="auto"/>
        <w:rPr>
          <w:sz w:val="20"/>
          <w:szCs w:val="20"/>
          <w:color w:val="auto"/>
        </w:rPr>
      </w:pPr>
      <w:r>
        <w:rPr>
          <w:rFonts w:ascii="Times New Roman" w:cs="Times New Roman" w:eastAsia="Times New Roman" w:hAnsi="Times New Roman"/>
          <w:sz w:val="18"/>
          <w:szCs w:val="18"/>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depends on key personnel, the loss of any of which could have a material adverse effect on the Company's financial condition and results of operations.</w:t>
      </w:r>
    </w:p>
    <w:p>
      <w:pPr>
        <w:spacing w:after="0" w:line="105" w:lineRule="exact"/>
        <w:rPr>
          <w:sz w:val="20"/>
          <w:szCs w:val="20"/>
          <w:color w:val="auto"/>
        </w:rPr>
      </w:pPr>
    </w:p>
    <w:p>
      <w:pPr>
        <w:jc w:val="both"/>
        <w:ind w:firstLine="192"/>
        <w:spacing w:after="0" w:line="266" w:lineRule="auto"/>
        <w:rPr>
          <w:sz w:val="20"/>
          <w:szCs w:val="20"/>
          <w:color w:val="auto"/>
        </w:rPr>
      </w:pPr>
      <w:r>
        <w:rPr>
          <w:rFonts w:ascii="Times New Roman" w:cs="Times New Roman" w:eastAsia="Times New Roman" w:hAnsi="Times New Roman"/>
          <w:sz w:val="18"/>
          <w:szCs w:val="18"/>
          <w:color w:val="auto"/>
        </w:rPr>
        <w:t>The Company believes its current operations and future success depend largely on the continued services of key personnel that it employs. Although the Company currently has access to the resources of CEG, the loss of key personnel employed by the Company could have a material adverse effect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Relationships with GIP and CEG</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GIP, through its ownership of CEG, is the Company's controlling stockholder and exercises substantial influence over the Company. The Company is highly dependent on GIP and CEG.</w:t>
      </w:r>
    </w:p>
    <w:p>
      <w:pPr>
        <w:spacing w:after="0" w:line="105" w:lineRule="exact"/>
        <w:rPr>
          <w:sz w:val="20"/>
          <w:szCs w:val="20"/>
          <w:color w:val="auto"/>
        </w:rPr>
      </w:pPr>
    </w:p>
    <w:p>
      <w:pPr>
        <w:jc w:val="both"/>
        <w:ind w:firstLine="182"/>
        <w:spacing w:after="0" w:line="253" w:lineRule="auto"/>
        <w:rPr>
          <w:sz w:val="20"/>
          <w:szCs w:val="20"/>
          <w:color w:val="auto"/>
        </w:rPr>
      </w:pPr>
      <w:r>
        <w:rPr>
          <w:rFonts w:ascii="Times New Roman" w:cs="Times New Roman" w:eastAsia="Times New Roman" w:hAnsi="Times New Roman"/>
          <w:sz w:val="18"/>
          <w:szCs w:val="18"/>
          <w:color w:val="auto"/>
        </w:rPr>
        <w:t>GIP, through its ownership of CEG, owns all of the Company's outstanding Class B and Class D common stock. The Company's outstanding Class B and Class D common stock is entitled to one vote per share and 1/100th of a vote per share, respectively. As a result of its ownership of the Class B and Class D common stock, GIP indirectly owns 54.93% of the combined voting power of the Company's common stock as of December 31, 2020. As a result of this ownership, GIP has a substantial influence on the Company's affairs and its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GIP has the right to elect all of the Company's directors. GIP may cause corporate actions to be taken even if their interests conflict with the interests of the Company's other stockholders (including holders of the Company's Class A and Class C common stock).</w:t>
      </w:r>
    </w:p>
    <w:p>
      <w:pPr>
        <w:spacing w:after="0" w:line="140" w:lineRule="exact"/>
        <w:rPr>
          <w:sz w:val="20"/>
          <w:szCs w:val="20"/>
          <w:color w:val="auto"/>
        </w:rPr>
      </w:pPr>
    </w:p>
    <w:p>
      <w:pPr>
        <w:jc w:val="both"/>
        <w:ind w:firstLine="184"/>
        <w:spacing w:after="0" w:line="254" w:lineRule="auto"/>
        <w:rPr>
          <w:sz w:val="20"/>
          <w:szCs w:val="20"/>
          <w:color w:val="auto"/>
        </w:rPr>
      </w:pPr>
      <w:r>
        <w:rPr>
          <w:rFonts w:ascii="Times New Roman" w:cs="Times New Roman" w:eastAsia="Times New Roman" w:hAnsi="Times New Roman"/>
          <w:sz w:val="18"/>
          <w:szCs w:val="18"/>
          <w:color w:val="auto"/>
        </w:rPr>
        <w:t>Furthermore, the Company depends on certain services provided by or under the direction of CEG under the CEG Master Services Agreement, including numerous processes related to the Company's internal control over financial reporting.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38" w:lineRule="exact"/>
        <w:rPr>
          <w:sz w:val="20"/>
          <w:szCs w:val="20"/>
          <w:color w:val="auto"/>
        </w:rPr>
      </w:pPr>
    </w:p>
    <w:p>
      <w:pPr>
        <w:jc w:val="both"/>
        <w:ind w:firstLine="241"/>
        <w:spacing w:after="0" w:line="261" w:lineRule="auto"/>
        <w:rPr>
          <w:sz w:val="20"/>
          <w:szCs w:val="20"/>
          <w:color w:val="auto"/>
        </w:rPr>
      </w:pPr>
      <w:r>
        <w:rPr>
          <w:rFonts w:ascii="Times New Roman" w:cs="Times New Roman" w:eastAsia="Times New Roman" w:hAnsi="Times New Roman"/>
          <w:sz w:val="18"/>
          <w:szCs w:val="18"/>
          <w:color w:val="auto"/>
        </w:rPr>
        <w:t>The Company also depends upon CEG and NRG for the provision of management, administration, O&amp;M and certain other services at certain of the Company's facilities. Any failure by CEG or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GIP and its affiliates control the Company and have the ability to designate a majority of the members of the Company’s Board.</w:t>
      </w:r>
    </w:p>
    <w:p>
      <w:pPr>
        <w:spacing w:after="0" w:line="17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Due to GIP's approximate 54.93% combined voting power in the Company, the ability of other holders of the Company’s Class A and Class C common stock to exercise control over the corporate governance of the Company is limited. GIP and its affiliates have a substantial influence on the Company’s affairs and its voting power constitutes a large percentage of any quorum of the Company’s stockholders voting on any matter requiring the approval of the Company’s stockholders. GIP and its affiliates may hold certain interests that are different from those of the Company or other holders of the Company’s Class A and Class C common stock and there is no assurance that GIP and its affiliates will exercise its control over the Company in a manner that is consistent with the Company’s interests or those of the holders of the Company’s Class A and Class C common stock.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able to consummate future acquisitions from CEG.</w:t>
      </w:r>
    </w:p>
    <w:p>
      <w:pPr>
        <w:spacing w:after="0" w:line="175" w:lineRule="exact"/>
        <w:rPr>
          <w:sz w:val="20"/>
          <w:szCs w:val="20"/>
          <w:color w:val="auto"/>
        </w:rPr>
      </w:pPr>
    </w:p>
    <w:p>
      <w:pPr>
        <w:jc w:val="both"/>
        <w:ind w:firstLine="339"/>
        <w:spacing w:after="0" w:line="254" w:lineRule="auto"/>
        <w:rPr>
          <w:sz w:val="20"/>
          <w:szCs w:val="20"/>
          <w:color w:val="auto"/>
        </w:rPr>
      </w:pPr>
      <w:r>
        <w:rPr>
          <w:rFonts w:ascii="Times New Roman" w:cs="Times New Roman" w:eastAsia="Times New Roman" w:hAnsi="Times New Roman"/>
          <w:sz w:val="18"/>
          <w:szCs w:val="18"/>
          <w:color w:val="auto"/>
        </w:rPr>
        <w:t>The Company's ability to grow through acquisitions depends, in part, on CEG's ability to identify and present the Company with acquisition opportunities. Although CEG has agreed, pursuant to the CEG ROFO Agreement, to grant the Company a right of first offer with respect to certain power generation assets that CEG may elect to sell in the future, CEG is under no obligation to sell any such power generation assets or to accept any related offers from the Company. In addition, CEG has not agreed to commit any minimum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terminate the CEG Master Services Agreement, in certain circumstances.</w:t>
      </w:r>
    </w:p>
    <w:p>
      <w:pPr>
        <w:spacing w:after="0" w:line="175" w:lineRule="exact"/>
        <w:rPr>
          <w:sz w:val="20"/>
          <w:szCs w:val="20"/>
          <w:color w:val="auto"/>
        </w:rPr>
      </w:pPr>
    </w:p>
    <w:p>
      <w:pPr>
        <w:jc w:val="both"/>
        <w:ind w:firstLine="254"/>
        <w:spacing w:after="0" w:line="253" w:lineRule="auto"/>
        <w:rPr>
          <w:sz w:val="20"/>
          <w:szCs w:val="20"/>
          <w:color w:val="auto"/>
        </w:rPr>
      </w:pPr>
      <w:r>
        <w:rPr>
          <w:rFonts w:ascii="Times New Roman" w:cs="Times New Roman" w:eastAsia="Times New Roman" w:hAnsi="Times New Roman"/>
          <w:sz w:val="18"/>
          <w:szCs w:val="18"/>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05" w:lineRule="exact"/>
        <w:rPr>
          <w:sz w:val="20"/>
          <w:szCs w:val="20"/>
          <w:color w:val="auto"/>
        </w:rPr>
      </w:pPr>
    </w:p>
    <w:p>
      <w:pPr>
        <w:jc w:val="both"/>
        <w:ind w:firstLine="185"/>
        <w:spacing w:after="0" w:line="255" w:lineRule="auto"/>
        <w:rPr>
          <w:sz w:val="20"/>
          <w:szCs w:val="20"/>
          <w:color w:val="auto"/>
        </w:rPr>
      </w:pPr>
      <w:r>
        <w:rPr>
          <w:rFonts w:ascii="Times New Roman" w:cs="Times New Roman" w:eastAsia="Times New Roman" w:hAnsi="Times New Roman"/>
          <w:sz w:val="18"/>
          <w:szCs w:val="18"/>
          <w:color w:val="auto"/>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121" w:lineRule="exact"/>
        <w:rPr>
          <w:sz w:val="20"/>
          <w:szCs w:val="20"/>
          <w:color w:val="auto"/>
        </w:rPr>
      </w:pPr>
    </w:p>
    <w:p>
      <w:pPr>
        <w:jc w:val="both"/>
        <w:ind w:firstLine="212"/>
        <w:spacing w:after="0" w:line="253" w:lineRule="auto"/>
        <w:rPr>
          <w:sz w:val="20"/>
          <w:szCs w:val="20"/>
          <w:color w:val="auto"/>
        </w:rPr>
      </w:pPr>
      <w:r>
        <w:rPr>
          <w:rFonts w:ascii="Times New Roman" w:cs="Times New Roman" w:eastAsia="Times New Roman" w:hAnsi="Times New Roman"/>
          <w:sz w:val="18"/>
          <w:szCs w:val="18"/>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holders of its common stock.</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Company’s PPAs and project-level financing arrangements include provisions that would permit the counterparty to terminate the contract or accelerate maturity in the event GIP or its affiliates ceases to control or own, directly or indirectly, a majority of the voting power of the Company.</w:t>
      </w:r>
    </w:p>
    <w:p>
      <w:pPr>
        <w:spacing w:after="0" w:line="121" w:lineRule="exact"/>
        <w:rPr>
          <w:sz w:val="20"/>
          <w:szCs w:val="20"/>
          <w:color w:val="auto"/>
        </w:rPr>
      </w:pPr>
    </w:p>
    <w:p>
      <w:pPr>
        <w:jc w:val="both"/>
        <w:ind w:firstLine="264"/>
        <w:spacing w:after="0" w:line="254" w:lineRule="auto"/>
        <w:rPr>
          <w:sz w:val="20"/>
          <w:szCs w:val="20"/>
          <w:color w:val="auto"/>
        </w:rPr>
      </w:pPr>
      <w:r>
        <w:rPr>
          <w:rFonts w:ascii="Times New Roman" w:cs="Times New Roman" w:eastAsia="Times New Roman" w:hAnsi="Times New Roman"/>
          <w:sz w:val="18"/>
          <w:szCs w:val="18"/>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GIP or its affiliates ceases to own, directly or indirectly, capital stock representing more than 50% of the voting power of the Company’s capital stock outstanding on such date, or, in some cases, if GIP or its affiliates ceases to be the majority owner, directly or indirectly, of the applicable project subsidiary. As a result, if GIP or its affiliates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a “controlled company," controlled by GIP, and as a result, is exempt from certain corporate governance requirements that are designed to provide protection to stockholders of companies that are not controlled companies.</w:t>
      </w:r>
    </w:p>
    <w:p>
      <w:pPr>
        <w:spacing w:after="0" w:line="105"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As of December 31, 2020, GIP indirectly controls 54.93%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opt out of the NYSE listing requirements that would require (i) a majority of the members of the Company's board of directors to be independent, (ii) 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Corporate Governance, Conflicts and Nominating Committee consisting entirely of independent directors and to conduct an annual performance evaluation of this committee, the majority of the members of the Company’s board of directors are not considered independent and the Company's compensation committee is not comprised entirely of independent directors. Therefore, the Company’s stockholders may not have the same protections afforded to stockholders of companies that are subject to all of the applicable NYSE listing requirements. It is also possible that the interests of GIP may in some circumstances conflict with the Company's interests and the interests of the holders of the Company's Class A and Class C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104" w:lineRule="exact"/>
        <w:rPr>
          <w:sz w:val="20"/>
          <w:szCs w:val="20"/>
          <w:color w:val="auto"/>
        </w:rPr>
      </w:pPr>
    </w:p>
    <w:p>
      <w:pPr>
        <w:jc w:val="both"/>
        <w:ind w:firstLine="199"/>
        <w:spacing w:after="0" w:line="238" w:lineRule="auto"/>
        <w:rPr>
          <w:sz w:val="20"/>
          <w:szCs w:val="20"/>
          <w:color w:val="auto"/>
        </w:rPr>
      </w:pPr>
      <w:r>
        <w:rPr>
          <w:rFonts w:ascii="Times New Roman" w:cs="Times New Roman" w:eastAsia="Times New Roman" w:hAnsi="Times New Roman"/>
          <w:sz w:val="18"/>
          <w:szCs w:val="18"/>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in Texas within the footprint of ERCOT, or in Puerto Rico,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218"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All of the Company's generating assets are operating either as EWGs or FUCOs as defined under the PUHCA, or as QFs as defined under the PURPA, as amended, and therefore are exempt from certain regulation under the PUHCA and the FPA. If a facility fails to maintain its status as an EWG, FUCO,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212"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2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104" w:lineRule="exact"/>
        <w:rPr>
          <w:sz w:val="20"/>
          <w:szCs w:val="20"/>
          <w:color w:val="auto"/>
        </w:rPr>
      </w:pPr>
    </w:p>
    <w:p>
      <w:pPr>
        <w:jc w:val="both"/>
        <w:ind w:firstLine="184"/>
        <w:spacing w:after="0" w:line="252" w:lineRule="auto"/>
        <w:rPr>
          <w:sz w:val="20"/>
          <w:szCs w:val="20"/>
          <w:color w:val="auto"/>
        </w:rPr>
      </w:pPr>
      <w:r>
        <w:rPr>
          <w:rFonts w:ascii="Times New Roman" w:cs="Times New Roman" w:eastAsia="Times New Roman" w:hAnsi="Times New Roman"/>
          <w:sz w:val="18"/>
          <w:szCs w:val="18"/>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regulations providing incentives for renewable generation could change at any time and such changes may negatively impact the Company's growth strategy.</w:t>
      </w:r>
    </w:p>
    <w:p>
      <w:pPr>
        <w:spacing w:after="0" w:line="104" w:lineRule="exact"/>
        <w:rPr>
          <w:sz w:val="20"/>
          <w:szCs w:val="20"/>
          <w:color w:val="auto"/>
        </w:rPr>
      </w:pPr>
    </w:p>
    <w:p>
      <w:pPr>
        <w:jc w:val="both"/>
        <w:ind w:firstLine="179"/>
        <w:spacing w:after="0" w:line="253" w:lineRule="auto"/>
        <w:rPr>
          <w:sz w:val="20"/>
          <w:szCs w:val="20"/>
          <w:color w:val="auto"/>
        </w:rPr>
      </w:pPr>
      <w:r>
        <w:rPr>
          <w:rFonts w:ascii="Times New Roman" w:cs="Times New Roman" w:eastAsia="Times New Roman" w:hAnsi="Times New Roman"/>
          <w:sz w:val="18"/>
          <w:szCs w:val="18"/>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began construction in 2016 through 2019 will continue to qualify for the 30% ITC. Projects beginning construction in 2020 and 2021 will be eligible for the ITC at the rates of 26% and 22%, respectively. The same legislation also extended the 10-year wind PTC for wind projects that began construction in 2016 through 2019.Wind projects that began construction in 2018 or 2019 are eligible for PTCS at 60% and 40% of the statutory rate per kWh, respectively. In December 2019, the U.S. Congress extended the 10-year wind PTC for wind projects that begin construction in 2020, and such projects are eligible for PTCs at 60% of the statutory rate per kWh. The same legislation also extended an 18% ITC in lieu of the PTC for wind projects that begin construction in 2020. In December 2020, the Consolidated Appropriations Act, 2021 was signed by the President and extended the solar ITC so that projects that begin construction in 2021 or 2022 will be eligible for the ITC at a rate of 26% and projects beginning construction in 2023 will be eligible for the ITC at a rate of 22%. The same legislation also extended the 10-year wind PTC for wind projects that begin construction in 2021, and such projects are eligible for PTCs at 60% of the statutory rate per kWh or an 18% ITC in lieu of the PTC. The same legislation also added a 30% ITC for offshore wind projects that begin construction prior to January 1, 2026.</w:t>
      </w:r>
    </w:p>
    <w:p>
      <w:pPr>
        <w:spacing w:after="0" w:line="21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American Recovery and Reinvestment Act of 2009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w:t>
      </w:r>
    </w:p>
    <w:p>
      <w:pPr>
        <w:spacing w:after="0" w:line="218" w:lineRule="exact"/>
        <w:rPr>
          <w:sz w:val="20"/>
          <w:szCs w:val="20"/>
          <w:color w:val="auto"/>
        </w:rPr>
      </w:pPr>
    </w:p>
    <w:p>
      <w:pPr>
        <w:jc w:val="both"/>
        <w:ind w:firstLine="244"/>
        <w:spacing w:after="0" w:line="266" w:lineRule="auto"/>
        <w:rPr>
          <w:sz w:val="20"/>
          <w:szCs w:val="20"/>
          <w:color w:val="auto"/>
        </w:rPr>
      </w:pPr>
      <w:r>
        <w:rPr>
          <w:rFonts w:ascii="Times New Roman" w:cs="Times New Roman" w:eastAsia="Times New Roman" w:hAnsi="Times New Roman"/>
          <w:sz w:val="18"/>
          <w:szCs w:val="18"/>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105" w:lineRule="exact"/>
        <w:rPr>
          <w:sz w:val="20"/>
          <w:szCs w:val="20"/>
          <w:color w:val="auto"/>
        </w:rPr>
      </w:pPr>
    </w:p>
    <w:p>
      <w:pPr>
        <w:jc w:val="both"/>
        <w:ind w:firstLine="268"/>
        <w:spacing w:after="0" w:line="253" w:lineRule="auto"/>
        <w:rPr>
          <w:sz w:val="20"/>
          <w:szCs w:val="20"/>
          <w:color w:val="auto"/>
        </w:rPr>
      </w:pPr>
      <w:r>
        <w:rPr>
          <w:rFonts w:ascii="Times New Roman" w:cs="Times New Roman" w:eastAsia="Times New Roman" w:hAnsi="Times New Roman"/>
          <w:sz w:val="18"/>
          <w:szCs w:val="18"/>
          <w:color w:val="auto"/>
        </w:rPr>
        <w:t>Approximately 451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able to continue paying comparable or growing cash dividends to holders of its common stock in the future.</w:t>
      </w:r>
    </w:p>
    <w:p>
      <w:pPr>
        <w:spacing w:after="0" w:line="175" w:lineRule="exact"/>
        <w:rPr>
          <w:sz w:val="20"/>
          <w:szCs w:val="20"/>
          <w:color w:val="auto"/>
        </w:rPr>
      </w:pPr>
    </w:p>
    <w:p>
      <w:pPr>
        <w:ind w:right="20" w:firstLine="675"/>
        <w:spacing w:after="0" w:line="282" w:lineRule="auto"/>
        <w:rPr>
          <w:sz w:val="20"/>
          <w:szCs w:val="20"/>
          <w:color w:val="auto"/>
        </w:rPr>
      </w:pPr>
      <w:r>
        <w:rPr>
          <w:rFonts w:ascii="Times New Roman" w:cs="Times New Roman" w:eastAsia="Times New Roman" w:hAnsi="Times New Roman"/>
          <w:sz w:val="18"/>
          <w:szCs w:val="18"/>
          <w:color w:val="auto"/>
        </w:rPr>
        <w:t>The amount of CAFD principally depends upon the amount of cash the Company generates from its operations, which will fluctuate from quarter to quarter based on, among other things:</w:t>
      </w:r>
    </w:p>
    <w:p>
      <w:pPr>
        <w:spacing w:after="0" w:line="108" w:lineRule="exact"/>
        <w:rPr>
          <w:sz w:val="20"/>
          <w:szCs w:val="20"/>
          <w:color w:val="auto"/>
        </w:rPr>
      </w:pPr>
    </w:p>
    <w:p>
      <w:pPr>
        <w:ind w:left="1940" w:hanging="312"/>
        <w:spacing w:after="0"/>
        <w:tabs>
          <w:tab w:leader="none" w:pos="1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capital expenditures the Company makes;</w:t>
      </w:r>
    </w:p>
    <w:p>
      <w:pPr>
        <w:spacing w:after="0" w:line="117" w:lineRule="exact"/>
        <w:rPr>
          <w:rFonts w:ascii="Times New Roman" w:cs="Times New Roman" w:eastAsia="Times New Roman" w:hAnsi="Times New Roman"/>
          <w:sz w:val="18"/>
          <w:szCs w:val="18"/>
          <w:color w:val="auto"/>
        </w:rPr>
      </w:pPr>
    </w:p>
    <w:p>
      <w:pPr>
        <w:ind w:left="1960" w:hanging="332"/>
        <w:spacing w:after="0" w:line="282" w:lineRule="auto"/>
        <w:tabs>
          <w:tab w:leader="none" w:pos="1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operating and general and administrative expenses, including reimbursements to CEG for services provided to the Company in accordance with the CEG Master Services Agreement;</w:t>
      </w:r>
    </w:p>
    <w:p>
      <w:pPr>
        <w:spacing w:after="0" w:line="5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revenues generated by the business, due to seasonality, weather, or otherwise;</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and other liabilities;</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working capital needs;</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funds and access capital markets;</w:t>
      </w:r>
    </w:p>
    <w:p>
      <w:pPr>
        <w:spacing w:after="0" w:line="117" w:lineRule="exact"/>
        <w:rPr>
          <w:rFonts w:ascii="Times New Roman" w:cs="Times New Roman" w:eastAsia="Times New Roman" w:hAnsi="Times New Roman"/>
          <w:sz w:val="18"/>
          <w:szCs w:val="18"/>
          <w:color w:val="auto"/>
        </w:rPr>
      </w:pPr>
    </w:p>
    <w:p>
      <w:pPr>
        <w:ind w:left="1960" w:hanging="332"/>
        <w:spacing w:after="0" w:line="282" w:lineRule="auto"/>
        <w:tabs>
          <w:tab w:leader="none" w:pos="1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the Company's debt agreements (including project-level financing and, if applicable, corporate debt); and</w:t>
      </w:r>
    </w:p>
    <w:p>
      <w:pPr>
        <w:spacing w:after="0" w:line="5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risks affecting cash levels.</w:t>
      </w:r>
    </w:p>
    <w:p>
      <w:pPr>
        <w:spacing w:after="0" w:line="117" w:lineRule="exact"/>
        <w:rPr>
          <w:sz w:val="20"/>
          <w:szCs w:val="20"/>
          <w:color w:val="auto"/>
        </w:rPr>
      </w:pPr>
    </w:p>
    <w:p>
      <w:pPr>
        <w:jc w:val="both"/>
        <w:ind w:firstLine="201"/>
        <w:spacing w:after="0" w:line="266" w:lineRule="auto"/>
        <w:rPr>
          <w:sz w:val="20"/>
          <w:szCs w:val="20"/>
          <w:color w:val="auto"/>
        </w:rPr>
      </w:pPr>
      <w:r>
        <w:rPr>
          <w:rFonts w:ascii="Times New Roman" w:cs="Times New Roman" w:eastAsia="Times New Roman" w:hAnsi="Times New Roman"/>
          <w:sz w:val="18"/>
          <w:szCs w:val="18"/>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pacing w:after="0" w:line="122" w:lineRule="exact"/>
        <w:rPr>
          <w:sz w:val="20"/>
          <w:szCs w:val="20"/>
          <w:color w:val="auto"/>
        </w:rPr>
      </w:pPr>
    </w:p>
    <w:p>
      <w:pPr>
        <w:jc w:val="both"/>
        <w:ind w:firstLine="186"/>
        <w:spacing w:after="0" w:line="254" w:lineRule="auto"/>
        <w:rPr>
          <w:sz w:val="20"/>
          <w:szCs w:val="20"/>
          <w:color w:val="auto"/>
        </w:rPr>
      </w:pPr>
      <w:r>
        <w:rPr>
          <w:rFonts w:ascii="Times New Roman" w:cs="Times New Roman" w:eastAsia="Times New Roman" w:hAnsi="Times New Roman"/>
          <w:sz w:val="18"/>
          <w:szCs w:val="18"/>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project-level financing. For example, as a result of the PG&amp;E Bankruptcy, between early 2019 and mid-2020, certain of the Company's unconsolidated investments were unable to distribute project dividends to the Company. The project-level financing agreements generally prohibit distributions from the project entities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pacing w:after="0" w:line="134"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color w:val="auto"/>
        </w:rPr>
        <w:t>Clearway Energy LLC's CAFD will likely fluctuate from quarter to quarter, in some cases significantly, due to seasonality.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spacing w:after="0" w:line="129" w:lineRule="exact"/>
        <w:rPr>
          <w:sz w:val="20"/>
          <w:szCs w:val="20"/>
          <w:color w:val="auto"/>
        </w:rPr>
      </w:pPr>
    </w:p>
    <w:p>
      <w:pPr>
        <w:jc w:val="both"/>
        <w:ind w:right="20" w:firstLine="193"/>
        <w:spacing w:after="0" w:line="282" w:lineRule="auto"/>
        <w:rPr>
          <w:sz w:val="20"/>
          <w:szCs w:val="20"/>
          <w:color w:val="auto"/>
        </w:rPr>
      </w:pPr>
      <w:r>
        <w:rPr>
          <w:rFonts w:ascii="Times New Roman" w:cs="Times New Roman" w:eastAsia="Times New Roman" w:hAnsi="Times New Roman"/>
          <w:sz w:val="18"/>
          <w:szCs w:val="18"/>
          <w:color w:val="auto"/>
        </w:rPr>
        <w:t>Finally, dividends to holders of the Company's Class A or Class C common stock will be paid at the discretion of the Company's board of directors. The Company's board of directors may decrease the level, or entirely discontinue payment, of dividends.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a holding company and its only material asset is its interest in Clearway Energy LLC, and the Company is accordingly dependent upon distributions from Clearway Energy LLC and its subsidiaries to pay dividends and taxes and other expenses.</w:t>
      </w:r>
    </w:p>
    <w:p>
      <w:pPr>
        <w:spacing w:after="0" w:line="105" w:lineRule="exact"/>
        <w:rPr>
          <w:sz w:val="20"/>
          <w:szCs w:val="20"/>
          <w:color w:val="auto"/>
        </w:rPr>
      </w:pPr>
    </w:p>
    <w:p>
      <w:pPr>
        <w:jc w:val="both"/>
        <w:ind w:firstLine="227"/>
        <w:spacing w:after="0" w:line="256" w:lineRule="auto"/>
        <w:rPr>
          <w:sz w:val="20"/>
          <w:szCs w:val="20"/>
          <w:color w:val="auto"/>
        </w:rPr>
      </w:pPr>
      <w:r>
        <w:rPr>
          <w:rFonts w:ascii="Times New Roman" w:cs="Times New Roman" w:eastAsia="Times New Roman" w:hAnsi="Times New Roman"/>
          <w:sz w:val="18"/>
          <w:szCs w:val="18"/>
          <w:color w:val="auto"/>
        </w:rPr>
        <w:t>The Company is a holding company and has no material assets other than its ownership of membership interests in Clearway Energy LLC, a holding company that has no material assets other than its interest in Clearway Energy Operating LLC, whose sole material assets are the project companies. None of the Company, Clearway Energy LLC 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materially adversely affect the Company's liquidity and financial condition and limit the Company's ability to pay dividends to holders of the Company's Class A and Class C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may have an effect on the value of the Company's Class A and Class C common stock.</w:t>
      </w:r>
    </w:p>
    <w:p>
      <w:pPr>
        <w:spacing w:after="0" w:line="175" w:lineRule="exact"/>
        <w:rPr>
          <w:sz w:val="20"/>
          <w:szCs w:val="20"/>
          <w:color w:val="auto"/>
        </w:rPr>
      </w:pPr>
    </w:p>
    <w:p>
      <w:pPr>
        <w:jc w:val="both"/>
        <w:ind w:firstLine="197"/>
        <w:spacing w:after="0" w:line="256" w:lineRule="auto"/>
        <w:rPr>
          <w:sz w:val="20"/>
          <w:szCs w:val="20"/>
          <w:color w:val="auto"/>
        </w:rPr>
      </w:pPr>
      <w:r>
        <w:rPr>
          <w:rFonts w:ascii="Times New Roman" w:cs="Times New Roman" w:eastAsia="Times New Roman" w:hAnsi="Times New Roman"/>
          <w:sz w:val="18"/>
          <w:szCs w:val="18"/>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which are currently at low levels relative to historical rates, may lead investors of shares of the Company's Class A and Class C common stock to expect a higher dividend yield and the Company's inability to increase its dividend as a result of an increase in borrowing costs, insufficient CAFD or otherwise, could result in selling pressure on, and a decrease in the market prices of the Company's Class A and Class C common stock as investors seek alternative investments with higher yield.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105" w:lineRule="exact"/>
        <w:rPr>
          <w:sz w:val="20"/>
          <w:szCs w:val="20"/>
          <w:color w:val="auto"/>
        </w:rPr>
      </w:pPr>
    </w:p>
    <w:p>
      <w:pPr>
        <w:jc w:val="both"/>
        <w:ind w:firstLine="214"/>
        <w:spacing w:after="0" w:line="255" w:lineRule="auto"/>
        <w:rPr>
          <w:sz w:val="20"/>
          <w:szCs w:val="20"/>
          <w:color w:val="auto"/>
        </w:rPr>
      </w:pPr>
      <w:r>
        <w:rPr>
          <w:rFonts w:ascii="Times New Roman" w:cs="Times New Roman" w:eastAsia="Times New Roman" w:hAnsi="Times New Roman"/>
          <w:sz w:val="18"/>
          <w:szCs w:val="18"/>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 business as contemplated. The Company believes it is not an investment company under Section 3(b)(1) of the Investment Company Act because the Company is primarily engaged in a non-investment company business. The Company intends to conduct its operations so that the Company will not be 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the price of the Company's Class A and Class C common stock.</w:t>
      </w:r>
    </w:p>
    <w:p>
      <w:pPr>
        <w:spacing w:after="0" w:line="175" w:lineRule="exact"/>
        <w:rPr>
          <w:sz w:val="20"/>
          <w:szCs w:val="20"/>
          <w:color w:val="auto"/>
        </w:rPr>
      </w:pPr>
    </w:p>
    <w:p>
      <w:pPr>
        <w:jc w:val="both"/>
        <w:ind w:firstLine="184"/>
        <w:spacing w:after="0" w:line="254" w:lineRule="auto"/>
        <w:rPr>
          <w:sz w:val="20"/>
          <w:szCs w:val="20"/>
          <w:color w:val="auto"/>
        </w:rPr>
      </w:pPr>
      <w:r>
        <w:rPr>
          <w:rFonts w:ascii="Times New Roman" w:cs="Times New Roman" w:eastAsia="Times New Roman" w:hAnsi="Times New Roman"/>
          <w:sz w:val="18"/>
          <w:szCs w:val="18"/>
          <w:color w:val="auto"/>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GIP or CEG, the Company's business and the Company's assets; the Company's level of indebtedness and/or adverse market reaction to any indebtedness that the Company may incur in the future; the Company's ability to raise capital on favorable terms or at all; loss of any major funding source; changes in market valuations of similar power generation companies; and speculation in the press or investment community regarding the Company, GIP or CEG.</w:t>
      </w:r>
    </w:p>
    <w:p>
      <w:pPr>
        <w:spacing w:after="0" w:line="1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Securities markets in general have experienced extreme volatility that has often been unrelated to the operating performance of particular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broad market fluctuations may adversely affect the trading price of the Company's Class A and Class C common stock.</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any significant disruption to the Company’s ability to access the capital markets, or a significant increase in interest rates, could make it difficult for the Company to successfully acquire attractive projects from third parties and may also limit the Company’s ability to obtain debt or equity financing to complete such acquisitions. If the Company is unable to raise adequate proceeds when needed to fund such acquisitions, the ability to grow the Company’s project portfolio may be limited, which could have a material adverse effect on the Company’s ability to implement its growth strategy and, ultimately, its business, financial condition, results of operations and cash flows.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105" w:lineRule="exact"/>
        <w:rPr>
          <w:sz w:val="20"/>
          <w:szCs w:val="20"/>
          <w:color w:val="auto"/>
        </w:rPr>
      </w:pPr>
    </w:p>
    <w:p>
      <w:pPr>
        <w:jc w:val="both"/>
        <w:ind w:firstLine="693"/>
        <w:spacing w:after="0" w:line="261" w:lineRule="auto"/>
        <w:rPr>
          <w:sz w:val="20"/>
          <w:szCs w:val="20"/>
          <w:color w:val="auto"/>
        </w:rPr>
      </w:pPr>
      <w:r>
        <w:rPr>
          <w:rFonts w:ascii="Times New Roman" w:cs="Times New Roman" w:eastAsia="Times New Roman" w:hAnsi="Times New Roman"/>
          <w:sz w:val="18"/>
          <w:szCs w:val="18"/>
          <w:color w:val="auto"/>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ind w:left="980" w:hanging="243"/>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71" w:lineRule="exact"/>
        <w:rPr>
          <w:rFonts w:ascii="Times New Roman" w:cs="Times New Roman" w:eastAsia="Times New Roman" w:hAnsi="Times New Roman"/>
          <w:sz w:val="18"/>
          <w:szCs w:val="18"/>
          <w:color w:val="auto"/>
        </w:rPr>
      </w:pPr>
    </w:p>
    <w:p>
      <w:pPr>
        <w:ind w:left="980" w:hanging="243"/>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upon a resolution approved by a majority of the Company's directors then in office;</w:t>
      </w:r>
    </w:p>
    <w:p>
      <w:pPr>
        <w:spacing w:after="0" w:line="10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and</w:t>
      </w:r>
    </w:p>
    <w:p>
      <w:pPr>
        <w:spacing w:after="0" w:line="171"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171" w:lineRule="exact"/>
        <w:rPr>
          <w:sz w:val="20"/>
          <w:szCs w:val="20"/>
          <w:color w:val="auto"/>
        </w:rPr>
      </w:pPr>
    </w:p>
    <w:p>
      <w:pPr>
        <w:jc w:val="both"/>
        <w:ind w:firstLine="197"/>
        <w:spacing w:after="0" w:line="253"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or NRG, in open market transactions or otherwise. A purchaser of the Company's securities which is a holding company will need to determine whether a given purchase of the Company's securities may require prior FERC approval.</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experience dilution of ownership interest due to the future issuance of additional shares of the Company's Class A or Class C common stock.</w:t>
      </w:r>
    </w:p>
    <w:p>
      <w:pPr>
        <w:spacing w:after="0" w:line="105" w:lineRule="exact"/>
        <w:rPr>
          <w:sz w:val="20"/>
          <w:szCs w:val="20"/>
          <w:color w:val="auto"/>
        </w:rPr>
      </w:pPr>
    </w:p>
    <w:p>
      <w:pPr>
        <w:jc w:val="both"/>
        <w:ind w:firstLine="203"/>
        <w:spacing w:after="0" w:line="253" w:lineRule="auto"/>
        <w:rPr>
          <w:sz w:val="20"/>
          <w:szCs w:val="20"/>
          <w:color w:val="auto"/>
        </w:rPr>
      </w:pPr>
      <w:r>
        <w:rPr>
          <w:rFonts w:ascii="Times New Roman" w:cs="Times New Roman" w:eastAsia="Times New Roman" w:hAnsi="Times New Roman"/>
          <w:sz w:val="18"/>
          <w:szCs w:val="18"/>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sales of preferred shares or convertible debt to complete future acquisitions, expansions and capital expenditures and pay the general and administrative costs of the Company's business. In the future, the Company may issue shares under its ATM Program and the Company's previously authorized and unissued securities,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the Company, the Company's business or the Company's market, or if they change their recommendations regarding the Company's Class A and/or Class C common stock adversely, the stock price and trading volume of the Company's Class A and/or Class C common stock could decline.</w:t>
      </w:r>
    </w:p>
    <w:p>
      <w:pPr>
        <w:spacing w:after="0" w:line="121" w:lineRule="exact"/>
        <w:rPr>
          <w:sz w:val="20"/>
          <w:szCs w:val="20"/>
          <w:color w:val="auto"/>
        </w:rPr>
      </w:pPr>
    </w:p>
    <w:p>
      <w:pPr>
        <w:jc w:val="both"/>
        <w:ind w:firstLine="211"/>
        <w:spacing w:after="0" w:line="256" w:lineRule="auto"/>
        <w:rPr>
          <w:sz w:val="20"/>
          <w:szCs w:val="20"/>
          <w:color w:val="auto"/>
        </w:rPr>
      </w:pPr>
      <w:r>
        <w:rPr>
          <w:rFonts w:ascii="Times New Roman" w:cs="Times New Roman" w:eastAsia="Times New Roman" w:hAnsi="Times New Roman"/>
          <w:sz w:val="18"/>
          <w:szCs w:val="18"/>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would likely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the Company's Class A or Class C common stock by GIP may cause the price of the Company's Class A or Class C common stock to fall.</w:t>
      </w:r>
    </w:p>
    <w:p>
      <w:pPr>
        <w:spacing w:after="0" w:line="105" w:lineRule="exact"/>
        <w:rPr>
          <w:sz w:val="20"/>
          <w:szCs w:val="20"/>
          <w:color w:val="auto"/>
        </w:rPr>
      </w:pPr>
    </w:p>
    <w:p>
      <w:pPr>
        <w:jc w:val="both"/>
        <w:ind w:firstLine="195"/>
        <w:spacing w:after="0" w:line="282" w:lineRule="auto"/>
        <w:rPr>
          <w:sz w:val="20"/>
          <w:szCs w:val="20"/>
          <w:color w:val="auto"/>
        </w:rPr>
      </w:pPr>
      <w:r>
        <w:rPr>
          <w:rFonts w:ascii="Times New Roman" w:cs="Times New Roman" w:eastAsia="Times New Roman" w:hAnsi="Times New Roman"/>
          <w:sz w:val="18"/>
          <w:szCs w:val="18"/>
          <w:color w:val="auto"/>
        </w:rPr>
        <w:t>The market price of the Company's Class A or Class C common stock could decline as a result of sales by GIP of such shares (issuable to GIP upon the exchange of some or all of its Clearway Energy LLC Class B or Class D units, respectively) in the market, or the perception that these sales could occur.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both"/>
        <w:ind w:firstLine="219"/>
        <w:spacing w:after="0" w:line="255" w:lineRule="auto"/>
        <w:rPr>
          <w:sz w:val="20"/>
          <w:szCs w:val="20"/>
          <w:color w:val="auto"/>
        </w:rPr>
      </w:pPr>
      <w:r>
        <w:rPr>
          <w:rFonts w:ascii="Times New Roman" w:cs="Times New Roman" w:eastAsia="Times New Roman" w:hAnsi="Times New Roman"/>
          <w:sz w:val="18"/>
          <w:szCs w:val="18"/>
          <w:color w:val="auto"/>
        </w:rPr>
        <w:t>The market price of the Company's Class A or Class C common stock may also decline as a result of GIP disposing or transferring some or all of the Company's outstanding Class B or Class D common stock, which disposals or transfers would reduce GIP's ownership interest in, and voting control over, the Company. These sales might also make it more difficult for the Company to sell equity securities at a time and price that the Company deems appropriate. GIP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may have a material adverse effect on the market price of the Company's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spacing w:after="0" w:line="105" w:lineRule="exact"/>
        <w:rPr>
          <w:sz w:val="20"/>
          <w:szCs w:val="20"/>
          <w:color w:val="auto"/>
        </w:rPr>
      </w:pPr>
    </w:p>
    <w:p>
      <w:pPr>
        <w:jc w:val="both"/>
        <w:ind w:firstLine="228"/>
        <w:spacing w:after="0" w:line="253" w:lineRule="auto"/>
        <w:rPr>
          <w:sz w:val="20"/>
          <w:szCs w:val="20"/>
          <w:color w:val="auto"/>
        </w:rPr>
      </w:pPr>
      <w:r>
        <w:rPr>
          <w:rFonts w:ascii="Times New Roman" w:cs="Times New Roman" w:eastAsia="Times New Roman" w:hAnsi="Times New Roman"/>
          <w:sz w:val="18"/>
          <w:szCs w:val="18"/>
          <w:color w:val="auto"/>
        </w:rPr>
        <w:t>The Company expects to generate NOLs and carryforward prior year NOL balances to offset future taxable income. Based on the Company's current portfolio of assets, which include renewable assets that benefit from accelerated tax depreciation deductions and federal tax credits, the Company does not expect to pay significant federal income tax for a period of approximately ten years. While the Company expects these losses will be available as a future benefit, in the event that they are not generated as expected, successfully challenged by the IRS or state and local jurisdictions (in a tax audit or otherwise) or subject to future limitations from a potential change in ownership, as discussed below, the Company's ability to realize these benefits may be limited. In addition, the Company’s ability to realize state and local tax exemptions, including property or sales and use tax exemptions, is subject to various tax laws. If these exemptions are successfully challenged by state and local jurisdictions or if a change in tax law occurs, the Company’s ability to realize these exemptions could be affected. A reduction in the Company's expected NOLs, a limitation on the Company's ability to use such losses or tax credits, and challenges by tax authorities to the Company’s tax positions may result in a material increase in the Company's estimated future income, sales/use and property tax liability and may negatively impact the Company's liquidity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ability to use NOLs to offset future income may be limited.</w:t>
      </w:r>
    </w:p>
    <w:p>
      <w:pPr>
        <w:spacing w:after="0" w:line="175"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for the month in which the ownership change occurs. Future sales of any class of the Company's common stock by GIP, as well as future issuances by the Company, could contribute to a potential ownership 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valuation allowance may be required for the Company's deferred tax assets.</w:t>
      </w:r>
    </w:p>
    <w:p>
      <w:pPr>
        <w:spacing w:after="0" w:line="175" w:lineRule="exact"/>
        <w:rPr>
          <w:sz w:val="20"/>
          <w:szCs w:val="20"/>
          <w:color w:val="auto"/>
        </w:rPr>
      </w:pPr>
    </w:p>
    <w:p>
      <w:pPr>
        <w:jc w:val="both"/>
        <w:ind w:firstLine="221"/>
        <w:spacing w:after="0" w:line="256" w:lineRule="auto"/>
        <w:rPr>
          <w:sz w:val="20"/>
          <w:szCs w:val="20"/>
          <w:color w:val="auto"/>
        </w:rPr>
      </w:pPr>
      <w:r>
        <w:rPr>
          <w:rFonts w:ascii="Times New Roman" w:cs="Times New Roman" w:eastAsia="Times New Roman" w:hAnsi="Times New Roman"/>
          <w:sz w:val="18"/>
          <w:szCs w:val="18"/>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the net deferred tax assets in the future, the Company would reduce such amounts through a charge to income tax expense in the period in which that determination was made, which could have a material adverse impact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holders of the Company's Class A and Class C common stock may be taxable.</w:t>
      </w:r>
    </w:p>
    <w:p>
      <w:pPr>
        <w:spacing w:after="0" w:line="256" w:lineRule="exact"/>
        <w:rPr>
          <w:sz w:val="20"/>
          <w:szCs w:val="20"/>
          <w:color w:val="auto"/>
        </w:rPr>
      </w:pPr>
    </w:p>
    <w:p>
      <w:pPr>
        <w:jc w:val="both"/>
        <w:ind w:firstLine="188"/>
        <w:spacing w:after="0" w:line="297" w:lineRule="auto"/>
        <w:rPr>
          <w:sz w:val="20"/>
          <w:szCs w:val="20"/>
          <w:color w:val="auto"/>
        </w:rPr>
      </w:pPr>
      <w:r>
        <w:rPr>
          <w:rFonts w:ascii="Times New Roman" w:cs="Times New Roman" w:eastAsia="Times New Roman" w:hAnsi="Times New Roman"/>
          <w:sz w:val="18"/>
          <w:szCs w:val="18"/>
          <w:color w:val="auto"/>
        </w:rPr>
        <w:t>The amount of distributions that will be treated as taxable for U.S. federal income tax purposes will depend on the amount of the Company's current and accumulated earnings and profits. It is difficult to predict whether the Company will generate earnings or profits as computed for federal income tax</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Distributions in excess of the Company’s current and accumulated earnings and profits will constitute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3" w:lineRule="exact"/>
        <w:rPr>
          <w:sz w:val="20"/>
          <w:szCs w:val="20"/>
          <w:color w:val="auto"/>
        </w:rPr>
      </w:pPr>
    </w:p>
    <w:p>
      <w:pPr>
        <w:jc w:val="both"/>
        <w:ind w:firstLine="288"/>
        <w:spacing w:after="0" w:line="255" w:lineRule="auto"/>
        <w:rPr>
          <w:sz w:val="20"/>
          <w:szCs w:val="20"/>
          <w:color w:val="auto"/>
        </w:rPr>
      </w:pPr>
      <w:r>
        <w:rPr>
          <w:rFonts w:ascii="Times New Roman" w:cs="Times New Roman" w:eastAsia="Times New Roman" w:hAnsi="Times New Roman"/>
          <w:sz w:val="18"/>
          <w:szCs w:val="18"/>
          <w:color w:val="auto"/>
        </w:rPr>
        <w:t>For U.S. tax purposes, the Company's distributions to its stockholders in 2020 and 2019 are classified for U.S. federal income tax purposes as a nontaxable return of capital and reduction of a U.S. stockholder's tax basis, to the extent of a U.S. stockholder's tax basis in each of the Company's common shares, with any remaining amount being taxed as a capital gain.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jc w:val="both"/>
        <w:ind w:firstLine="283"/>
        <w:spacing w:after="0" w:line="255" w:lineRule="auto"/>
        <w:rPr>
          <w:sz w:val="20"/>
          <w:szCs w:val="20"/>
          <w:color w:val="auto"/>
        </w:rPr>
      </w:pPr>
      <w:r>
        <w:rPr>
          <w:rFonts w:ascii="Times New Roman" w:cs="Times New Roman" w:eastAsia="Times New Roman" w:hAnsi="Times New Roman"/>
          <w:sz w:val="18"/>
          <w:szCs w:val="18"/>
          <w:color w:val="auto"/>
        </w:rPr>
        <w:t xml:space="preserve">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the following:</w:t>
      </w:r>
    </w:p>
    <w:p>
      <w:pPr>
        <w:spacing w:after="0" w:line="13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COVID-19 or any other pandemic;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and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GIP or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 and in the indentures governing the Company's convertible notes;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engage in successful mergers and acquisitions activity;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0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descriptions of the Company's interests in facilities, operations and/or projects owned or leased as of December 31, 2020.</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Rated</w:t>
            </w:r>
          </w:p>
        </w:tc>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PPA Terms</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780" w:type="dxa"/>
            <w:vAlign w:val="bottom"/>
            <w:gridSpan w:val="2"/>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Fuel</w:t>
            </w:r>
          </w:p>
        </w:tc>
        <w:tc>
          <w:tcPr>
            <w:tcW w:w="13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COD</w:t>
            </w:r>
          </w:p>
        </w:tc>
        <w:tc>
          <w:tcPr>
            <w:tcW w:w="19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1040" w:type="dxa"/>
            <w:vAlign w:val="bottom"/>
            <w:vMerge w:val="restart"/>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line="20" w:lineRule="exact"/>
              <w:rPr>
                <w:sz w:val="1"/>
                <w:szCs w:val="1"/>
                <w:color w:val="auto"/>
              </w:rPr>
            </w:pPr>
          </w:p>
        </w:tc>
      </w:tr>
      <w:tr>
        <w:trPr>
          <w:trHeight w:val="216"/>
        </w:trPr>
        <w:tc>
          <w:tcPr>
            <w:tcW w:w="182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MW</w:t>
            </w:r>
          </w:p>
        </w:tc>
        <w:tc>
          <w:tcPr>
            <w:tcW w:w="700" w:type="dxa"/>
            <w:vAlign w:val="bottom"/>
          </w:tcPr>
          <w:p>
            <w:pPr>
              <w:jc w:val="right"/>
              <w:ind w:right="69"/>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MW</w:t>
            </w:r>
            <w:r>
              <w:rPr>
                <w:rFonts w:ascii="Times New Roman" w:cs="Times New Roman" w:eastAsia="Times New Roman" w:hAnsi="Times New Roman"/>
                <w:sz w:val="9"/>
                <w:szCs w:val="9"/>
                <w:b w:val="1"/>
                <w:bCs w:val="1"/>
                <w:color w:val="auto"/>
              </w:rPr>
              <w:t>(a)</w:t>
            </w: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Conventional</w:t>
            </w: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Carlsbad</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Carlsbad,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2018</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 Diego Gas &amp; Electric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 Segundo</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Segundo, CA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August 2013</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GenConn Devon</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Milford, CT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Gas/Oil</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2010</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GenConn Middletown</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Middletown, CT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Natural Gas/Oil</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2011</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Marsh Landing</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Antioch,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2013</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9"/>
        </w:trPr>
        <w:tc>
          <w:tcPr>
            <w:tcW w:w="1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Walnut Creek</w:t>
            </w:r>
          </w:p>
        </w:tc>
        <w:tc>
          <w:tcPr>
            <w:tcW w:w="1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City of Industry, CA</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May 2013</w:t>
            </w:r>
          </w:p>
        </w:tc>
        <w:tc>
          <w:tcPr>
            <w:tcW w:w="1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6"/>
        </w:trPr>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Total Conventional</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Agua Caliente</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Dateland, AZ</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2014</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Alpine</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Lancaster, CA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2013</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Avenal</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Avenal,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August 2011</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Avra Valley</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Pima County, AZ</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2012</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Tucson Electric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Blythe</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Blythe,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2009</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Borrego</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Borrego Springs, CA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2013</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Diego Gas and Electric</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18"/>
                <w:szCs w:val="18"/>
                <w:color w:val="auto"/>
                <w:vertAlign w:val="superscript"/>
              </w:rPr>
              <w:t>(b)</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Fort Stockton, TX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2018</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City of Georgetown, TX</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Luis Obispo, CA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2013</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Desert Sunlight 250</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Desert Center,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2014</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Desert Sunlight 300</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Desert Center, CA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2014</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Kansas South</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Lemoore,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2013</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Kawailoa </w:t>
            </w:r>
            <w:r>
              <w:rPr>
                <w:rFonts w:ascii="Times New Roman" w:cs="Times New Roman" w:eastAsia="Times New Roman" w:hAnsi="Times New Roman"/>
                <w:sz w:val="18"/>
                <w:szCs w:val="18"/>
                <w:color w:val="auto"/>
                <w:vertAlign w:val="superscript"/>
              </w:rPr>
              <w:t>(b)</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Oahu, HI</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November 2019</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Oahu Solar Projects </w:t>
            </w:r>
            <w:r>
              <w:rPr>
                <w:rFonts w:ascii="Times New Roman" w:cs="Times New Roman" w:eastAsia="Times New Roman" w:hAnsi="Times New Roman"/>
                <w:sz w:val="18"/>
                <w:szCs w:val="18"/>
                <w:color w:val="auto"/>
                <w:vertAlign w:val="superscript"/>
              </w:rPr>
              <w:t>(b)</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Oahu, HI</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2019</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Roadrunner</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Santa Teresa, NM</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August 2011</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Paso Electric</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18"/>
                <w:szCs w:val="18"/>
                <w:color w:val="auto"/>
                <w:vertAlign w:val="superscript"/>
              </w:rPr>
              <w:t>(b)</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Rosamond,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2020</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 High Desert</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Lancaster, CA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2013</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35"/>
        </w:trPr>
        <w:tc>
          <w:tcPr>
            <w:tcW w:w="1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Utah Solar Portfolio </w:t>
            </w:r>
            <w:r>
              <w:rPr>
                <w:rFonts w:ascii="Times New Roman" w:cs="Times New Roman" w:eastAsia="Times New Roman" w:hAnsi="Times New Roman"/>
                <w:sz w:val="18"/>
                <w:szCs w:val="18"/>
                <w:color w:val="auto"/>
                <w:vertAlign w:val="superscript"/>
              </w:rPr>
              <w:t>(b)</w:t>
            </w:r>
          </w:p>
        </w:tc>
        <w:tc>
          <w:tcPr>
            <w:tcW w:w="1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Various</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July - September</w:t>
            </w:r>
          </w:p>
        </w:tc>
        <w:tc>
          <w:tcPr>
            <w:tcW w:w="1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PacifiCorp</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4"/>
        </w:trPr>
        <w:tc>
          <w:tcPr>
            <w:tcW w:w="182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shd w:val="clear" w:color="auto" w:fill="CCEEFF"/>
          </w:tcPr>
          <w:p>
            <w:pPr>
              <w:spacing w:after="0"/>
              <w:rPr>
                <w:sz w:val="16"/>
                <w:szCs w:val="16"/>
                <w:color w:val="auto"/>
              </w:rPr>
            </w:pPr>
          </w:p>
        </w:tc>
        <w:tc>
          <w:tcPr>
            <w:tcW w:w="192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DGPV Fund Projects </w:t>
            </w:r>
            <w:r>
              <w:rPr>
                <w:rFonts w:ascii="Times New Roman" w:cs="Times New Roman" w:eastAsia="Times New Roman" w:hAnsi="Times New Roman"/>
                <w:sz w:val="18"/>
                <w:szCs w:val="18"/>
                <w:color w:val="auto"/>
                <w:vertAlign w:val="superscript"/>
              </w:rPr>
              <w:t>(b)</w:t>
            </w: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Various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September 2015 -</w:t>
            </w:r>
          </w:p>
        </w:tc>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Various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2030 - 2044</w:t>
            </w:r>
          </w:p>
        </w:tc>
        <w:tc>
          <w:tcPr>
            <w:tcW w:w="0" w:type="dxa"/>
            <w:vAlign w:val="bottom"/>
          </w:tcPr>
          <w:p>
            <w:pPr>
              <w:spacing w:after="0"/>
              <w:rPr>
                <w:sz w:val="1"/>
                <w:szCs w:val="1"/>
                <w:color w:val="auto"/>
              </w:rPr>
            </w:pPr>
          </w:p>
        </w:tc>
      </w:tr>
      <w:tr>
        <w:trPr>
          <w:trHeight w:val="189"/>
        </w:trPr>
        <w:tc>
          <w:tcPr>
            <w:tcW w:w="18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2019</w:t>
            </w:r>
          </w:p>
        </w:tc>
        <w:tc>
          <w:tcPr>
            <w:tcW w:w="19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Solar Power Partners (SPP)</w:t>
            </w:r>
          </w:p>
        </w:tc>
        <w:tc>
          <w:tcPr>
            <w:tcW w:w="1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Various</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June 2008 - June</w:t>
            </w:r>
          </w:p>
        </w:tc>
        <w:tc>
          <w:tcPr>
            <w:tcW w:w="1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Various</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2026 - 2037</w:t>
            </w: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Projects</w:t>
            </w:r>
          </w:p>
        </w:tc>
        <w:tc>
          <w:tcPr>
            <w:tcW w:w="13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2012</w:t>
            </w:r>
          </w:p>
        </w:tc>
        <w:tc>
          <w:tcPr>
            <w:tcW w:w="120" w:type="dxa"/>
            <w:vAlign w:val="bottom"/>
            <w:shd w:val="clear" w:color="auto" w:fill="CCEEFF"/>
          </w:tcPr>
          <w:p>
            <w:pPr>
              <w:spacing w:after="0"/>
              <w:rPr>
                <w:sz w:val="16"/>
                <w:szCs w:val="16"/>
                <w:color w:val="auto"/>
              </w:rPr>
            </w:pPr>
          </w:p>
        </w:tc>
        <w:tc>
          <w:tcPr>
            <w:tcW w:w="192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Other DG Projects</w:t>
            </w: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Various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December 2010 -</w:t>
            </w:r>
          </w:p>
        </w:tc>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Various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2023 - 2039</w:t>
            </w:r>
          </w:p>
        </w:tc>
        <w:tc>
          <w:tcPr>
            <w:tcW w:w="0" w:type="dxa"/>
            <w:vAlign w:val="bottom"/>
          </w:tcPr>
          <w:p>
            <w:pPr>
              <w:spacing w:after="0"/>
              <w:rPr>
                <w:sz w:val="1"/>
                <w:szCs w:val="1"/>
                <w:color w:val="auto"/>
              </w:rPr>
            </w:pPr>
          </w:p>
        </w:tc>
      </w:tr>
      <w:tr>
        <w:trPr>
          <w:trHeight w:val="189"/>
        </w:trPr>
        <w:tc>
          <w:tcPr>
            <w:tcW w:w="1820" w:type="dxa"/>
            <w:vAlign w:val="bottom"/>
            <w:tcBorders>
              <w:bottom w:val="single" w:sz="8" w:color="CCEEFF"/>
            </w:tcBorders>
            <w:gridSpan w:val="2"/>
            <w:vMerge w:val="continue"/>
          </w:tcPr>
          <w:p>
            <w:pPr>
              <w:spacing w:after="0"/>
              <w:rPr>
                <w:sz w:val="16"/>
                <w:szCs w:val="16"/>
                <w:color w:val="auto"/>
              </w:rPr>
            </w:pPr>
          </w:p>
        </w:tc>
        <w:tc>
          <w:tcPr>
            <w:tcW w:w="1380" w:type="dxa"/>
            <w:vAlign w:val="bottom"/>
            <w:tcBorders>
              <w:bottom w:val="single" w:sz="8" w:color="CCEEFF"/>
            </w:tcBorders>
            <w:gridSpan w:val="2"/>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gridSpan w:val="2"/>
            <w:vMerge w:val="continue"/>
          </w:tcPr>
          <w:p>
            <w:pPr>
              <w:spacing w:after="0"/>
              <w:rPr>
                <w:sz w:val="16"/>
                <w:szCs w:val="16"/>
                <w:color w:val="auto"/>
              </w:rPr>
            </w:pPr>
          </w:p>
        </w:tc>
        <w:tc>
          <w:tcPr>
            <w:tcW w:w="1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October 2015</w:t>
            </w:r>
          </w:p>
        </w:tc>
        <w:tc>
          <w:tcPr>
            <w:tcW w:w="1920" w:type="dxa"/>
            <w:vAlign w:val="bottom"/>
            <w:tcBorders>
              <w:bottom w:val="single" w:sz="8" w:color="CCEEFF"/>
            </w:tcBorders>
            <w:gridSpan w:val="2"/>
            <w:vMerge w:val="continue"/>
          </w:tcPr>
          <w:p>
            <w:pPr>
              <w:spacing w:after="0"/>
              <w:rPr>
                <w:sz w:val="16"/>
                <w:szCs w:val="16"/>
                <w:color w:val="auto"/>
              </w:rPr>
            </w:pPr>
          </w:p>
        </w:tc>
        <w:tc>
          <w:tcPr>
            <w:tcW w:w="104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Rated</w:t>
            </w:r>
          </w:p>
        </w:tc>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PPA Terms</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780" w:type="dxa"/>
            <w:vAlign w:val="bottom"/>
            <w:gridSpan w:val="2"/>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0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Fuel</w:t>
            </w:r>
          </w:p>
        </w:tc>
        <w:tc>
          <w:tcPr>
            <w:tcW w:w="1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COD</w:t>
            </w:r>
          </w:p>
        </w:tc>
        <w:tc>
          <w:tcPr>
            <w:tcW w:w="19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1040" w:type="dxa"/>
            <w:vAlign w:val="bottom"/>
            <w:vMerge w:val="restart"/>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line="20" w:lineRule="exact"/>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MW</w:t>
            </w:r>
          </w:p>
        </w:tc>
        <w:tc>
          <w:tcPr>
            <w:tcW w:w="700" w:type="dxa"/>
            <w:vAlign w:val="bottom"/>
          </w:tcPr>
          <w:p>
            <w:pPr>
              <w:jc w:val="right"/>
              <w:ind w:right="69"/>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MW</w:t>
            </w:r>
            <w:r>
              <w:rPr>
                <w:rFonts w:ascii="Times New Roman" w:cs="Times New Roman" w:eastAsia="Times New Roman" w:hAnsi="Times New Roman"/>
                <w:sz w:val="9"/>
                <w:szCs w:val="9"/>
                <w:b w:val="1"/>
                <w:bCs w:val="1"/>
                <w:color w:val="auto"/>
              </w:rPr>
              <w:t>(a)</w:t>
            </w: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Wind</w:t>
            </w: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Alta I</w:t>
            </w: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Tehachapi,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2010</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Alta II</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Tehachapi, CA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2010</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Alta III</w:t>
            </w: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Tehachapi,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2011</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Alta IV</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Tehachapi, CA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2011</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Alta V</w:t>
            </w: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Tehachapi,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2011</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Alta X </w:t>
            </w:r>
            <w:r>
              <w:rPr>
                <w:rFonts w:ascii="Times New Roman" w:cs="Times New Roman" w:eastAsia="Times New Roman" w:hAnsi="Times New Roman"/>
                <w:sz w:val="18"/>
                <w:szCs w:val="18"/>
                <w:color w:val="auto"/>
                <w:vertAlign w:val="superscript"/>
              </w:rPr>
              <w:t>(b)</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Tehachapi, CA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2014</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Alta XI </w:t>
            </w:r>
            <w:r>
              <w:rPr>
                <w:rFonts w:ascii="Times New Roman" w:cs="Times New Roman" w:eastAsia="Times New Roman" w:hAnsi="Times New Roman"/>
                <w:sz w:val="18"/>
                <w:szCs w:val="18"/>
                <w:color w:val="auto"/>
                <w:vertAlign w:val="superscript"/>
              </w:rPr>
              <w:t>(b)</w:t>
            </w: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Tehachapi,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2014</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35"/>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Buffalo Bear</w:t>
            </w:r>
          </w:p>
        </w:tc>
        <w:tc>
          <w:tcPr>
            <w:tcW w:w="1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Buffalo, OK</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1"/>
                <w:szCs w:val="11"/>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2008</w:t>
            </w:r>
          </w:p>
        </w:tc>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Western Farmers Electric Co-</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89"/>
        </w:trPr>
        <w:tc>
          <w:tcPr>
            <w:tcW w:w="150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operative</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Crosswinds</w:t>
            </w: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Ayrshire, IA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2007</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Corn Belt Power Cooperative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18"/>
                <w:szCs w:val="18"/>
                <w:color w:val="auto"/>
                <w:vertAlign w:val="superscript"/>
              </w:rPr>
              <w:t>(b)</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Howard County, TX</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2008</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35"/>
        </w:trPr>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Elkhorn Ridge</w:t>
            </w:r>
          </w:p>
        </w:tc>
        <w:tc>
          <w:tcPr>
            <w:tcW w:w="16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Bloomfield, NE</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2009</w:t>
            </w:r>
          </w:p>
        </w:tc>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Nebraska Public Power</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89"/>
        </w:trPr>
        <w:tc>
          <w:tcPr>
            <w:tcW w:w="1500" w:type="dxa"/>
            <w:vAlign w:val="bottom"/>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District</w:t>
            </w: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Berlin, PA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April 2008</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35"/>
        </w:trPr>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Goat Wind</w:t>
            </w:r>
          </w:p>
        </w:tc>
        <w:tc>
          <w:tcPr>
            <w:tcW w:w="16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Sterling City, TX</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150</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April 2008/June</w:t>
            </w:r>
          </w:p>
        </w:tc>
        <w:tc>
          <w:tcPr>
            <w:tcW w:w="1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Dow Pipeline Company</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89"/>
        </w:trPr>
        <w:tc>
          <w:tcPr>
            <w:tcW w:w="1500" w:type="dxa"/>
            <w:vAlign w:val="bottom"/>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2009</w:t>
            </w:r>
          </w:p>
        </w:tc>
        <w:tc>
          <w:tcPr>
            <w:tcW w:w="120" w:type="dxa"/>
            <w:vAlign w:val="bottom"/>
            <w:shd w:val="clear" w:color="auto" w:fill="CCEEFF"/>
          </w:tcPr>
          <w:p>
            <w:pPr>
              <w:spacing w:after="0"/>
              <w:rPr>
                <w:sz w:val="16"/>
                <w:szCs w:val="16"/>
                <w:color w:val="auto"/>
              </w:rPr>
            </w:pPr>
          </w:p>
        </w:tc>
        <w:tc>
          <w:tcPr>
            <w:tcW w:w="192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Hardin</w:t>
            </w:r>
          </w:p>
        </w:tc>
        <w:tc>
          <w:tcPr>
            <w:tcW w:w="1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Jefferson, IA</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1"/>
                <w:szCs w:val="11"/>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May 2007</w:t>
            </w:r>
          </w:p>
        </w:tc>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Interstate Power and Light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89"/>
        </w:trPr>
        <w:tc>
          <w:tcPr>
            <w:tcW w:w="150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December</w:t>
            </w: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18"/>
                <w:szCs w:val="18"/>
                <w:color w:val="auto"/>
                <w:vertAlign w:val="superscript"/>
              </w:rPr>
              <w:t>(b)</w:t>
            </w:r>
          </w:p>
        </w:tc>
        <w:tc>
          <w:tcPr>
            <w:tcW w:w="16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Christoval, TX</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160</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2009/November</w:t>
            </w:r>
          </w:p>
        </w:tc>
        <w:tc>
          <w:tcPr>
            <w:tcW w:w="1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89"/>
        </w:trPr>
        <w:tc>
          <w:tcPr>
            <w:tcW w:w="1500" w:type="dxa"/>
            <w:vAlign w:val="bottom"/>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shd w:val="clear" w:color="auto" w:fill="CCEEFF"/>
          </w:tcPr>
          <w:p>
            <w:pPr>
              <w:spacing w:after="0"/>
              <w:rPr>
                <w:sz w:val="16"/>
                <w:szCs w:val="16"/>
                <w:color w:val="auto"/>
              </w:rPr>
            </w:pPr>
          </w:p>
        </w:tc>
        <w:tc>
          <w:tcPr>
            <w:tcW w:w="192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Laredo Ridge</w:t>
            </w:r>
          </w:p>
        </w:tc>
        <w:tc>
          <w:tcPr>
            <w:tcW w:w="1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Petersburg, NE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1"/>
                <w:szCs w:val="11"/>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80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February 2011</w:t>
            </w:r>
          </w:p>
        </w:tc>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Nebraska Public Power</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89"/>
        </w:trPr>
        <w:tc>
          <w:tcPr>
            <w:tcW w:w="150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District</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Lookout </w:t>
            </w:r>
            <w:r>
              <w:rPr>
                <w:rFonts w:ascii="Times New Roman" w:cs="Times New Roman" w:eastAsia="Times New Roman" w:hAnsi="Times New Roman"/>
                <w:sz w:val="18"/>
                <w:szCs w:val="18"/>
                <w:color w:val="auto"/>
                <w:vertAlign w:val="superscript"/>
              </w:rPr>
              <w:t>(b)</w:t>
            </w:r>
          </w:p>
        </w:tc>
        <w:tc>
          <w:tcPr>
            <w:tcW w:w="16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Berlin, PA</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2008</w:t>
            </w:r>
          </w:p>
        </w:tc>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Southern Maryland Electric</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89"/>
        </w:trPr>
        <w:tc>
          <w:tcPr>
            <w:tcW w:w="1500" w:type="dxa"/>
            <w:vAlign w:val="bottom"/>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Cooperative</w:t>
            </w: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Mesquite Star</w:t>
            </w:r>
            <w:r>
              <w:rPr>
                <w:rFonts w:ascii="Times New Roman" w:cs="Times New Roman" w:eastAsia="Times New Roman" w:hAnsi="Times New Roman"/>
                <w:sz w:val="18"/>
                <w:szCs w:val="18"/>
                <w:color w:val="auto"/>
                <w:vertAlign w:val="superscript"/>
              </w:rPr>
              <w:t>(b)</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Fisher County, TX</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2020</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2032 - 2035</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Ocotillo</w:t>
            </w: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Forsan, TX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November 2008</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w:t>
            </w: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Odin</w:t>
            </w:r>
          </w:p>
        </w:tc>
        <w:tc>
          <w:tcPr>
            <w:tcW w:w="1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Odin, MN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1"/>
                <w:szCs w:val="11"/>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June 2008</w:t>
            </w:r>
          </w:p>
        </w:tc>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Missouri River Energy</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89"/>
        </w:trPr>
        <w:tc>
          <w:tcPr>
            <w:tcW w:w="150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Maryland Department of</w:t>
            </w: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General Services and</w:t>
            </w: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Pinnacle</w:t>
            </w:r>
          </w:p>
        </w:tc>
        <w:tc>
          <w:tcPr>
            <w:tcW w:w="16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Keyser, WV</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2011</w:t>
            </w:r>
          </w:p>
        </w:tc>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University System of</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89"/>
        </w:trPr>
        <w:tc>
          <w:tcPr>
            <w:tcW w:w="1500" w:type="dxa"/>
            <w:vAlign w:val="bottom"/>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Maryland</w:t>
            </w: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San Juan Mesa</w:t>
            </w:r>
          </w:p>
        </w:tc>
        <w:tc>
          <w:tcPr>
            <w:tcW w:w="1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Elida, NM</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1"/>
                <w:szCs w:val="11"/>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90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2005</w:t>
            </w:r>
          </w:p>
        </w:tc>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Southwestern Public Service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89"/>
        </w:trPr>
        <w:tc>
          <w:tcPr>
            <w:tcW w:w="150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Sleeping Bear</w:t>
            </w:r>
          </w:p>
        </w:tc>
        <w:tc>
          <w:tcPr>
            <w:tcW w:w="16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Woodward, OK</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2007</w:t>
            </w:r>
          </w:p>
        </w:tc>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Public Service Company of</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89"/>
        </w:trPr>
        <w:tc>
          <w:tcPr>
            <w:tcW w:w="1500" w:type="dxa"/>
            <w:vAlign w:val="bottom"/>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Oklahoma</w:t>
            </w: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 Trent</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Sweetwater, TX</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2009</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AEP Energy Partners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Spanish Fork</w:t>
            </w: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Spanish Fork, UT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2008</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Spring Canyon II </w:t>
            </w:r>
            <w:r>
              <w:rPr>
                <w:rFonts w:ascii="Times New Roman" w:cs="Times New Roman" w:eastAsia="Times New Roman" w:hAnsi="Times New Roman"/>
                <w:sz w:val="18"/>
                <w:szCs w:val="18"/>
                <w:color w:val="auto"/>
                <w:vertAlign w:val="superscript"/>
              </w:rPr>
              <w:t>(b)</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Logan County, CO</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October 2014</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Spring Canyon III </w:t>
            </w:r>
            <w:r>
              <w:rPr>
                <w:rFonts w:ascii="Times New Roman" w:cs="Times New Roman" w:eastAsia="Times New Roman" w:hAnsi="Times New Roman"/>
                <w:sz w:val="18"/>
                <w:szCs w:val="18"/>
                <w:color w:val="auto"/>
                <w:vertAlign w:val="superscript"/>
              </w:rPr>
              <w:t>(b)</w:t>
            </w: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Logan County, CO</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2014</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Taloga</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Putnam, OK</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July 2011</w:t>
            </w: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35"/>
        </w:trPr>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18"/>
                <w:szCs w:val="18"/>
                <w:color w:val="auto"/>
                <w:vertAlign w:val="superscript"/>
              </w:rPr>
              <w:t>(b)</w:t>
            </w:r>
          </w:p>
        </w:tc>
        <w:tc>
          <w:tcPr>
            <w:tcW w:w="16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Vega, TX</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161</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w:t>
            </w: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2007</w:t>
            </w:r>
          </w:p>
        </w:tc>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Southwestern Public Service</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94"/>
        </w:trPr>
        <w:tc>
          <w:tcPr>
            <w:tcW w:w="1500" w:type="dxa"/>
            <w:vAlign w:val="bottom"/>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w:t>
            </w: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2,632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34" w:right="359" w:bottom="1440" w:gutter="0" w:footer="0" w:header="0"/>
        </w:sectPr>
      </w:pPr>
    </w:p>
    <w:bookmarkStart w:id="40" w:name="page41"/>
    <w:bookmarkEnd w:id="40"/>
    <w:tbl>
      <w:tblPr>
        <w:tblLayout w:type="fixed"/>
        <w:tblInd w:w="32"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Rated</w:t>
            </w:r>
          </w:p>
        </w:tc>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6"/>
                <w:szCs w:val="16"/>
                <w:b w:val="1"/>
                <w:bCs w:val="1"/>
                <w:color w:val="auto"/>
              </w:rPr>
              <w:t>Net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PPA Terms</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5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760" w:type="dxa"/>
            <w:vAlign w:val="bottom"/>
            <w:gridSpan w:val="2"/>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Fuel</w:t>
            </w:r>
          </w:p>
        </w:tc>
        <w:tc>
          <w:tcPr>
            <w:tcW w:w="13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COD</w:t>
            </w:r>
          </w:p>
        </w:tc>
        <w:tc>
          <w:tcPr>
            <w:tcW w:w="19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980" w:type="dxa"/>
            <w:vAlign w:val="bottom"/>
            <w:vMerge w:val="restart"/>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line="20" w:lineRule="exact"/>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MW</w:t>
            </w:r>
          </w:p>
        </w:tc>
        <w:tc>
          <w:tcPr>
            <w:tcW w:w="700" w:type="dxa"/>
            <w:vAlign w:val="bottom"/>
          </w:tcPr>
          <w:p>
            <w:pPr>
              <w:jc w:val="right"/>
              <w:ind w:right="69"/>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MW</w:t>
            </w:r>
            <w:r>
              <w:rPr>
                <w:rFonts w:ascii="Times New Roman" w:cs="Times New Roman" w:eastAsia="Times New Roman" w:hAnsi="Times New Roman"/>
                <w:sz w:val="9"/>
                <w:szCs w:val="9"/>
                <w:b w:val="1"/>
                <w:bCs w:val="1"/>
                <w:color w:val="auto"/>
              </w:rPr>
              <w:t>(a)</w:t>
            </w: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Thermal Generation</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 Fuel Cell</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Tulare, CA</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May 2018</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City of Tulare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ECP Uptown Campus</w:t>
            </w: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Pittsburgh, PA</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2019</w:t>
            </w:r>
          </w:p>
        </w:tc>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Duquesne University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35"/>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Energy Center - Pittsburgh</w:t>
            </w:r>
          </w:p>
        </w:tc>
        <w:tc>
          <w:tcPr>
            <w:tcW w:w="15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Pittsburgh, PA</w:t>
            </w: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January 2019</w:t>
            </w:r>
          </w:p>
        </w:tc>
        <w:tc>
          <w:tcPr>
            <w:tcW w:w="198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auto"/>
              </w:rPr>
              <w:t>University of Pittsburgh</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89"/>
        </w:trPr>
        <w:tc>
          <w:tcPr>
            <w:tcW w:w="170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Medical Center</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Center Caguas</w:t>
            </w: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Caguas, PR</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2020</w:t>
            </w:r>
          </w:p>
        </w:tc>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Viatris Pharmaceuticals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Paxton Creek Cogen</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Harrisburg, PA</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November 1986</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Power sold into PJM markets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Princeton Hospital</w:t>
            </w: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Princeton, NJ</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2012</w:t>
            </w:r>
          </w:p>
        </w:tc>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Excess power sold to local utility</w:t>
            </w: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Tucson Convention Center</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Tucson, AZ</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2003</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Excess power sold to local utility</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University of Bridgeport</w:t>
            </w: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Bridgeport, CT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2015</w:t>
            </w:r>
          </w:p>
        </w:tc>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University of Bridgeport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Total Thermal Generation</w:t>
            </w: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Clearway Energy, Inc.</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8,255</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6,729</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1379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315" w:lineRule="exact"/>
        <w:rPr>
          <w:sz w:val="20"/>
          <w:szCs w:val="20"/>
          <w:color w:val="auto"/>
        </w:rPr>
      </w:pPr>
    </w:p>
    <w:p>
      <w:pPr>
        <w:ind w:left="132" w:hanging="132"/>
        <w:spacing w:after="0"/>
        <w:tabs>
          <w:tab w:leader="none" w:pos="132"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capacity represents the maximum, or rated, generating capacity of the facility multiplied by the Company's percentage ownership in the facility as of December 31, 2020.</w:t>
      </w:r>
    </w:p>
    <w:p>
      <w:pPr>
        <w:spacing w:after="0" w:line="30" w:lineRule="exact"/>
        <w:rPr>
          <w:rFonts w:ascii="Times New Roman" w:cs="Times New Roman" w:eastAsia="Times New Roman" w:hAnsi="Times New Roman"/>
          <w:sz w:val="17"/>
          <w:szCs w:val="17"/>
          <w:color w:val="auto"/>
          <w:vertAlign w:val="superscript"/>
        </w:rPr>
      </w:pPr>
    </w:p>
    <w:p>
      <w:pPr>
        <w:ind w:left="132" w:hanging="132"/>
        <w:spacing w:after="0" w:line="237" w:lineRule="auto"/>
        <w:tabs>
          <w:tab w:leader="none" w:pos="132"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Projects are part of tax equity arrangements, as further described in Item 15 </w:t>
      </w: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 xml:space="preserve"> Note 2, </w:t>
      </w:r>
      <w:r>
        <w:rPr>
          <w:rFonts w:ascii="Times New Roman" w:cs="Times New Roman" w:eastAsia="Times New Roman" w:hAnsi="Times New Roman"/>
          <w:sz w:val="12"/>
          <w:szCs w:val="12"/>
          <w:i w:val="1"/>
          <w:iCs w:val="1"/>
          <w:color w:val="auto"/>
        </w:rPr>
        <w:t>Summary of Significant Accounting Policies.</w:t>
      </w:r>
    </w:p>
    <w:p>
      <w:pPr>
        <w:spacing w:after="0" w:line="279"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18"/>
          <w:szCs w:val="18"/>
          <w:color w:val="auto"/>
        </w:rPr>
        <w:t>The following table summarizes the Company's thermal steam and chilled water facilities as of December 31, 2020:</w:t>
      </w:r>
    </w:p>
    <w:p>
      <w:pPr>
        <w:spacing w:after="0" w:line="190" w:lineRule="exact"/>
        <w:rPr>
          <w:sz w:val="20"/>
          <w:szCs w:val="20"/>
          <w:color w:val="auto"/>
        </w:rPr>
      </w:pPr>
    </w:p>
    <w:tbl>
      <w:tblPr>
        <w:tblLayout w:type="fixed"/>
        <w:tblInd w:w="32"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Rated Megawatt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Megawatt</w:t>
            </w: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Thermal</w:t>
            </w:r>
          </w:p>
        </w:tc>
        <w:tc>
          <w:tcPr>
            <w:tcW w:w="1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Thermal</w:t>
            </w: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Thermal Energy Customers</w:t>
            </w: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Generating</w:t>
            </w:r>
          </w:p>
        </w:tc>
        <w:tc>
          <w:tcPr>
            <w:tcW w:w="0" w:type="dxa"/>
            <w:vAlign w:val="bottom"/>
          </w:tcPr>
          <w:p>
            <w:pPr>
              <w:spacing w:after="0"/>
              <w:rPr>
                <w:sz w:val="1"/>
                <w:szCs w:val="1"/>
                <w:color w:val="auto"/>
              </w:rPr>
            </w:pPr>
          </w:p>
        </w:tc>
      </w:tr>
      <w:tr>
        <w:trPr>
          <w:trHeight w:val="135"/>
        </w:trPr>
        <w:tc>
          <w:tcPr>
            <w:tcW w:w="2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Name and Location of Facility</w:t>
            </w:r>
          </w:p>
        </w:tc>
        <w:tc>
          <w:tcPr>
            <w:tcW w:w="2620" w:type="dxa"/>
            <w:vAlign w:val="bottom"/>
            <w:gridSpan w:val="2"/>
            <w:vMerge w:val="continue"/>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Owned</w:t>
            </w:r>
          </w:p>
        </w:tc>
        <w:tc>
          <w:tcPr>
            <w:tcW w:w="1200" w:type="dxa"/>
            <w:vAlign w:val="bottom"/>
            <w:gridSpan w:val="2"/>
            <w:vMerge w:val="continue"/>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Capacity (MWt)</w:t>
            </w:r>
          </w:p>
        </w:tc>
        <w:tc>
          <w:tcPr>
            <w:tcW w:w="100" w:type="dxa"/>
            <w:vAlign w:val="bottom"/>
          </w:tcPr>
          <w:p>
            <w:pPr>
              <w:spacing w:after="0"/>
              <w:rPr>
                <w:sz w:val="11"/>
                <w:szCs w:val="11"/>
                <w:color w:val="auto"/>
              </w:rPr>
            </w:pPr>
          </w:p>
        </w:tc>
        <w:tc>
          <w:tcPr>
            <w:tcW w:w="2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vMerge w:val="continue"/>
          </w:tcPr>
          <w:p>
            <w:pPr>
              <w:spacing w:after="0"/>
              <w:rPr>
                <w:sz w:val="11"/>
                <w:szCs w:val="11"/>
                <w:color w:val="auto"/>
              </w:rPr>
            </w:pPr>
          </w:p>
        </w:tc>
        <w:tc>
          <w:tcPr>
            <w:tcW w:w="2620" w:type="dxa"/>
            <w:vAlign w:val="bottom"/>
            <w:gridSpan w:val="2"/>
          </w:tcPr>
          <w:p>
            <w:pPr>
              <w:ind w:left="600"/>
              <w:spacing w:after="0" w:line="135" w:lineRule="exact"/>
              <w:rPr>
                <w:sz w:val="20"/>
                <w:szCs w:val="20"/>
                <w:color w:val="auto"/>
              </w:rPr>
            </w:pPr>
            <w:r>
              <w:rPr>
                <w:rFonts w:ascii="Times New Roman" w:cs="Times New Roman" w:eastAsia="Times New Roman" w:hAnsi="Times New Roman"/>
                <w:sz w:val="14"/>
                <w:szCs w:val="14"/>
                <w:b w:val="1"/>
                <w:bCs w:val="1"/>
                <w:color w:val="auto"/>
              </w:rPr>
              <w:t>(steam/chilled water)</w:t>
            </w:r>
          </w:p>
        </w:tc>
        <w:tc>
          <w:tcPr>
            <w:tcW w:w="98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Capacity (MWt)</w:t>
            </w:r>
          </w:p>
        </w:tc>
        <w:tc>
          <w:tcPr>
            <w:tcW w:w="12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(a)</w:t>
            </w:r>
          </w:p>
        </w:tc>
        <w:tc>
          <w:tcPr>
            <w:tcW w:w="100" w:type="dxa"/>
            <w:vAlign w:val="bottom"/>
          </w:tcPr>
          <w:p>
            <w:pPr>
              <w:spacing w:after="0"/>
              <w:rPr>
                <w:sz w:val="11"/>
                <w:szCs w:val="11"/>
                <w:color w:val="auto"/>
              </w:rPr>
            </w:pPr>
          </w:p>
        </w:tc>
        <w:tc>
          <w:tcPr>
            <w:tcW w:w="2320" w:type="dxa"/>
            <w:vAlign w:val="bottom"/>
          </w:tcPr>
          <w:p>
            <w:pPr>
              <w:ind w:left="880"/>
              <w:spacing w:after="0" w:line="135"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2"/>
        </w:trPr>
        <w:tc>
          <w:tcPr>
            <w:tcW w:w="2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Energy Center Minneapolis, MN</w:t>
            </w:r>
          </w:p>
        </w:tc>
        <w:tc>
          <w:tcPr>
            <w:tcW w:w="100" w:type="dxa"/>
            <w:vAlign w:val="bottom"/>
          </w:tcPr>
          <w:p>
            <w:pPr>
              <w:spacing w:after="0"/>
              <w:rPr>
                <w:sz w:val="15"/>
                <w:szCs w:val="15"/>
                <w:color w:val="auto"/>
              </w:rPr>
            </w:pPr>
          </w:p>
        </w:tc>
        <w:tc>
          <w:tcPr>
            <w:tcW w:w="2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100 steam</w:t>
            </w:r>
          </w:p>
        </w:tc>
        <w:tc>
          <w:tcPr>
            <w:tcW w:w="10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5"/>
                <w:szCs w:val="15"/>
                <w:color w:val="auto"/>
              </w:rPr>
            </w:pPr>
          </w:p>
        </w:tc>
        <w:tc>
          <w:tcPr>
            <w:tcW w:w="2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Steam: 1,075 MMBtu/hr.</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 chilled water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Chilled water: 38,700 tons</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ECP Uptown Campus, PA</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Duquesne University</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Steam: 181 MMBtu/hr.</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Duquesne University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Chilled water: 5,790 tons</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Energy Center San Francisco, CA</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180 steam</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Steam: 454 MMBtu/hr.</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Center Omaha, NE</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 steam</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Steam: 675 MMBtu/hr.</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65 chilled water</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Chilled water: 28,000 tons</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Center Harrisburg, PA</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115 steam</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Steam: 370 MMBtu/hr.</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 chilled water</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Chilled water: 3,900 tons</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Center Phoenix, AZ</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 chilled water</w:t>
            </w:r>
          </w:p>
        </w:tc>
        <w:tc>
          <w:tcPr>
            <w:tcW w:w="980" w:type="dxa"/>
            <w:vAlign w:val="bottom"/>
            <w:gridSpan w:val="2"/>
            <w:shd w:val="clear" w:color="auto" w:fill="CCEEFF"/>
          </w:tcPr>
          <w:p>
            <w:pPr>
              <w:ind w:left="400"/>
              <w:spacing w:after="0" w:line="189" w:lineRule="exact"/>
              <w:rPr>
                <w:sz w:val="20"/>
                <w:szCs w:val="20"/>
                <w:color w:val="auto"/>
              </w:rPr>
            </w:pPr>
            <w:r>
              <w:rPr>
                <w:rFonts w:ascii="Times New Roman" w:cs="Times New Roman" w:eastAsia="Times New Roman" w:hAnsi="Times New Roman"/>
                <w:sz w:val="14"/>
                <w:szCs w:val="14"/>
                <w:color w:val="auto"/>
              </w:rPr>
              <w:t xml:space="preserve">73 % </w:t>
            </w:r>
            <w:r>
              <w:rPr>
                <w:rFonts w:ascii="Times New Roman" w:cs="Times New Roman" w:eastAsia="Times New Roman" w:hAnsi="Times New Roman"/>
                <w:sz w:val="18"/>
                <w:szCs w:val="18"/>
                <w:color w:val="auto"/>
                <w:vertAlign w:val="superscript"/>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Chilled water 41,020 tons</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Steam: 17 MMBtu/hr.</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Center Pittsburgh, PA</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steam</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Steam: 452 MMBtu/hr.</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 chilled water</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Chilled water: 22,224 tons</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Center San Diego, CA</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 chilled water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Chilled water: 9,295 tons</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Energy Center Princeton, NJ</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Princeton HealthCare System</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Steam: 72 MMBtu/hr.</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Princeton HealthCare System</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Chilled water: 4,700 tons</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Energy Center Caguas, PR</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Viatris Pharmaceuticals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Steam: 4 MMBtu/hr.</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Viatris Pharmaceuticals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Chilled water: 800 tons</w:t>
            </w:r>
          </w:p>
        </w:tc>
        <w:tc>
          <w:tcPr>
            <w:tcW w:w="0" w:type="dxa"/>
            <w:vAlign w:val="bottom"/>
          </w:tcPr>
          <w:p>
            <w:pPr>
              <w:spacing w:after="0"/>
              <w:rPr>
                <w:sz w:val="1"/>
                <w:szCs w:val="1"/>
                <w:color w:val="auto"/>
              </w:rPr>
            </w:pPr>
          </w:p>
        </w:tc>
      </w:tr>
      <w:tr>
        <w:trPr>
          <w:trHeight w:val="183"/>
        </w:trPr>
        <w:tc>
          <w:tcPr>
            <w:tcW w:w="276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Total generating capacity</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1,394</w:t>
            </w: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13798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 w:right="580" w:firstLine="8"/>
        <w:spacing w:after="0"/>
        <w:tabs>
          <w:tab w:leader="none" w:pos="11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megawatt thermal equivalent capacity represents the maximum, or rated, generating capacity of the facility multiplied by the Company's percentage ownership in the facility as of December 31, 2020.</w:t>
      </w:r>
    </w:p>
    <w:p>
      <w:pPr>
        <w:spacing w:after="0" w:line="180" w:lineRule="exact"/>
        <w:rPr>
          <w:rFonts w:ascii="Times New Roman" w:cs="Times New Roman" w:eastAsia="Times New Roman" w:hAnsi="Times New Roman"/>
          <w:sz w:val="16"/>
          <w:szCs w:val="16"/>
          <w:color w:val="auto"/>
          <w:vertAlign w:val="superscript"/>
        </w:rPr>
      </w:pPr>
    </w:p>
    <w:p>
      <w:pPr>
        <w:ind w:left="132" w:hanging="132"/>
        <w:spacing w:after="0"/>
        <w:tabs>
          <w:tab w:leader="none" w:pos="132"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MWt capacity excludes 43 MWt available under the right-to-use provisions contained in agreements between one of the Company's thermal facilities and certain of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3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171" w:lineRule="exact"/>
        <w:rPr>
          <w:sz w:val="20"/>
          <w:szCs w:val="20"/>
          <w:color w:val="auto"/>
        </w:rPr>
      </w:pPr>
    </w:p>
    <w:p>
      <w:pPr>
        <w:ind w:firstLine="211"/>
        <w:spacing w:after="0" w:line="286" w:lineRule="auto"/>
        <w:rPr>
          <w:sz w:val="20"/>
          <w:szCs w:val="20"/>
          <w:color w:val="auto"/>
        </w:rPr>
      </w:pPr>
      <w:r>
        <w:rPr>
          <w:rFonts w:ascii="Times New Roman" w:cs="Times New Roman" w:eastAsia="Times New Roman" w:hAnsi="Times New Roman"/>
          <w:sz w:val="18"/>
          <w:szCs w:val="18"/>
          <w:color w:val="auto"/>
        </w:rPr>
        <w:t xml:space="preserve">See Item 15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for discussion of the material legal proceedings to which the Company is a party or of which any of its properties is subject.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Equity Holders and Dividends</w:t>
      </w:r>
    </w:p>
    <w:p>
      <w:pPr>
        <w:spacing w:after="0" w:line="175" w:lineRule="exact"/>
        <w:rPr>
          <w:sz w:val="20"/>
          <w:szCs w:val="20"/>
          <w:color w:val="auto"/>
        </w:rPr>
      </w:pPr>
    </w:p>
    <w:p>
      <w:pPr>
        <w:ind w:firstLine="248"/>
        <w:spacing w:after="0" w:line="282" w:lineRule="auto"/>
        <w:rPr>
          <w:sz w:val="20"/>
          <w:szCs w:val="20"/>
          <w:color w:val="auto"/>
        </w:rPr>
      </w:pPr>
      <w:r>
        <w:rPr>
          <w:rFonts w:ascii="Times New Roman" w:cs="Times New Roman" w:eastAsia="Times New Roman" w:hAnsi="Times New Roman"/>
          <w:sz w:val="18"/>
          <w:szCs w:val="18"/>
          <w:color w:val="auto"/>
        </w:rPr>
        <w:t>The Company's Class A common stock and Class C common stock are listed on the New York Stock Exchange and trade under the ticker symbols "CWEN.A" and "CWEN," respectively. The Company's Class B common stock and Class D common stock are not publicly traded.</w:t>
      </w:r>
    </w:p>
    <w:p>
      <w:pPr>
        <w:spacing w:after="0" w:line="108" w:lineRule="exact"/>
        <w:rPr>
          <w:sz w:val="20"/>
          <w:szCs w:val="20"/>
          <w:color w:val="auto"/>
        </w:rPr>
      </w:pPr>
    </w:p>
    <w:p>
      <w:pPr>
        <w:ind w:firstLine="177"/>
        <w:spacing w:after="0" w:line="282" w:lineRule="auto"/>
        <w:rPr>
          <w:sz w:val="20"/>
          <w:szCs w:val="20"/>
          <w:color w:val="auto"/>
        </w:rPr>
      </w:pPr>
      <w:r>
        <w:rPr>
          <w:rFonts w:ascii="Times New Roman" w:cs="Times New Roman" w:eastAsia="Times New Roman" w:hAnsi="Times New Roman"/>
          <w:sz w:val="18"/>
          <w:szCs w:val="18"/>
          <w:color w:val="auto"/>
        </w:rPr>
        <w:t>As of January 31, 2021, there were two holders of record of the Class A common stock, one holder of record of the Class B common stock, three holders of record of the Class C common stock and one holder of record of the Class D common stock.</w:t>
      </w:r>
    </w:p>
    <w:p>
      <w:pPr>
        <w:spacing w:after="0" w:line="108" w:lineRule="exact"/>
        <w:rPr>
          <w:sz w:val="20"/>
          <w:szCs w:val="20"/>
          <w:color w:val="auto"/>
        </w:rPr>
      </w:pPr>
    </w:p>
    <w:p>
      <w:pPr>
        <w:ind w:firstLine="207"/>
        <w:spacing w:after="0" w:line="282" w:lineRule="auto"/>
        <w:rPr>
          <w:sz w:val="20"/>
          <w:szCs w:val="20"/>
          <w:color w:val="auto"/>
        </w:rPr>
      </w:pPr>
      <w:r>
        <w:rPr>
          <w:rFonts w:ascii="Times New Roman" w:cs="Times New Roman" w:eastAsia="Times New Roman" w:hAnsi="Times New Roman"/>
          <w:sz w:val="18"/>
          <w:szCs w:val="18"/>
          <w:color w:val="auto"/>
        </w:rPr>
        <w:t>On February 12, 2021 the Company declared a quarterly dividend on its Class A and Class C common stock of $0.324 per share payable on March 15, 2021, to stockholders of record as of March 1, 2021.</w:t>
      </w:r>
    </w:p>
    <w:p>
      <w:pPr>
        <w:spacing w:after="0" w:line="108" w:lineRule="exact"/>
        <w:rPr>
          <w:sz w:val="20"/>
          <w:szCs w:val="20"/>
          <w:color w:val="auto"/>
        </w:rPr>
      </w:pPr>
    </w:p>
    <w:p>
      <w:pPr>
        <w:ind w:right="20" w:firstLine="209"/>
        <w:spacing w:after="0" w:line="282" w:lineRule="auto"/>
        <w:rPr>
          <w:sz w:val="20"/>
          <w:szCs w:val="20"/>
          <w:color w:val="auto"/>
        </w:rPr>
      </w:pPr>
      <w:r>
        <w:rPr>
          <w:rFonts w:ascii="Times New Roman" w:cs="Times New Roman" w:eastAsia="Times New Roman" w:hAnsi="Times New Roman"/>
          <w:sz w:val="18"/>
          <w:szCs w:val="18"/>
          <w:color w:val="auto"/>
        </w:rPr>
        <w:t>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8"/>
          <w:szCs w:val="18"/>
          <w:color w:val="auto"/>
        </w:rPr>
        <w:t>The performance graph below compares the Company's cumulative total stockholder return on the Company's Class A common stock and Class C common stock from December 31, 2015 through December 31, 2020, with the cumulative total return of the Standard &amp; Poor's 500 Composite Stock Price Index, or S&amp;P 500, and the Philadelphia Utility Sector Index, or UTY.</w:t>
      </w:r>
    </w:p>
    <w:p>
      <w:pPr>
        <w:spacing w:after="0" w:line="81"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The performance graph shown below is being furnished and compares each period assuming that $100 was invested on December 31, 2015 in each of the Class A common stock of the Company, the Class C common stock of the Company, the stocks included in the S&amp;P 500 and the stocks included in the UTY, and that all dividends were reinvested.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25971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359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4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Clearway Energy, Inc. Class A common stock</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153.68</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148.04</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Inc. Class C common stock</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144.49</w:t>
            </w:r>
          </w:p>
        </w:tc>
        <w:tc>
          <w:tcPr>
            <w:tcW w:w="3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141.44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286.76</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136.40</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130.42</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203.04</w:t>
            </w: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UTY</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132.45</w:t>
            </w:r>
          </w:p>
        </w:tc>
        <w:tc>
          <w:tcPr>
            <w:tcW w:w="30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137.10</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 Selected Financial Data</w:t>
      </w:r>
    </w:p>
    <w:p>
      <w:pPr>
        <w:spacing w:after="0" w:line="31" w:lineRule="exact"/>
        <w:rPr>
          <w:sz w:val="20"/>
          <w:szCs w:val="20"/>
          <w:color w:val="auto"/>
        </w:rPr>
      </w:pPr>
    </w:p>
    <w:p>
      <w:pPr>
        <w:ind w:firstLine="202"/>
        <w:spacing w:after="0" w:line="260" w:lineRule="auto"/>
        <w:rPr>
          <w:sz w:val="20"/>
          <w:szCs w:val="20"/>
          <w:color w:val="auto"/>
        </w:rPr>
      </w:pPr>
      <w:r>
        <w:rPr>
          <w:rFonts w:ascii="Times New Roman" w:cs="Times New Roman" w:eastAsia="Times New Roman" w:hAnsi="Times New Roman"/>
          <w:sz w:val="18"/>
          <w:szCs w:val="18"/>
          <w:color w:val="auto"/>
        </w:rPr>
        <w:t xml:space="preserve">The historical data in the table below should be read in conjunction with the Consolidated Financial Statements and the related notes thereto in Item 15 and Item 7, </w:t>
      </w:r>
      <w:r>
        <w:rPr>
          <w:rFonts w:ascii="Times New Roman" w:cs="Times New Roman" w:eastAsia="Times New Roman" w:hAnsi="Times New Roman"/>
          <w:sz w:val="18"/>
          <w:szCs w:val="18"/>
          <w:i w:val="1"/>
          <w:iCs w:val="1"/>
          <w:color w:val="auto"/>
        </w:rPr>
        <w:t>Management's Discussion and Analysis of Financial Condition and Results of Operations.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Income Data:</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operations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Development costs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2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07"/>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investment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unconsolidated affiliate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expense, net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Pre-acquisition net income (loss) of Drop Down Assets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Excluding Pre-acquisition Net Income (Loss) of Drop Down Assets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Clearway Energy, Inc.</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Earnings Per Share Attributable to Clearway Energy, Inc. Class A and Class 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Stockholders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26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b w:val="1"/>
                <w:bCs w:val="1"/>
                <w:color w:val="auto"/>
              </w:rPr>
              <w:t>Earnings (loss) per Weighted Average Class A and Class C Common Share - Basic and</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per Class A common share</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0.945</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per Class C common share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0.945</w:t>
            </w:r>
          </w:p>
        </w:tc>
        <w:tc>
          <w:tcPr>
            <w:tcW w:w="0" w:type="dxa"/>
            <w:vAlign w:val="bottom"/>
          </w:tcPr>
          <w:p>
            <w:pPr>
              <w:spacing w:after="0"/>
              <w:rPr>
                <w:sz w:val="1"/>
                <w:szCs w:val="1"/>
                <w:color w:val="auto"/>
              </w:rPr>
            </w:pP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 Data:</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Investing activities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3"/>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 activities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0" w:type="dxa"/>
            <w:vAlign w:val="bottom"/>
          </w:tcPr>
          <w:p>
            <w:pPr>
              <w:spacing w:after="0"/>
              <w:rPr>
                <w:sz w:val="1"/>
                <w:szCs w:val="1"/>
                <w:color w:val="auto"/>
              </w:rPr>
            </w:pPr>
          </w:p>
        </w:tc>
      </w:tr>
      <w:tr>
        <w:trPr>
          <w:trHeight w:val="21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8,988</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Long-term debt, including current maturities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0" w:type="dxa"/>
            <w:vAlign w:val="bottom"/>
          </w:tcPr>
          <w:p>
            <w:pPr>
              <w:spacing w:after="0"/>
              <w:rPr>
                <w:sz w:val="1"/>
                <w:szCs w:val="1"/>
                <w:color w:val="auto"/>
              </w:rPr>
            </w:pPr>
          </w:p>
        </w:tc>
      </w:tr>
      <w:tr>
        <w:trPr>
          <w:trHeight w:val="21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7 — Management's Discussion and Analysis of Financial Condition and the Results of Operations</w:t>
      </w:r>
    </w:p>
    <w:p>
      <w:pPr>
        <w:spacing w:after="0" w:line="175" w:lineRule="exact"/>
        <w:rPr>
          <w:sz w:val="20"/>
          <w:szCs w:val="20"/>
          <w:color w:val="auto"/>
        </w:rPr>
      </w:pPr>
    </w:p>
    <w:p>
      <w:pPr>
        <w:jc w:val="both"/>
        <w:ind w:firstLine="229"/>
        <w:spacing w:after="0" w:line="256" w:lineRule="auto"/>
        <w:rPr>
          <w:sz w:val="20"/>
          <w:szCs w:val="20"/>
          <w:color w:val="auto"/>
        </w:rPr>
      </w:pPr>
      <w:r>
        <w:rPr>
          <w:rFonts w:ascii="Times New Roman" w:cs="Times New Roman" w:eastAsia="Times New Roman" w:hAnsi="Times New Roman"/>
          <w:sz w:val="18"/>
          <w:szCs w:val="18"/>
          <w:color w:val="auto"/>
        </w:rPr>
        <w:t xml:space="preserve">As you read this discussion and analysis, refer to the Company's Consolidated Statements of Operations to this Form 10-K. Also refer to Item 1 — </w:t>
      </w: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and Item 1A —</w:t>
      </w:r>
      <w:r>
        <w:rPr>
          <w:rFonts w:ascii="Times New Roman" w:cs="Times New Roman" w:eastAsia="Times New Roman" w:hAnsi="Times New Roman"/>
          <w:sz w:val="18"/>
          <w:szCs w:val="18"/>
          <w:i w:val="1"/>
          <w:iCs w:val="1"/>
          <w:color w:val="auto"/>
        </w:rPr>
        <w:t xml:space="preserve"> Risk Factors</w:t>
      </w:r>
      <w:r>
        <w:rPr>
          <w:rFonts w:ascii="Times New Roman" w:cs="Times New Roman" w:eastAsia="Times New Roman" w:hAnsi="Times New Roman"/>
          <w:sz w:val="18"/>
          <w:szCs w:val="18"/>
          <w:color w:val="auto"/>
        </w:rPr>
        <w:t>, which include detailed discussions of various items impacting the Company's business, results of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Discussions of the year ended December 31, 2018 that are not included in this Annual Report on Form 10-K and year-to-year comparisons of the year ended December 31, 2019 and the year ended December 31, 2018 can be found in “Management’s Discussion and Analysis of Financial Condition and the Results of Operations” in Part II, Item 7 of the Company’s Annual Report on Form 10-K for the year ended December 31, 2019.</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17" w:lineRule="exact"/>
        <w:rPr>
          <w:sz w:val="20"/>
          <w:szCs w:val="20"/>
          <w:color w:val="auto"/>
        </w:rPr>
      </w:pPr>
    </w:p>
    <w:p>
      <w:pPr>
        <w:ind w:left="1300" w:right="400" w:hanging="320"/>
        <w:spacing w:after="0" w:line="281" w:lineRule="auto"/>
        <w:tabs>
          <w:tab w:leader="none" w:pos="129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1300" w:right="880" w:hanging="320"/>
        <w:spacing w:after="0" w:line="281" w:lineRule="auto"/>
        <w:tabs>
          <w:tab w:leader="none" w:pos="129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operations;</w:t>
      </w:r>
    </w:p>
    <w:p>
      <w:pPr>
        <w:spacing w:after="0" w:line="1" w:lineRule="exact"/>
        <w:rPr>
          <w:rFonts w:ascii="Times New Roman" w:cs="Times New Roman" w:eastAsia="Times New Roman" w:hAnsi="Times New Roman"/>
          <w:sz w:val="18"/>
          <w:szCs w:val="18"/>
          <w:color w:val="231F20"/>
        </w:rPr>
      </w:pPr>
    </w:p>
    <w:p>
      <w:pPr>
        <w:ind w:left="1300" w:right="200" w:hanging="320"/>
        <w:spacing w:after="0" w:line="281" w:lineRule="auto"/>
        <w:tabs>
          <w:tab w:leader="none" w:pos="129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63" w:lineRule="exact"/>
        <w:rPr>
          <w:rFonts w:ascii="Times New Roman" w:cs="Times New Roman" w:eastAsia="Times New Roman" w:hAnsi="Times New Roman"/>
          <w:sz w:val="18"/>
          <w:szCs w:val="18"/>
          <w:color w:val="auto"/>
        </w:rPr>
      </w:pPr>
    </w:p>
    <w:p>
      <w:pPr>
        <w:ind w:left="1300" w:right="760" w:hanging="320"/>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the energy and transport sectors, and Global Infrastructure Partners III is its third equity fund. The Company is sponsored by GIP through GIP's portfolio company, CEG.</w:t>
      </w:r>
    </w:p>
    <w:p>
      <w:pPr>
        <w:spacing w:after="0" w:line="126" w:lineRule="exact"/>
        <w:rPr>
          <w:sz w:val="20"/>
          <w:szCs w:val="20"/>
          <w:color w:val="auto"/>
        </w:rPr>
      </w:pPr>
    </w:p>
    <w:p>
      <w:pPr>
        <w:jc w:val="both"/>
        <w:ind w:firstLine="221"/>
        <w:spacing w:after="0" w:line="256" w:lineRule="auto"/>
        <w:rPr>
          <w:sz w:val="20"/>
          <w:szCs w:val="20"/>
          <w:color w:val="auto"/>
        </w:rPr>
      </w:pPr>
      <w:r>
        <w:rPr>
          <w:rFonts w:ascii="Times New Roman" w:cs="Times New Roman" w:eastAsia="Times New Roman" w:hAnsi="Times New Roman"/>
          <w:sz w:val="18"/>
          <w:szCs w:val="18"/>
          <w:color w:val="auto"/>
        </w:rPr>
        <w:t xml:space="preserve">The Company is one of the largest renewable energy owners in the U.S. with over 4,200 net MW of installed wind and solar generation projects. The Company also owns approximately 2,500 net MW of environmentally-sound, highly efficient natural gas-fired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13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December 31, 2020 </w:t>
      </w:r>
      <w:r>
        <w:rPr>
          <w:rFonts w:ascii="Times New Roman" w:cs="Times New Roman" w:eastAsia="Times New Roman" w:hAnsi="Times New Roman"/>
          <w:sz w:val="18"/>
          <w:szCs w:val="18"/>
          <w:color w:val="231F20"/>
        </w:rPr>
        <w:t>based on CAFD.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Party Acquisitions</w:t>
      </w:r>
    </w:p>
    <w:p>
      <w:pPr>
        <w:spacing w:after="0" w:line="173" w:lineRule="exact"/>
        <w:rPr>
          <w:sz w:val="20"/>
          <w:szCs w:val="20"/>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10, 2021, the Company reached an agreement to acquire 100% of the equity interests in Mount Storm Holdings I LLC, or Mt Storm, for approximately $96 million subject to certain purchase price adjustments. Mt Storm is a 264 MW wind project located in Grant County, West Virginia. The transaction is subject to customary regulatory approvals.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2021, the Company acquired an additional 35% equity interest in the Agua Caliente solar project from NRG Energy, Inc. for $202 million. Agua Caliente is a 290 MW solar project located in Dateland, Arizona in which Clearway previously owned a 16% equity interest. The project has a 25-year PPA with PG&amp;E, with approximately 19 years remaining under the agreement. Following the close of the transaction, the Company owns a 51% equity interest in Agua Caliente. The Company will remove its equity method investment and consolidate its interest in Agua Caliente from the date of the acquisition.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Transactions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January 12, 2021, the Company acquired 100% of CEG's equity interest and a third party investor's minority interest in Rattlesnake Flat, LLC, which owns the Rattlesnake Wind Project, a 160 net MW wind facility located in Adams County, WA which achieved commercial operations in January 2021, for $132 million in cash consideration and expects its net capital commitment to be $119 million after proceeds from a state sales and use tax refund which are expected to be received in 2021.</w:t>
      </w:r>
    </w:p>
    <w:p>
      <w:pPr>
        <w:spacing w:after="0" w:line="12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2020, subsidiaries of the Company entered into the Lighthouse Partnership Agreements providing for the Company’s co-investment in a 1,204 MW portfolio of renewable energy projects developed by CEG. In addition, the agreements included an amendment of the partnership that owns the 419 MW Mesquite Star wind project, providing the Company with additional project cash flows after the first half of 2031. As described below, the Company had previously acquired an interest in Mesquite Star Pledgor LLC, which was subsequently renamed Lighthouse Renewable Holdco LLC. The 1,204 MW portfolio of renewable energy projects includes: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geographically diversified wind, solar and solar plus storage assets under development totaling 1,012 MW, and</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192 MW Rosamond Central solar project, located in Kern County, California. On December 21, 2020, the Company acquired 100% of the Class A membership interests of Rosie TargetCo LLC, which consolidates its interest in a tax equity fund that owns the project, for approximately $24 million in cash consideration. Rosie TargetCo LLC is a partnership, whose Class B membership interests are owned by a third party investor. The Company is entitled to a 50% cash equity interest in Rosamond Central through its Class A membership interests.</w:t>
      </w:r>
    </w:p>
    <w:p>
      <w:pPr>
        <w:spacing w:after="0" w:line="2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above-mentioned transactions, the Company expects to invest an estimated $215 million in corporate capital by the end of 2022, subject to closing adjustments and the projects achieving certain milestones. The expected net corporate capital includes the $24 million already invested in Rosamond Central in 2020 and the purchase price adjustment received concurrent with the partnership agreement amendment for Mesquite Star.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November 20, 2020, the Company acquired from Clearway Renew LLC, a subsidiary of CEG, and a third party investor, 100% of the cash equity interests in Langford Holding LLC, which owns the Langford wind project, for total cash consideration of approximately $64 million. The Langford wind project is a 160 MW wind project located in West Texas which was repowered and achieved commercial operations in November 2020.</w:t>
      </w:r>
    </w:p>
    <w:p>
      <w:pPr>
        <w:spacing w:after="0" w:line="125" w:lineRule="exact"/>
        <w:rPr>
          <w:rFonts w:ascii="Times New Roman" w:cs="Times New Roman" w:eastAsia="Times New Roman" w:hAnsi="Times New Roman"/>
          <w:sz w:val="18"/>
          <w:szCs w:val="18"/>
          <w:b w:val="1"/>
          <w:bCs w:val="1"/>
          <w:i w:val="1"/>
          <w:iCs w:val="1"/>
          <w:color w:val="auto"/>
        </w:rPr>
      </w:pPr>
    </w:p>
    <w:p>
      <w:pPr>
        <w:ind w:left="660" w:hanging="328"/>
        <w:spacing w:after="0" w:line="27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 2020, the Company acquired from CEG (i) the Class B membership interests in DGPV Holdco 1, DGPV Holdco 2 and DGPV Holdco 3, or the DGPV Holdco Entities and (ii) an SREC contract for an aggregate of $44 million in cash consideration. In connection with the acquisition of the Class B membership interests, the Company consolidated their interest in the underlying distributed solar tax equity funds within DGPV Holdco 1 and DGPV Holdco 2. The Company had previously consolidated DGPV Holdco 3 effective in May 2020.</w:t>
      </w:r>
    </w:p>
    <w:p>
      <w:pPr>
        <w:spacing w:after="0" w:line="11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 2020, the CEG ROFO Agreement was amended to (i) add the assets comprising the Lighthouse Partnership Agreements from CEG to the ROFO pipeline (ii) memorialize as a ROFO asset the contract related to the monetization of renewable energy credits associated with assets within the DGPV Holdco Entities, which was acquired at the same time; and (iii) extend the third-party negotiation periods for CEG's residual interest in Kawailoa and Oahu assets as well as the assets comprising the cash equity partnership offer from CEG to November 2, 2021.</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2020, the Company, through its indirect subsidiary Mesquite Star HoldCo LLC, acquired the Class A membership interests in Mesquite Star Pledgor LLC from Clearway Renew LLC, a subsidiary of CEG, for $74 million in cash consideration inclusive of a purchase price adjustment received in the fourth quarter of 2020 concurrent with the partnership amendment referenced below. Mesquite Star Pledgor LLC is the primary beneficiary and consolidates its interest in a tax equity fund that owns the Mesquite Star wind project, a 419 MW utility scale wind project located in Fisher County, Texas. A majority of the project’s output is backed by contracts with investment grade counterparties with a 12 year weighted average contract life. As described above, Mesquite Star Pledgor LLC was renamed Lighthouse Renewable Holdco LLC and the Class B membership interests were sold to a third party investor. The investor and the Company amended the terms of the related partnership and as a result, the Company now consolidates its interest in the Mesquite Star wind project, through its consolidation of Lighthouse Renewable Holdco LLC.</w:t>
      </w:r>
    </w:p>
    <w:p>
      <w:pPr>
        <w:spacing w:after="0" w:line="174"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On April 17, 2020, the Company entered into binding agreements related to the previously announced drop down offer from CEG to enable the Company to acquire and invest in a portfolio of renewable energy projects. The following projects are included in the drop down:</w:t>
      </w:r>
    </w:p>
    <w:p>
      <w:pPr>
        <w:spacing w:after="0" w:line="37" w:lineRule="exact"/>
        <w:rPr>
          <w:rFonts w:ascii="Arial" w:cs="Arial" w:eastAsia="Arial" w:hAnsi="Arial"/>
          <w:sz w:val="22"/>
          <w:szCs w:val="22"/>
          <w:color w:val="auto"/>
        </w:rPr>
      </w:pPr>
    </w:p>
    <w:p>
      <w:pPr>
        <w:ind w:left="1300" w:hanging="320"/>
        <w:spacing w:after="0" w:line="281" w:lineRule="auto"/>
        <w:tabs>
          <w:tab w:leader="none" w:pos="13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CEG's interest in Repowering Partnership II LLC (Repowering 1.0), which the Company acquired on May 11, 2020 for cash consideration of $70 million,</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equity interests in Rattlesnake Flat, LLC, which owns the Rattlesnake Wind Project, a 160 net MW wind facility located in Adams County, WA which the company acquired on January 12, 2021 as mentioned above, and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2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2021, the Company, through an indirect subsidiary, entered into an amended partnership agreement with CEG to repower the Pinnacle Wind Project, a 55 net MW wind facility located in Mineral County, WV.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Partnership are expected to occur in the second half of 2021.</w:t>
      </w:r>
    </w:p>
    <w:p>
      <w:pPr>
        <w:spacing w:after="0" w:line="21"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For the above mentioned transactions, the agreements commit the Company to invest an estimated $256 million in net corporate capital, subject to closing adjustments.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Assets or Investments</w:t>
      </w:r>
    </w:p>
    <w:p>
      <w:pPr>
        <w:spacing w:after="0" w:line="146"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2020, the Company sold its interests in RPV Holdco 1 LLC, or RPV Holdco, to a third party for net proceeds of approximately $75 million. The Company previously accounted for its interest in RPV Holdco as an equity method investment. The sale of the investment resulted in a gain of approximately $49 million.</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2020, the Company through Thermal LLC, sold 100% of its interests in Energy Center Dover and Energy Center Smyrna to DB Energy Assets, LLC for approximately $15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Corporate-Level Financing</w:t>
      </w:r>
    </w:p>
    <w:p>
      <w:pPr>
        <w:spacing w:after="0" w:line="173" w:lineRule="exact"/>
        <w:rPr>
          <w:sz w:val="20"/>
          <w:szCs w:val="20"/>
          <w:color w:val="auto"/>
        </w:rPr>
      </w:pPr>
    </w:p>
    <w:p>
      <w:pPr>
        <w:jc w:val="both"/>
        <w:ind w:left="660" w:hanging="328"/>
        <w:spacing w:after="0" w:line="25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21, 2020, Clearway Energy Operating LLC completed the sale of an additional $250 million aggregate principal amount of the 2028 Senior Notes. The 2028 Senior Notes bear interest at 4.75% and mature on March 15, 2028. Interest on the 2028 Senior Notes is payable semi-annually on March 15 and September 15 of each year, and interest payments commenced on September 15, 2020. The 2028 Senior Notes are unsecured obligations of Clearway Energy Operating LLC and are guaranteed by Clearway Energy LLC and by certain of Clearway Energy Operating LLC's wholly owned current and future subsidiaries. The proceeds from the additional 2028 Senior Notes were used to repay the $45 million outstanding principal amount of the Company's 2020 Convertible Notes on June 1, 2020, as well as to fund the repayment of outstanding borrowings under the Company's revolving credit facility and for general corporate purposes.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Project-Level Financing Activities</w:t>
      </w:r>
    </w:p>
    <w:p>
      <w:pPr>
        <w:spacing w:after="0" w:line="173" w:lineRule="exact"/>
        <w:rPr>
          <w:sz w:val="20"/>
          <w:szCs w:val="20"/>
          <w:color w:val="auto"/>
        </w:rPr>
      </w:pPr>
    </w:p>
    <w:p>
      <w:pPr>
        <w:jc w:val="both"/>
        <w:ind w:left="660" w:hanging="328"/>
        <w:spacing w:after="0" w:line="253"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November 2, 2020, DG-CS Master Borrower LLC, a wholly owned subsidiary of Clearway Energy Operating LLC, entered into a financing arrangement, which included the issuance of a $467 million term loan, as well as $30 million in letters of credit in support of debt service. The notes bear interest at 3.51% and mature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Item 15 —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Concurrent with the refinancing, the projects were transferred under DG-CS Master Borrower LLC and the obligations under the financing arrangement are supported by the Company's interest in the projects. Prior to the acquisition of CEG's Class B membership interests mentioned above, the Company invested approximately $10 million in the DG investment partnerships with CEG during 2020, bringing total capital invested in these investment partnerships to $266 million.</w:t>
      </w:r>
    </w:p>
    <w:p>
      <w:pPr>
        <w:spacing w:after="0" w:line="70" w:lineRule="exact"/>
        <w:rPr>
          <w:rFonts w:ascii="Times New Roman" w:cs="Times New Roman" w:eastAsia="Times New Roman" w:hAnsi="Times New Roman"/>
          <w:sz w:val="18"/>
          <w:szCs w:val="18"/>
          <w:i w:val="1"/>
          <w:iCs w:val="1"/>
          <w:color w:val="auto"/>
        </w:rPr>
      </w:pPr>
    </w:p>
    <w:p>
      <w:pPr>
        <w:jc w:val="both"/>
        <w:ind w:left="660" w:hanging="328"/>
        <w:spacing w:after="0" w:line="254" w:lineRule="auto"/>
        <w:tabs>
          <w:tab w:leader="none" w:pos="628"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On September 30, 2020, the Alpine, Blythe and Roadrunner projects were transferred under NIMH Solar LLC, a wholly owned subsidiary of Clearway Energy Operating LLC. Concurrently, total project-level debt outstanding for Alpine, Blythe and Roadrunner of $158 million was assigned to NIMH Solar LLC. The consolidated facility was amended to a term loan for $193 million, as well as $16 million in letters of credit in support of debt service and project obligations. The term loan bears interest at an annual interest rate of LIBOR, plus an applicable margin of 2.00% per annum through the third anniversary of closing, and 2.125% per annum thereafter through the maturity date in September 2024. As a result of the amendment the Company received $35 million and the funds were utilized to pay related fees and expenses and along with existing project level cash provided a distribution to Clearway Energy Operating LLC of $45 million. The obligations under the financing arrangement are supported by the Company’s interests in the projects.</w:t>
      </w:r>
    </w:p>
    <w:p>
      <w:pPr>
        <w:spacing w:after="0" w:line="5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2020, Utah Solar Holdings, LLC, or Utah Solar, entered into a financing arrangement, which included the issuance of approximately $296 million in senior secured notes supported by the Company’s interest in the Four Brothers, Granite Mountain and Iron Springs projects, or the Utah projects (previously defined as the Utah Solar Portfolio).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 Start Services at Marsh Landing</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2020, all necessary regulatory approvals were obtained with respect to the Company's Marsh Landing project to provide black start capability in the greater San Francisco Bay area, which would restart Marsh Landing in the event of a blackout, under a five-year contract with the California Independent System Operator to support their emergency restoration of the electrical grid. The project has commenced construction activities and is expected to achieve commercial operations in the second quarter of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Pacific Gas and Electric Company Bankruptcy</w:t>
      </w:r>
    </w:p>
    <w:p>
      <w:pPr>
        <w:spacing w:after="0" w:line="173" w:lineRule="exact"/>
        <w:rPr>
          <w:sz w:val="20"/>
          <w:szCs w:val="20"/>
          <w:color w:val="auto"/>
        </w:rPr>
      </w:pPr>
    </w:p>
    <w:p>
      <w:pPr>
        <w:jc w:val="both"/>
        <w:ind w:left="660" w:hanging="328"/>
        <w:spacing w:after="0" w:line="260" w:lineRule="auto"/>
        <w:tabs>
          <w:tab w:leader="none" w:pos="628"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July 1, 2020, PG&amp;E emerged from bankruptcy and assumed the Company's contracts without modification. In addition, PG&amp;E paid to the Company's applicable projects the portion of the invoices corresponding to the electricity delivered for the period between January 1 and January 28, 2019. These invoices related to the pre-petition period services and any payment therefore required the approval by the Bankruptcy Court. Subsequent to PG&amp;E's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9" w:name="page50"/>
    <w:bookmarkEnd w:id="49"/>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emergence from bankruptcy the Company entered into waiver agreements with the lenders to the respective financing agreements related to the PG&amp;E Bankruptcy and all previously restricted distributions were paid out of distribution reserve accounts at the Company's subsidiaries affected by the PG&amp;E Bankruptcy.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Regulatory Matters</w:t>
      </w:r>
    </w:p>
    <w:p>
      <w:pPr>
        <w:spacing w:after="0" w:line="173" w:lineRule="exact"/>
        <w:rPr>
          <w:sz w:val="20"/>
          <w:szCs w:val="20"/>
          <w:color w:val="auto"/>
        </w:rPr>
      </w:pPr>
    </w:p>
    <w:p>
      <w:pPr>
        <w:jc w:val="both"/>
        <w:ind w:firstLine="180"/>
        <w:spacing w:after="0" w:line="284" w:lineRule="auto"/>
        <w:rPr>
          <w:sz w:val="20"/>
          <w:szCs w:val="20"/>
          <w:color w:val="auto"/>
        </w:rPr>
      </w:pPr>
      <w:r>
        <w:rPr>
          <w:rFonts w:ascii="Times New Roman" w:cs="Times New Roman" w:eastAsia="Times New Roman" w:hAnsi="Times New Roman"/>
          <w:sz w:val="18"/>
          <w:szCs w:val="18"/>
          <w:color w:val="auto"/>
        </w:rPr>
        <w:t xml:space="preserve">Details of environmental matters and regulatory matters are presented in Item 1 — </w:t>
      </w:r>
      <w:r>
        <w:rPr>
          <w:rFonts w:ascii="Times New Roman" w:cs="Times New Roman" w:eastAsia="Times New Roman" w:hAnsi="Times New Roman"/>
          <w:sz w:val="18"/>
          <w:szCs w:val="18"/>
          <w:i w:val="1"/>
          <w:iCs w:val="1"/>
          <w:color w:val="auto"/>
        </w:rPr>
        <w:t>Business, Regulatory Matters</w:t>
      </w:r>
      <w:r>
        <w:rPr>
          <w:rFonts w:ascii="Times New Roman" w:cs="Times New Roman" w:eastAsia="Times New Roman" w:hAnsi="Times New Roman"/>
          <w:sz w:val="18"/>
          <w:szCs w:val="18"/>
          <w:color w:val="auto"/>
        </w:rPr>
        <w:t xml:space="preserve"> and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Details of some of this information relate to costs that may impact the Company's financial results.</w:t>
      </w:r>
    </w:p>
    <w:p>
      <w:pPr>
        <w:spacing w:after="0" w:line="102" w:lineRule="exact"/>
        <w:rPr>
          <w:sz w:val="20"/>
          <w:szCs w:val="20"/>
          <w:color w:val="auto"/>
        </w:rPr>
      </w:pPr>
    </w:p>
    <w:p>
      <w:pPr>
        <w:ind w:right="47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Trends or Matters Affecting Results of Operations and Future Business Performance </w:t>
      </w:r>
      <w:r>
        <w:rPr>
          <w:rFonts w:ascii="Times New Roman" w:cs="Times New Roman" w:eastAsia="Times New Roman" w:hAnsi="Times New Roman"/>
          <w:sz w:val="18"/>
          <w:szCs w:val="18"/>
          <w:i w:val="1"/>
          <w:iCs w:val="1"/>
          <w:color w:val="auto"/>
        </w:rPr>
        <w:t>Wind and Solar Resource Availability</w:t>
      </w:r>
    </w:p>
    <w:p>
      <w:pPr>
        <w:spacing w:after="0" w:line="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122" w:lineRule="exact"/>
        <w:rPr>
          <w:sz w:val="20"/>
          <w:szCs w:val="20"/>
          <w:color w:val="auto"/>
        </w:rPr>
      </w:pPr>
    </w:p>
    <w:p>
      <w:pPr>
        <w:ind w:right="49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Recent Developments Affecting Industry Conditions and the Company’s Business </w:t>
      </w:r>
      <w:r>
        <w:rPr>
          <w:rFonts w:ascii="Times New Roman" w:cs="Times New Roman" w:eastAsia="Times New Roman" w:hAnsi="Times New Roman"/>
          <w:sz w:val="18"/>
          <w:szCs w:val="18"/>
          <w:i w:val="1"/>
          <w:iCs w:val="1"/>
          <w:color w:val="auto"/>
        </w:rPr>
        <w:t>COVID-19</w:t>
      </w:r>
    </w:p>
    <w:p>
      <w:pPr>
        <w:spacing w:after="0" w:line="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3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the date of this report, the Company has not experienced any material financial or operational impacts related to COVID-19. All of the Company’s facilities have remained operational. The Company has experienced a decrease in volumetric sales at certain Thermal locations in part due to COVID-19 related impacts which has not resulted in any material financial impacts to the Company. The Company believes that all of its accounts receivable balances as of December 31, 2020 are collectible. The Company will continue to assess collectability based on any future developments.</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the consequences of governmental and other measures designed to prevent the spread of the virus, the development of effective treatments, the duration of the outbreak,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Times New Roman" w:cs="Times New Roman" w:eastAsia="Times New Roman" w:hAnsi="Times New Roman"/>
          <w:sz w:val="18"/>
          <w:szCs w:val="18"/>
          <w:i w:val="1"/>
          <w:iCs w:val="1"/>
          <w:color w:val="auto"/>
        </w:rPr>
        <w:t>Risk Factors.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2021 Winter Events in Texas</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February 2021, Texas experienced extreme winter weather conditions. Certain of the Company's wind projects were unable to operate and experienced outages due to the weather conditions. These projects are now operating within expectations. The Company continues to assess the full financial exposure related to the circumstances, including potential mitigants, ongoing discussions with contractual counterparties, any potential disputes which may result and any state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sponsored solutions to address the financial impacts caused by the circumstances. Based on available information, the Company currently estimates a direct cash impact between $20 million and $30 million in 2021.</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r>
      <w:tr>
        <w:trPr>
          <w:trHeight w:val="209"/>
        </w:trPr>
        <w:tc>
          <w:tcPr>
            <w:tcW w:w="120" w:type="dxa"/>
            <w:vAlign w:val="bottom"/>
          </w:tcPr>
          <w:p>
            <w:pPr>
              <w:spacing w:after="0"/>
              <w:rPr>
                <w:sz w:val="18"/>
                <w:szCs w:val="18"/>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1,084</w:t>
            </w:r>
          </w:p>
        </w:tc>
      </w:tr>
      <w:tr>
        <w:trPr>
          <w:trHeight w:val="229"/>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120" w:type="dxa"/>
            <w:vAlign w:val="bottom"/>
          </w:tcPr>
          <w:p>
            <w:pPr>
              <w:spacing w:after="0"/>
              <w:rPr>
                <w:sz w:val="19"/>
                <w:szCs w:val="19"/>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0" w:type="dxa"/>
            <w:vAlign w:val="bottom"/>
          </w:tcPr>
          <w:p>
            <w:pPr>
              <w:spacing w:after="0"/>
              <w:rPr>
                <w:sz w:val="19"/>
                <w:szCs w:val="19"/>
                <w:color w:val="auto"/>
              </w:rPr>
            </w:pPr>
          </w:p>
        </w:tc>
        <w:tc>
          <w:tcPr>
            <w:tcW w:w="74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1,053</w:t>
            </w:r>
          </w:p>
        </w:tc>
      </w:tr>
      <w:tr>
        <w:trPr>
          <w:trHeight w:val="210"/>
        </w:trPr>
        <w:tc>
          <w:tcPr>
            <w:tcW w:w="120" w:type="dxa"/>
            <w:vAlign w:val="bottom"/>
          </w:tcPr>
          <w:p>
            <w:pPr>
              <w:spacing w:after="0"/>
              <w:rPr>
                <w:sz w:val="18"/>
                <w:szCs w:val="18"/>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fuels</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120" w:type="dxa"/>
            <w:vAlign w:val="bottom"/>
          </w:tcPr>
          <w:p>
            <w:pPr>
              <w:spacing w:after="0"/>
              <w:rPr>
                <w:sz w:val="19"/>
                <w:szCs w:val="19"/>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120" w:type="dxa"/>
            <w:vAlign w:val="bottom"/>
          </w:tcPr>
          <w:p>
            <w:pPr>
              <w:spacing w:after="0"/>
              <w:rPr>
                <w:sz w:val="19"/>
                <w:szCs w:val="19"/>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20" w:type="dxa"/>
            <w:vAlign w:val="bottom"/>
          </w:tcPr>
          <w:p>
            <w:pPr>
              <w:spacing w:after="0"/>
              <w:rPr>
                <w:sz w:val="19"/>
                <w:szCs w:val="19"/>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 costs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120" w:type="dxa"/>
            <w:vAlign w:val="bottom"/>
          </w:tcPr>
          <w:p>
            <w:pPr>
              <w:spacing w:after="0"/>
              <w:rPr>
                <w:sz w:val="19"/>
                <w:szCs w:val="19"/>
                <w:color w:val="auto"/>
              </w:rPr>
            </w:pPr>
          </w:p>
        </w:tc>
        <w:tc>
          <w:tcPr>
            <w:tcW w:w="74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706</w:t>
            </w:r>
          </w:p>
        </w:tc>
      </w:tr>
      <w:tr>
        <w:trPr>
          <w:trHeight w:val="223"/>
        </w:trPr>
        <w:tc>
          <w:tcPr>
            <w:tcW w:w="12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r>
      <w:tr>
        <w:trPr>
          <w:trHeight w:val="209"/>
        </w:trPr>
        <w:tc>
          <w:tcPr>
            <w:tcW w:w="120" w:type="dxa"/>
            <w:vAlign w:val="bottom"/>
          </w:tcPr>
          <w:p>
            <w:pPr>
              <w:spacing w:after="0"/>
              <w:rPr>
                <w:sz w:val="18"/>
                <w:szCs w:val="18"/>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120" w:type="dxa"/>
            <w:vAlign w:val="bottom"/>
          </w:tcPr>
          <w:p>
            <w:pPr>
              <w:spacing w:after="0"/>
              <w:rPr>
                <w:sz w:val="19"/>
                <w:szCs w:val="19"/>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loss on investment</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unconsolidated affiliate</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0" w:type="dxa"/>
            <w:vAlign w:val="bottom"/>
          </w:tcPr>
          <w:p>
            <w:pPr>
              <w:spacing w:after="0"/>
              <w:rPr>
                <w:sz w:val="19"/>
                <w:szCs w:val="19"/>
                <w:color w:val="auto"/>
              </w:rPr>
            </w:pPr>
          </w:p>
        </w:tc>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120" w:type="dxa"/>
            <w:vAlign w:val="bottom"/>
          </w:tcPr>
          <w:p>
            <w:pPr>
              <w:spacing w:after="0"/>
              <w:rPr>
                <w:sz w:val="19"/>
                <w:szCs w:val="19"/>
                <w:color w:val="auto"/>
              </w:rPr>
            </w:pPr>
          </w:p>
        </w:tc>
        <w:tc>
          <w:tcPr>
            <w:tcW w:w="74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120" w:type="dxa"/>
            <w:vAlign w:val="bottom"/>
          </w:tcPr>
          <w:p>
            <w:pPr>
              <w:spacing w:after="0"/>
              <w:rPr>
                <w:sz w:val="19"/>
                <w:szCs w:val="19"/>
                <w:color w:val="auto"/>
              </w:rPr>
            </w:pPr>
          </w:p>
        </w:tc>
        <w:tc>
          <w:tcPr>
            <w:tcW w:w="7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12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33333"/>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12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Pre-acquisition net income of Drop Down Assets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2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Excluding Pre-acquisition Net Income of Drop Down Assets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120" w:type="dxa"/>
            <w:vAlign w:val="bottom"/>
          </w:tcPr>
          <w:p>
            <w:pPr>
              <w:spacing w:after="0"/>
              <w:rPr>
                <w:sz w:val="19"/>
                <w:szCs w:val="19"/>
                <w:color w:val="auto"/>
              </w:rPr>
            </w:pPr>
          </w:p>
        </w:tc>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2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554"/>
        </w:trPr>
        <w:tc>
          <w:tcPr>
            <w:tcW w:w="1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8"/>
                <w:szCs w:val="18"/>
                <w:color w:val="auto"/>
              </w:rPr>
            </w:pPr>
          </w:p>
        </w:tc>
      </w:tr>
      <w:tr>
        <w:trPr>
          <w:trHeight w:val="223"/>
        </w:trPr>
        <w:tc>
          <w:tcPr>
            <w:tcW w:w="74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tcPr>
          <w:p>
            <w:pPr>
              <w:spacing w:after="0"/>
              <w:rPr>
                <w:sz w:val="19"/>
                <w:szCs w:val="19"/>
                <w:color w:val="auto"/>
              </w:rPr>
            </w:pPr>
          </w:p>
        </w:tc>
      </w:tr>
      <w:tr>
        <w:trPr>
          <w:trHeight w:val="230"/>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Thermal MWt sold (in thousands)</w:t>
            </w:r>
          </w:p>
        </w:tc>
        <w:tc>
          <w:tcPr>
            <w:tcW w:w="20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9"/>
                <w:szCs w:val="19"/>
                <w:color w:val="auto"/>
              </w:rPr>
            </w:pPr>
          </w:p>
        </w:tc>
      </w:tr>
      <w:tr>
        <w:trPr>
          <w:trHeight w:val="229"/>
        </w:trPr>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Thermal MWh sold (in thousands)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r>
      <w:tr>
        <w:trPr>
          <w:trHeight w:val="230"/>
        </w:trPr>
        <w:tc>
          <w:tcPr>
            <w:tcW w:w="75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3"/>
                <w:szCs w:val="23"/>
                <w:color w:val="auto"/>
                <w:vertAlign w:val="superscript"/>
              </w:rPr>
              <w:t>(a)(b)</w:t>
            </w:r>
          </w:p>
        </w:tc>
        <w:tc>
          <w:tcPr>
            <w:tcW w:w="20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Pr>
          <w:p>
            <w:pPr>
              <w:spacing w:after="0"/>
              <w:rPr>
                <w:sz w:val="19"/>
                <w:szCs w:val="19"/>
                <w:color w:val="auto"/>
              </w:rPr>
            </w:pPr>
          </w:p>
        </w:tc>
      </w:tr>
      <w:tr>
        <w:trPr>
          <w:trHeight w:val="230"/>
        </w:trPr>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94.3 %</w:t>
            </w:r>
          </w:p>
        </w:tc>
        <w:tc>
          <w:tcPr>
            <w:tcW w:w="120" w:type="dxa"/>
            <w:vAlign w:val="bottom"/>
          </w:tcPr>
          <w:p>
            <w:pPr>
              <w:spacing w:after="0"/>
              <w:rPr>
                <w:sz w:val="19"/>
                <w:szCs w:val="19"/>
                <w:color w:val="auto"/>
              </w:rPr>
            </w:pPr>
          </w:p>
        </w:tc>
      </w:tr>
    </w:tbl>
    <w:p>
      <w:pPr>
        <w:spacing w:after="0" w:line="78" w:lineRule="exact"/>
        <w:rPr>
          <w:sz w:val="20"/>
          <w:szCs w:val="20"/>
          <w:color w:val="auto"/>
        </w:rPr>
      </w:pPr>
    </w:p>
    <w:p>
      <w:pPr>
        <w:ind w:left="140" w:hanging="132"/>
        <w:spacing w:after="0"/>
        <w:tabs>
          <w:tab w:leader="none" w:pos="140" w:val="left"/>
        </w:tabs>
        <w:numPr>
          <w:ilvl w:val="0"/>
          <w:numId w:val="2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Volumes do not include the MWh generated/sold by the Company's equity method investments.</w:t>
      </w:r>
    </w:p>
    <w:p>
      <w:pPr>
        <w:spacing w:after="0" w:line="43" w:lineRule="exact"/>
        <w:rPr>
          <w:rFonts w:ascii="Times New Roman" w:cs="Times New Roman" w:eastAsia="Times New Roman" w:hAnsi="Times New Roman"/>
          <w:sz w:val="17"/>
          <w:szCs w:val="17"/>
          <w:color w:val="auto"/>
          <w:vertAlign w:val="superscript"/>
        </w:rPr>
      </w:pPr>
    </w:p>
    <w:p>
      <w:pPr>
        <w:ind w:left="140" w:hanging="132"/>
        <w:spacing w:after="0" w:line="224" w:lineRule="auto"/>
        <w:tabs>
          <w:tab w:leader="none" w:pos="140" w:val="left"/>
        </w:tabs>
        <w:numPr>
          <w:ilvl w:val="0"/>
          <w:numId w:val="2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Volumes generated are not sold as the Conventional facilities sell capacity rather than energy.</w:t>
      </w: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52" w:name="page53"/>
    <w:bookmarkEnd w:id="52"/>
    <w:p>
      <w:pPr>
        <w:ind w:right="34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years ended December 31, 2020 and 2019 </w:t>
      </w:r>
      <w:r>
        <w:rPr>
          <w:rFonts w:ascii="Times New Roman" w:cs="Times New Roman" w:eastAsia="Times New Roman" w:hAnsi="Times New Roman"/>
          <w:sz w:val="18"/>
          <w:szCs w:val="18"/>
          <w:b w:val="1"/>
          <w:bCs w:val="1"/>
          <w:i w:val="1"/>
          <w:iCs w:val="1"/>
          <w:color w:val="auto"/>
        </w:rPr>
        <w:t>Gross Margin</w:t>
      </w:r>
    </w:p>
    <w:p>
      <w:pPr>
        <w:spacing w:after="0" w:line="1" w:lineRule="exact"/>
        <w:rPr>
          <w:sz w:val="20"/>
          <w:szCs w:val="20"/>
          <w:color w:val="auto"/>
        </w:rPr>
      </w:pPr>
    </w:p>
    <w:p>
      <w:pPr>
        <w:jc w:val="both"/>
        <w:ind w:firstLine="216"/>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75" w:lineRule="exact"/>
        <w:rPr>
          <w:sz w:val="20"/>
          <w:szCs w:val="20"/>
          <w:color w:val="auto"/>
        </w:rPr>
      </w:pPr>
    </w:p>
    <w:p>
      <w:pPr>
        <w:jc w:val="both"/>
        <w:ind w:firstLine="251"/>
        <w:spacing w:after="0" w:line="254"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plus other revenues,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38"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The below tables present the composition of gross margin, as well as the reconciliation to Economic Gross Margin for the years ended December 31, 2020 and 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4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58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fuels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16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6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16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6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revenues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fuels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6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5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ind w:left="180"/>
        <w:spacing w:after="0"/>
        <w:rPr>
          <w:sz w:val="20"/>
          <w:szCs w:val="20"/>
          <w:color w:val="auto"/>
        </w:rPr>
      </w:pPr>
      <w:r>
        <w:rPr>
          <w:rFonts w:ascii="Times New Roman" w:cs="Times New Roman" w:eastAsia="Times New Roman" w:hAnsi="Times New Roman"/>
          <w:sz w:val="18"/>
          <w:szCs w:val="18"/>
          <w:color w:val="auto"/>
        </w:rPr>
        <w:t>Gross margin increased by $168 million during the year ended December 31, 2020, compared to the same period in 2019, primarily due to:</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Conventional</w:t>
            </w:r>
          </w:p>
        </w:tc>
        <w:tc>
          <w:tcPr>
            <w:tcW w:w="7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is due primarily to the acquisition of Carlsbad Energy in December 2019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75"/>
        </w:trPr>
        <w:tc>
          <w:tcPr>
            <w:tcW w:w="1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Renewables</w:t>
            </w:r>
          </w:p>
        </w:tc>
        <w:tc>
          <w:tcPr>
            <w:tcW w:w="7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Increases of $32 million from the consolidation of the DGPV Holdco Entities, increase of $22 million</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7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in wind projects primarily related to a $17 million increase due to the completion of the repowering of</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7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Elbow Creek and Wildorado, an increase of $21 million due to the Oahu and Kawailoa facilities</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achieving COD in late 2019 and a $9 million increase due to the prior year outage at CVSR.</w:t>
            </w:r>
          </w:p>
        </w:tc>
        <w:tc>
          <w:tcPr>
            <w:tcW w:w="2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Thermal</w:t>
            </w:r>
          </w:p>
        </w:tc>
        <w:tc>
          <w:tcPr>
            <w:tcW w:w="7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Decreases of $5 million related to the sale of Dover on March 2, 2020 and $3 million primarily due to</w:t>
            </w: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spacing w:after="0"/>
              <w:rPr>
                <w:sz w:val="15"/>
                <w:szCs w:val="15"/>
                <w:color w:val="auto"/>
              </w:rPr>
            </w:pPr>
          </w:p>
        </w:tc>
        <w:tc>
          <w:tcPr>
            <w:tcW w:w="7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decrease in volumetric sales at certain locations related to COVID-19, offset by an increase of $3</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7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million related to the acquisition of the Duquesne University Energy System on May 1, 2019</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jc w:val="both"/>
        <w:ind w:firstLine="195"/>
        <w:spacing w:after="0" w:line="266" w:lineRule="auto"/>
        <w:rPr>
          <w:sz w:val="20"/>
          <w:szCs w:val="20"/>
          <w:color w:val="auto"/>
        </w:rPr>
      </w:pPr>
      <w:r>
        <w:rPr>
          <w:rFonts w:ascii="Times New Roman" w:cs="Times New Roman" w:eastAsia="Times New Roman" w:hAnsi="Times New Roman"/>
          <w:sz w:val="18"/>
          <w:szCs w:val="18"/>
          <w:color w:val="auto"/>
        </w:rPr>
        <w:t>Operations and maintenance expense increased by $28 million during the year ended December 31, 2020 compared to the same period in 2019, due to a $17 million increase in the Conventional segment primarily related to the acquisition of the Carlsbad Energy Center in December 2019 and an $11 million increase in maintenance primarily related to the consolidation of the DGPV Holdco entities within the Renewables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and Accretion</w:t>
      </w:r>
    </w:p>
    <w:p>
      <w:pPr>
        <w:spacing w:after="0" w:line="175" w:lineRule="exact"/>
        <w:rPr>
          <w:sz w:val="20"/>
          <w:szCs w:val="20"/>
          <w:color w:val="auto"/>
        </w:rPr>
      </w:pPr>
    </w:p>
    <w:p>
      <w:pPr>
        <w:jc w:val="both"/>
        <w:ind w:firstLine="266"/>
        <w:spacing w:after="0" w:line="254" w:lineRule="auto"/>
        <w:rPr>
          <w:sz w:val="20"/>
          <w:szCs w:val="20"/>
          <w:color w:val="auto"/>
        </w:rPr>
      </w:pPr>
      <w:r>
        <w:rPr>
          <w:rFonts w:ascii="Times New Roman" w:cs="Times New Roman" w:eastAsia="Times New Roman" w:hAnsi="Times New Roman"/>
          <w:sz w:val="18"/>
          <w:szCs w:val="18"/>
          <w:color w:val="auto"/>
        </w:rPr>
        <w:t>Depreciation, amortization and accretion expense increased by $27 million during the year ended December 31, 2020, compared to 2019, due to a $30 million increase in the Conventional segment related to the acquisition of Carlsbad Energy in December 2019 and a $3 million increase in the Thermal segment due primarily to accelerated depreciation related to Duquesne, partially offset by a $6 million decrease in the Renewables segment. In 2019, the Company accelerated depreciation at the Wildorado and Elbow Creek projects, in connection with the repowering activities, which resulted in additional depreciation expense for the two projects of $39 million in the prior period. The current period includes incremental depreciation of $33 million consisting of accelerated depreciation of approximately $11 million for the repowering of Pinnacle, additional depreciation of $11 million related to the Oahu and Kawailoa projects which reached COD in late 2019 and $11 million of additional depreciation due to the consolidation of the Chestnut and CS4 Funds in May 2020.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75" w:lineRule="exact"/>
        <w:rPr>
          <w:sz w:val="20"/>
          <w:szCs w:val="20"/>
          <w:color w:val="auto"/>
        </w:rPr>
      </w:pPr>
    </w:p>
    <w:p>
      <w:pPr>
        <w:jc w:val="both"/>
        <w:ind w:firstLine="222"/>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impairment losses of $24 million for the year ended December 31, 2020, primarily related to several wind projects within the Renewables segment, as further described in Item 15 — Note 9,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ind w:firstLine="19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 million for the year ended December 31, 2020 compared to the same period in 2019, primarily due to an increase in MSA fees charged by CEG and an increase in personnel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Integration Costs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 and integration expenses increased $6 million for the year ended December 31, 2020 compared to the same period in 2019 primarily due to the increased number of Drop Down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Equity in earnings of unconsolidated affiliates decreased by $76 million during the year ended December 31, 2020 compared to the same period in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change was driven by decreases in HLBV earnings for the DGPV Holdco Entities, as well as HLBV losses for Mesquite Star which was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2020, partially offset by increases in HLBV earnings for the Desert Sunlight, RPV and Utah investments.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Investment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an $8 million impairment loss during the year ended December 31, 2020, related to San Juan Mesa, an equity method investment within the Renewables segment as further described in Item 15 — Note 9,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Unconsolidated Affiliate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14, 2020, the Company sold its interests in RPV Holdco 1 LLC to a third party which resulted in a gain on sale of investment of approximately $49 million, as further described in Item 15 — Note 3, </w:t>
      </w:r>
      <w:r>
        <w:rPr>
          <w:rFonts w:ascii="Times New Roman" w:cs="Times New Roman" w:eastAsia="Times New Roman" w:hAnsi="Times New Roman"/>
          <w:sz w:val="18"/>
          <w:szCs w:val="18"/>
          <w:i w:val="1"/>
          <w:iCs w:val="1"/>
          <w:color w:val="auto"/>
        </w:rPr>
        <w:t>Acquisition and Dispositions.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recorded loss on debt extinguishment of $24 million during the year ended December 31, 2020, which reflects the write-off of previously deferred debt issance costs, primarily related to the repayment of debt and related refinancing activities in the Renewables segment as further described in Item 15 — Note 10, </w:t>
      </w:r>
      <w:r>
        <w:rPr>
          <w:rFonts w:ascii="Times New Roman" w:cs="Times New Roman" w:eastAsia="Times New Roman" w:hAnsi="Times New Roman"/>
          <w:sz w:val="18"/>
          <w:szCs w:val="18"/>
          <w:i w:val="1"/>
          <w:iCs w:val="1"/>
          <w:color w:val="auto"/>
        </w:rPr>
        <w:t>Long-term 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increased by $11 million during the year ended December 31, 2020 compared to the same period in 2019 primarily due to:</w:t>
      </w:r>
    </w:p>
    <w:p>
      <w:pPr>
        <w:spacing w:after="0" w:line="205"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240"/>
          </w:cols>
          <w:pgMar w:left="320" w:top="927" w:right="339" w:bottom="1440" w:gutter="0" w:footer="0" w:header="0"/>
        </w:sectPr>
      </w:pP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Additional interest expense for Carlsbad Energy Center which was acquired on 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-127635</wp:posOffset>
            </wp:positionV>
            <wp:extent cx="697801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78015" cy="145415"/>
                    </a:xfrm>
                    <a:prstGeom prst="rect">
                      <a:avLst/>
                    </a:prstGeom>
                    <a:noFill/>
                  </pic:spPr>
                </pic:pic>
              </a:graphicData>
            </a:graphic>
          </wp:anchor>
        </w:drawing>
      </w:r>
    </w:p>
    <w:p>
      <w:pPr>
        <w:spacing w:after="0" w:line="7" w:lineRule="exact"/>
        <w:rPr>
          <w:sz w:val="20"/>
          <w:szCs w:val="20"/>
          <w:color w:val="auto"/>
        </w:rPr>
      </w:pPr>
    </w:p>
    <w:p>
      <w:pPr>
        <w:jc w:val="both"/>
        <w:ind w:left="140"/>
        <w:spacing w:after="0" w:line="234" w:lineRule="auto"/>
        <w:rPr>
          <w:sz w:val="20"/>
          <w:szCs w:val="20"/>
          <w:color w:val="auto"/>
        </w:rPr>
      </w:pPr>
      <w:r>
        <w:rPr>
          <w:rFonts w:ascii="Times New Roman" w:cs="Times New Roman" w:eastAsia="Times New Roman" w:hAnsi="Times New Roman"/>
          <w:sz w:val="18"/>
          <w:szCs w:val="18"/>
          <w:color w:val="auto"/>
        </w:rPr>
        <w:t>Increase in Corporate interest expense due primarily to additional revolver borrowings and the issuance of the additional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635</wp:posOffset>
            </wp:positionV>
            <wp:extent cx="697801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78015"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Change in fair value of interest rate swaps</w:t>
      </w:r>
    </w:p>
    <w:p>
      <w:pPr>
        <w:spacing w:after="0" w:line="31" w:lineRule="exact"/>
        <w:rPr>
          <w:sz w:val="20"/>
          <w:szCs w:val="20"/>
          <w:color w:val="auto"/>
        </w:rPr>
      </w:pPr>
    </w:p>
    <w:p>
      <w:pPr>
        <w:ind w:left="140" w:right="440"/>
        <w:spacing w:after="0" w:line="258" w:lineRule="auto"/>
        <w:rPr>
          <w:sz w:val="20"/>
          <w:szCs w:val="20"/>
          <w:color w:val="auto"/>
        </w:rPr>
      </w:pPr>
      <w:r>
        <w:rPr>
          <w:rFonts w:ascii="Times New Roman" w:cs="Times New Roman" w:eastAsia="Times New Roman" w:hAnsi="Times New Roman"/>
          <w:sz w:val="18"/>
          <w:szCs w:val="18"/>
          <w:color w:val="auto"/>
        </w:rPr>
        <w:t>Reclassification of earnings previously deferred in Accumulated Other Comprehensive Income to the statement of operations in connection with project-level debt refinancing activities</w:t>
      </w:r>
    </w:p>
    <w:p>
      <w:pPr>
        <w:jc w:val="both"/>
        <w:ind w:left="140"/>
        <w:spacing w:after="0" w:line="226" w:lineRule="auto"/>
        <w:rPr>
          <w:sz w:val="20"/>
          <w:szCs w:val="20"/>
          <w:color w:val="auto"/>
        </w:rPr>
      </w:pPr>
      <w:r>
        <w:rPr>
          <w:rFonts w:ascii="Times New Roman" w:cs="Times New Roman" w:eastAsia="Times New Roman" w:hAnsi="Times New Roman"/>
          <w:sz w:val="18"/>
          <w:szCs w:val="18"/>
          <w:color w:val="auto"/>
        </w:rPr>
        <w:t>Decrease in interest expense due to lower principal balances of project level debt primarily related to refinancing, offset slightly by an increase in interest expense related to Oahu and Kawailoa which were capitalized in 2019 and the consolidation of the DGPV Holdco Entities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-367665</wp:posOffset>
            </wp:positionV>
            <wp:extent cx="6978015" cy="3689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78015" cy="368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804" w:hanging="804"/>
        <w:spacing w:after="0"/>
        <w:tabs>
          <w:tab w:leader="none" w:pos="8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198"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8"/>
          <w:szCs w:val="18"/>
          <w:color w:val="auto"/>
        </w:rPr>
        <w:t>6</w:t>
      </w:r>
    </w:p>
    <w:p>
      <w:pPr>
        <w:spacing w:after="0" w:line="24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(8)</w:t>
      </w:r>
    </w:p>
    <w:p>
      <w:pPr>
        <w:spacing w:after="0" w:line="37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6858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 w:lineRule="exact"/>
        <w:rPr>
          <w:sz w:val="20"/>
          <w:szCs w:val="20"/>
          <w:color w:val="auto"/>
        </w:rPr>
      </w:pPr>
    </w:p>
    <w:p>
      <w:pPr>
        <w:ind w:left="824" w:hanging="824"/>
        <w:spacing w:after="0"/>
        <w:tabs>
          <w:tab w:leader="none" w:pos="8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6858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6858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0" w:space="256"/>
            <w:col w:w="1184"/>
          </w:cols>
          <w:pgMar w:left="320" w:top="927"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75" w:lineRule="exact"/>
        <w:rPr>
          <w:sz w:val="20"/>
          <w:szCs w:val="20"/>
          <w:color w:val="auto"/>
        </w:rPr>
      </w:pPr>
    </w:p>
    <w:p>
      <w:pPr>
        <w:jc w:val="both"/>
        <w:ind w:firstLine="21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2020, the Company recorded income tax expense of $8 million on pretax loss of $54 million. For the same period in 2019, the Company recorded an income tax benefit of $8 million on pretax loss of $104 million. For the year ended December 31, 2020, the overall effective tax rate was different than the statutory rate of 21% primarily due to the taxable earnings and losses allocated to partners’ interest in Clearway Energy LLC, which includes the effects of applying the hypothetical liquidation at book value, or HLBV, method of accounting for book purposes to certain partnerships.</w:t>
      </w:r>
    </w:p>
    <w:p>
      <w:pPr>
        <w:spacing w:after="0" w:line="129" w:lineRule="exact"/>
        <w:rPr>
          <w:sz w:val="20"/>
          <w:szCs w:val="20"/>
          <w:color w:val="auto"/>
        </w:rPr>
      </w:pPr>
    </w:p>
    <w:p>
      <w:pPr>
        <w:jc w:val="both"/>
        <w:ind w:firstLine="26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the overall effective tax rate was different than the statutory rate of 21% primarily due to the taxable earnings and losses allocated to partners’ interest in Clearway Energy LLC, which includes the effects of applying the hypothetical liquidation at book value, or HLBV, method of accounting for book purposes to certain partnerships.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U.S. federal statutory rate of 21% to the Company's effective rate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2780" w:type="dxa"/>
            <w:vAlign w:val="bottom"/>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333333"/>
              </w:rPr>
              <w:t>$</w:t>
            </w:r>
          </w:p>
        </w:tc>
        <w:tc>
          <w:tcPr>
            <w:tcW w:w="6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333333"/>
              </w:rPr>
              <w:t>(54)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at 21%</w:t>
            </w:r>
          </w:p>
        </w:tc>
        <w:tc>
          <w:tcPr>
            <w:tcW w:w="1020" w:type="dxa"/>
            <w:vAlign w:val="bottom"/>
          </w:tcPr>
          <w:p>
            <w:pPr>
              <w:spacing w:after="0"/>
              <w:rPr>
                <w:sz w:val="17"/>
                <w:szCs w:val="17"/>
                <w:color w:val="auto"/>
              </w:rPr>
            </w:pPr>
          </w:p>
        </w:tc>
        <w:tc>
          <w:tcPr>
            <w:tcW w:w="6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Impact of non-taxable partnership earnings</w:t>
            </w:r>
          </w:p>
        </w:tc>
        <w:tc>
          <w:tcPr>
            <w:tcW w:w="102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tax credits</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Production tax credits, including prior year true-up</w:t>
            </w:r>
          </w:p>
        </w:tc>
        <w:tc>
          <w:tcPr>
            <w:tcW w:w="1020" w:type="dxa"/>
            <w:vAlign w:val="bottom"/>
          </w:tcPr>
          <w:p>
            <w:pPr>
              <w:spacing w:after="0"/>
              <w:rPr>
                <w:sz w:val="18"/>
                <w:szCs w:val="18"/>
                <w:color w:val="auto"/>
              </w:rPr>
            </w:pPr>
          </w:p>
        </w:tc>
        <w:tc>
          <w:tcPr>
            <w:tcW w:w="6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Rate change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firstLine="251"/>
        <w:spacing w:after="0" w:line="261" w:lineRule="auto"/>
        <w:rPr>
          <w:sz w:val="20"/>
          <w:szCs w:val="20"/>
          <w:color w:val="auto"/>
        </w:rPr>
      </w:pPr>
      <w:r>
        <w:rPr>
          <w:rFonts w:ascii="Times New Roman" w:cs="Times New Roman" w:eastAsia="Times New Roman" w:hAnsi="Times New Roman"/>
          <w:sz w:val="18"/>
          <w:szCs w:val="18"/>
          <w:color w:val="auto"/>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75"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Company had income of $26 million attributable to CEG's economic interest in Clearway Energy LLC, offset by losses of $20 million attributable to CEG's interests in the Kawailoa, Oahu and Repowering partnerships and losses of $93 million attributable to noncontrolling interests with respect to its tax equity financing arrangements and the application of the HLBV method.</w:t>
      </w:r>
    </w:p>
    <w:p>
      <w:pPr>
        <w:spacing w:after="0" w:line="122" w:lineRule="exact"/>
        <w:rPr>
          <w:sz w:val="20"/>
          <w:szCs w:val="20"/>
          <w:color w:val="auto"/>
        </w:rPr>
      </w:pPr>
    </w:p>
    <w:p>
      <w:pPr>
        <w:jc w:val="both"/>
        <w:ind w:firstLine="18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the Company had a loss of $14 million attributable to CEG's economic interest in Clearway Energy LLC, as well as $21 million of net losses attributable to CEG's interests in the Repowering, Oahu, and Kawailoa partnerships. The Company also recorded a net loss of $57 million attributable to noncontrolling interests with respect to tax equity financing arrangements and the application of the HLBV method, primarily reflecting tax benefits allocated to tax equity investors in periods immediately subsequent to COD. This was partially offset by $7 million of income attributable to a third party's interest in the Kawailoa partnership.</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firstLine="213"/>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Times New Roman" w:cs="Times New Roman" w:eastAsia="Times New Roman" w:hAnsi="Times New Roman"/>
          <w:sz w:val="18"/>
          <w:szCs w:val="18"/>
          <w:color w:val="000000"/>
        </w:rPr>
        <w:t>As a normal part of the Company's business, depending on market conditions,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62" w:lineRule="exact"/>
        <w:rPr>
          <w:sz w:val="20"/>
          <w:szCs w:val="20"/>
          <w:color w:val="auto"/>
        </w:rPr>
      </w:pPr>
    </w:p>
    <w:p>
      <w:pPr>
        <w:jc w:val="both"/>
        <w:ind w:firstLine="269"/>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2020</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31F20"/>
        </w:rPr>
        <w:t>, the Company's liquidity was approximately $894 million and $842 million, respectively, comprised of cash, restricted cash and availability under the Company's revolving credit facility.</w:t>
      </w:r>
    </w:p>
    <w:p>
      <w:pPr>
        <w:spacing w:after="0" w:line="137"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23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00" w:type="dxa"/>
            <w:vAlign w:val="bottom"/>
            <w:tcBorders>
              <w:bottom w:val="single" w:sz="8" w:color="auto"/>
            </w:tcBorders>
          </w:tcPr>
          <w:p>
            <w:pPr>
              <w:spacing w:after="0"/>
              <w:rPr>
                <w:sz w:val="18"/>
                <w:szCs w:val="18"/>
                <w:color w:val="auto"/>
              </w:rPr>
            </w:pPr>
          </w:p>
        </w:tc>
      </w:tr>
      <w:tr>
        <w:trPr>
          <w:trHeight w:val="211"/>
        </w:trPr>
        <w:tc>
          <w:tcPr>
            <w:tcW w:w="79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Borders>
              <w:bottom w:val="single" w:sz="8" w:color="auto"/>
            </w:tcBorders>
          </w:tcPr>
          <w:p>
            <w:pPr>
              <w:spacing w:after="0"/>
              <w:rPr>
                <w:sz w:val="18"/>
                <w:szCs w:val="18"/>
                <w:color w:val="auto"/>
              </w:rPr>
            </w:pPr>
          </w:p>
        </w:tc>
      </w:tr>
      <w:tr>
        <w:trPr>
          <w:trHeight w:val="210"/>
        </w:trPr>
        <w:tc>
          <w:tcPr>
            <w:tcW w:w="79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Borders>
              <w:bottom w:val="single" w:sz="8" w:color="auto"/>
            </w:tcBorders>
          </w:tcPr>
          <w:p>
            <w:pPr>
              <w:spacing w:after="0"/>
              <w:rPr>
                <w:sz w:val="18"/>
                <w:szCs w:val="18"/>
                <w:color w:val="auto"/>
              </w:rPr>
            </w:pPr>
          </w:p>
        </w:tc>
      </w:tr>
      <w:tr>
        <w:trPr>
          <w:trHeight w:val="198"/>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Clearway Energy, Inc. and Clearway Energy LLC, excluding subsidiaries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Subsidiaries</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4"/>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8"/>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accounts</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3"/>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Reserves, including debt service, distributions, performance obligations and other reserves</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2"/>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3"/>
        </w:trPr>
        <w:tc>
          <w:tcPr>
            <w:tcW w:w="7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Revolving credit facility availability</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37"/>
        </w:trPr>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liquidity</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31F20"/>
        </w:rPr>
        <w:t xml:space="preserve">The Company's liquidity includes $197 million and $262 million of restricted cash balances as of December 31, 2020 and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31F20"/>
        </w:rPr>
        <w:t xml:space="preserve">,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8"/>
          <w:szCs w:val="18"/>
          <w:color w:val="000000"/>
        </w:rPr>
        <w:t>December 31, 2020, these restricted funds were comprised of $73 million designated to fund operating expenses,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approximately $24 million designated for current debt service payments, and $45 million restricted for reserves including debt service, performance obligations and other reserves, as well as capital expenditures. The remaining $55 million is held in distribution reserve accounts.</w:t>
      </w:r>
    </w:p>
    <w:p>
      <w:pPr>
        <w:spacing w:after="0" w:line="129" w:lineRule="exact"/>
        <w:rPr>
          <w:sz w:val="20"/>
          <w:szCs w:val="20"/>
          <w:color w:val="auto"/>
        </w:rPr>
      </w:pPr>
    </w:p>
    <w:p>
      <w:pPr>
        <w:jc w:val="both"/>
        <w:ind w:firstLine="315"/>
        <w:spacing w:after="0" w:line="261" w:lineRule="auto"/>
        <w:rPr>
          <w:sz w:val="20"/>
          <w:szCs w:val="20"/>
          <w:color w:val="auto"/>
        </w:rPr>
      </w:pPr>
      <w:r>
        <w:rPr>
          <w:rFonts w:ascii="Times New Roman" w:cs="Times New Roman" w:eastAsia="Times New Roman" w:hAnsi="Times New Roman"/>
          <w:sz w:val="18"/>
          <w:szCs w:val="18"/>
          <w:color w:val="auto"/>
        </w:rPr>
        <w:t>As of December 31, 2020, the Company had no outstanding borrowings under the revolving credit facility and $66 million in letters of credit outstanding. During the year ended December 31, 2020, the Company borrowed $265 million under the revolving credit facility, and subsequently repaid $265 million utilizing the proceeds from the issuance of additional 2028 Senior Notes, as described below, and cash on hand. The Company had $195 million outstanding under the revolving credit facility and a total of $70 million in letters of credit outstanding as of February 26, 2021.</w:t>
      </w:r>
    </w:p>
    <w:p>
      <w:pPr>
        <w:spacing w:after="0" w:line="126" w:lineRule="exact"/>
        <w:rPr>
          <w:sz w:val="20"/>
          <w:szCs w:val="20"/>
          <w:color w:val="auto"/>
        </w:rPr>
      </w:pPr>
    </w:p>
    <w:p>
      <w:pPr>
        <w:jc w:val="both"/>
        <w:ind w:firstLine="304"/>
        <w:spacing w:after="0" w:line="266" w:lineRule="auto"/>
        <w:rPr>
          <w:sz w:val="20"/>
          <w:szCs w:val="20"/>
          <w:color w:val="auto"/>
        </w:rPr>
      </w:pPr>
      <w:r>
        <w:rPr>
          <w:rFonts w:ascii="Times New Roman" w:cs="Times New Roman" w:eastAsia="Times New Roman" w:hAnsi="Times New Roman"/>
          <w:sz w:val="18"/>
          <w:szCs w:val="18"/>
          <w:color w:val="auto"/>
        </w:rPr>
        <w:t>On July 1, 2020, PG&amp;E emerged from bankruptcy and assumed the Company's contracts without modification. Subsequent to July 1, 2020, the Company collected all remaining receivables due from PG&amp;E for pre-petition periods and received all distributions that were previously restricted from subsidiaries affected by the PG&amp;E Bankruptcy.</w:t>
      </w:r>
    </w:p>
    <w:p>
      <w:pPr>
        <w:spacing w:after="0" w:line="95" w:lineRule="exact"/>
        <w:rPr>
          <w:sz w:val="20"/>
          <w:szCs w:val="20"/>
          <w:color w:val="auto"/>
        </w:rPr>
      </w:pPr>
    </w:p>
    <w:p>
      <w:pPr>
        <w:jc w:val="both"/>
        <w:ind w:firstLine="286"/>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75" w:lineRule="exact"/>
        <w:rPr>
          <w:sz w:val="20"/>
          <w:szCs w:val="20"/>
          <w:color w:val="auto"/>
        </w:rPr>
      </w:pPr>
    </w:p>
    <w:p>
      <w:pPr>
        <w:jc w:val="both"/>
        <w:ind w:firstLine="275"/>
        <w:spacing w:after="0" w:line="261" w:lineRule="auto"/>
        <w:rPr>
          <w:sz w:val="20"/>
          <w:szCs w:val="20"/>
          <w:color w:val="auto"/>
        </w:rPr>
      </w:pPr>
      <w:r>
        <w:rPr>
          <w:rFonts w:ascii="Times New Roman" w:cs="Times New Roman" w:eastAsia="Times New Roman" w:hAnsi="Times New Roman"/>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December 31, 2020. The ratings outlook is stable.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228"/>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Clearway Energy, Inc.</w:t>
            </w:r>
          </w:p>
        </w:tc>
        <w:tc>
          <w:tcPr>
            <w:tcW w:w="15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5.75% Senior Notes, due 2025</w:t>
            </w:r>
          </w:p>
        </w:tc>
        <w:tc>
          <w:tcPr>
            <w:tcW w:w="16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Senior Notes, due 2026</w:t>
            </w:r>
          </w:p>
        </w:tc>
        <w:tc>
          <w:tcPr>
            <w:tcW w:w="16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Notes, due 2028</w:t>
            </w:r>
          </w:p>
        </w:tc>
        <w:tc>
          <w:tcPr>
            <w:tcW w:w="16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179"/>
        <w:spacing w:after="0" w:line="261"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15 </w:t>
      </w:r>
      <w:r>
        <w:rPr>
          <w:rFonts w:ascii="Times New Roman" w:cs="Times New Roman" w:eastAsia="Times New Roman" w:hAnsi="Times New Roman"/>
          <w:sz w:val="18"/>
          <w:szCs w:val="18"/>
          <w:color w:val="000000"/>
        </w:rPr>
        <w:t>— 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to the Consolidated Financial Statements, the Company's financing arrangements consist of corporate level debt, which includes Senior Notes and the revolving credit facility, the ATM Programs, and project-level financings for its various assets.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Revolving Credit Facility</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Company has a total of $429 million available under the revolving credit facility as of December 31, 2020. The facility will continue to be used for general corporate purposes including financing of future acquisitions and posting letters of credit.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DG-CS Master Borrower LLC</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November 2, 2020, DG-CS Master Borrower LLC, a wholly owned subsidiary of Clearway Energy Operating LLC, entered into a financing arrangement, which included the issuance of a $467 million term loan, as well as $30 million in letters of credit in support of debt service. The notes bear interest at 3.51% and mature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Item 15 — Note 5, </w:t>
      </w:r>
      <w:r>
        <w:rPr>
          <w:rFonts w:ascii="Times New Roman" w:cs="Times New Roman" w:eastAsia="Times New Roman" w:hAnsi="Times New Roman"/>
          <w:sz w:val="18"/>
          <w:szCs w:val="18"/>
          <w:i w:val="1"/>
          <w:iCs w:val="1"/>
          <w:color w:val="auto"/>
        </w:rPr>
        <w:t>Investments Accounted for by the Equity Method and Variable Interest Entities.</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Utah Solar Holdings, LLC</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September 1, 2020, Utah Solar Holdings, LLC, or Utah Solar, entered into a financing arrangement, which included the issuance of approximately $296 million in senior secured notes supported by the Company’s interest in the Four Brothers, Granite Mountain and Iron Springs projects, or the Utah projects (previously defined as the Utah Solar Portfolio).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NIMH Solar LLC</w:t>
      </w:r>
    </w:p>
    <w:p>
      <w:pPr>
        <w:spacing w:after="0" w:line="17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On September 30, 2020, the Alpine, Blythe and Roadrunner projects were transferred under NIMH Solar LLC, a wholly owned subsidiary of Clearway Energy Operating LLC. Concurrently, total project-level debt outstanding for Alpine, Blythe and Roadrunner of $158 million was assigned to NIMH Solar LLC. The consolidated facility was amended to a term loan for $193 million, as well as $16 million in letters of credit in support of debt service and project obligations. The term loan bears annual interest at an annual rate of LIBOR, plus an applicable margin, which is 2.00% per annum through the third anniversary of closing, and 2.125% per annum thereafter through the maturity date in September 2024. As a result of the amendment the Company received $35 million and the funds were utilized to pay related fees and expenses and along with existing project level cash provided a distribution to Clearway Energy Operating LLC of $45 million. The obligations under the financing arrangement are supported by the Company’s interests in the projects.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ind w:left="420"/>
        <w:spacing w:after="0"/>
        <w:rPr>
          <w:sz w:val="20"/>
          <w:szCs w:val="20"/>
          <w:color w:val="auto"/>
        </w:rPr>
      </w:pPr>
      <w:r>
        <w:rPr>
          <w:rFonts w:ascii="Times New Roman" w:cs="Times New Roman" w:eastAsia="Times New Roman" w:hAnsi="Times New Roman"/>
          <w:sz w:val="18"/>
          <w:szCs w:val="18"/>
          <w:i w:val="1"/>
          <w:iCs w:val="1"/>
          <w:color w:val="auto"/>
        </w:rPr>
        <w:t>2028 Senior Notes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May 21, 2020, Clearway Energy Operating LLC completed the sale of an additional $250 million aggregate principal amount of the 2028 Senior Notes. The 2028 Senior Notes bear interest at 4.75% and mature on March 15, 2028. The net proceeds were utilized to repay the $45 million outstanding principal amount of the Company's 2020 Convertible Notes on June 1, 2020, as well as repay amounts outstanding under the Company’s revolving credit facility and for general corporate purposes.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ATM Programs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2020, approximately $126 million of Class C common stock remains available for issuance under the 2020 ATM Program. During the year ended December 31, 2020, the Company sold 2,690,455 shares of Class C common stock for net proceeds of $63 million under the ATM Programs. The Company utilized the proceeds to acquire 2,690,455 Class C units of Clearway Energy LLC. The Company concluded the 2016 ATM program on June 30, 2020.</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Sale of Interest in RPV Holdco 1</w:t>
      </w:r>
    </w:p>
    <w:p>
      <w:pPr>
        <w:spacing w:after="0" w:line="173" w:lineRule="exact"/>
        <w:rPr>
          <w:sz w:val="20"/>
          <w:szCs w:val="20"/>
          <w:color w:val="auto"/>
        </w:rPr>
      </w:pPr>
    </w:p>
    <w:p>
      <w:pPr>
        <w:ind w:left="420" w:right="1100"/>
        <w:spacing w:after="0" w:line="438" w:lineRule="auto"/>
        <w:rPr>
          <w:sz w:val="20"/>
          <w:szCs w:val="20"/>
          <w:color w:val="auto"/>
        </w:rPr>
      </w:pPr>
      <w:r>
        <w:rPr>
          <w:rFonts w:ascii="Times New Roman" w:cs="Times New Roman" w:eastAsia="Times New Roman" w:hAnsi="Times New Roman"/>
          <w:sz w:val="18"/>
          <w:szCs w:val="18"/>
          <w:color w:val="231F20"/>
        </w:rPr>
        <w:t xml:space="preserve">On May 14, 2020, the Company sold its interests in RPV Holdco 1 LLC to a third party for net proceeds of approximately </w:t>
      </w:r>
      <w:r>
        <w:rPr>
          <w:rFonts w:ascii="Times New Roman" w:cs="Times New Roman" w:eastAsia="Times New Roman" w:hAnsi="Times New Roman"/>
          <w:sz w:val="18"/>
          <w:szCs w:val="18"/>
          <w:color w:val="000000"/>
        </w:rPr>
        <w:t>$75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Sale </w:t>
      </w:r>
      <w:r>
        <w:rPr>
          <w:rFonts w:ascii="Times New Roman" w:cs="Times New Roman" w:eastAsia="Times New Roman" w:hAnsi="Times New Roman"/>
          <w:sz w:val="18"/>
          <w:szCs w:val="18"/>
          <w:i w:val="1"/>
          <w:iCs w:val="1"/>
          <w:color w:val="000000"/>
        </w:rPr>
        <w:t>of Energy Center Dover LLC and Energy Center Smyrna LLC Assets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3, 2020, the Company, through Thermal LLC, sold 100% of its interests in Energy Center Dover LLC and Energy Center Smyrna LLC to DB Energy Assets, LLC for approximately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62" w:lineRule="exact"/>
        <w:rPr>
          <w:sz w:val="20"/>
          <w:szCs w:val="20"/>
          <w:color w:val="auto"/>
        </w:rPr>
      </w:pPr>
    </w:p>
    <w:p>
      <w:pPr>
        <w:jc w:val="both"/>
        <w:ind w:firstLine="203"/>
        <w:spacing w:after="0" w:line="266"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Item 15 </w:t>
      </w:r>
      <w:r>
        <w:rPr>
          <w:rFonts w:ascii="Times New Roman" w:cs="Times New Roman" w:eastAsia="Times New Roman" w:hAnsi="Times New Roman"/>
          <w:sz w:val="18"/>
          <w:szCs w:val="18"/>
          <w:color w:val="000000"/>
        </w:rPr>
        <w:t>— 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to the Consolidated Financial Statements; (ii) capital expenditures; (iii) acquisitions and investments; and (iv) cash dividends to investors.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Debt Service Obligations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Principal payments on debt as of December 31, 2020, are due in the following periods: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60" w:type="dxa"/>
            <w:vAlign w:val="bottom"/>
          </w:tcPr>
          <w:p>
            <w:pPr>
              <w:spacing w:after="0"/>
              <w:rPr>
                <w:sz w:val="16"/>
                <w:szCs w:val="16"/>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Clearway Energy Operating LLC Senior Notes, due 2025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Clearway Energy Operating LLC Senior Notes, due 2026</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Clearway Energy Operating LLC Senior Notes, due 2028</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07"/>
        </w:trPr>
        <w:tc>
          <w:tcPr>
            <w:tcW w:w="20" w:type="dxa"/>
            <w:vAlign w:val="bottom"/>
          </w:tcPr>
          <w:p>
            <w:pPr>
              <w:spacing w:after="0"/>
              <w:rPr>
                <w:sz w:val="17"/>
                <w:szCs w:val="17"/>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Corporate-level debt</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Project-level debt: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Alta Wind I-V lease financing arrangements, due 2034 and 2035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Alta Wind Asset Management LLC</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Alta Wind Realty Investments LLC, due 2031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Borrego, due 2024 and 2038</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Buckthorn Solar, due 2025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 Holdco, due 2038</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2027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2038</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CVSR, due 2037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CVSR Holdco Notes, due 2037</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DG-CS Master Borrower LLC, due 2040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Duquesne, due 2059</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El Segundo Energy Center, due 2023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Center Minneapolis Series D, E, F, G, H Notes, due 2025-2037</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Laredo Ridge, due 2028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Kawailoa Solar Portfolio LLC, due 2026</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Marsh Landing, due 2023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NIMH Solar, due 2024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Oahu Solar Holdings LLC, due 2026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Rosie Class B, due 2027</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Tapestry, due 2031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Utah Solar Holdings, due 2036</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Walnut Creek, due 2023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WCEP Holdings, LLC due 2023</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5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0"/>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project-level debt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w:t>
            </w:r>
          </w:p>
        </w:tc>
      </w:tr>
      <w:tr>
        <w:trPr>
          <w:trHeight w:val="212"/>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7,043</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w:t>
      </w:r>
    </w:p>
    <w:p>
      <w:pPr>
        <w:spacing w:after="0" w:line="126" w:lineRule="exact"/>
        <w:rPr>
          <w:sz w:val="20"/>
          <w:szCs w:val="20"/>
          <w:color w:val="auto"/>
        </w:rPr>
      </w:pPr>
    </w:p>
    <w:p>
      <w:pPr>
        <w:jc w:val="both"/>
        <w:ind w:firstLine="187"/>
        <w:spacing w:after="0" w:line="255" w:lineRule="auto"/>
        <w:rPr>
          <w:sz w:val="20"/>
          <w:szCs w:val="20"/>
          <w:color w:val="auto"/>
        </w:rPr>
      </w:pPr>
      <w:r>
        <w:rPr>
          <w:rFonts w:ascii="Times New Roman" w:cs="Times New Roman" w:eastAsia="Times New Roman" w:hAnsi="Times New Roman"/>
          <w:sz w:val="18"/>
          <w:szCs w:val="18"/>
          <w:color w:val="231F20"/>
        </w:rPr>
        <w:t xml:space="preserve">For the years ended </w:t>
      </w:r>
      <w:r>
        <w:rPr>
          <w:rFonts w:ascii="Times New Roman" w:cs="Times New Roman" w:eastAsia="Times New Roman" w:hAnsi="Times New Roman"/>
          <w:sz w:val="18"/>
          <w:szCs w:val="18"/>
          <w:color w:val="000000"/>
        </w:rPr>
        <w:t>December 31, 2020</w:t>
      </w:r>
      <w:r>
        <w:rPr>
          <w:rFonts w:ascii="Times New Roman" w:cs="Times New Roman" w:eastAsia="Times New Roman" w:hAnsi="Times New Roman"/>
          <w:sz w:val="18"/>
          <w:szCs w:val="18"/>
          <w:color w:val="231F20"/>
        </w:rPr>
        <w:t xml:space="preserve">, 2019, and 2018, the Company used approximately $124 million, $228 million, and $83 million, respectively, to fund capital expenditures, including </w:t>
      </w:r>
      <w:r>
        <w:rPr>
          <w:rFonts w:ascii="Times New Roman" w:cs="Times New Roman" w:eastAsia="Times New Roman" w:hAnsi="Times New Roman"/>
          <w:sz w:val="18"/>
          <w:szCs w:val="18"/>
          <w:color w:val="000000"/>
        </w:rPr>
        <w:t>maintenance capital</w:t>
      </w:r>
      <w:r>
        <w:rPr>
          <w:rFonts w:ascii="Times New Roman" w:cs="Times New Roman" w:eastAsia="Times New Roman" w:hAnsi="Times New Roman"/>
          <w:sz w:val="18"/>
          <w:szCs w:val="18"/>
          <w:color w:val="231F20"/>
        </w:rPr>
        <w:t xml:space="preserve"> expenditures </w:t>
      </w:r>
      <w:r>
        <w:rPr>
          <w:rFonts w:ascii="Times New Roman" w:cs="Times New Roman" w:eastAsia="Times New Roman" w:hAnsi="Times New Roman"/>
          <w:sz w:val="18"/>
          <w:szCs w:val="18"/>
          <w:color w:val="000000"/>
        </w:rPr>
        <w:t>of $23 million, $22 million and $36 million, respectively.</w:t>
      </w:r>
      <w:r>
        <w:rPr>
          <w:rFonts w:ascii="Times New Roman" w:cs="Times New Roman" w:eastAsia="Times New Roman" w:hAnsi="Times New Roman"/>
          <w:sz w:val="18"/>
          <w:szCs w:val="18"/>
          <w:color w:val="231F20"/>
        </w:rPr>
        <w:t xml:space="preserve"> Growth capital expenditures in 2020 include $59 million </w:t>
      </w:r>
      <w:r>
        <w:rPr>
          <w:rFonts w:ascii="Times New Roman" w:cs="Times New Roman" w:eastAsia="Times New Roman" w:hAnsi="Times New Roman"/>
          <w:sz w:val="18"/>
          <w:szCs w:val="18"/>
          <w:color w:val="000000"/>
        </w:rPr>
        <w:t>in the Renewables segment, $48 million of which were incurred in connection with the repowering of Elbow</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Creek and Wildorado facilities completed in the first quarter of 2020, $3 million incurred in connection with the Rosamond project, and $8 million incurred in the Oahu Partnership and the Kawailoa Partnership. In addition, the conventional segment incurred growth capital expenditures of $8 million related to the Marsh Landing black start project. The Company also incurred $34 million of growth capital expenditures in the Thermal segment in connection with various development projects.</w:t>
      </w:r>
    </w:p>
    <w:p>
      <w:pPr>
        <w:spacing w:after="0" w:line="135" w:lineRule="exact"/>
        <w:rPr>
          <w:sz w:val="20"/>
          <w:szCs w:val="20"/>
          <w:color w:val="auto"/>
        </w:rPr>
      </w:pPr>
    </w:p>
    <w:p>
      <w:pPr>
        <w:jc w:val="both"/>
        <w:ind w:firstLine="254"/>
        <w:spacing w:after="0" w:line="282" w:lineRule="auto"/>
        <w:rPr>
          <w:sz w:val="20"/>
          <w:szCs w:val="20"/>
          <w:color w:val="auto"/>
        </w:rPr>
      </w:pPr>
      <w:r>
        <w:rPr>
          <w:rFonts w:ascii="Times New Roman" w:cs="Times New Roman" w:eastAsia="Times New Roman" w:hAnsi="Times New Roman"/>
          <w:sz w:val="18"/>
          <w:szCs w:val="18"/>
          <w:color w:val="231F20"/>
        </w:rPr>
        <w:t xml:space="preserve">Growth capital expenditures in 2019 include $180 million </w:t>
      </w:r>
      <w:r>
        <w:rPr>
          <w:rFonts w:ascii="Times New Roman" w:cs="Times New Roman" w:eastAsia="Times New Roman" w:hAnsi="Times New Roman"/>
          <w:sz w:val="18"/>
          <w:szCs w:val="18"/>
          <w:color w:val="000000"/>
        </w:rPr>
        <w:t>in the Renewables segment, $157 million of which were incurred in connection with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Repowering Partnership entered by the Company in August 2018, as well as $29 million incurred in the Oahu Partnership and the Kawailoa Partnership.</w:t>
      </w:r>
    </w:p>
    <w:p>
      <w:pPr>
        <w:spacing w:after="0" w:line="108"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231F20"/>
        </w:rPr>
        <w:t xml:space="preserve">Growth capital expenditures in 2018 include $33 million </w:t>
      </w:r>
      <w:r>
        <w:rPr>
          <w:rFonts w:ascii="Times New Roman" w:cs="Times New Roman" w:eastAsia="Times New Roman" w:hAnsi="Times New Roman"/>
          <w:sz w:val="18"/>
          <w:szCs w:val="18"/>
          <w:color w:val="000000"/>
        </w:rPr>
        <w:t>in the Renewables segment in connection with the construction of the Buckthorn Solar Drop</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Down Asset, of which $10 million was incurred by NRG during the construction of Buckthorn Solar prior to its acquisition by the Company on March 30, 2018</w:t>
      </w:r>
      <w:r>
        <w:rPr>
          <w:rFonts w:ascii="Times New Roman" w:cs="Times New Roman" w:eastAsia="Times New Roman" w:hAnsi="Times New Roman"/>
          <w:sz w:val="18"/>
          <w:szCs w:val="18"/>
          <w:color w:val="231F20"/>
        </w:rPr>
        <w:t>.</w:t>
      </w:r>
    </w:p>
    <w:p>
      <w:pPr>
        <w:spacing w:after="0" w:line="122" w:lineRule="exact"/>
        <w:rPr>
          <w:sz w:val="20"/>
          <w:szCs w:val="20"/>
          <w:color w:val="auto"/>
        </w:rPr>
      </w:pPr>
    </w:p>
    <w:p>
      <w:pPr>
        <w:jc w:val="both"/>
        <w:ind w:firstLine="195"/>
        <w:spacing w:after="0" w:line="282" w:lineRule="auto"/>
        <w:rPr>
          <w:sz w:val="20"/>
          <w:szCs w:val="20"/>
          <w:color w:val="auto"/>
        </w:rPr>
      </w:pPr>
      <w:r>
        <w:rPr>
          <w:rFonts w:ascii="Times New Roman" w:cs="Times New Roman" w:eastAsia="Times New Roman" w:hAnsi="Times New Roman"/>
          <w:sz w:val="18"/>
          <w:szCs w:val="18"/>
          <w:color w:val="231F20"/>
        </w:rPr>
        <w:t xml:space="preserve">The Company estimates $28 million of maintenance capital expenditures for 2021. </w:t>
      </w:r>
      <w:r>
        <w:rPr>
          <w:rFonts w:ascii="Times New Roman" w:cs="Times New Roman" w:eastAsia="Times New Roman" w:hAnsi="Times New Roman"/>
          <w:sz w:val="18"/>
          <w:szCs w:val="18"/>
          <w:color w:val="000000"/>
        </w:rPr>
        <w:t>These estimates are subject to continuing review and adjustment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actual capital expenditures may vary from these estimates.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Investments</w:t>
      </w:r>
    </w:p>
    <w:p>
      <w:pPr>
        <w:spacing w:after="0" w:line="175" w:lineRule="exact"/>
        <w:rPr>
          <w:sz w:val="20"/>
          <w:szCs w:val="20"/>
          <w:color w:val="auto"/>
        </w:rPr>
      </w:pPr>
    </w:p>
    <w:p>
      <w:pPr>
        <w:jc w:val="both"/>
        <w:ind w:right="20" w:firstLine="190"/>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Mt Storm Agreement </w:t>
      </w:r>
      <w:r>
        <w:rPr>
          <w:rFonts w:ascii="Times New Roman" w:cs="Times New Roman" w:eastAsia="Times New Roman" w:hAnsi="Times New Roman"/>
          <w:sz w:val="18"/>
          <w:szCs w:val="18"/>
          <w:color w:val="auto"/>
        </w:rPr>
        <w:t>— On February 10, 2021, the Company reached an agreement to acquire 100% of the equity interests in Mount Storm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 LLC, or Mt Storm, for approximately $96 million subject to certain purchase price adjustments. Mt Storm is a 264 MW wind project located in Grant County, West Virginia. The transaction is subject to customary regulatory approvals.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Agua Caliente Acquisition — </w:t>
      </w:r>
      <w:r>
        <w:rPr>
          <w:rFonts w:ascii="Times New Roman" w:cs="Times New Roman" w:eastAsia="Times New Roman" w:hAnsi="Times New Roman"/>
          <w:sz w:val="18"/>
          <w:szCs w:val="18"/>
          <w:color w:val="auto"/>
        </w:rPr>
        <w:t>On February 3, 2021, the Company acquired an additional 35% equity interest in the Agua Caliente solar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NRG Energy, Inc. for $202 million. Agua Caliente is a 290 MW solar project located in Dateland, Arizona in which the Company previously owned a 16% equity interest. The project has a 25-year PPA with PG&amp;E, with approximately 19 years remaining under the agreement. Following the close of the transaction the Company will own a 51% equity interest in Agua Caliente.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Rattlesnake Drop Down — </w:t>
      </w:r>
      <w:r>
        <w:rPr>
          <w:rFonts w:ascii="Times New Roman" w:cs="Times New Roman" w:eastAsia="Times New Roman" w:hAnsi="Times New Roman"/>
          <w:sz w:val="18"/>
          <w:szCs w:val="18"/>
          <w:color w:val="auto"/>
        </w:rPr>
        <w:t>On January 12, 2021, the Company acquired 100% of CEG's equity interest and a third party investor's minority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Rattlesnake Flat, LLC, which owns the Rattlesnake Wind Project, a 160 net MW wind facility located in Adams County, WA which achieved commercial operations in January 2021, for $132 million in cash consideration and expects its net capital commitment to be $119 million after proceeds from a state sales and use tax refund which are expected to be received in 2021.</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Lighthouse Partnership Agreements — </w:t>
      </w:r>
      <w:r>
        <w:rPr>
          <w:rFonts w:ascii="Times New Roman" w:cs="Times New Roman" w:eastAsia="Times New Roman" w:hAnsi="Times New Roman"/>
          <w:sz w:val="18"/>
          <w:szCs w:val="18"/>
          <w:color w:val="auto"/>
        </w:rPr>
        <w:t>On December 21, 2020, subsidiaries of the Company entered into the Lighthouse Partnership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for the Company’s co-investment in a 1,204 MW portfolio of renewable energy projects developed by CEG. In addition, the agreements included an amendment of the partnership that owns the 419 MW Mesquite Star wind project, providing the Company with additional project cash flows after the first half of 2031. As described below, the Company had previously acquired an interest in Mesquite Star Pledgor LLC, which was subsequently renamed Lighthouse Renewable Holdco LLC. The 1,204 MW portfolio of renewable energy projects includes:</w:t>
      </w:r>
    </w:p>
    <w:p>
      <w:pPr>
        <w:spacing w:after="0" w:line="131" w:lineRule="exact"/>
        <w:rPr>
          <w:sz w:val="20"/>
          <w:szCs w:val="20"/>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geographically diversified wind, solar and solar plus storage assets under development totaling 1,012 MW, and</w:t>
      </w:r>
    </w:p>
    <w:p>
      <w:pPr>
        <w:spacing w:after="0" w:line="63"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192 MW Rosamond Central solar project, located in Kern County, California. On December 21, 2020, the Company acquired 100% of the Class A membership interests of Rosie Target Co LLC, which</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1" w:name="page62"/>
    <w:bookmarkEnd w:id="61"/>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consolidates its interest in a tax equity fund that owns the project, for $23 million in cash consideration and an additional $1 million adjustment concurrent with the tax equity investor's final funding which was paid in January 2021. Rosie Target Co LLC is a partnership, whose Class B membership interests are owned by a third party investor. The Company is entitled to a 50% cash equity interest in Rosamond Central through its Class A membership interests.</w:t>
      </w:r>
    </w:p>
    <w:p>
      <w:pPr>
        <w:spacing w:after="0" w:line="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above-mentioned transactions, the Company expects to invest an estimated $215 million in corporate capital by the end of 2022, subject to closing adjustments and the projects achieving certain milestones. The expected net corporate capital includes the $24 million already invested in Rosamond Central in 2020 and the purchase price adjustment received concurrent with the partnership agreement amendment for Mesquite Star.</w:t>
      </w:r>
    </w:p>
    <w:p>
      <w:pPr>
        <w:spacing w:after="0" w:line="1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Langford Drop Down — </w:t>
      </w:r>
      <w:r>
        <w:rPr>
          <w:rFonts w:ascii="Times New Roman" w:cs="Times New Roman" w:eastAsia="Times New Roman" w:hAnsi="Times New Roman"/>
          <w:sz w:val="18"/>
          <w:szCs w:val="18"/>
          <w:color w:val="auto"/>
        </w:rPr>
        <w:t>On November 20, 2020, the Company acquired from Clearway Renew LLC, a subsidiary of CEG, and a third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100% of the cash equity interests in Langford Holding LLC, which owns the Langford wind project, for total cash consideration of approximately $64 million. The Langford wind project is a 160 MW wind project located in West Texas which was repowered and achieved commercial operations in November 2020. The investment was funded with existing liquidity.</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DGPV Holdco Residual Interest from CEG — </w:t>
      </w:r>
      <w:r>
        <w:rPr>
          <w:rFonts w:ascii="Times New Roman" w:cs="Times New Roman" w:eastAsia="Times New Roman" w:hAnsi="Times New Roman"/>
          <w:sz w:val="18"/>
          <w:szCs w:val="18"/>
          <w:color w:val="auto"/>
        </w:rPr>
        <w:t>On November 2, 2020, the Company acquired the Class B membership interests in DGPV Holdco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DGPV Holdco 2 and DGPV Holdco 3, or DGPV Holdco Entities, as well as a SREC contract, from Renew DG Holdings LLC, a subsidiary of CEG for $44 million in cash consideration. In connection with the acquisition of the Class B membership interests, the Company consolidated their interest in the underlying distributed solar tax equity funds within DGPV Holdco 1 and DGPV Holdco 2. The Company had previously consolidated DGPV Holdco 3 effective in May 2020.</w:t>
      </w:r>
    </w:p>
    <w:p>
      <w:pPr>
        <w:spacing w:after="0" w:line="129" w:lineRule="exact"/>
        <w:rPr>
          <w:sz w:val="20"/>
          <w:szCs w:val="20"/>
          <w:color w:val="auto"/>
        </w:rPr>
      </w:pPr>
    </w:p>
    <w:p>
      <w:pPr>
        <w:jc w:val="both"/>
        <w:ind w:firstLine="2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DG Investment Partnerships with CEG — </w:t>
      </w:r>
      <w:r>
        <w:rPr>
          <w:rFonts w:ascii="Times New Roman" w:cs="Times New Roman" w:eastAsia="Times New Roman" w:hAnsi="Times New Roman"/>
          <w:sz w:val="18"/>
          <w:szCs w:val="18"/>
          <w:color w:val="auto"/>
        </w:rPr>
        <w:t>Prior to the acquisition of CEG's Class B membership interests mentioned above, the Company 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$10 million in the DG investment partnerships with CEG during 2020, bringing total capital invested in these investment partnerships to $266 million.</w:t>
      </w:r>
    </w:p>
    <w:p>
      <w:pPr>
        <w:spacing w:after="0" w:line="1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Mesquite Star Drop Down — </w:t>
      </w:r>
      <w:r>
        <w:rPr>
          <w:rFonts w:ascii="Times New Roman" w:cs="Times New Roman" w:eastAsia="Times New Roman" w:hAnsi="Times New Roman"/>
          <w:sz w:val="18"/>
          <w:szCs w:val="18"/>
          <w:color w:val="auto"/>
        </w:rPr>
        <w:t>On September 1, 2020, the Company, through its indirect subsidiary Mesquite Star HoldCo LLC, acquired the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membership interests in Mesquite Star Pledgor LLC from Clearway Renew LLC, a subsidiary of CEG, for $74 million in cash consideration inclusive of a purchase price adjustment received in the fourth quarter of 2020 concurrent with the partnership amendment referenced below. Mesquite Star Pledgor LLC is the primary beneficiary and consolidates its interest in a tax equity fund that owns the Mesquite Star wind project, a 419 MW utility scale wind project located in Fisher County, Texas. A majority of the project’s output is backed by contracts with investment grade counterparties with a 12 year weighted average contract life. As described above, Mesquite Star Pledgor LLC was renamed Lighthouse Renewable Holdco LLC and the Class B</w:t>
      </w:r>
    </w:p>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membership interests were sold to a third party investor. The investor and the Company amended the terms of the related partnership and as a result, the Company now consolidates its interest in the Mesquite Star wind project, through its consolidation of Lighthouse Renewable Holdco LLC.</w:t>
      </w:r>
    </w:p>
    <w:p>
      <w:pPr>
        <w:spacing w:after="0" w:line="10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Agreements to Acquire and Invest in a Portfolio of Renewable Energy Projects from CEG — </w:t>
      </w:r>
      <w:r>
        <w:rPr>
          <w:rFonts w:ascii="Times New Roman" w:cs="Times New Roman" w:eastAsia="Times New Roman" w:hAnsi="Times New Roman"/>
          <w:sz w:val="18"/>
          <w:szCs w:val="18"/>
          <w:color w:val="auto"/>
        </w:rPr>
        <w:t>On April 17, 2020, the Company entered into 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related to the previously announced dropdown offer from CEG to enable the Company to acquire and invest in a portfolio of renewable energy projects. The following projects are included in the drop down agreements.</w:t>
      </w:r>
    </w:p>
    <w:p>
      <w:pPr>
        <w:spacing w:after="0" w:line="13" w:lineRule="exact"/>
        <w:rPr>
          <w:sz w:val="20"/>
          <w:szCs w:val="20"/>
          <w:color w:val="auto"/>
        </w:rPr>
      </w:pPr>
    </w:p>
    <w:p>
      <w:pPr>
        <w:ind w:left="980" w:hanging="324"/>
        <w:spacing w:after="0" w:line="281"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CEG's interest in Repowering Partnership II LLC (Repowering 1.0), which the Company acquired on May 11, 2020 for cash consideration of $70 million,</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equity interests in Rattlesnake Flat, LLC, which owns the Rattlesnake Wind Project, a 160 net MW wind facility located in Adams County, WA which the company acquired on January 12, 2021 as mentioned above, and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2021, the Company, through an indirect subsidiary, entered into an amended partnership agreement with CEG to repower the Pinnacle Wind Project, a 55 net MW wind facility located in Mineral County, WV.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Partnership are expected to occur in the second half of 2021.</w:t>
      </w:r>
    </w:p>
    <w:p>
      <w:pPr>
        <w:spacing w:after="0" w:line="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For the above mentioned transactions, the agreements commit the Company to invest an estimated $256 million in net corporate capital, subject to closing adjustments.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Convertible Notes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 2020, the Company repaid at maturity its outstanding $45 million of 2020 Convertible Notes utilizing the proceeds from the issuance of additional 2028 Senior Notes as described above.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Cash Dividends to Investors</w:t>
      </w:r>
    </w:p>
    <w:p>
      <w:pPr>
        <w:spacing w:after="0" w:line="175" w:lineRule="exact"/>
        <w:rPr>
          <w:sz w:val="20"/>
          <w:szCs w:val="20"/>
          <w:color w:val="auto"/>
        </w:rPr>
      </w:pPr>
    </w:p>
    <w:p>
      <w:pPr>
        <w:jc w:val="both"/>
        <w:ind w:firstLine="244"/>
        <w:spacing w:after="0" w:line="253" w:lineRule="auto"/>
        <w:rPr>
          <w:sz w:val="20"/>
          <w:szCs w:val="20"/>
          <w:color w:val="auto"/>
        </w:rPr>
      </w:pPr>
      <w:r>
        <w:rPr>
          <w:rFonts w:ascii="Times New Roman" w:cs="Times New Roman" w:eastAsia="Times New Roman" w:hAnsi="Times New Roman"/>
          <w:sz w:val="18"/>
          <w:szCs w:val="18"/>
          <w:color w:val="231F20"/>
        </w:rPr>
        <w:t xml:space="preserve">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w:t>
      </w:r>
      <w:r>
        <w:rPr>
          <w:rFonts w:ascii="Times New Roman" w:cs="Times New Roman" w:eastAsia="Times New Roman" w:hAnsi="Times New Roman"/>
          <w:sz w:val="18"/>
          <w:szCs w:val="18"/>
          <w:color w:val="000000"/>
        </w:rPr>
        <w:t>CAFD is defined as Adjusted EBITDA plus cash distributions/return of investment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from unconsolidated affiliates, adjustments to reflect CAFD generated by unconsolidated investments that were not able to distribute project dividends prior to PG&amp;E's emergence from bankruptcy on July 1, 2020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w:t>
      </w:r>
      <w:r>
        <w:rPr>
          <w:rFonts w:ascii="Times New Roman" w:cs="Times New Roman" w:eastAsia="Times New Roman" w:hAnsi="Times New Roman"/>
          <w:sz w:val="18"/>
          <w:szCs w:val="18"/>
          <w:color w:val="231F20"/>
        </w:rPr>
        <w:t>Dividends on t</w:t>
      </w:r>
      <w:r>
        <w:rPr>
          <w:rFonts w:ascii="Times New Roman" w:cs="Times New Roman" w:eastAsia="Times New Roman" w:hAnsi="Times New Roman"/>
          <w:sz w:val="18"/>
          <w:szCs w:val="18"/>
          <w:color w:val="000000"/>
        </w:rPr>
        <w:t>he Class A common stock and Class C common stock are subject to available capital, market conditions, and compliance with associated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laws, regulations and other contractual obligations. The Company expects that, based on current circumstances, comparable cash dividends will continue to be paid in the foreseeable future.</w:t>
      </w:r>
    </w:p>
    <w:p>
      <w:pPr>
        <w:spacing w:after="0" w:line="136" w:lineRule="exact"/>
        <w:rPr>
          <w:sz w:val="20"/>
          <w:szCs w:val="20"/>
          <w:color w:val="auto"/>
        </w:rPr>
      </w:pPr>
    </w:p>
    <w:p>
      <w:pPr>
        <w:ind w:right="220"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 lists the dividends paid on the Company's Class A common stock and Class C common stock during the year ended December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2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 2020</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Third Quarter 2020</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2020</w:t>
            </w:r>
          </w:p>
        </w:tc>
        <w:tc>
          <w:tcPr>
            <w:tcW w:w="120" w:type="dxa"/>
            <w:vAlign w:val="bottom"/>
          </w:tcPr>
          <w:p>
            <w:pPr>
              <w:spacing w:after="0"/>
              <w:rPr>
                <w:sz w:val="16"/>
                <w:szCs w:val="16"/>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First Quarter 2020</w:t>
            </w:r>
          </w:p>
        </w:tc>
      </w:tr>
      <w:tr>
        <w:trPr>
          <w:trHeight w:val="228"/>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share</w:t>
            </w: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0.3180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0.3125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0.2100</w:t>
            </w: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C share</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0.3180</w:t>
            </w:r>
          </w:p>
        </w:tc>
        <w:tc>
          <w:tcPr>
            <w:tcW w:w="120" w:type="dxa"/>
            <w:vAlign w:val="bottom"/>
          </w:tcPr>
          <w:p>
            <w:pPr>
              <w:spacing w:after="0"/>
              <w:rPr>
                <w:sz w:val="20"/>
                <w:szCs w:val="20"/>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0.3125</w:t>
            </w:r>
          </w:p>
        </w:tc>
        <w:tc>
          <w:tcPr>
            <w:tcW w:w="1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0.2100</w:t>
            </w:r>
          </w:p>
        </w:tc>
      </w:tr>
    </w:tbl>
    <w:p>
      <w:pPr>
        <w:spacing w:after="0" w:line="81" w:lineRule="exact"/>
        <w:rPr>
          <w:sz w:val="20"/>
          <w:szCs w:val="20"/>
          <w:color w:val="auto"/>
        </w:rPr>
      </w:pPr>
    </w:p>
    <w:p>
      <w:pPr>
        <w:jc w:val="both"/>
        <w:ind w:right="20" w:firstLine="200"/>
        <w:spacing w:after="0" w:line="282" w:lineRule="auto"/>
        <w:rPr>
          <w:sz w:val="20"/>
          <w:szCs w:val="20"/>
          <w:color w:val="auto"/>
        </w:rPr>
      </w:pPr>
      <w:r>
        <w:rPr>
          <w:rFonts w:ascii="Times New Roman" w:cs="Times New Roman" w:eastAsia="Times New Roman" w:hAnsi="Times New Roman"/>
          <w:sz w:val="18"/>
          <w:szCs w:val="18"/>
          <w:color w:val="auto"/>
        </w:rPr>
        <w:t>On February 12, 2021, the Company declared a quarterly dividend on its Class A and Class C common stock of $0.324 per share payable on March 15, 2021, to stockholders of record as of March 1, 2021.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to Year Ended December 31, 2019</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year ended December 31, 2020 compared to 2019:</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545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(435)</w:t>
            </w: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operating income adjusted for non-cash items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dividend distributions received from unconsolidated affiliates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working capital driven primarily by the timing of accounts receivable collections and payments of accounts payable</w:t>
            </w:r>
          </w:p>
        </w:tc>
        <w:tc>
          <w:tcPr>
            <w:tcW w:w="5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7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5"/>
        </w:trPr>
        <w:tc>
          <w:tcPr>
            <w:tcW w:w="910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Decrease in capital expenditures primarily driven by 2019 growth capital expenditures in the Renewables segment related to</w:t>
            </w:r>
          </w:p>
        </w:tc>
        <w:tc>
          <w:tcPr>
            <w:tcW w:w="3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repowering of Elbow Creek and Wildorado</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Duquesne University District Energy System on May 1, 2019</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120" w:type="dxa"/>
            <w:vAlign w:val="bottom"/>
            <w:gridSpan w:val="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Increase in proceeds received from sale of assets in 2020 primarily due to sale of RPV Holdco, Energy Center Dover LLC and Energy</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Center Smyrna LLC compared to the proceeds from the sale of HSD Solar in 2019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for partnership interests in 2019</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12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cash paid for Drop Down Assets due to acquisition of Carlsbad in 2019 compared to Drop Down Assets acquired in 2020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net distributions from unconsolidated affiliates in 2020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cash due to consolidation of DGPV Holdco 3 LLC in May 2020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net cash used in financing activities were driven by:</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5"/>
        </w:trPr>
        <w:tc>
          <w:tcPr>
            <w:tcW w:w="10120" w:type="dxa"/>
            <w:vAlign w:val="bottom"/>
            <w:gridSpan w:val="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Decrease in proceeds from issuance of long-term debt net of payments made in 2020 primarily driven by repayments of Renewable</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1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project level debt in 2020 partially offset by a reduction in Corporate level debt repayments in 2020 compared to 2019</w:t>
            </w: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to buy out CEG's noncontrolling interest in Repowering Partnership II LLC on May 11, 2020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dividends paid to common stockholders in 2020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net proceeds received from issuance of common stock</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120" w:type="dxa"/>
            <w:vAlign w:val="bottom"/>
            <w:gridSpan w:val="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Increase in net contributions received from noncontrolling interests in 2020 compared to 2019, primarily from tax equity contributions</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Wildorado TE Holdco and Rosie TE Holdco received in 2020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75" w:lineRule="exact"/>
        <w:rPr>
          <w:sz w:val="20"/>
          <w:szCs w:val="20"/>
          <w:color w:val="auto"/>
        </w:rPr>
      </w:pPr>
    </w:p>
    <w:p>
      <w:pPr>
        <w:ind w:right="80" w:firstLine="170"/>
        <w:spacing w:after="0" w:line="239" w:lineRule="auto"/>
        <w:rPr>
          <w:sz w:val="20"/>
          <w:szCs w:val="20"/>
          <w:color w:val="auto"/>
        </w:rPr>
      </w:pPr>
      <w:r>
        <w:rPr>
          <w:rFonts w:ascii="Times New Roman" w:cs="Times New Roman" w:eastAsia="Times New Roman" w:hAnsi="Times New Roman"/>
          <w:sz w:val="18"/>
          <w:szCs w:val="18"/>
          <w:color w:val="auto"/>
        </w:rPr>
        <w:t>As of December 31, 2020, the Company has a cumulative federal NOL carry forward balance of $1.2 billion for financial statement purposes, of which $0.9 billion will begin expiring between 2033 to 2037 if unutilized. The Company does not anticipate any federal income tax payments for 2021. Additionally, as of December 31, 2020, the Company has a cumulative state NOL carryforward balance of $726 million for financial statement purposes, which will expire between 2023 to 2040 if unutilized. The Company does not anticipate significant income tax payments for state and local jurisdictions in 2021. Based on the Company's current and expected NOL balances generated primarily by accelerated tax depreciation of its property, plant and equipment, the Company does not expect to pay significant federal income tax for a period of approximately ten years inclusive of any NOL carryovers subject to an 80% limitation against future taxable income for taxable years beginning after 2020 pursuant to the Tax Act as modified by the CARES Act (defined below).</w:t>
      </w:r>
    </w:p>
    <w:p>
      <w:pPr>
        <w:spacing w:after="0" w:line="133" w:lineRule="exact"/>
        <w:rPr>
          <w:sz w:val="20"/>
          <w:szCs w:val="20"/>
          <w:color w:val="auto"/>
        </w:rPr>
      </w:pPr>
    </w:p>
    <w:p>
      <w:pPr>
        <w:ind w:right="180" w:firstLine="170"/>
        <w:spacing w:after="0" w:line="266" w:lineRule="auto"/>
        <w:rPr>
          <w:sz w:val="20"/>
          <w:szCs w:val="20"/>
          <w:color w:val="auto"/>
        </w:rPr>
      </w:pPr>
      <w:r>
        <w:rPr>
          <w:rFonts w:ascii="Times New Roman" w:cs="Times New Roman" w:eastAsia="Times New Roman" w:hAnsi="Times New Roman"/>
          <w:sz w:val="18"/>
          <w:szCs w:val="18"/>
          <w:color w:val="auto"/>
        </w:rPr>
        <w:t>As of December 31, 2020, the Company has an interest disallowance carry forward of $46 million as a result of the proposed §163(j) regulation, which was enacted as part of the Tax Cut and Jobs Act. The disallowed interest deduction has an indefinite carry forward period and any limitations on the utilization of this carry forward have been factored into our valuation allowance analysis.</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or CARES Act, was signed into law, which includes</w:t>
      </w:r>
    </w:p>
    <w:p>
      <w:pPr>
        <w:spacing w:after="0" w:line="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modifications to the business interest expense disallowance and net operating loss provisions. The Company expects to utilize $39 million of previously disallowed interest expense during 2020 as a result of the modifications. The Company will continue to assess the effects of the CARES Act and ongoing government guidance related to COVID-19 that may be issued, but does not expect the CARES Act to have a material impact on the consolidated financial statements.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29, 2020, governor of California signed Assembly Bill 85, or AB 85, suspending California net operating loss utilization and imposing a cap on the amount of business incentive credits companies can utilize, effective for tax years 2020, 2021, and 2022. After assessing the law change, the Company expects AB 85 to have an immaterial impact on the consolidated financial statements.</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is subject to examination by taxing authorities for income tax returns filed in the U.S. federal jurisdiction and various state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subject to U.S. federal or state income tax examinations for years prior to 2013.</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no uncertain tax benefits.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146" w:lineRule="exact"/>
        <w:rPr>
          <w:sz w:val="20"/>
          <w:szCs w:val="20"/>
          <w:color w:val="auto"/>
        </w:rPr>
      </w:pPr>
    </w:p>
    <w:p>
      <w:pPr>
        <w:jc w:val="both"/>
        <w:ind w:firstLine="18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December 31, 2020, the Company has several investments with an ownership interest percentage of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$481 million as of December 31, 2020. This indebtedness may restrict the ability of these subsidiaries to issue dividends or distributions to the Company. See also Item 15 —</w:t>
      </w:r>
    </w:p>
    <w:p>
      <w:pPr>
        <w:spacing w:after="0" w:line="1" w:lineRule="exact"/>
        <w:rPr>
          <w:sz w:val="20"/>
          <w:szCs w:val="20"/>
          <w:color w:val="auto"/>
        </w:rPr>
      </w:pPr>
    </w:p>
    <w:p>
      <w:pPr>
        <w:ind w:left="40" w:right="1920" w:hanging="39"/>
        <w:spacing w:after="0" w:line="427" w:lineRule="auto"/>
        <w:rPr>
          <w:sz w:val="20"/>
          <w:szCs w:val="20"/>
          <w:color w:val="auto"/>
        </w:rPr>
      </w:pPr>
      <w:r>
        <w:rPr>
          <w:rFonts w:ascii="Times New Roman" w:cs="Times New Roman" w:eastAsia="Times New Roman" w:hAnsi="Times New Roman"/>
          <w:sz w:val="18"/>
          <w:szCs w:val="18"/>
          <w:color w:val="auto"/>
        </w:rPr>
        <w:t xml:space="preserve">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w:t>
      </w:r>
      <w:r>
        <w:rPr>
          <w:rFonts w:ascii="Times New Roman" w:cs="Times New Roman" w:eastAsia="Times New Roman" w:hAnsi="Times New Roman"/>
          <w:sz w:val="18"/>
          <w:szCs w:val="18"/>
          <w:b w:val="1"/>
          <w:bCs w:val="1"/>
          <w:color w:val="auto"/>
        </w:rPr>
        <w:t>Contractual Obligations and Commercial Commitments</w:t>
      </w:r>
    </w:p>
    <w:p>
      <w:pPr>
        <w:spacing w:after="0" w:line="1" w:lineRule="exact"/>
        <w:rPr>
          <w:sz w:val="20"/>
          <w:szCs w:val="20"/>
          <w:color w:val="auto"/>
        </w:rPr>
      </w:pPr>
    </w:p>
    <w:p>
      <w:pPr>
        <w:jc w:val="both"/>
        <w:ind w:firstLine="183"/>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 variety of contractual obligations and other commercial commitments that represent prospective cash requirements in addition to the Company's capital expenditure programs. The following table summarizes the Company's contractual obligations. See Item 15 — Note 10,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Note 16,</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 and Note 17,</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to the Consolidated Financial Statements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By Remaining Maturity at 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Cash Obligations</w:t>
            </w:r>
          </w:p>
        </w:tc>
        <w:tc>
          <w:tcPr>
            <w:tcW w:w="240" w:type="dxa"/>
            <w:vAlign w:val="bottom"/>
          </w:tcPr>
          <w:p>
            <w:pPr>
              <w:spacing w:after="0"/>
              <w:rPr>
                <w:sz w:val="11"/>
                <w:szCs w:val="11"/>
                <w:color w:val="auto"/>
              </w:rPr>
            </w:pPr>
          </w:p>
        </w:tc>
        <w:tc>
          <w:tcPr>
            <w:tcW w:w="96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Under</w:t>
            </w:r>
          </w:p>
        </w:tc>
        <w:tc>
          <w:tcPr>
            <w:tcW w:w="200" w:type="dxa"/>
            <w:vAlign w:val="bottom"/>
          </w:tcPr>
          <w:p>
            <w:pPr>
              <w:spacing w:after="0"/>
              <w:rPr>
                <w:sz w:val="11"/>
                <w:szCs w:val="11"/>
                <w:color w:val="auto"/>
              </w:rPr>
            </w:pPr>
          </w:p>
        </w:tc>
        <w:tc>
          <w:tcPr>
            <w:tcW w:w="8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1"/>
                <w:szCs w:val="11"/>
                <w:color w:val="auto"/>
              </w:rPr>
            </w:pPr>
          </w:p>
        </w:tc>
        <w:tc>
          <w:tcPr>
            <w:tcW w:w="10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Over</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5 Years</w:t>
            </w: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estimated interest)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purchase and transportation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160" w:hanging="152"/>
        <w:spacing w:after="0"/>
        <w:tabs>
          <w:tab w:leader="none" w:pos="160" w:val="left"/>
        </w:tabs>
        <w:numPr>
          <w:ilvl w:val="0"/>
          <w:numId w:val="3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water right agreements, service and maintenance agreements, and LTSA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13455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62" w:lineRule="exact"/>
        <w:rPr>
          <w:sz w:val="20"/>
          <w:szCs w:val="20"/>
          <w:color w:val="auto"/>
        </w:rPr>
      </w:pPr>
    </w:p>
    <w:p>
      <w:pPr>
        <w:jc w:val="both"/>
        <w:ind w:firstLine="186"/>
        <w:spacing w:after="0" w:line="266" w:lineRule="auto"/>
        <w:rPr>
          <w:sz w:val="20"/>
          <w:szCs w:val="20"/>
          <w:color w:val="auto"/>
        </w:rPr>
      </w:pPr>
      <w:r>
        <w:rPr>
          <w:rFonts w:ascii="Times New Roman" w:cs="Times New Roman" w:eastAsia="Times New Roman" w:hAnsi="Times New Roman"/>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2"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December 31, 2020</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December 31, 2020</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Item 15 </w:t>
      </w:r>
      <w:r>
        <w:rPr>
          <w:rFonts w:ascii="Times New Roman" w:cs="Times New Roman" w:eastAsia="Times New Roman" w:hAnsi="Times New Roman"/>
          <w:sz w:val="18"/>
          <w:szCs w:val="18"/>
          <w:color w:val="000000"/>
        </w:rPr>
        <w:t>— 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w:t>
      </w:r>
    </w:p>
    <w:p>
      <w:pPr>
        <w:spacing w:after="0" w:line="164" w:lineRule="exact"/>
        <w:rPr>
          <w:sz w:val="20"/>
          <w:szCs w:val="20"/>
          <w:color w:val="auto"/>
        </w:rPr>
      </w:pPr>
    </w:p>
    <w:p>
      <w:pPr>
        <w:ind w:left="20"/>
        <w:spacing w:after="0"/>
        <w:tabs>
          <w:tab w:leader="none" w:pos="10280" w:val="left"/>
        </w:tabs>
        <w:rPr>
          <w:sz w:val="20"/>
          <w:szCs w:val="20"/>
          <w:color w:val="auto"/>
        </w:rPr>
      </w:pPr>
      <w:r>
        <w:rPr>
          <w:rFonts w:ascii="Times New Roman" w:cs="Times New Roman" w:eastAsia="Times New Roman" w:hAnsi="Times New Roman"/>
          <w:sz w:val="14"/>
          <w:szCs w:val="14"/>
          <w:b w:val="1"/>
          <w:bCs w:val="1"/>
          <w:u w:val="single" w:color="auto"/>
          <w:color w:val="auto"/>
        </w:rPr>
        <w:t>Derivative Activity (Losses)/Gains</w:t>
      </w:r>
      <w:r>
        <w:rPr>
          <w:sz w:val="20"/>
          <w:szCs w:val="20"/>
          <w:color w:val="auto"/>
        </w:rPr>
        <w:tab/>
      </w: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contracts as of December 31, 2019</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Contracts added during the period</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Changes in fair value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contracts as of December 31, 2020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3540" w:type="dxa"/>
        <w:tblCellMar>
          <w:top w:w="0" w:type="dxa"/>
          <w:left w:w="0" w:type="dxa"/>
          <w:bottom w:w="0" w:type="dxa"/>
          <w:right w:w="0" w:type="dxa"/>
        </w:tblCellMar>
      </w:tblPr>
      <w:tr>
        <w:trPr>
          <w:trHeight w:val="228"/>
        </w:trPr>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-479425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-187960</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24765</wp:posOffset>
            </wp:positionV>
            <wp:extent cx="40887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24765</wp:posOffset>
            </wp:positionV>
            <wp:extent cx="40887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840" w:space="720"/>
            <w:col w:w="4680"/>
          </w:cols>
          <w:pgMar w:left="320" w:top="1357"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Greater Than 1</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Greater Than 3</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 5</w:t>
            </w:r>
          </w:p>
        </w:tc>
        <w:tc>
          <w:tcPr>
            <w:tcW w:w="18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 Fair</w:t>
            </w:r>
          </w:p>
        </w:tc>
      </w:tr>
      <w:tr>
        <w:trPr>
          <w:trHeight w:val="160"/>
        </w:trPr>
        <w:tc>
          <w:tcPr>
            <w:tcW w:w="20" w:type="dxa"/>
            <w:vAlign w:val="bottom"/>
          </w:tcPr>
          <w:p>
            <w:pPr>
              <w:spacing w:after="0"/>
              <w:rPr>
                <w:sz w:val="13"/>
                <w:szCs w:val="13"/>
                <w:color w:val="auto"/>
              </w:rPr>
            </w:pPr>
          </w:p>
        </w:tc>
        <w:tc>
          <w:tcPr>
            <w:tcW w:w="478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Fair Value Hierarchy (Losses)/Gains</w:t>
            </w:r>
          </w:p>
        </w:tc>
        <w:tc>
          <w:tcPr>
            <w:tcW w:w="140" w:type="dxa"/>
            <w:vAlign w:val="bottom"/>
          </w:tcPr>
          <w:p>
            <w:pPr>
              <w:spacing w:after="0"/>
              <w:rPr>
                <w:sz w:val="13"/>
                <w:szCs w:val="13"/>
                <w:color w:val="auto"/>
              </w:rPr>
            </w:pPr>
          </w:p>
        </w:tc>
        <w:tc>
          <w:tcPr>
            <w:tcW w:w="122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1 Year or Less</w:t>
            </w:r>
          </w:p>
        </w:tc>
        <w:tc>
          <w:tcPr>
            <w:tcW w:w="126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Year to 3 Years</w:t>
            </w:r>
          </w:p>
        </w:tc>
        <w:tc>
          <w:tcPr>
            <w:tcW w:w="1260" w:type="dxa"/>
            <w:vAlign w:val="bottom"/>
            <w:gridSpan w:val="3"/>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Years to 5 Years</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40"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80" w:type="dxa"/>
            <w:vAlign w:val="bottom"/>
          </w:tcPr>
          <w:p>
            <w:pPr>
              <w:spacing w:after="0"/>
              <w:rPr>
                <w:sz w:val="13"/>
                <w:szCs w:val="13"/>
                <w:color w:val="auto"/>
              </w:rPr>
            </w:pPr>
          </w:p>
        </w:tc>
        <w:tc>
          <w:tcPr>
            <w:tcW w:w="960" w:type="dxa"/>
            <w:vAlign w:val="bottom"/>
          </w:tcPr>
          <w:p>
            <w:pPr>
              <w:jc w:val="right"/>
              <w:ind w:right="317"/>
              <w:spacing w:after="0" w:line="140"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34"/>
        </w:trPr>
        <w:tc>
          <w:tcPr>
            <w:tcW w:w="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27"/>
        <w:spacing w:after="0" w:line="261" w:lineRule="auto"/>
        <w:rPr>
          <w:sz w:val="20"/>
          <w:szCs w:val="20"/>
          <w:color w:val="auto"/>
        </w:rPr>
      </w:pPr>
      <w:r>
        <w:rPr>
          <w:rFonts w:ascii="Times New Roman" w:cs="Times New Roman" w:eastAsia="Times New Roman" w:hAnsi="Times New Roman"/>
          <w:sz w:val="18"/>
          <w:szCs w:val="18"/>
          <w:color w:val="231F20"/>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8"/>
          <w:szCs w:val="18"/>
          <w:i w:val="1"/>
          <w:iCs w:val="1"/>
          <w:color w:val="231F20"/>
        </w:rPr>
        <w:t>Quantitative and Qualitative Disclosures about Market Risk -Commodity Price Risk,</w:t>
      </w:r>
      <w:r>
        <w:rPr>
          <w:rFonts w:ascii="Times New Roman" w:cs="Times New Roman" w:eastAsia="Times New Roman" w:hAnsi="Times New Roman"/>
          <w:sz w:val="18"/>
          <w:szCs w:val="18"/>
          <w:color w:val="231F20"/>
        </w:rPr>
        <w:t xml:space="preserve"> the Company </w:t>
      </w:r>
      <w:r>
        <w:rPr>
          <w:rFonts w:ascii="Times New Roman" w:cs="Times New Roman" w:eastAsia="Times New Roman" w:hAnsi="Times New Roman"/>
          <w:sz w:val="18"/>
          <w:szCs w:val="18"/>
          <w:color w:val="000000"/>
        </w:rPr>
        <w:t>measures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206"/>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4" w:lineRule="exact"/>
        <w:rPr>
          <w:sz w:val="20"/>
          <w:szCs w:val="20"/>
          <w:color w:val="auto"/>
        </w:rPr>
      </w:pPr>
    </w:p>
    <w:p>
      <w:pPr>
        <w:jc w:val="both"/>
        <w:ind w:firstLine="232"/>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4" w:lineRule="exact"/>
        <w:rPr>
          <w:sz w:val="20"/>
          <w:szCs w:val="20"/>
          <w:color w:val="auto"/>
        </w:rPr>
      </w:pPr>
    </w:p>
    <w:p>
      <w:pPr>
        <w:jc w:val="both"/>
        <w:ind w:firstLine="208"/>
        <w:spacing w:after="0" w:line="258"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summarized in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Accounting Policy</w:t>
            </w: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Judgments/Uncertainties Affecting Application</w:t>
            </w: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26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and Valuation Allowance for Deferred Tax Assets</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Ability to withstand legal challenges of tax authority decisions or</w:t>
            </w:r>
          </w:p>
        </w:tc>
      </w:tr>
      <w:tr>
        <w:trPr>
          <w:trHeight w:val="225"/>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appeals</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Anticipated future decisions of tax authorities</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 of tax statutes and regulations to transactions</w:t>
            </w:r>
          </w:p>
        </w:tc>
      </w:tr>
      <w:tr>
        <w:trPr>
          <w:trHeight w:val="180"/>
        </w:trPr>
        <w:tc>
          <w:tcPr>
            <w:tcW w:w="11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5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Ability to utilize tax benefits through carry backs to prior periods and</w:t>
            </w:r>
          </w:p>
        </w:tc>
      </w:tr>
      <w:tr>
        <w:trPr>
          <w:trHeight w:val="225"/>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 forwards to future periods</w:t>
            </w:r>
          </w:p>
        </w:tc>
      </w:t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Long Lived Assets</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Recoverability of investments through future operations</w:t>
            </w:r>
          </w:p>
        </w:tc>
      </w:tr>
      <w:tr>
        <w:trPr>
          <w:trHeight w:val="229"/>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and political environments and requirements</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useful lives of assets</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Operational limitations and environmental obligations</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Estimates of future cash flows</w:t>
            </w:r>
          </w:p>
        </w:tc>
      </w:tr>
      <w:tr>
        <w:trPr>
          <w:trHeight w:val="229"/>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Estimates of fair value</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Judgment about triggering events</w:t>
            </w:r>
          </w:p>
        </w:tc>
      </w:t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Accounting</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Identification of assets acquired</w:t>
            </w:r>
          </w:p>
        </w:tc>
      </w:tr>
      <w:tr>
        <w:trPr>
          <w:trHeight w:val="230"/>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Inputs for fair values of assets and liabilities acquired</w:t>
            </w:r>
          </w:p>
        </w:tc>
      </w:tr>
      <w:tr>
        <w:trPr>
          <w:trHeight w:val="234"/>
        </w:trPr>
        <w:tc>
          <w:tcPr>
            <w:tcW w:w="1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 of appropriate fair value methodologies</w:t>
            </w:r>
          </w:p>
        </w:tc>
      </w:tr>
    </w:tbl>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Valuation Allowance for Deferred Tax Assets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of December 31, 2020, the Company had a valuation allowance of $15 million. The valuation allowance is related to a deferred tax asset expected to result in a capital loss for which no existing capital gains or tax planning strategies to utilize the asset in the future are available, as well as state net operating losses the Company expects to expire unutilized. Other than for this expected capital loss and state NOL mentioned above, the Company believes it is more likely than not that the results of future operations will generate sufficient taxable income which includes the future reversal of existing taxable temporary differences to realize deferred tax assets. The Company considered the impact of the Tax Cuts and Jobs Act upon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Considerable judgment is required to determine the tax treatment of a particular item that involves interpretations of complex tax laws. The project-level entities, as former subsidiaries of NRG, are no longer subject to federal audit examination for years prior to 2015 but are subject to state and local audit for multiple years in various jurisdictions. The Company is subject to U.S. federal, state, and local income tax examinations for all years beginning in 2013.</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Assets for Impairment and Other-Than-Temporary Decline in Value</w:t>
      </w:r>
    </w:p>
    <w:p>
      <w:pPr>
        <w:spacing w:after="0" w:line="173"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 xml:space="preserve">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or ASC 360, property, plant and equipment and certain intangible assets are evaluated for impairment whenever indicators of impairment exist. Examples of such indicators or events are:</w:t>
      </w:r>
    </w:p>
    <w:p>
      <w:pPr>
        <w:spacing w:after="0" w:line="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decrease in the market price of a long-lived asset;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change in the manner an asset is being used or its physical condition;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business climate;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Accumulation of costs significantly in excess of the amount originally expected for the construction or acquisition of an asset;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Current-period loss combined with a history of losses or the projection of future losses;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the Company's intent about an asset from an intent to hold to a greater than 50% likelihood that an asset will be sold or disposed of before the end of its previously estimated useful life.</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Recoverability of assets to be held and used is measured by a comparison of the carrying amount of the assets to the future net cash flows expected to be generated by the asset, considering project specific assumptions for long-term energy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1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Annually, during the fourth quarter, the Company revises its views of energy prices, including the Company's long-term view of power prices, which is primarily informed by present conditions, forecasted generation and operating and capital expenditures, in connection with the preparation of its annual budget.</w:t>
      </w:r>
    </w:p>
    <w:p>
      <w:pPr>
        <w:spacing w:after="0" w:line="120"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recorded certain long-lived asset impairments in 2020, as described below and in Item 15 — Note 9,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to the Consolidated Financial Statements, with respect to several wind projects.</w:t>
      </w:r>
    </w:p>
    <w:p>
      <w:pPr>
        <w:spacing w:after="0" w:line="10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During the fourth quarter of 2020 in the preparation and review of its annual budget, the Company updated its long-term estimates of operating and capital expenditures and revised its assessment of long-term merchant power prices which was primarily informed by present conditions and does not contemplate future policy changes which could impact renewable energy power prices. As a result, the Company updated its estimated future cash flows and determined that the future cash flows for several wind projects within the Renewables segment no longer supported the recoverability of the related long-lived asset. As such, the Company recorded an impairment loss of $24 million, which primarily relates to property, plant, and equipment to reflect the assets at fair market value. The fair value of the facilities were determined using an income approach by applying a discounted cash flow methodology to the long-term budgets for each respective plant. The income approach included key inputs such as forecasted merchant power prices, operations and maintenance expense, and discount rates. The resulting fair value is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Company is also required to evaluate its equity method investments to determine whether or not they are impaired. ASC 323, </w:t>
      </w:r>
      <w:r>
        <w:rPr>
          <w:rFonts w:ascii="Times New Roman" w:cs="Times New Roman" w:eastAsia="Times New Roman" w:hAnsi="Times New Roman"/>
          <w:sz w:val="18"/>
          <w:szCs w:val="18"/>
          <w:i w:val="1"/>
          <w:iCs w:val="1"/>
          <w:color w:val="auto"/>
        </w:rPr>
        <w:t>Investments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or ASC 323, provides the accounting requirements for these investments. The standard for determining whether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 During the fourth quarter of 2020, as the Company updated its estimated cash flows in connection with the preparation and review of the Company's annual budget, the Company determined that there was a significant decrease in the estimated future cash flows for its equity method investment in San Juan Mesa, a facility in the Renewables segment. The decrease in the forecasted cash flows which is primarily driven by a decline in forecasted revenue in future merchant periods, is significant enough to be considered an indication of a decline in value of the investment that is not temporary. The Company concluded there was an other-than-temporary impairment of its investment and recorded an impairment loss of $8 million to reflect the investment at fair market value.</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projects have useful lives that extend well beyond the contract period and therefore, management’s view of long-term energy prices in the post-contract periods may have a significant impact on the expected future cash flows for these projects. Accordingly, if management lowers its view of long-term energy prices in certain markets, it is possible that some of the Company’s other long-lived assets may be impaired.</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Accounting</w:t>
      </w:r>
    </w:p>
    <w:p>
      <w:pPr>
        <w:spacing w:after="0" w:line="173"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when accounting for acquisitions, with identifiable assets acquired and liabilities assumed recorded at their estimated fair values at acquisition date. For many of the Company's acquisitions, the Company applies ASC 805-50, which provides that acquisitions of entities under common control are recorded at historical cost, except in the case where the ultimate parent has a different basis, such as when an acquiree did not elect to apply pushdown accounting. In those circumstances, the Company may also be required to record its acquired assets and liabilities at fair value. As further described in Item 15 -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Company recorded the assets acquired in the acquisitions of Langford and the DGPV Holdco Entities at GIP's basis which was fair value.</w:t>
      </w:r>
    </w:p>
    <w:p>
      <w:pPr>
        <w:spacing w:after="0" w:line="13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Significant judgment is required in determining the acquisition date fair value of the assets acquired and liabilities assumed, predominantly with respect to property, plant and equipment, power purchase agreements, asset retirement obligations and other contractual arrangements. Evaluations include numerous inputs including forecasted cash flows that incorporate the specific attributes of each asset including age, useful life, equipment condition and technology, as well as current replacement costs for similar assets. Other key inputs that require judgment include discount rates, comparable market transactions, estimated 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7A — Quantitative and Qualitative Disclosures About Market Risk</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Accounting for Derivative Instruments and Hedging Activities</w:t>
      </w:r>
      <w:r>
        <w:rPr>
          <w:rFonts w:ascii="Times New Roman" w:cs="Times New Roman" w:eastAsia="Times New Roman" w:hAnsi="Times New Roman"/>
          <w:sz w:val="18"/>
          <w:szCs w:val="18"/>
          <w:color w:val="231F20"/>
        </w:rPr>
        <w:t>, to the Consolidated Financial Statements for more information.</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Based on a sensitivity analysis using simplified assumptions, the impact of a $0.50 per MMBtu decrease in natural gas prices across the term of the derivative contracts would cause no change to the net value of natural gas derivatives, and an increase of $0.50 MMBtu in natural gas prices across the term of the derivative contracts would cause an increase of approximately $1 million to the net value of natural gas derivatives as of </w:t>
      </w:r>
      <w:r>
        <w:rPr>
          <w:rFonts w:ascii="Times New Roman" w:cs="Times New Roman" w:eastAsia="Times New Roman" w:hAnsi="Times New Roman"/>
          <w:sz w:val="18"/>
          <w:szCs w:val="18"/>
          <w:color w:val="000000"/>
        </w:rPr>
        <w:t>December 31, 2020</w:t>
      </w:r>
      <w:r>
        <w:rPr>
          <w:rFonts w:ascii="Times New Roman" w:cs="Times New Roman" w:eastAsia="Times New Roman" w:hAnsi="Times New Roman"/>
          <w:sz w:val="18"/>
          <w:szCs w:val="18"/>
          <w:color w:val="231F20"/>
        </w:rPr>
        <w:t>. The impact of a $0.50 per MWh increase or decrease in power prices across the term of the derivative contracts would cause a change of approximately $3 million to the net value of power derivatives as of December 31,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279"/>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Accounting for Derivative Instruments and Hedging Activities</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Consolidated Financial Statements for more information.</w:t>
      </w:r>
    </w:p>
    <w:p>
      <w:pPr>
        <w:spacing w:after="0" w:line="129" w:lineRule="exact"/>
        <w:rPr>
          <w:sz w:val="20"/>
          <w:szCs w:val="20"/>
          <w:color w:val="auto"/>
        </w:rPr>
      </w:pPr>
    </w:p>
    <w:p>
      <w:pPr>
        <w:jc w:val="both"/>
        <w:ind w:right="20" w:firstLine="258"/>
        <w:spacing w:after="0" w:line="266" w:lineRule="auto"/>
        <w:rPr>
          <w:sz w:val="20"/>
          <w:szCs w:val="20"/>
          <w:color w:val="auto"/>
        </w:rPr>
      </w:pPr>
      <w:r>
        <w:rPr>
          <w:rFonts w:ascii="Times New Roman" w:cs="Times New Roman" w:eastAsia="Times New Roman" w:hAnsi="Times New Roman"/>
          <w:sz w:val="18"/>
          <w:szCs w:val="18"/>
          <w:color w:val="231F20"/>
        </w:rPr>
        <w:t xml:space="preserve">Most of the Company's project subsidiaries enter into interest rate swaps, intended to hedge the risks associated with interest rates on non-recourse project level debt.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to the Consolidated Financial Statements for more information about interest rate swaps of the Company's project subsidiaries.</w:t>
      </w:r>
    </w:p>
    <w:p>
      <w:pPr>
        <w:spacing w:after="0" w:line="122"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above swaps had been discontinued on </w:t>
      </w:r>
      <w:r>
        <w:rPr>
          <w:rFonts w:ascii="Times New Roman" w:cs="Times New Roman" w:eastAsia="Times New Roman" w:hAnsi="Times New Roman"/>
          <w:sz w:val="18"/>
          <w:szCs w:val="18"/>
          <w:color w:val="000000"/>
        </w:rPr>
        <w:t>December 31, 2020</w:t>
      </w:r>
      <w:r>
        <w:rPr>
          <w:rFonts w:ascii="Times New Roman" w:cs="Times New Roman" w:eastAsia="Times New Roman" w:hAnsi="Times New Roman"/>
          <w:sz w:val="18"/>
          <w:szCs w:val="18"/>
          <w:color w:val="231F20"/>
        </w:rPr>
        <w:t>, the Company would have owed the counterparties $134 million.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jc w:val="both"/>
        <w:ind w:right="20" w:firstLine="205"/>
        <w:spacing w:after="0" w:line="282"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December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2020</w:t>
      </w:r>
      <w:r>
        <w:rPr>
          <w:rFonts w:ascii="Times New Roman" w:cs="Times New Roman" w:eastAsia="Times New Roman" w:hAnsi="Times New Roman"/>
          <w:sz w:val="18"/>
          <w:szCs w:val="18"/>
          <w:color w:val="231F20"/>
        </w:rPr>
        <w:t>, a 1% change in interest rates would result in an approximately $1 million change in interest expense on a rolling twelve-month basis.</w:t>
      </w:r>
    </w:p>
    <w:p>
      <w:pPr>
        <w:spacing w:after="0" w:line="108" w:lineRule="exact"/>
        <w:rPr>
          <w:sz w:val="20"/>
          <w:szCs w:val="20"/>
          <w:color w:val="auto"/>
        </w:rPr>
      </w:pPr>
    </w:p>
    <w:p>
      <w:pPr>
        <w:jc w:val="both"/>
        <w:ind w:firstLine="188"/>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2020</w:t>
      </w:r>
      <w:r>
        <w:rPr>
          <w:rFonts w:ascii="Times New Roman" w:cs="Times New Roman" w:eastAsia="Times New Roman" w:hAnsi="Times New Roman"/>
          <w:sz w:val="18"/>
          <w:szCs w:val="18"/>
          <w:color w:val="231F20"/>
        </w:rPr>
        <w:t>, the fair value of the Company's debt was $7,020 million and the carrying value was $7,048 million. The Company estimates that a 1% decrease in market interest rates would have increased the fair value of its long-term debt by $412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288"/>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8 — Financial Statements and Supplementary Data</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financial statements and schedules are listed in Part IV, Item 15 of this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 and Internal Control Over Financial Reporting</w:t>
      </w:r>
    </w:p>
    <w:p>
      <w:pPr>
        <w:spacing w:after="0" w:line="175" w:lineRule="exact"/>
        <w:rPr>
          <w:sz w:val="20"/>
          <w:szCs w:val="20"/>
          <w:color w:val="auto"/>
        </w:rPr>
      </w:pPr>
    </w:p>
    <w:p>
      <w:pPr>
        <w:jc w:val="both"/>
        <w:ind w:firstLine="206"/>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during the quarter ended December 31, 2020, that materially affected, or are reasonably likely to materially affect, the Company’s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175"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8"/>
          <w:szCs w:val="18"/>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122" w:lineRule="exact"/>
        <w:rPr>
          <w:sz w:val="20"/>
          <w:szCs w:val="20"/>
          <w:color w:val="auto"/>
        </w:rPr>
      </w:pPr>
    </w:p>
    <w:p>
      <w:pPr>
        <w:ind w:left="620" w:hanging="207"/>
        <w:spacing w:after="0"/>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152" w:lineRule="exact"/>
        <w:rPr>
          <w:rFonts w:ascii="Times New Roman" w:cs="Times New Roman" w:eastAsia="Times New Roman" w:hAnsi="Times New Roman"/>
          <w:sz w:val="18"/>
          <w:szCs w:val="18"/>
          <w:color w:val="auto"/>
        </w:rPr>
      </w:pPr>
    </w:p>
    <w:p>
      <w:pPr>
        <w:jc w:val="both"/>
        <w:ind w:right="20" w:firstLine="413"/>
        <w:spacing w:after="0" w:line="282" w:lineRule="auto"/>
        <w:tabs>
          <w:tab w:leader="none" w:pos="5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107" w:lineRule="exact"/>
        <w:rPr>
          <w:rFonts w:ascii="Times New Roman" w:cs="Times New Roman" w:eastAsia="Times New Roman" w:hAnsi="Times New Roman"/>
          <w:sz w:val="18"/>
          <w:szCs w:val="18"/>
          <w:color w:val="auto"/>
        </w:rPr>
      </w:pPr>
    </w:p>
    <w:p>
      <w:pPr>
        <w:ind w:firstLine="413"/>
        <w:spacing w:after="0" w:line="282" w:lineRule="auto"/>
        <w:tabs>
          <w:tab w:leader="none" w:pos="59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08" w:lineRule="exact"/>
        <w:rPr>
          <w:sz w:val="20"/>
          <w:szCs w:val="20"/>
          <w:color w:val="auto"/>
        </w:rPr>
      </w:pPr>
    </w:p>
    <w:p>
      <w:pPr>
        <w:jc w:val="both"/>
        <w:ind w:firstLine="192"/>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right="20" w:firstLine="186"/>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the Company's evaluation under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the Company's management concluded that its internal control over financial reporting was effective as of December 31, 2020.</w:t>
      </w:r>
    </w:p>
    <w:p>
      <w:pPr>
        <w:spacing w:after="0" w:line="133" w:lineRule="exact"/>
        <w:rPr>
          <w:sz w:val="20"/>
          <w:szCs w:val="20"/>
          <w:color w:val="auto"/>
        </w:rPr>
      </w:pPr>
    </w:p>
    <w:p>
      <w:pPr>
        <w:jc w:val="both"/>
        <w:ind w:firstLine="202"/>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2020, has been audited by KPMG LLP, the Company's independent registered public accounting firm, as stated in its report which is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1" w:name="page72"/>
    <w:bookmarkEnd w:id="7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Clearway Energy, Inc. and subsidiaries (the Company) internal control over financial reporting as of December 31, 2020,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2020, based on criteria established in Internal Control – Integrated Framework (2013) issued by the Committee of Sponsoring Organizations of the Treadway Commission.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(loss), stockholders’ equity, and cash flows for each of the years in the three-year period ended December 31, 2020, and the related notes and financial statement schedules (“Schedule I- Condensed Financial Information of Registrant” and “Schedule II- Valuation and Qualifying Accounts”) (collectively, the consolidated financial statements), and our report dated March 1, 2021 expressed an unqualified opinion on those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(signed) KPMG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73" w:name="page74"/>
    <w:bookmarkEnd w:id="73"/>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 Information about 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73" w:lineRule="exact"/>
        <w:rPr>
          <w:sz w:val="20"/>
          <w:szCs w:val="20"/>
          <w:color w:val="auto"/>
        </w:rPr>
      </w:pPr>
    </w:p>
    <w:p>
      <w:pPr>
        <w:jc w:val="both"/>
        <w:ind w:firstLine="21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Nathaniel Anschuetz, 33, </w:t>
      </w:r>
      <w:r>
        <w:rPr>
          <w:rFonts w:ascii="Times New Roman" w:cs="Times New Roman" w:eastAsia="Times New Roman" w:hAnsi="Times New Roman"/>
          <w:sz w:val="18"/>
          <w:szCs w:val="18"/>
          <w:color w:val="auto"/>
        </w:rPr>
        <w:t>has served as a director since August 2018. Mr. Anschuetz is a Principal at GIP. Prior to joining GIP in 2012, Mr. Anschuetz</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an Analyst in the Power &amp; Utilities Coverage Group at Citigroup from June 2010 through June 2012. Mr. Anschuetz is also a member of the Board of Directors of Clearway Energy Group LLC and MAP RE/ES.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129" w:lineRule="exact"/>
        <w:rPr>
          <w:sz w:val="20"/>
          <w:szCs w:val="20"/>
          <w:color w:val="auto"/>
        </w:rPr>
      </w:pPr>
    </w:p>
    <w:p>
      <w:pPr>
        <w:jc w:val="both"/>
        <w:ind w:firstLine="20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Jonathan Bram, 55, </w:t>
      </w:r>
      <w:r>
        <w:rPr>
          <w:rFonts w:ascii="Times New Roman" w:cs="Times New Roman" w:eastAsia="Times New Roman" w:hAnsi="Times New Roman"/>
          <w:sz w:val="18"/>
          <w:szCs w:val="18"/>
          <w:color w:val="auto"/>
        </w:rPr>
        <w:t>has served as Chairman of the board of directors of the Company since August 2018. Mr. Bram is a Founding Partner of GIP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is also a member of the Board of Directors of Clearway Energy Group LLC and previously served on the boards of Terra-Gen Power, Guacolda Energia, S.A. and Channelview Cogeneration. Mr. Bram holds an A.B.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131"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Brian R. Ford, 72, </w:t>
      </w:r>
      <w:r>
        <w:rPr>
          <w:rFonts w:ascii="Times New Roman" w:cs="Times New Roman" w:eastAsia="Times New Roman" w:hAnsi="Times New Roman"/>
          <w:sz w:val="18"/>
          <w:szCs w:val="18"/>
          <w:color w:val="auto"/>
        </w:rPr>
        <w:t>has served as a director since July 2013 and Lead Independent Director since January 2019. Mr. Ford was the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spacing w:after="0" w:line="131"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Bruce MacLennan, 54, </w:t>
      </w:r>
      <w:r>
        <w:rPr>
          <w:rFonts w:ascii="Times New Roman" w:cs="Times New Roman" w:eastAsia="Times New Roman" w:hAnsi="Times New Roman"/>
          <w:sz w:val="18"/>
          <w:szCs w:val="18"/>
          <w:color w:val="auto"/>
        </w:rPr>
        <w:t>has served as a director since August 2018. Mr. MacLennan is a Partner of GIP and serves on its Investment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Committees.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Clearway Energy Group LLC and MAP RE/ES and previously served on the Board of Competitive Power Ventures. Mr. MacLennan’s significant experience in investment banking for, and investments in, energy and power companies, as well as his leadership role at GIP, provide strong financial and transactional experience to the Company's board of directors.</w:t>
      </w:r>
    </w:p>
    <w:p>
      <w:pPr>
        <w:spacing w:after="0" w:line="129" w:lineRule="exact"/>
        <w:rPr>
          <w:sz w:val="20"/>
          <w:szCs w:val="20"/>
          <w:color w:val="auto"/>
        </w:rPr>
      </w:pPr>
    </w:p>
    <w:p>
      <w:pPr>
        <w:jc w:val="both"/>
        <w:ind w:firstLine="2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Ferrell P. McClean, 74, </w:t>
      </w:r>
      <w:r>
        <w:rPr>
          <w:rFonts w:ascii="Times New Roman" w:cs="Times New Roman" w:eastAsia="Times New Roman" w:hAnsi="Times New Roman"/>
          <w:sz w:val="18"/>
          <w:szCs w:val="18"/>
          <w:color w:val="auto"/>
        </w:rPr>
        <w:t>has served as a director since July 2013. Ms. McClean was a Managing Director and the Senior Advisor to the head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Oil &amp; Gas Group in Investment Banking at J.P. Morgan Chase &amp; Co. 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the Company's board of directors and management team.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4" w:name="page75"/>
    <w:bookmarkEnd w:id="74"/>
    <w:p>
      <w:pPr>
        <w:jc w:val="both"/>
        <w:ind w:firstLine="18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Daniel B. More, 64, </w:t>
      </w:r>
      <w:r>
        <w:rPr>
          <w:rFonts w:ascii="Times New Roman" w:cs="Times New Roman" w:eastAsia="Times New Roman" w:hAnsi="Times New Roman"/>
          <w:sz w:val="18"/>
          <w:szCs w:val="18"/>
          <w:color w:val="auto"/>
        </w:rPr>
        <w:t>has served as a director since February 2019. Mr. More has been a Senior Advisor with Guggenheim Securities since October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pacing w:after="0" w:line="135" w:lineRule="exact"/>
        <w:rPr>
          <w:sz w:val="20"/>
          <w:szCs w:val="20"/>
          <w:color w:val="auto"/>
        </w:rPr>
      </w:pPr>
    </w:p>
    <w:p>
      <w:pPr>
        <w:jc w:val="both"/>
        <w:ind w:firstLine="20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 Stanley O'Neal, 69, </w:t>
      </w:r>
      <w:r>
        <w:rPr>
          <w:rFonts w:ascii="Times New Roman" w:cs="Times New Roman" w:eastAsia="Times New Roman" w:hAnsi="Times New Roman"/>
          <w:sz w:val="18"/>
          <w:szCs w:val="18"/>
          <w:color w:val="auto"/>
        </w:rPr>
        <w:t>has served as a director since August 2018. Mr. O'Neal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1"/>
          <w:szCs w:val="21"/>
          <w:color w:val="auto"/>
        </w:rPr>
        <w:t>s</w:t>
      </w:r>
      <w:r>
        <w:rPr>
          <w:rFonts w:ascii="Times New Roman" w:cs="Times New Roman" w:eastAsia="Times New Roman" w:hAnsi="Times New Roman"/>
          <w:sz w:val="18"/>
          <w:szCs w:val="18"/>
          <w:color w:val="auto"/>
        </w:rPr>
        <w:t>erved as Chairman of the Board and Chief Executive Officer of Merrill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chairman of the nominating and governance committee and a member of the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O’Neal’s extensive executive experience, financial expertise and leadership skills enable him to provide unique guidance to the Company's board of directors and management team.</w:t>
      </w:r>
    </w:p>
    <w:p>
      <w:pPr>
        <w:spacing w:after="0" w:line="133" w:lineRule="exact"/>
        <w:rPr>
          <w:sz w:val="20"/>
          <w:szCs w:val="20"/>
          <w:color w:val="auto"/>
        </w:rPr>
      </w:pPr>
    </w:p>
    <w:p>
      <w:pPr>
        <w:jc w:val="both"/>
        <w:ind w:firstLine="21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Christopher S. Sotos, 49, </w:t>
      </w:r>
      <w:r>
        <w:rPr>
          <w:rFonts w:ascii="Times New Roman" w:cs="Times New Roman" w:eastAsia="Times New Roman" w:hAnsi="Times New Roman"/>
          <w:sz w:val="18"/>
          <w:szCs w:val="18"/>
          <w:color w:val="auto"/>
        </w:rPr>
        <w:t>has served as President and Chief Executive Officer of the Company since May 2016, and as a director since May 2013.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Sotos had also served in various positions at NRG, including most recently 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Company's board of directors with management’s perspective regarding the Company’s day to day operations and overall strategic plan. Mr. Sotos also brings strong financial and accounting skills to the Company's board of directors.</w:t>
      </w:r>
    </w:p>
    <w:p>
      <w:pPr>
        <w:spacing w:after="0" w:line="13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Scott Stanley, 64, </w:t>
      </w:r>
      <w:r>
        <w:rPr>
          <w:rFonts w:ascii="Times New Roman" w:cs="Times New Roman" w:eastAsia="Times New Roman" w:hAnsi="Times New Roman"/>
          <w:sz w:val="18"/>
          <w:szCs w:val="18"/>
          <w:color w:val="auto"/>
        </w:rPr>
        <w:t>has served as a director since August 2018. Mr. Stanley has been employed by GIP as an Operating Principal since April 2007,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2018 was appointed as an Operating Partner. Mr. Stanley holds a B.S. in Ceramic Engineering from The Ohio State University and has 39 years of experience in operational roles, including prior assignments with General Electric, Honeywell, and United Technologies Corporation. Working predominantly in the transport sector with GIP, Mr. Stanley has held roles as Chief Operating Officer with London City Airport, Gatwick Airport, and Pacific National and was also on the Board of Directors at Edinburgh Airport. Mr. Stanley is also a member of the Board of Directors of Clearway Energy Group LLC and Italo S.p.A. and previously served on the Board of Directors of Naturgy Energy Group, S.A. Mr. Stanley adds significant operational expertise to the Company's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3" w:lineRule="exact"/>
        <w:rPr>
          <w:sz w:val="20"/>
          <w:szCs w:val="20"/>
          <w:color w:val="auto"/>
        </w:rPr>
      </w:pPr>
    </w:p>
    <w:p>
      <w:pPr>
        <w:ind w:right="12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Christopher S. Sotos </w:t>
      </w:r>
      <w:r>
        <w:rPr>
          <w:rFonts w:ascii="Times New Roman" w:cs="Times New Roman" w:eastAsia="Times New Roman" w:hAnsi="Times New Roman"/>
          <w:sz w:val="18"/>
          <w:szCs w:val="18"/>
          <w:color w:val="auto"/>
        </w:rPr>
        <w:t>has served as President and Chief Executive Officer of the Company since May 2016, and as a director of the Company since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For additional biographical information for Mr. Sotos, see above under “Directors.”</w:t>
      </w:r>
    </w:p>
    <w:p>
      <w:pPr>
        <w:spacing w:after="0" w:line="104"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Chad Plotkin, 45, </w:t>
      </w:r>
      <w:r>
        <w:rPr>
          <w:rFonts w:ascii="Times New Roman" w:cs="Times New Roman" w:eastAsia="Times New Roman" w:hAnsi="Times New Roman"/>
          <w:sz w:val="18"/>
          <w:szCs w:val="18"/>
          <w:color w:val="auto"/>
        </w:rPr>
        <w:t>has served as the Company's Senior Vice President and Chief Financial Officer since November 2016. From January 2016 until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as Senior Vice President and Chief Financial Officer, Mr. Plotkin served as Senior Vice President, Finance and Strategy.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5" w:name="page76"/>
    <w:bookmarkEnd w:id="75"/>
    <w:p>
      <w:pPr>
        <w:jc w:val="both"/>
        <w:ind w:firstLine="22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Kevin P. Malcarney, 54, </w:t>
      </w:r>
      <w:r>
        <w:rPr>
          <w:rFonts w:ascii="Times New Roman" w:cs="Times New Roman" w:eastAsia="Times New Roman" w:hAnsi="Times New Roman"/>
          <w:sz w:val="18"/>
          <w:szCs w:val="18"/>
          <w:color w:val="auto"/>
        </w:rPr>
        <w:t>has served as Senior Vice President, General Counsel and Corporate Secretary since May 11, 2018. Mr. Malcarney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General Counsel of the Company from March 16, 2018. Mr. Malcarney was previously Vice President and Deputy General Counsel and served in various other roles at NRG Energy, Inc. since September 2008. Prior to NRG, Mr. Malcarney worked at two major law firms in Princeton, NJ and Philadelphia, PA, and handled mergers and acquisitions, project financing and general corporate matters.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75" w:lineRule="exact"/>
        <w:rPr>
          <w:sz w:val="20"/>
          <w:szCs w:val="20"/>
          <w:color w:val="auto"/>
        </w:rPr>
      </w:pPr>
    </w:p>
    <w:p>
      <w:pPr>
        <w:jc w:val="both"/>
        <w:ind w:firstLine="18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adopted a code of ethics entitled "Clearway Energy, Inc. Code of Business Conduct and Ethics" that applies to all of our directors and employees, including our Officers (e.g., our CEO, CFO, and Principal Accounting Officer). It may be accessed through the "Corporate Governance" section of the Company's website at </w:t>
      </w:r>
      <w:r>
        <w:rPr>
          <w:rFonts w:ascii="Times New Roman" w:cs="Times New Roman" w:eastAsia="Times New Roman" w:hAnsi="Times New Roman"/>
          <w:sz w:val="18"/>
          <w:szCs w:val="18"/>
          <w:i w:val="1"/>
          <w:iCs w:val="1"/>
          <w:color w:val="auto"/>
        </w:rPr>
        <w:t>http://www.clearwayenergy.com.</w:t>
      </w:r>
      <w:r>
        <w:rPr>
          <w:rFonts w:ascii="Times New Roman" w:cs="Times New Roman" w:eastAsia="Times New Roman" w:hAnsi="Times New Roman"/>
          <w:sz w:val="18"/>
          <w:szCs w:val="18"/>
          <w:color w:val="auto"/>
        </w:rPr>
        <w:t xml:space="preserve"> The Company also elects to disclose the information required by Form 8-K, Item 5.05, "Amendments to the Registrant's Code of Ethics, or Waiver of a Provision of 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spacing w:after="0" w:line="133" w:lineRule="exact"/>
        <w:rPr>
          <w:sz w:val="20"/>
          <w:szCs w:val="20"/>
          <w:color w:val="auto"/>
        </w:rPr>
      </w:pPr>
    </w:p>
    <w:p>
      <w:pPr>
        <w:jc w:val="both"/>
        <w:ind w:firstLine="217"/>
        <w:spacing w:after="0" w:line="282" w:lineRule="auto"/>
        <w:rPr>
          <w:sz w:val="20"/>
          <w:szCs w:val="20"/>
          <w:color w:val="auto"/>
        </w:rPr>
      </w:pPr>
      <w:r>
        <w:rPr>
          <w:rFonts w:ascii="Times New Roman" w:cs="Times New Roman" w:eastAsia="Times New Roman" w:hAnsi="Times New Roman"/>
          <w:sz w:val="18"/>
          <w:szCs w:val="18"/>
          <w:color w:val="auto"/>
        </w:rPr>
        <w:t>Other information required by this Item will be incorporated by reference to the similarly named section of the Company's Definitive Proxy Statement for its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incorporated by reference to the similarly named section of the Company's Definitive Proxy Statement for its 2021 Annual Meeting of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the Clearway Energy, Inc. Amended and Restated 2013 Equity Compensation Plan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1"/>
                <w:szCs w:val="11"/>
                <w:color w:val="auto"/>
              </w:rPr>
            </w:pPr>
          </w:p>
        </w:tc>
        <w:tc>
          <w:tcPr>
            <w:tcW w:w="1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 Equity Compensation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1"/>
                <w:szCs w:val="11"/>
                <w:color w:val="auto"/>
              </w:rPr>
            </w:pPr>
          </w:p>
        </w:tc>
        <w:tc>
          <w:tcPr>
            <w:tcW w:w="1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1"/>
                <w:szCs w:val="11"/>
                <w:color w:val="auto"/>
              </w:rPr>
            </w:pPr>
          </w:p>
        </w:tc>
        <w:tc>
          <w:tcPr>
            <w:tcW w:w="1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2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2"/>
                <w:szCs w:val="12"/>
                <w:color w:val="auto"/>
              </w:rPr>
            </w:pPr>
          </w:p>
        </w:tc>
        <w:tc>
          <w:tcPr>
            <w:tcW w:w="1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in Column (a)) </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8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Equity compensation plans approved by security holders - Class</w:t>
            </w: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48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 common stock</w:t>
            </w: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19,699</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vMerge w:val="restart"/>
            <w:shd w:val="clear" w:color="auto" w:fill="CCEEFF"/>
          </w:tcPr>
          <w:p>
            <w:pPr>
              <w:jc w:val="cente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4800" w:type="dxa"/>
            <w:vAlign w:val="bottom"/>
            <w:gridSpan w:val="2"/>
            <w:vMerge w:val="continue"/>
            <w:shd w:val="clear" w:color="auto" w:fill="CCEEFF"/>
          </w:tcPr>
          <w:p>
            <w:pPr>
              <w:spacing w:after="0"/>
              <w:rPr>
                <w:sz w:val="9"/>
                <w:szCs w:val="9"/>
                <w:color w:val="auto"/>
              </w:rPr>
            </w:pPr>
          </w:p>
        </w:tc>
        <w:tc>
          <w:tcPr>
            <w:tcW w:w="18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900" w:type="dxa"/>
            <w:vAlign w:val="bottom"/>
            <w:gridSpan w:val="2"/>
            <w:vMerge w:val="continue"/>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Equity compensation plans approved by security holders - Class C</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724,988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vMerge w:val="restart"/>
          </w:tcPr>
          <w:p>
            <w:pPr>
              <w:jc w:val="cente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908,335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1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left="126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744,687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cente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908,335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440" w:firstLine="8"/>
        <w:spacing w:after="0" w:line="227" w:lineRule="auto"/>
        <w:tabs>
          <w:tab w:leader="none" w:pos="159"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Beginning in May 2015, awards to be granted and associated dividend equivalent rights to be issued under the Clearway Energy, Inc. Amended and Restated 2013 Equity Incentive Plan convert to Class C common stock upon vesting.</w:t>
      </w:r>
    </w:p>
    <w:p>
      <w:pPr>
        <w:ind w:firstLine="445"/>
        <w:spacing w:after="0" w:line="258" w:lineRule="auto"/>
        <w:rPr>
          <w:sz w:val="20"/>
          <w:szCs w:val="20"/>
          <w:color w:val="auto"/>
        </w:rPr>
      </w:pPr>
      <w:r>
        <w:rPr>
          <w:rFonts w:ascii="Times New Roman" w:cs="Times New Roman" w:eastAsia="Times New Roman" w:hAnsi="Times New Roman"/>
          <w:sz w:val="18"/>
          <w:szCs w:val="18"/>
          <w:color w:val="auto"/>
        </w:rPr>
        <w:t>Other information required by this Item will be incorporated by reference to the similarly named section of the Company's Definitive Proxy Statement for its 2021 Annual Meeting of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incorporated by reference to the similarly named section of the Company's Definitive Proxy Statement for its 2021 Annual Meeting of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 Principal Accounting Fees and Services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incorporated by reference to the similarly named section of the Company's Definitive Proxy Statement for its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7" w:name="page78"/>
    <w:bookmarkEnd w:id="7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71" w:lineRule="exact"/>
        <w:rPr>
          <w:sz w:val="20"/>
          <w:szCs w:val="20"/>
          <w:color w:val="auto"/>
        </w:rPr>
      </w:pPr>
    </w:p>
    <w:p>
      <w:pPr>
        <w:ind w:left="980" w:right="60" w:hanging="242"/>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Clearway Energy, Inc. and related notes thereto, together with the reports thereon of KPMG LLP, are included herein:</w:t>
      </w:r>
    </w:p>
    <w:p>
      <w:pPr>
        <w:spacing w:after="0" w:line="1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Consolidated Statements of Operations — Years ended December 31, 2020, 2019 and 2018</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Consolidated Statements of Comprehensive (Loss) Income — Years ended December 31, 2020, 2019 and 2018</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Consolidated Balance Sheets — As of December 31, 2020 and 2019</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2020, 2019 and 2018</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Consolidated Statements of Stockholders' Equity — Years ended December 31, 2020, 2019 and 2018</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schedules of Clearway Energy, Inc. are filed as part of Item 15 of this report and should be read in conjunction with the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153"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Schedule I — Clearway Energy, Inc. Financial Statements for the years ended December 31, 2020, 2019 and 2018, are included in Clearway Energy, Inc.'s Annual Report on Form 10-K pursuant to the requirements of Rule 5-04(c) of Regulation S-X</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71"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submitted as a separate section of this report</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87" w:right="47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7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Clearway Energy, Inc. and subsidiaries (the Company) as of December 31, 2020 and 2019, the related consolidated statements of operations, comprehensive income (loss), stockholders’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2020, and the related notes and financial statement schedules, (“Schedule I-Condensed Financial Information of Registrant” and “Schedule II-Valuation and Qualifying Accounts”)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2020, in conformity with U.S. generally accepted accounting principles.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and our report dated March 1, 2021, expressed an unqualified opinion on the effectiveness of the Company’s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Accounting Principle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has changed its method of accounting for Revenue from Contracts with Customers as of January 1, 2018 due to the adoption of Topic 606.</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has changed its method of accounting for Leases as of January 1, 2019 due to the adoption of Topic 842.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over the recoverability of certain long-lived assets</w:t>
      </w:r>
    </w:p>
    <w:p>
      <w:pPr>
        <w:spacing w:after="0" w:line="173"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long-lived assets that are held and used are reviewed for impairment whenever events or changes in circumstances indicate their carrying value may not be recoverable. Recoverability of assets to be held and used is tested by comparing the carrying amount of the assets to the future net cash flows expected to be generated by the asset, through considering project specific assumptions for long-term energy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9" w:name="page80"/>
    <w:bookmarkEnd w:id="79"/>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prices, escalated future project operating costs, and expected plant operations. An impairment loss is indicated if the total future undiscounted cash flows expected from an asset are less than its carrying value. An impairment charge is measured as the difference between the asset’s carrying value and its fair value.</w:t>
      </w:r>
    </w:p>
    <w:p>
      <w:pPr>
        <w:spacing w:after="0" w:line="122"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We identified the evaluation of the recoverability of certain long-lived assets as a critical audit matter. Especially subjective auditor judgment was required to evaluate the long-term energy prices used in the Company’s future undiscounted cash flows. Specifically, for certain asset groups tested for recoverability, the long-term energy prices in the post contracted periods used in the determination of future undiscounted cash flows were challenging to evaluate as small changes to this assumption could have a significant effect on the Company’s assessment of the recoverability of certain long-lived assets.</w:t>
      </w:r>
    </w:p>
    <w:p>
      <w:pPr>
        <w:spacing w:after="0" w:line="12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evaluate the recoverability of long-lived assets, including selection of long-term forecasted energy prices used in the determination of future undiscounted cash flows. We involved valuation professionals with specialized skills and knowledge, who assisted in evaluating the long-term energy prices determined by the Company. Specifically, the valuation professionals evaluated the long-term energy prices used by the Company by comparing them to energy price curves prepared by reputable third-party vendors that provide energy price forecasts in the applicable power markets.</w:t>
      </w:r>
    </w:p>
    <w:p>
      <w:pPr>
        <w:spacing w:after="0" w:line="200" w:lineRule="exact"/>
        <w:rPr>
          <w:sz w:val="20"/>
          <w:szCs w:val="20"/>
          <w:color w:val="auto"/>
        </w:rPr>
      </w:pPr>
    </w:p>
    <w:p>
      <w:pPr>
        <w:spacing w:after="0" w:line="2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(signed)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18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operations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 on investment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unconsolidated affiliate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Pre-acquisition net income of Drop Down Assets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Excluding Pre-acquisition Net Income (Loss) of Drop Down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3"/>
        </w:trPr>
        <w:tc>
          <w:tcPr>
            <w:tcW w:w="7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Earnings Per Share Attributable to Clearway Energy, Inc. Class A and Class C Common</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diluted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8"/>
        </w:trPr>
        <w:tc>
          <w:tcPr>
            <w:tcW w:w="78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Earnings (Loss) per Weighted Average Class A and Class C Common Share - Basic and Diluted</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0.46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4"/>
        </w:trPr>
        <w:tc>
          <w:tcPr>
            <w:tcW w:w="78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derivatives, net of income tax expense of $—, $1, and $2</w:t>
            </w: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Pre-acquisition net income of Drop Down Assets</w:t>
            </w:r>
          </w:p>
        </w:tc>
        <w:tc>
          <w:tcPr>
            <w:tcW w:w="7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Clearway Energy, Inc.</w:t>
            </w:r>
          </w:p>
        </w:tc>
        <w:tc>
          <w:tcPr>
            <w:tcW w:w="7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6"/>
        </w:trPr>
        <w:tc>
          <w:tcPr>
            <w:tcW w:w="752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3400" w:type="dxa"/>
            <w:vAlign w:val="bottom"/>
            <w:gridSpan w:val="4"/>
          </w:tcPr>
          <w:p>
            <w:pPr>
              <w:jc w:val="right"/>
              <w:ind w:right="13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 affiliates</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0" w:type="dxa"/>
            <w:vAlign w:val="bottom"/>
          </w:tcPr>
          <w:p>
            <w:pPr>
              <w:spacing w:after="0"/>
              <w:rPr>
                <w:sz w:val="1"/>
                <w:szCs w:val="1"/>
                <w:color w:val="auto"/>
              </w:rPr>
            </w:pPr>
          </w:p>
        </w:tc>
      </w:tr>
      <w:tr>
        <w:trPr>
          <w:trHeight w:val="21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Right-of-use assets,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shd w:val="clear" w:color="auto" w:fill="CCEEFF"/>
          </w:tcPr>
          <w:p>
            <w:pPr>
              <w:ind w:left="18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2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201,635,990 shares issued</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outstanding (Class A 34,599,645, Class B 42,738,750, Class C 81,558,845, Class D 42,738,750) at</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December 31, 2020 and 198,819,999 shares issued and outstanding (Class A 34,599,645, Class B 42,738,750,</w:t>
            </w:r>
          </w:p>
        </w:tc>
        <w:tc>
          <w:tcPr>
            <w:tcW w:w="1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C 78,742,854, Class D 42,738,750) at December 31, 2019</w:t>
            </w: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1"/>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887" w:right="3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r>
      <w:tr>
        <w:trPr>
          <w:trHeight w:val="188"/>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intangibles and out-of-market contracts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Reduction in carrying amount of right-of-use assets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unconsolidated affiliate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losses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deferred income taxes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derivative instruments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disposal of asset components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used in changes in other working capital</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prepaid and accrued liabilities for tolling agreements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other working capital</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r>
      <w:tr>
        <w:trPr>
          <w:trHeight w:val="19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Partnership interest acquisition</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Buyout of Wind TE Holdco noncontrolling interest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receipts from notes receivable</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Consolidation of DGPV Holdco 3 LLC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8"/>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contributions from noncontrolling interests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Buyout of Repowering Partnership II LLC noncontrolling interest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4"/>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3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paid, net of amount capitalized</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Reductions to fixed assets for accrued capital expenditures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adjustment for change in tax basis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contributions from CEG, NRG, net of distributions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20" w:type="dxa"/>
            <w:vAlign w:val="bottom"/>
          </w:tcPr>
          <w:p>
            <w:pPr>
              <w:spacing w:after="0"/>
              <w:rPr>
                <w:sz w:val="12"/>
                <w:szCs w:val="12"/>
                <w:color w:val="auto"/>
              </w:rPr>
            </w:pPr>
          </w:p>
        </w:tc>
        <w:tc>
          <w:tcPr>
            <w:tcW w:w="92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1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20" w:type="dxa"/>
            <w:vAlign w:val="bottom"/>
          </w:tcPr>
          <w:p>
            <w:pPr>
              <w:spacing w:after="0"/>
              <w:rPr>
                <w:sz w:val="10"/>
                <w:szCs w:val="10"/>
                <w:color w:val="auto"/>
              </w:rPr>
            </w:pPr>
          </w:p>
        </w:tc>
        <w:tc>
          <w:tcPr>
            <w:tcW w:w="920" w:type="dxa"/>
            <w:vAlign w:val="bottom"/>
          </w:tcPr>
          <w:p>
            <w:pPr>
              <w:jc w:val="center"/>
              <w:ind w:right="77"/>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40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Balances at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Pre-acquisition net loss of acquired Drop Down Assets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derivatives, net of tax</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the Buckthorn Solar Drop Down Asset and UPMC</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35"/>
        </w:trPr>
        <w:tc>
          <w:tcPr>
            <w:tcW w:w="4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Equity component of tendered 2020 Convertible Notes and 2019</w:t>
            </w:r>
          </w:p>
        </w:tc>
        <w:tc>
          <w:tcPr>
            <w:tcW w:w="10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92"/>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Capital contributions from tax equity investors, net of distributions,</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92"/>
        </w:trPr>
        <w:tc>
          <w:tcPr>
            <w:tcW w:w="4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and return of capital to NRG, net of contributions, cash</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and return of capital to NRG, net of contributions, non-</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92"/>
        </w:trPr>
        <w:tc>
          <w:tcPr>
            <w:tcW w:w="4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Class C common stock</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35"/>
        </w:trPr>
        <w:tc>
          <w:tcPr>
            <w:tcW w:w="4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Non-cash adjustment for change in tax basis of property, plant and</w:t>
            </w:r>
          </w:p>
        </w:tc>
        <w:tc>
          <w:tcPr>
            <w:tcW w:w="10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92"/>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69"/>
        </w:trPr>
        <w:tc>
          <w:tcPr>
            <w:tcW w:w="4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Balances at December 31, 2018</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2,224</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derivatives, net of tax</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Buyout of Wind TE Holdco non-controlling interest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Carlsbad Drop Down</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tax equity interests, net of distributions, 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CEG, net of contributions, cash</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effect of change in the accounting principle</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CEG net of distributions, non-cash</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Class C Common Stock</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 for change in tax basis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69"/>
        </w:trPr>
        <w:tc>
          <w:tcPr>
            <w:tcW w:w="40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Balances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2,263</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derivatives, net of tax</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CEG, non-cash</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CEG, 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 non-cash</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 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DGPV Drop Down and Consolidation</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Mesquite Star Drop Down and Consolidation</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Langford Drop Down</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Rosamond Central Drop Down</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Lighthouse Partnership Yield Protection Agreement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Buyout of Repowering Partnership II LLC non-controlling interest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 for change in tax basis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4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proceeds from the issuance of common stock under the ATM</w:t>
            </w:r>
          </w:p>
        </w:tc>
        <w:tc>
          <w:tcPr>
            <w:tcW w:w="10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92"/>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and distributions to CEG</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69"/>
        </w:trPr>
        <w:tc>
          <w:tcPr>
            <w:tcW w:w="4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Balances at December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On August 31, 2018, NRG Energy, Inc., or NRG, transferred its full ownership interest in the Company to Clearway Energy Group LLC, or CEG, the holder of NRG's renewable energy development and operations platform, and subsequently sold 100% of its interest in CEG to GIP, referred to hereinafter as the GIP Transaction. As a result of the GIP Transaction, GIP indirectly acquired a 45.2% economic interest in Clearway Energy LLC and a 55% voting interest in the Company. GIP is an independent fund manager that invests in infrastructure assets in energy and transport sectors. The Company is sponsored by GIP through its portfolio company, CEG.</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is one of the largest renewable energy owners in the U.S. with over 4,200 net MW of installed wind and solar generation projects. The Company also owns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Company owns 57.61% of the economic interests of Clearway Energy LLC, with CEG retaining 42.39% of the economic interests of Clearway Energy LLC as of December 31, 2020. For further discussion, see Note 12, </w:t>
      </w:r>
      <w:r>
        <w:rPr>
          <w:rFonts w:ascii="Times New Roman" w:cs="Times New Roman" w:eastAsia="Times New Roman" w:hAnsi="Times New Roman"/>
          <w:sz w:val="18"/>
          <w:szCs w:val="18"/>
          <w:i w:val="1"/>
          <w:iCs w:val="1"/>
          <w:color w:val="auto"/>
        </w:rPr>
        <w:t>Stockholders' Equity.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6" w:name="page87"/>
    <w:bookmarkEnd w:id="86"/>
    <w:p>
      <w:pPr>
        <w:ind w:left="420"/>
        <w:spacing w:after="0"/>
        <w:rPr>
          <w:sz w:val="20"/>
          <w:szCs w:val="20"/>
          <w:color w:val="auto"/>
        </w:rPr>
      </w:pPr>
      <w:r>
        <w:rPr>
          <w:rFonts w:ascii="Times New Roman" w:cs="Times New Roman" w:eastAsia="Times New Roman" w:hAnsi="Times New Roman"/>
          <w:sz w:val="18"/>
          <w:szCs w:val="18"/>
          <w:color w:val="auto"/>
        </w:rPr>
        <w:t>The following table represents the structure of the Company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5863590" cy="43973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12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to determine when an entity that is insufficiently capitalized or not controlled through its voting interests, referred to as a variable interest entity, or VIE, should be consolidated.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$149 million and $125 million as of December 31, 2020 and 2019, respectively.</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r>
      <w:tr>
        <w:trPr>
          <w:trHeight w:val="188"/>
        </w:trPr>
        <w:tc>
          <w:tcPr>
            <w:tcW w:w="8300" w:type="dxa"/>
            <w:vAlign w:val="bottom"/>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r>
      <w:tr>
        <w:trPr>
          <w:trHeight w:val="183"/>
        </w:trPr>
        <w:tc>
          <w:tcPr>
            <w:tcW w:w="8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5"/>
                <w:szCs w:val="15"/>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8"/>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statements of cash flows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projects that are restricted in their use. As of December 31, 2020, these restricted funds comprised of $73 million designated to fund operating expenses, approximately $24 million designated for current debt service payments, and $45 million restricted for reserves including debt service, performance obligations and other reserves, as well as capital expenditures. The remaining $55 million is held in distributions reserve accounts.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 Trade and Allowance for Doubtful Accounts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Accounts receivable — trade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2020 and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to the Consolidated Financial Statements.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Development costs include project development costs, which are expensed in the preliminary stages of a project and capitalized when the project is deemed to be commercially viable. Commercial viability is determined by one or a series of actions including, among others, Board of Director approval pursuant to a formal project plan that subjects the Company to significant future obligations that can only be discharged by the use of a Company asset. When a project is available for operations, capitalized interest and capitalized project development costs are reclassified to property, plant and equipment and depreciated on a straightline basis over the estimated useful life of the project's related assets. Capitalized costs are charged to expense if a project is abandoned or management otherwise determines the costs to be unrecoverable.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Long-lived assets that are held and used are reviewed for impairment whenever events or changes in circumstances indicate their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Note 9,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xml:space="preserve"> to the Consolidated Financial Statements.</w:t>
      </w:r>
    </w:p>
    <w:p>
      <w:pPr>
        <w:spacing w:after="0" w:line="131"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color w:val="auto"/>
        </w:rPr>
        <w:t xml:space="preserve">Investments accounted for by the equity method are reviewed for impairment in accordance with ASC 323, </w:t>
      </w:r>
      <w:r>
        <w:rPr>
          <w:rFonts w:ascii="Times New Roman" w:cs="Times New Roman" w:eastAsia="Times New Roman" w:hAnsi="Times New Roman"/>
          <w:sz w:val="18"/>
          <w:szCs w:val="18"/>
          <w:i w:val="1"/>
          <w:iCs w:val="1"/>
          <w:color w:val="auto"/>
        </w:rPr>
        <w:t>Investments-Equity Method and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Ventures</w:t>
      </w:r>
      <w:r>
        <w:rPr>
          <w:rFonts w:ascii="Times New Roman" w:cs="Times New Roman" w:eastAsia="Times New Roman" w:hAnsi="Times New Roman"/>
          <w:sz w:val="18"/>
          <w:szCs w:val="18"/>
          <w:color w:val="auto"/>
        </w:rPr>
        <w:t>, which requires that a loss in value of an investment that is an other-than-temporary decline should be recognized. The Company identifies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losses in the value of equity method investments based upon a comparison of fair value to carrying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credit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Intangible assets represent contractual rights held by the Company. The Company recognizes specifically identifiable intangible assets including power purchase agreements, leasehold rights, customer relationships, customer contracts and development rights when specific rights and contracts are acquired. These intangible assets are amortized primarily on a straight-line basis. For further discussion of the Company's intangible assets, refer to Note 8,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to the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2018, the Company adopted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Thermal Revenues</w:t>
      </w:r>
    </w:p>
    <w:p>
      <w:pPr>
        <w:spacing w:after="0" w:line="21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Power Purchase Agreements, or PPAs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Previously ASC 840, and currently,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Certain of these leases have no minimum lease payments and all of the rental income under these leases is recorded as contingent rent on an actual basis when the electricity is delivered. The contingent rental income recognized in the years ended December 31, 2020, 2019 and 2018 was $589 million, $537 million and $583 million, respectively. See Note 17,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 related to the Company's PPAs accounted for as leases.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Energy Credits, or RECs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stated above, 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20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for the year ended December 31, 2020, along with the reportable segment for each category:</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1260" w:type="dxa"/>
            <w:vAlign w:val="bottom"/>
            <w:gridSpan w:val="6"/>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40" w:type="dxa"/>
            <w:vAlign w:val="bottom"/>
          </w:tcPr>
          <w:p>
            <w:pPr>
              <w:spacing w:after="0"/>
              <w:rPr>
                <w:sz w:val="12"/>
                <w:szCs w:val="12"/>
                <w:color w:val="auto"/>
              </w:rPr>
            </w:pPr>
          </w:p>
        </w:tc>
        <w:tc>
          <w:tcPr>
            <w:tcW w:w="8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60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gridSpan w:val="3"/>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Generation</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1"/>
                <w:szCs w:val="21"/>
                <w:color w:val="auto"/>
                <w:vertAlign w:val="superscript"/>
              </w:rPr>
              <w:t>(a)</w:t>
            </w: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20" w:type="dxa"/>
            <w:vAlign w:val="bottom"/>
            <w:vMerge w:val="continue"/>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28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24"/>
                <w:szCs w:val="24"/>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revenue</w:t>
            </w:r>
          </w:p>
        </w:tc>
        <w:tc>
          <w:tcPr>
            <w:tcW w:w="180" w:type="dxa"/>
            <w:vAlign w:val="bottom"/>
          </w:tcPr>
          <w:p>
            <w:pPr>
              <w:spacing w:after="0"/>
              <w:rPr>
                <w:sz w:val="17"/>
                <w:szCs w:val="17"/>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Lease revenue</w:t>
            </w:r>
          </w:p>
        </w:tc>
        <w:tc>
          <w:tcPr>
            <w:tcW w:w="18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(1,017)</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Contract amortization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820" w:hanging="164"/>
        <w:spacing w:after="0"/>
        <w:tabs>
          <w:tab w:leader="none" w:pos="82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5"/>
          <w:szCs w:val="15"/>
          <w:color w:val="auto"/>
        </w:rPr>
        <w:t>Note 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7"/>
          <w:szCs w:val="17"/>
          <w:color w:val="auto"/>
        </w:rPr>
        <w:t xml:space="preserve"> for the </w:t>
      </w:r>
      <w:r>
        <w:rPr>
          <w:rFonts w:ascii="Times New Roman" w:cs="Times New Roman" w:eastAsia="Times New Roman" w:hAnsi="Times New Roman"/>
          <w:sz w:val="15"/>
          <w:szCs w:val="15"/>
          <w:color w:val="auto"/>
        </w:rPr>
        <w:t>amounts of energy and capacity revenue that relate to leases and are accounted for under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90" w:name="page91"/>
    <w:bookmarkEnd w:id="90"/>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for the year ended December 31, 2019, along with the reportable segment for each category:</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1260" w:type="dxa"/>
            <w:vAlign w:val="bottom"/>
            <w:gridSpan w:val="6"/>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40" w:type="dxa"/>
            <w:vAlign w:val="bottom"/>
          </w:tcPr>
          <w:p>
            <w:pPr>
              <w:spacing w:after="0"/>
              <w:rPr>
                <w:sz w:val="12"/>
                <w:szCs w:val="12"/>
                <w:color w:val="auto"/>
              </w:rPr>
            </w:pPr>
          </w:p>
        </w:tc>
        <w:tc>
          <w:tcPr>
            <w:tcW w:w="8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60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gridSpan w:val="3"/>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Generation</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1"/>
                <w:szCs w:val="21"/>
                <w:color w:val="auto"/>
                <w:vertAlign w:val="superscript"/>
              </w:rPr>
              <w:t>(a)</w:t>
            </w: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8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24"/>
                <w:szCs w:val="24"/>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amortization</w:t>
            </w:r>
          </w:p>
        </w:tc>
        <w:tc>
          <w:tcPr>
            <w:tcW w:w="18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Mark-to-market for economic hedges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revenue</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Lease revenue</w:t>
            </w:r>
          </w:p>
        </w:tc>
        <w:tc>
          <w:tcPr>
            <w:tcW w:w="18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Contract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9"/>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920" w:hanging="150"/>
        <w:spacing w:after="0"/>
        <w:tabs>
          <w:tab w:leader="none" w:pos="192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 xml:space="preserve">See Note 17,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the amounts of energy and capacity revenue that relate to leases and are accounted for under ASC 840</w:t>
      </w:r>
    </w:p>
    <w:p>
      <w:pPr>
        <w:spacing w:after="0" w:line="17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for the year ended December 31, 2018, along with the reportable segment for each category:</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1260" w:type="dxa"/>
            <w:vAlign w:val="bottom"/>
            <w:gridSpan w:val="6"/>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40" w:type="dxa"/>
            <w:vAlign w:val="bottom"/>
          </w:tcPr>
          <w:p>
            <w:pPr>
              <w:spacing w:after="0"/>
              <w:rPr>
                <w:sz w:val="12"/>
                <w:szCs w:val="12"/>
                <w:color w:val="auto"/>
              </w:rPr>
            </w:pPr>
          </w:p>
        </w:tc>
        <w:tc>
          <w:tcPr>
            <w:tcW w:w="8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60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gridSpan w:val="3"/>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Generation</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1"/>
                <w:szCs w:val="21"/>
                <w:color w:val="auto"/>
                <w:vertAlign w:val="superscript"/>
              </w:rPr>
              <w:t>(a)</w:t>
            </w: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8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24"/>
                <w:szCs w:val="24"/>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revenue</w:t>
            </w:r>
          </w:p>
        </w:tc>
        <w:tc>
          <w:tcPr>
            <w:tcW w:w="180" w:type="dxa"/>
            <w:vAlign w:val="bottom"/>
          </w:tcPr>
          <w:p>
            <w:pPr>
              <w:spacing w:after="0"/>
              <w:rPr>
                <w:sz w:val="17"/>
                <w:szCs w:val="17"/>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Lease revenue</w:t>
            </w:r>
          </w:p>
        </w:tc>
        <w:tc>
          <w:tcPr>
            <w:tcW w:w="18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(878)</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Contract amortization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Amortization</w:t>
      </w:r>
    </w:p>
    <w:p>
      <w:pPr>
        <w:spacing w:after="0" w:line="16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the net amount of contract assets and liabilities included on the Company’s balance sheet as of December 31, 2020:</w:t>
      </w:r>
    </w:p>
    <w:p>
      <w:pPr>
        <w:spacing w:after="0" w:line="178"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6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 Contracts with customers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 - Leases</w:t>
            </w:r>
          </w:p>
        </w:tc>
        <w:tc>
          <w:tcPr>
            <w:tcW w:w="2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3"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derivative financial instruments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12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in earnings as an offset to the changes in the fair value of the related hedged assets, liabilities and firm commitments;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and recorded as a component of accumulated OCI until the hedged transactions occur and are recognized in earnings.</w:t>
      </w:r>
    </w:p>
    <w:p>
      <w:pPr>
        <w:spacing w:after="0" w:line="17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Company's primary derivative instruments are interest rate instruments used to mitigate variability in earnings due to fluctuations in interest rates, power purchase or sale contracts used to mitigate variability in earnings due to fluctuations in market prices and fuels purchase contracts used to control customer reimbursable fuel cost.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1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Times New Roman" w:cs="Times New Roman" w:eastAsia="Times New Roman" w:hAnsi="Times New Roman"/>
          <w:sz w:val="18"/>
          <w:szCs w:val="18"/>
          <w:i w:val="1"/>
          <w:iCs w:val="1"/>
          <w:color w:val="auto"/>
        </w:rPr>
        <w:t>Risks related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Company's Business, </w:t>
      </w:r>
      <w:r>
        <w:rPr>
          <w:rFonts w:ascii="Times New Roman" w:cs="Times New Roman" w:eastAsia="Times New Roman" w:hAnsi="Times New Roman"/>
          <w:sz w:val="18"/>
          <w:szCs w:val="18"/>
          <w:color w:val="auto"/>
        </w:rPr>
        <w:t>for a discussion on the Company’s dependence on major customers</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Note 6,</w:t>
      </w:r>
      <w:r>
        <w:rPr>
          <w:rFonts w:ascii="Times New Roman" w:cs="Times New Roman" w:eastAsia="Times New Roman" w:hAnsi="Times New Roman"/>
          <w:sz w:val="18"/>
          <w:szCs w:val="18"/>
          <w:i w:val="1"/>
          <w:iCs w:val="1"/>
          <w:color w:val="auto"/>
        </w:rPr>
        <w:t xml:space="preserve"> Fair Value of Financial Instruments, </w:t>
      </w:r>
      <w:r>
        <w:rPr>
          <w:rFonts w:ascii="Times New Roman" w:cs="Times New Roman" w:eastAsia="Times New Roman" w:hAnsi="Times New Roman"/>
          <w:sz w:val="18"/>
          <w:szCs w:val="18"/>
          <w:color w:val="auto"/>
        </w:rPr>
        <w:t>for a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discussion of derivative concentrations and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concentration of counterparties.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Note 6,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a further discussion of fair value of financial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Asset retirement obligations, or AROs, are accounted for in accordance with ASC 410-20,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3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12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balance of ARO obligations as of December 31, 2020 and 2019, along with the additions and accretion related to the Company's ARO obligations for the year ended December 31,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2"/>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Revisions in estimates for current obligations</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Accretion — expense</w:t>
            </w: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Accounted for by the Equity Method</w:t>
      </w:r>
    </w:p>
    <w:p>
      <w:pPr>
        <w:spacing w:after="0" w:line="175" w:lineRule="exact"/>
        <w:rPr>
          <w:sz w:val="20"/>
          <w:szCs w:val="20"/>
          <w:color w:val="auto"/>
        </w:rPr>
      </w:pPr>
    </w:p>
    <w:p>
      <w:pPr>
        <w:jc w:val="both"/>
        <w:ind w:firstLine="215"/>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investments in various energy projects accounted for by the equity method, several of which are VIEs, where the Company is not a primary beneficiary, as described in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Sale-Leaseback Arrangements</w:t>
      </w:r>
    </w:p>
    <w:p>
      <w:pPr>
        <w:spacing w:after="0" w:line="175" w:lineRule="exact"/>
        <w:rPr>
          <w:sz w:val="20"/>
          <w:szCs w:val="20"/>
          <w:color w:val="auto"/>
        </w:rPr>
      </w:pPr>
    </w:p>
    <w:p>
      <w:pPr>
        <w:jc w:val="both"/>
        <w:ind w:firstLine="267"/>
        <w:spacing w:after="0" w:line="258" w:lineRule="auto"/>
        <w:rPr>
          <w:sz w:val="20"/>
          <w:szCs w:val="20"/>
          <w:color w:val="auto"/>
        </w:rPr>
      </w:pPr>
      <w:r>
        <w:rPr>
          <w:rFonts w:ascii="Times New Roman" w:cs="Times New Roman" w:eastAsia="Times New Roman" w:hAnsi="Times New Roman"/>
          <w:sz w:val="18"/>
          <w:szCs w:val="18"/>
          <w:color w:val="auto"/>
        </w:rPr>
        <w:t xml:space="preserve">The Company is party to sale-leaseback arrangements that provide for the sale of certain assets to a third party and simultaneous leaseback to the Company. In accordance with ASC 840-40, </w:t>
      </w:r>
      <w:r>
        <w:rPr>
          <w:rFonts w:ascii="Times New Roman" w:cs="Times New Roman" w:eastAsia="Times New Roman" w:hAnsi="Times New Roman"/>
          <w:sz w:val="18"/>
          <w:szCs w:val="18"/>
          <w:i w:val="1"/>
          <w:iCs w:val="1"/>
          <w:color w:val="auto"/>
        </w:rPr>
        <w:t>Sale-Leaseback Transactions</w:t>
      </w:r>
      <w:r>
        <w:rPr>
          <w:rFonts w:ascii="Times New Roman" w:cs="Times New Roman" w:eastAsia="Times New Roman" w:hAnsi="Times New Roman"/>
          <w:sz w:val="18"/>
          <w:szCs w:val="18"/>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29" w:lineRule="exact"/>
        <w:rPr>
          <w:sz w:val="20"/>
          <w:szCs w:val="20"/>
          <w:color w:val="auto"/>
        </w:rPr>
      </w:pPr>
    </w:p>
    <w:p>
      <w:pPr>
        <w:jc w:val="both"/>
        <w:ind w:firstLine="201"/>
        <w:spacing w:after="0" w:line="256" w:lineRule="auto"/>
        <w:rPr>
          <w:sz w:val="20"/>
          <w:szCs w:val="20"/>
          <w:color w:val="auto"/>
        </w:rPr>
      </w:pPr>
      <w:r>
        <w:rPr>
          <w:rFonts w:ascii="Times New Roman" w:cs="Times New Roman" w:eastAsia="Times New Roman" w:hAnsi="Times New Roman"/>
          <w:sz w:val="18"/>
          <w:szCs w:val="18"/>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3" w:lineRule="exact"/>
        <w:rPr>
          <w:sz w:val="20"/>
          <w:szCs w:val="20"/>
          <w:color w:val="auto"/>
        </w:rPr>
      </w:pPr>
    </w:p>
    <w:p>
      <w:pPr>
        <w:jc w:val="both"/>
        <w:ind w:firstLine="23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in accordance with ASC 718, </w:t>
      </w:r>
      <w:r>
        <w:rPr>
          <w:rFonts w:ascii="Times New Roman" w:cs="Times New Roman" w:eastAsia="Times New Roman" w:hAnsi="Times New Roman"/>
          <w:sz w:val="18"/>
          <w:szCs w:val="18"/>
          <w:i w:val="1"/>
          <w:iCs w:val="1"/>
          <w:color w:val="auto"/>
        </w:rPr>
        <w:t>Compensation — Stoc</w:t>
      </w: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or ASC 718. The fair value of the Company's relative performance stock units, or RPSUs, are estimated on the date of grant using the Monte Carlo valuation model. The Company uses the Class A and Class C common stock price on the date of grant as the fair value of the Company's restricted stock units, or RSUs. Forfeiture rates are estimated based on an analysis of the Company's historical forfeitures, employment turnover, and expected future behavior. The Company recognizes compensation expense for both graded and cliff vesting awards on a straightline basis over the requisite service period for the entire award. The Company incurred total stock compensation expense of $3 million, $4 million and $3 million for the years ended December 31, 2020, 2019 and 2018, respectively, which was primarily recorded in general and administrative expense on the Company's consolidated statements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using the liability method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or ASC 740, which requires that the Company use the asset and liability method of accounting for deferred income taxes and provide deferred income taxes for all significant temporary differences.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two categories of income tax expense or benefit — current and deferred, as follows:</w:t>
      </w:r>
    </w:p>
    <w:p>
      <w:pPr>
        <w:spacing w:after="0" w:line="17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income tax expense or benefit consists solely of current taxes payable less applicable tax credits,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or benefit is the change in the net deferred income tax asset or liability, excluding amounts charged or credited to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4" w:name="page95"/>
    <w:bookmarkEnd w:id="94"/>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including the impact of the Tax Cuts and Jobs Act, the Company considered the profit before tax generated in recent years. A valuation allowance is recorded to reduce the net deferred tax assets to an amount that is more-likely-than-not to be realized.</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 The Company recognizes interest and penalties accrued related to uncertain tax benefits as a component of income tax expense.</w:t>
      </w:r>
    </w:p>
    <w:p>
      <w:pPr>
        <w:spacing w:after="0" w:line="124"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740 and as discussed further in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changes to existing net deferred tax assets, valuation allowances, or changes to uncertain tax benefits, are recorded to income tax expense.</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Prior to the GIP Transaction, the Company was included in certain NRG consolidated unitary tax return filings which was reflected in the state effective tax rate. For tax returns filed during December 31, 2018, NRG allocated $22 million to the Company in tax-effected state NOLs, driven primarily from losses generated by NRG after the GIP Transaction. The Company expects to be able to utilize these NOLs in future periods.</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Following the GIP Transaction, the Company files under a separate standalone methodology, resulting in a higher state effective tax rate due to a larger percentage of activity allocated to high-tax jurisdictions.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business acquisitions that relate to entities under common control, ASC 805 requires retrospective combination of the entities for all annual periods presented as if the combination has been in effect from the beginning of the earliest financial statement period presented or from the date the entities were under common control (if later than the beginning of the earliest financial statement period). The difference between the cash paid and historical value of the entities' equity is recorded as a distribution/contribution from/to CEG with the offset to noncontrolling interest. Transaction costs are expensed as incurred.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recording transactions and balances resulting from business operations, the Company uses estimates based on the best information available. Estimates are used for such items as plant depreciable lives, tax provisions, uncollectible accounts, AROs,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Tax Equity Arrangements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solar energy systems, under operating leases or PPAs, that are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comparative purposes.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No.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 during the reference rate reform period. As of December 31, 2020, the Company has not elected any optional expedients provided in the standard.</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Effective January 1, 2019, the Company adopted ASU No. 2016-02, Leases (Topic 842), or Topic 842 using the modified retrospective transition method. The Company elected available practical expedients permitted under the transition guidance within the new standard, which among other items, allowed the Company to carry forward its historical lease classification and not reassess existing leases under the new definition of a lease in ASC 842. In addition, the Company also elected to account for lease and non-lease components as a single lease component. The adoption of the standard resulted in the recording of operating lease liabilities of $165 million and related ROU assets of $159 million. There was no impact to the Company’s consolidated statement of operations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The amendments in this ASU simplify the accounting for income taxes by removing certain exceptions to the general principles in Topic 740, Income Taxes. The amendments also improve consistent application of and simplify GAAP for other areas of Topic 740 by clarifying and amending existing guidance. The guidance is effective January 1, 2021, with early adoption permitted. The Company does not expect the effect of the new guidance to be material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Note 3 — Acquisitions and Dispositions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21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Rattlesnake Drop Down — </w:t>
      </w:r>
      <w:r>
        <w:rPr>
          <w:rFonts w:ascii="Times New Roman" w:cs="Times New Roman" w:eastAsia="Times New Roman" w:hAnsi="Times New Roman"/>
          <w:sz w:val="18"/>
          <w:szCs w:val="18"/>
          <w:color w:val="auto"/>
        </w:rPr>
        <w:t>On January 12, 2021, the Company acquired 100% of CEG's equity interest and a third party investor's minority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Rattlesnake Flat, LLC, which owns the Rattlesnake Wind Project, a 160 net MW wind facility located in Adams County, WA for $132 million in cash consideration.</w:t>
      </w:r>
    </w:p>
    <w:p>
      <w:pPr>
        <w:spacing w:after="0" w:line="11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Agua Caliente Acquisition — </w:t>
      </w:r>
      <w:r>
        <w:rPr>
          <w:rFonts w:ascii="Times New Roman" w:cs="Times New Roman" w:eastAsia="Times New Roman" w:hAnsi="Times New Roman"/>
          <w:sz w:val="18"/>
          <w:szCs w:val="18"/>
          <w:color w:val="auto"/>
        </w:rPr>
        <w:t>On February 3, 2021, the Company acquired an additional 35% equity interest in the Agua Caliente solar project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NRG Energy, Inc. for $202 million. Agua Caliente is a 290 MW solar project located in Dateland, Arizona in which Clearway previously owned a 16% equity interest. The project has a 25-year PPA with PG&amp;E, with approximately 19 years remaining under the agreement. Following the close of the transaction, the Company owns a 51% equity interest in Agua Caliente. The Company will remove its equity method investment and consolidate its interest in Agua Caliente from the date of the acquisition.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Acquisitions</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Langford Drop Down — </w:t>
      </w:r>
      <w:r>
        <w:rPr>
          <w:rFonts w:ascii="Times New Roman" w:cs="Times New Roman" w:eastAsia="Times New Roman" w:hAnsi="Times New Roman"/>
          <w:sz w:val="18"/>
          <w:szCs w:val="18"/>
          <w:color w:val="auto"/>
        </w:rPr>
        <w:t>On November 20, 2020, the Company acquired 100% of the Class B membership interest in Langford Holding LLC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CEG for $55 million as well as a minority interest from a third party investor for $9 million. Langford Holding LLC indirectly consolidates its interest in the Langford wind project as further described in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The Langford project is a 160 MW wind project located in West Texas which achieved repowering commercial operations in November 2020. The Langford operations are included in the Company's Renewables segment and the acquisition was funded with cash on hand. The acquisition was determined to be an asset acquisition and not a business combination, therefore the Company consolidated the financial information for Langford on a prospective basis. The membership interests acquired by the Company relate to interests under common control by GIP and were recorded at historical cost, which reflects GIP's basis recorded at fair value. The difference between the cash paid of $64 million and the historical value of the Company's acquired interests of $21 million was recorded as an adjustment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7" w:name="page98"/>
    <w:bookmarkEnd w:id="97"/>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November 20,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Langford</w:t>
            </w:r>
          </w:p>
        </w:tc>
      </w:tr>
      <w:tr>
        <w:trPr>
          <w:trHeight w:val="22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50"/>
        </w:trPr>
        <w:tc>
          <w:tcPr>
            <w:tcW w:w="83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r>
      <w:tr>
        <w:trPr>
          <w:trHeight w:val="230"/>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6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62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8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Rosamond Central Drop Down — </w:t>
      </w:r>
      <w:r>
        <w:rPr>
          <w:rFonts w:ascii="Times New Roman" w:cs="Times New Roman" w:eastAsia="Times New Roman" w:hAnsi="Times New Roman"/>
          <w:sz w:val="18"/>
          <w:szCs w:val="18"/>
          <w:color w:val="auto"/>
        </w:rPr>
        <w:t>On December 21, 2020, Rosamond Solar Investment LLC, a subsidiary of the Company, acquired 100%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Class A membership interests of Rosie TargetCo LLC from Renew Development HoldCo LLC, a subsidiary of CEG, for $23 million in cash consideration and an additional $1 million adjustment concurrent with the tax equity investor's final funding which was paid in January 2021. Rosie Target Co LLC is the primary beneficiary and consolidates its interest in a tax equity fund that owns the 192 MW Rosamond Central solar project, located in Kern County, California as further described in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The Rosamond Central operations are included in the Company's Renewables segment. The acquisition was determined to be an asset acquisition and not a business combination, and therefore, the Company consolidated the financial information for Rosamond Central on a prospective basis. The membership interests acquired by the Company relate to interests under common control by GIP and were recorded at historical cost. The difference between the cash paid of $24 million and the historical value of the Company's acquired interests of $28 million was recorded as an adjustment to noncontrolling interest.</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December 21, 2020:</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Rosamond Central</w:t>
            </w:r>
          </w:p>
        </w:tc>
      </w:tr>
      <w:tr>
        <w:trPr>
          <w:trHeight w:val="22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50"/>
        </w:trPr>
        <w:tc>
          <w:tcPr>
            <w:tcW w:w="8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4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8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Mesquite Star Drop Down — </w:t>
      </w:r>
      <w:r>
        <w:rPr>
          <w:rFonts w:ascii="Times New Roman" w:cs="Times New Roman" w:eastAsia="Times New Roman" w:hAnsi="Times New Roman"/>
          <w:sz w:val="18"/>
          <w:szCs w:val="18"/>
          <w:color w:val="auto"/>
        </w:rPr>
        <w:t>On September 1, 2020, the Company, through its indirect subsidiary Lighthouse Renewable Class A LLC, acquired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membership interests in Lighthouse Renewable Holdco LLC (formerly Mesquite Star Pledgor LLC) from Clearway Renew LLC, a subsidiary of CEG, for $74 million in cash consideration inclusive of a purchase price adjustment received in the fourth quarter of 2020 concurrent with the partnership amendment referenced below. Lighthouse Renewable Holdco LLC indirectly owns 100% of the Class B membership interests in Mesquite Star Tax Equity Holdco LLC, a tax equity partnership that it consolidates as the primary beneficiary, and owns the Mesquite Star wind project, a 419 MW utility scale wind project located in Fisher County, Texas. A majority of the project’s output is backed by contracts with investment grade counterparties with a 12 year weighted average contract life. The Mesquite Star operations are reflected in the Company's Renewables segment and the acquisition was funded with cash on hand. The Company initially recorded its interest in Lighthouse Renewable Class A LLC as an equity method investment. The membership interests acquired by the Company relate to interests under common control by GIP and were recorded at historical cost. The difference between the $74 million cash paid and the historical value of the Company's acquired interests of $83 million was recorded as an adjustment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8" w:name="page99"/>
    <w:bookmarkEnd w:id="98"/>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December 21, 2020, Clearway Renew LLC sold the Class B membership interest in Lighthouse Renewable Holdco LLC to a third party investor as further described in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The investor and the Company amended the terms of the related partnership and as a result, the Company now consolidates its interest in the Mesquite Star wind project, through its consolidation of Lighthouse Renewable Holdco LLC. The membership interests acquired by the Company relate to interests under common control by GIP and were recorded at historical cost. The difference between the carrying value of the Company's equity method investment of $58 million and the historical value of the net assets consolidated for Mesquite Star of $63 million was recorded as an adjustment to noncontrolling interest.</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balances that were consolidated effective on December 21,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Mesquite Star</w:t>
            </w:r>
          </w:p>
        </w:tc>
      </w:tr>
      <w:tr>
        <w:trPr>
          <w:trHeight w:val="22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4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50"/>
        </w:trPr>
        <w:tc>
          <w:tcPr>
            <w:tcW w:w="78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6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 and redeemable noncontrolling interests</w:t>
            </w:r>
          </w:p>
        </w:tc>
        <w:tc>
          <w:tcPr>
            <w:tcW w:w="6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48"/>
        </w:trPr>
        <w:tc>
          <w:tcPr>
            <w:tcW w:w="7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 Residual Interest and SREC Contract Drop Down — </w:t>
      </w:r>
      <w:r>
        <w:rPr>
          <w:rFonts w:ascii="Times New Roman" w:cs="Times New Roman" w:eastAsia="Times New Roman" w:hAnsi="Times New Roman"/>
          <w:sz w:val="18"/>
          <w:szCs w:val="18"/>
          <w:color w:val="auto"/>
        </w:rPr>
        <w:t>On November 2, 2020, the Company acquired the Class B membership interests in DGPV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Holdco 1, DGPV Holdco 2 and DGPV Holdco 3, or DGPV Holdco Entities, from Renew DG Holdings LLC, a subsidiary of CEG, for approximately $20 million in cash consideration and an SREC contract for approximately $24 million in cash consideration. The Company previously held the Class A membership interests in the DGPV Holdco Entities and accounted for its interests in DGPV Holdco 1 and DGPV Holdco 2 as equity method investments, while DGPV Holdco 3 was consolidated by the Company effective May 29, 2020 as further described in Note 5, </w:t>
      </w:r>
      <w:r>
        <w:rPr>
          <w:rFonts w:ascii="Times New Roman" w:cs="Times New Roman" w:eastAsia="Times New Roman" w:hAnsi="Times New Roman"/>
          <w:sz w:val="18"/>
          <w:szCs w:val="18"/>
          <w:i w:val="1"/>
          <w:iCs w:val="1"/>
          <w:color w:val="auto"/>
        </w:rPr>
        <w:t>Investments Accounted for by the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and Variable Interest Entities</w:t>
      </w:r>
      <w:r>
        <w:rPr>
          <w:rFonts w:ascii="Times New Roman" w:cs="Times New Roman" w:eastAsia="Times New Roman" w:hAnsi="Times New Roman"/>
          <w:sz w:val="18"/>
          <w:szCs w:val="18"/>
          <w:color w:val="auto"/>
        </w:rPr>
        <w:t>. Subsequent to the acquisition of the remaining interests in the DGPV Holdco Entities, the Company transferred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interests to DG-CS Master Borrower LLC, and issued debt that was utilized to repay existing project-level debt outstanding and unwind interest rate swaps for certain of the tax equity arrangements related to the underlying project funds, as further described in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acquired SREC contract is a contract to receive incremental cash flows related to renewable energy credits from certain underlying solar projects. The membership interests acquired by the Company relate to interests under common control by GIP and were recorded at historical cost, which reflects GIP's basis recorded at fair value. The difference between the cash paid for the residual interest of the DGPV Holdco Entities and the historical value of the net assets consolidated less the carrying value of the equity method investments was recorded as an adjustment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9" w:name="page100"/>
    <w:bookmarkEnd w:id="99"/>
    <w:p>
      <w:pPr>
        <w:ind w:left="420"/>
        <w:spacing w:after="0"/>
        <w:rPr>
          <w:sz w:val="20"/>
          <w:szCs w:val="20"/>
          <w:color w:val="auto"/>
        </w:rPr>
      </w:pPr>
      <w:r>
        <w:rPr>
          <w:rFonts w:ascii="Times New Roman" w:cs="Times New Roman" w:eastAsia="Times New Roman" w:hAnsi="Times New Roman"/>
          <w:sz w:val="18"/>
          <w:szCs w:val="18"/>
          <w:color w:val="auto"/>
        </w:rPr>
        <w:t>The following table shows the balances that were consolidated: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9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November 2, 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May 29, 2020</w:t>
            </w:r>
          </w:p>
        </w:tc>
      </w:tr>
      <w:tr>
        <w:trPr>
          <w:trHeight w:val="20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DGPV Holdco 1 and 2 </w:t>
            </w:r>
            <w:r>
              <w:rPr>
                <w:rFonts w:ascii="Times New Roman" w:cs="Times New Roman" w:eastAsia="Times New Roman" w:hAnsi="Times New Roman"/>
                <w:sz w:val="18"/>
                <w:szCs w:val="18"/>
                <w:b w:val="1"/>
                <w:bCs w:val="1"/>
                <w:color w:val="auto"/>
                <w:vertAlign w:val="superscript"/>
              </w:rPr>
              <w:t>(a)</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493"/>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DGPV Holdco 3 </w:t>
            </w:r>
            <w:r>
              <w:rPr>
                <w:rFonts w:ascii="Times New Roman" w:cs="Times New Roman" w:eastAsia="Times New Roman" w:hAnsi="Times New Roman"/>
                <w:sz w:val="18"/>
                <w:szCs w:val="18"/>
                <w:b w:val="1"/>
                <w:bCs w:val="1"/>
                <w:color w:val="auto"/>
                <w:vertAlign w:val="superscript"/>
              </w:rPr>
              <w:t>(b)</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940" w:type="dxa"/>
            <w:vAlign w:val="bottom"/>
            <w:shd w:val="clear" w:color="auto" w:fill="CCEEFF"/>
          </w:tcPr>
          <w:p>
            <w:pPr>
              <w:jc w:val="right"/>
              <w:ind w:right="1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50"/>
        </w:trPr>
        <w:tc>
          <w:tcPr>
            <w:tcW w:w="6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 and redeemable noncontrolling interests</w:t>
            </w:r>
          </w:p>
        </w:tc>
        <w:tc>
          <w:tcPr>
            <w:tcW w:w="1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6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1940" w:type="dxa"/>
            <w:vAlign w:val="bottom"/>
            <w:tcBorders>
              <w:bottom w:val="single" w:sz="8" w:color="auto"/>
            </w:tcBorders>
            <w:shd w:val="clear" w:color="auto" w:fill="CCEEFF"/>
          </w:tcPr>
          <w:p>
            <w:pPr>
              <w:jc w:val="right"/>
              <w:ind w:right="1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DGPV 1, LLC, DGPV 2, LLC, CA Fund, LLC, DGPV 4 Borrower LLC and Puma Class B LLC</w:t>
      </w:r>
    </w:p>
    <w:p>
      <w:pPr>
        <w:spacing w:after="0" w:line="43" w:lineRule="exact"/>
        <w:rPr>
          <w:rFonts w:ascii="Times New Roman" w:cs="Times New Roman" w:eastAsia="Times New Roman" w:hAnsi="Times New Roman"/>
          <w:sz w:val="23"/>
          <w:szCs w:val="23"/>
          <w:color w:val="auto"/>
          <w:vertAlign w:val="superscript"/>
        </w:rPr>
      </w:pPr>
    </w:p>
    <w:p>
      <w:pPr>
        <w:ind w:left="180" w:hanging="172"/>
        <w:spacing w:after="0" w:line="189" w:lineRule="auto"/>
        <w:tabs>
          <w:tab w:leader="none" w:pos="18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Includes Renew Solar CS4 Fund LLC and Chestnut Fund LLC</w:t>
      </w:r>
    </w:p>
    <w:p>
      <w:pPr>
        <w:spacing w:after="0" w:line="14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property, plant and equipment determined at GIP's acquisition date was determined primarily based on an income method using discounted cash flows and validated using a cost approach based on the replacement cost of the assets less economic depreciation. This methodology was utilized as the forecasted cash flows incorporate specific attributes of each asset including age, useful life, equipment condition and technology. The fair value of intangible assets was determined utilizing a variation of the income approach determined by discounting incremental cash flows associated with the contracts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2019 Acquisitions</w:t>
      </w:r>
    </w:p>
    <w:p>
      <w:pPr>
        <w:spacing w:after="0" w:line="17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Duquesne University District Energy System Acquisition </w:t>
      </w:r>
      <w:r>
        <w:rPr>
          <w:rFonts w:ascii="Times New Roman" w:cs="Times New Roman" w:eastAsia="Times New Roman" w:hAnsi="Times New Roman"/>
          <w:sz w:val="18"/>
          <w:szCs w:val="18"/>
          <w:color w:val="auto"/>
        </w:rPr>
        <w:t>— On May 1, 2019, the Company, through its indirect subsidiary ECP Uptown Campus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acquired the Duquesne University district energy system, totaling 87 combined MWt, located in Pittsburgh, PA. As part of the acquisition, Duquesne University entered into a 40-year Energy Services Agreement through which ECP Uptown Campus LLC will fulfill the university's electricity, chilled water and steam requirements in exchange for monthly capacity payments. The Duquesne University District Energy System operations are reflected in the Company's Thermal segment. The total investment for the project was approximately $107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0" w:name="page101"/>
    <w:bookmarkEnd w:id="100"/>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Carlsbad Drop Down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December 6, 2019, the Company acquired 100% of GIP's membership interests in CBAD Holdings,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indirectly owns Carlsbad Energy Center LLC, a 527 MW natural gas fired power project located in Carlsbad, California, or the Carlsbad Drop Down Asset. The project has a 20-year power purchase and tolling agreement with San Diego Gas and Electric Company, which expires in 2038. The purchase price for the Carlsbad Drop Down was $184 million in cash, plus assumption of $803 million in project level financing including non-recourse senior notes, as further described in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The acquisition was funded with proceeds from the Clearway Energy, Inc. equity issuance, as described in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as well as borrowings from the Company's revolving credit facility. The Carlsbad acquisition is the result of the Company having elected its option to purchase Carlsbad pursuant to the ROFO agreement, as amended, by and among the Company, CEG and GIP. The Carlsbad operations are reflected in the Company's Conventional segment. The assets and liabilities transferred to the Company relate to interests under common control by GIP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the historical value of the entities' equity was recorded as a distribution to GIP and decreased the balance of its noncontrolling interest. The acquisition was determined to be an asset acquisition and not a business combination, therefore the Company consolidated the financial information for Carlsbad on a prospective basis.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December 6, 2019:</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8"/>
                <w:szCs w:val="18"/>
                <w:color w:val="auto"/>
              </w:rPr>
            </w:pPr>
          </w:p>
        </w:tc>
        <w:tc>
          <w:tcPr>
            <w:tcW w:w="24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CBAD Holdings, LLC</w:t>
            </w:r>
          </w:p>
        </w:tc>
      </w:tr>
      <w:tr>
        <w:trPr>
          <w:trHeight w:val="233"/>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8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50"/>
        </w:trPr>
        <w:tc>
          <w:tcPr>
            <w:tcW w:w="8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30"/>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10"/>
                <w:szCs w:val="10"/>
                <w:color w:val="auto"/>
              </w:rPr>
              <w:t>(a)</w:t>
            </w:r>
          </w:p>
        </w:tc>
        <w:tc>
          <w:tcPr>
            <w:tcW w:w="4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29"/>
        </w:trPr>
        <w:tc>
          <w:tcPr>
            <w:tcW w:w="8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and non-current liabilities</w:t>
            </w:r>
            <w:r>
              <w:rPr>
                <w:rFonts w:ascii="Times New Roman" w:cs="Times New Roman" w:eastAsia="Times New Roman" w:hAnsi="Times New Roman"/>
                <w:sz w:val="10"/>
                <w:szCs w:val="10"/>
                <w:color w:val="auto"/>
              </w:rPr>
              <w:t>(b)</w:t>
            </w:r>
          </w:p>
        </w:tc>
        <w:tc>
          <w:tcPr>
            <w:tcW w:w="4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3"/>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
        </w:trPr>
        <w:tc>
          <w:tcPr>
            <w:tcW w:w="8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3798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59"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net debt issuance costs of $12 million.</w:t>
      </w:r>
    </w:p>
    <w:p>
      <w:pPr>
        <w:spacing w:after="0" w:line="16"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current liabilities and non-current liabilities include a contingent liability of $5 million assumed by the Company during the acquisition.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Acquisitions</w:t>
      </w:r>
    </w:p>
    <w:p>
      <w:pPr>
        <w:spacing w:after="0" w:line="21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UPMC Thermal Project Asset Acquisition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19, 2018, upon reaching substantial completion, the Company acquired from NRG the UPMC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Thermal Project for cash consideration of $84 million. In addition, the Company had a payable of $4 million to NRG as of December 31, 2018, $3 million of which was paid in January 2019 upon final completion of the project pursuant to the EPC agreement, and $1 million was paid in January 2020. The project added 73 MWt of thermal equivalent capacity and 7.5 MW of emergency backup electrical capacity to the Company's portfolio. The UPMC Thermal project operations are reflected in the Company's Thermal segment. The acquisition was funded with the proceeds from the sale of the Series E and Series F Notes. The assets transferred to the Company relate to interests under common control by NRG and were recorded at book value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purchase price and book value of the assets was recorded as a distribution to NRG and decreased the balance of its noncontrolling interest. The acquisition was determined to be an asset acquisition and not a business combination, therefore the Company consolidated the financial information for UPMC Thermal project on a prospective basis.</w:t>
      </w:r>
    </w:p>
    <w:p>
      <w:pPr>
        <w:spacing w:after="0" w:line="134"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CA Fuel Cell 1,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April 18, 2018, the Company acquired the Central CA Fuel Cell 1, LLC project in Tulare, California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FuelCell Energy Finance, Inc. for cash consideration of $11 million. The project added 2.8 MW of thermal capacity to the Company's portfolio, with a 20-year PPA contract with the City of Tulare. The operations of Central CA Fuel Cell are reflected in the Company's Thermal segment.</w:t>
      </w:r>
    </w:p>
    <w:p>
      <w:pPr>
        <w:spacing w:after="0" w:line="117"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Solar Drop Down Asset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30, 2018, the Company acquired 100% of NRG's interests in Buckthorn Renewables,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owns a 154 MW construction-stage utility-scale solar generation project located in Texas, or the Buckthorn Solar Drop Down Asset, for cash consideration of $42 million. The Company also assumed non-recourse debt of $183 million and non-controlling interest of $19 million attributable to the Class A member. The Company converted $132 million of non-recourse debt to a term loan and the remainder of the outstanding debt was paid down with the contribution from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1" w:name="page102"/>
    <w:bookmarkEnd w:id="10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 Related Issue</w:t>
      </w:r>
      <w:r>
        <w:rPr>
          <w:rFonts w:ascii="Times New Roman" w:cs="Times New Roman" w:eastAsia="Times New Roman" w:hAnsi="Times New Roman"/>
          <w:sz w:val="18"/>
          <w:szCs w:val="18"/>
          <w:color w:val="auto"/>
        </w:rPr>
        <w:t>s. The difference between the cash paid and historical value of the entities' equity was recorded as a distribution to NRG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the balance of its noncontrolling interest. Since the transaction constituted a transfer of net asset under common control, the guidance required retrospective combination of the entities for all periods presented as if the combination had been in effect since the inception of common control. The project sells power under a 25-year PPA to the City of Georgetown, Texas, which commenced in July 2018. The operations of the Buckthorn project are reflected in the Company's Renewables segment.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Dispositions</w:t>
      </w:r>
    </w:p>
    <w:p>
      <w:pPr>
        <w:spacing w:after="0" w:line="171" w:lineRule="exact"/>
        <w:rPr>
          <w:sz w:val="20"/>
          <w:szCs w:val="20"/>
          <w:color w:val="auto"/>
        </w:rPr>
      </w:pPr>
    </w:p>
    <w:p>
      <w:pPr>
        <w:ind w:right="4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RPV Holdco 1 LLC </w:t>
      </w:r>
      <w:r>
        <w:rPr>
          <w:rFonts w:ascii="Times New Roman" w:cs="Times New Roman" w:eastAsia="Times New Roman" w:hAnsi="Times New Roman"/>
          <w:sz w:val="18"/>
          <w:szCs w:val="18"/>
          <w:color w:val="auto"/>
        </w:rPr>
        <w:t>— On May 14, 2020, the Company sold its interests in RPV Holdco 1 LLC to a third party for net proceeds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$75 million. The Company previously accounted for its interest in RPV Holdco 1 LLC as an equity method investment. The sale of the investment resulted in a gain of approximately $49 million.</w:t>
      </w:r>
    </w:p>
    <w:p>
      <w:pPr>
        <w:spacing w:after="0" w:line="117"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Energy Center Dover LLC and Energy Center Smyrna LLC Assets </w:t>
      </w:r>
      <w:r>
        <w:rPr>
          <w:rFonts w:ascii="Times New Roman" w:cs="Times New Roman" w:eastAsia="Times New Roman" w:hAnsi="Times New Roman"/>
          <w:sz w:val="18"/>
          <w:szCs w:val="18"/>
          <w:color w:val="auto"/>
        </w:rPr>
        <w:t>— On March 3, 2020, the Company, through Clearway Thermal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sold 100% of its interests in Energy Center Dover LLC and Energy Center Smyrna LLC to DB Energy Assets, LLC for cash proceeds of approximately $15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Dispositions</w:t>
      </w:r>
    </w:p>
    <w:p>
      <w:pPr>
        <w:spacing w:after="0" w:line="171"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HSD Solar Holdings, LLC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October 8, 2019, the Company, through HSD Solar Holdings, LLC, or HSD, sold 100%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in certain distributed generation solar facilities totaling 6 MW to the offtaker under the PPA, for cash consideration of $20 million, as a result of the offtaker exercising its right to purchase the project pursuant to the PPA. In conjunction with the sale, the Company repaid in full the non-recourse lease financing associated with the HSD projects. The repaid amount was net of cash released at closing and totaled $23 million.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major classes of property, plant, and equipment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 Lives</w:t>
            </w:r>
          </w:p>
        </w:tc>
      </w:tr>
      <w:tr>
        <w:trPr>
          <w:trHeight w:val="188"/>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2 - 45 Years</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Construction in progress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94" w:lineRule="exact"/>
        <w:rPr>
          <w:sz w:val="20"/>
          <w:szCs w:val="20"/>
          <w:color w:val="auto"/>
        </w:rPr>
      </w:pPr>
    </w:p>
    <w:p>
      <w:pPr>
        <w:ind w:right="620" w:firstLine="8"/>
        <w:spacing w:after="0" w:line="238" w:lineRule="auto"/>
        <w:tabs>
          <w:tab w:leader="none" w:pos="157"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2020 and 2019, construction in progress includes $14 million and $10 million of capital expenditures that relate to prepaid long-term service agreements in the Conventional segment, respectively.</w:t>
      </w:r>
    </w:p>
    <w:p>
      <w:pPr>
        <w:spacing w:after="0" w:line="325" w:lineRule="exact"/>
        <w:rPr>
          <w:sz w:val="20"/>
          <w:szCs w:val="20"/>
          <w:color w:val="auto"/>
        </w:rPr>
      </w:pPr>
    </w:p>
    <w:p>
      <w:pPr>
        <w:jc w:val="both"/>
        <w:ind w:firstLine="335"/>
        <w:spacing w:after="0" w:line="270" w:lineRule="auto"/>
        <w:rPr>
          <w:sz w:val="20"/>
          <w:szCs w:val="20"/>
          <w:color w:val="auto"/>
        </w:rPr>
      </w:pPr>
      <w:r>
        <w:rPr>
          <w:rFonts w:ascii="Times New Roman" w:cs="Times New Roman" w:eastAsia="Times New Roman" w:hAnsi="Times New Roman"/>
          <w:sz w:val="18"/>
          <w:szCs w:val="18"/>
          <w:color w:val="auto"/>
        </w:rPr>
        <w:t xml:space="preserve">Depreciation expense related to property, plant and equipment during the years ended December 31, 2020, 2019 and 2018 was $420 million, $395 million and $330 million, respectively. The Company accelerated depreciation of </w:t>
      </w:r>
      <w:r>
        <w:rPr>
          <w:rFonts w:ascii="Times New Roman" w:cs="Times New Roman" w:eastAsia="Times New Roman" w:hAnsi="Times New Roman"/>
          <w:sz w:val="17"/>
          <w:szCs w:val="17"/>
          <w:color w:val="auto"/>
        </w:rPr>
        <w:t>the Pinnacle wind project in connection with the repowering project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2020, which resulted in additional depreciation expense in the amount of $9 million. The Company accelerated depreciation of the Wildorado Wind and Elbow Creek projects in connection with the repowering project in 2019, which resulted in additional depreciation expense in the amount of </w:t>
      </w:r>
      <w:r>
        <w:rPr>
          <w:rFonts w:ascii="Times New Roman" w:cs="Times New Roman" w:eastAsia="Times New Roman" w:hAnsi="Times New Roman"/>
          <w:sz w:val="16"/>
          <w:szCs w:val="16"/>
          <w:color w:val="auto"/>
        </w:rPr>
        <w:t>$54 million</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long-lived asset impairments during the year ended December 31, 2020 and December 31, 2019, as further described in Note 9, </w:t>
      </w:r>
      <w:r>
        <w:rPr>
          <w:rFonts w:ascii="Times New Roman" w:cs="Times New Roman" w:eastAsia="Times New Roman" w:hAnsi="Times New Roman"/>
          <w:sz w:val="18"/>
          <w:szCs w:val="18"/>
          <w:i w:val="1"/>
          <w:iCs w:val="1"/>
          <w:color w:val="auto"/>
        </w:rPr>
        <w:t>Asset Impairments.</w:t>
      </w:r>
    </w:p>
    <w:p>
      <w:pPr>
        <w:spacing w:after="0" w:line="347" w:lineRule="exact"/>
        <w:rPr>
          <w:sz w:val="20"/>
          <w:szCs w:val="20"/>
          <w:color w:val="auto"/>
        </w:rPr>
      </w:pPr>
    </w:p>
    <w:p>
      <w:pPr>
        <w:ind w:right="4360"/>
        <w:spacing w:after="0" w:line="440" w:lineRule="auto"/>
        <w:rPr>
          <w:sz w:val="20"/>
          <w:szCs w:val="20"/>
          <w:color w:val="auto"/>
        </w:rPr>
      </w:pPr>
      <w:r>
        <w:rPr>
          <w:rFonts w:ascii="Times New Roman" w:cs="Times New Roman" w:eastAsia="Times New Roman" w:hAnsi="Times New Roman"/>
          <w:sz w:val="18"/>
          <w:szCs w:val="18"/>
          <w:b w:val="1"/>
          <w:bCs w:val="1"/>
          <w:color w:val="auto"/>
        </w:rPr>
        <w:t>Note 5 — Investments Accounted for by the Equity Method and Variable Interest Entities Equity Method Investments</w:t>
      </w:r>
    </w:p>
    <w:p>
      <w:pPr>
        <w:spacing w:after="0" w:line="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as of December 31, 2020 is limited to its equity investment in the unconsolidated entities, as further summarized in the table below:</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4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Economic Interest</w:t>
            </w: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Investment Balance</w:t>
            </w:r>
          </w:p>
        </w:tc>
      </w:tr>
      <w:tr>
        <w:trPr>
          <w:trHeight w:val="188"/>
        </w:trPr>
        <w:tc>
          <w:tcPr>
            <w:tcW w:w="43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Utah Solar Portfolio </w:t>
            </w:r>
            <w:r>
              <w:rPr>
                <w:rFonts w:ascii="Times New Roman" w:cs="Times New Roman" w:eastAsia="Times New Roman" w:hAnsi="Times New Roman"/>
                <w:sz w:val="23"/>
                <w:szCs w:val="23"/>
                <w:color w:val="auto"/>
                <w:vertAlign w:val="superscript"/>
              </w:rPr>
              <w:t>(a)</w:t>
            </w:r>
          </w:p>
        </w:tc>
        <w:tc>
          <w:tcPr>
            <w:tcW w:w="4440" w:type="dxa"/>
            <w:vAlign w:val="bottom"/>
            <w:shd w:val="clear" w:color="auto" w:fill="CCEEFF"/>
          </w:tcPr>
          <w:p>
            <w:pPr>
              <w:jc w:val="center"/>
              <w:ind w:left="1712"/>
              <w:spacing w:after="0"/>
              <w:rPr>
                <w:sz w:val="20"/>
                <w:szCs w:val="20"/>
                <w:color w:val="auto"/>
              </w:rPr>
            </w:pPr>
            <w:r>
              <w:rPr>
                <w:rFonts w:ascii="Times New Roman" w:cs="Times New Roman" w:eastAsia="Times New Roman" w:hAnsi="Times New Roman"/>
                <w:sz w:val="18"/>
                <w:szCs w:val="18"/>
                <w:color w:val="auto"/>
                <w:w w:val="96"/>
              </w:rPr>
              <w:t>50%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Desert Sunlight</w:t>
            </w:r>
          </w:p>
        </w:tc>
        <w:tc>
          <w:tcPr>
            <w:tcW w:w="4440" w:type="dxa"/>
            <w:vAlign w:val="bottom"/>
          </w:tcPr>
          <w:p>
            <w:pPr>
              <w:jc w:val="center"/>
              <w:ind w:left="1712"/>
              <w:spacing w:after="0"/>
              <w:rPr>
                <w:sz w:val="20"/>
                <w:szCs w:val="20"/>
                <w:color w:val="auto"/>
              </w:rPr>
            </w:pPr>
            <w:r>
              <w:rPr>
                <w:rFonts w:ascii="Times New Roman" w:cs="Times New Roman" w:eastAsia="Times New Roman" w:hAnsi="Times New Roman"/>
                <w:sz w:val="18"/>
                <w:szCs w:val="18"/>
                <w:color w:val="auto"/>
                <w:w w:val="96"/>
              </w:rPr>
              <w:t>25%</w:t>
            </w: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Agua Caliente Solar</w:t>
            </w:r>
            <w:r>
              <w:rPr>
                <w:rFonts w:ascii="Times New Roman" w:cs="Times New Roman" w:eastAsia="Times New Roman" w:hAnsi="Times New Roman"/>
                <w:sz w:val="23"/>
                <w:szCs w:val="23"/>
                <w:color w:val="auto"/>
                <w:vertAlign w:val="superscript"/>
              </w:rPr>
              <w:t>(b)</w:t>
            </w:r>
          </w:p>
        </w:tc>
        <w:tc>
          <w:tcPr>
            <w:tcW w:w="4440" w:type="dxa"/>
            <w:vAlign w:val="bottom"/>
            <w:shd w:val="clear" w:color="auto" w:fill="CCEEFF"/>
          </w:tcPr>
          <w:p>
            <w:pPr>
              <w:jc w:val="center"/>
              <w:ind w:left="1712"/>
              <w:spacing w:after="0"/>
              <w:rPr>
                <w:sz w:val="20"/>
                <w:szCs w:val="20"/>
                <w:color w:val="auto"/>
              </w:rPr>
            </w:pPr>
            <w:r>
              <w:rPr>
                <w:rFonts w:ascii="Times New Roman" w:cs="Times New Roman" w:eastAsia="Times New Roman" w:hAnsi="Times New Roman"/>
                <w:sz w:val="18"/>
                <w:szCs w:val="18"/>
                <w:color w:val="auto"/>
                <w:w w:val="96"/>
              </w:rPr>
              <w:t>16%</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4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GenConn</w:t>
            </w:r>
            <w:r>
              <w:rPr>
                <w:rFonts w:ascii="Times New Roman" w:cs="Times New Roman" w:eastAsia="Times New Roman" w:hAnsi="Times New Roman"/>
                <w:sz w:val="23"/>
                <w:szCs w:val="23"/>
                <w:color w:val="auto"/>
                <w:vertAlign w:val="superscript"/>
              </w:rPr>
              <w:t>(c)</w:t>
            </w:r>
          </w:p>
        </w:tc>
        <w:tc>
          <w:tcPr>
            <w:tcW w:w="4440" w:type="dxa"/>
            <w:vAlign w:val="bottom"/>
          </w:tcPr>
          <w:p>
            <w:pPr>
              <w:jc w:val="center"/>
              <w:ind w:left="1712"/>
              <w:spacing w:after="0"/>
              <w:rPr>
                <w:sz w:val="20"/>
                <w:szCs w:val="20"/>
                <w:color w:val="auto"/>
              </w:rPr>
            </w:pPr>
            <w:r>
              <w:rPr>
                <w:rFonts w:ascii="Times New Roman" w:cs="Times New Roman" w:eastAsia="Times New Roman" w:hAnsi="Times New Roman"/>
                <w:sz w:val="18"/>
                <w:szCs w:val="18"/>
                <w:color w:val="auto"/>
                <w:w w:val="96"/>
              </w:rPr>
              <w:t>50%</w:t>
            </w: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San Juan Mesa</w:t>
            </w:r>
          </w:p>
        </w:tc>
        <w:tc>
          <w:tcPr>
            <w:tcW w:w="4440" w:type="dxa"/>
            <w:vAlign w:val="bottom"/>
            <w:shd w:val="clear" w:color="auto" w:fill="CCEEFF"/>
          </w:tcPr>
          <w:p>
            <w:pPr>
              <w:jc w:val="center"/>
              <w:ind w:left="1712"/>
              <w:spacing w:after="0"/>
              <w:rPr>
                <w:sz w:val="20"/>
                <w:szCs w:val="20"/>
                <w:color w:val="auto"/>
              </w:rPr>
            </w:pPr>
            <w:r>
              <w:rPr>
                <w:rFonts w:ascii="Times New Roman" w:cs="Times New Roman" w:eastAsia="Times New Roman" w:hAnsi="Times New Roman"/>
                <w:sz w:val="18"/>
                <w:szCs w:val="18"/>
                <w:color w:val="auto"/>
                <w:w w:val="96"/>
              </w:rPr>
              <w:t>75%</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Elkhorn Ridge</w:t>
            </w:r>
          </w:p>
        </w:tc>
        <w:tc>
          <w:tcPr>
            <w:tcW w:w="4440" w:type="dxa"/>
            <w:vAlign w:val="bottom"/>
          </w:tcPr>
          <w:p>
            <w:pPr>
              <w:jc w:val="center"/>
              <w:ind w:left="1712"/>
              <w:spacing w:after="0"/>
              <w:rPr>
                <w:sz w:val="20"/>
                <w:szCs w:val="20"/>
                <w:color w:val="auto"/>
              </w:rPr>
            </w:pPr>
            <w:r>
              <w:rPr>
                <w:rFonts w:ascii="Times New Roman" w:cs="Times New Roman" w:eastAsia="Times New Roman" w:hAnsi="Times New Roman"/>
                <w:sz w:val="18"/>
                <w:szCs w:val="18"/>
                <w:color w:val="auto"/>
              </w:rPr>
              <w:t>66.7%</w:t>
            </w: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Avenal</w:t>
            </w:r>
          </w:p>
        </w:tc>
        <w:tc>
          <w:tcPr>
            <w:tcW w:w="4440" w:type="dxa"/>
            <w:vAlign w:val="bottom"/>
            <w:shd w:val="clear" w:color="auto" w:fill="CCEEFF"/>
          </w:tcPr>
          <w:p>
            <w:pPr>
              <w:jc w:val="center"/>
              <w:ind w:left="1712"/>
              <w:spacing w:after="0"/>
              <w:rPr>
                <w:sz w:val="20"/>
                <w:szCs w:val="20"/>
                <w:color w:val="auto"/>
              </w:rPr>
            </w:pPr>
            <w:r>
              <w:rPr>
                <w:rFonts w:ascii="Times New Roman" w:cs="Times New Roman" w:eastAsia="Times New Roman" w:hAnsi="Times New Roman"/>
                <w:sz w:val="18"/>
                <w:szCs w:val="18"/>
                <w:color w:val="auto"/>
                <w:w w:val="96"/>
              </w:rPr>
              <w:t>50%</w:t>
            </w:r>
          </w:p>
        </w:tc>
        <w:tc>
          <w:tcPr>
            <w:tcW w:w="3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3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0"/>
        </w:trPr>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right="140" w:firstLine="8"/>
        <w:spacing w:after="0" w:line="245" w:lineRule="auto"/>
        <w:tabs>
          <w:tab w:leader="none" w:pos="144"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Economic interest based on cash to be distributed. Four Brothers Solar, LLC, Granite Mountain Holdings, LLC and Iron Springs Holdings, LLC are tax equity structures and VIEs. The related allocations are described below.</w:t>
      </w:r>
    </w:p>
    <w:p>
      <w:pPr>
        <w:spacing w:after="0" w:line="2" w:lineRule="exact"/>
        <w:rPr>
          <w:rFonts w:ascii="Times New Roman" w:cs="Times New Roman" w:eastAsia="Times New Roman" w:hAnsi="Times New Roman"/>
          <w:sz w:val="9"/>
          <w:szCs w:val="9"/>
          <w:color w:val="auto"/>
        </w:rPr>
      </w:pPr>
    </w:p>
    <w:p>
      <w:pPr>
        <w:ind w:right="20" w:firstLine="8"/>
        <w:spacing w:after="0" w:line="246" w:lineRule="auto"/>
        <w:tabs>
          <w:tab w:leader="none" w:pos="149" w:val="left"/>
        </w:tabs>
        <w:numPr>
          <w:ilvl w:val="0"/>
          <w:numId w:val="4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February 3, 2021, the Company acquired an additional 35% equity interest in Agua Caliente Solar and following the close of the transaction owns 51% equity interests in Agua Caliente and will remove its equity method investment and consolidate its interest from the date of the acquisition.</w:t>
      </w:r>
    </w:p>
    <w:p>
      <w:pPr>
        <w:ind w:left="160" w:hanging="152"/>
        <w:spacing w:after="0"/>
        <w:tabs>
          <w:tab w:leader="none" w:pos="160"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GenConn is a variable interest entity.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3" w:name="page104"/>
    <w:bookmarkEnd w:id="103"/>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Company had $10 million and $138 million respectively, of undistributed earnings from its equity method investments.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In addition, the difference between the basis of the acquired assets and liabilities and the purchase price for the Utah Solar Portfolio (Four Brothers Solar, LLC, Granite Mountain Holdings, LLC and Iron Springs Holdings, LLC) of $106 million is attributable to the fair value of the property, plant and equipment. The Company is amortizing the related basis differences to equity in earnings over the related useful life of the underlying assets acquired.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pro-rata share of non-recourse debt held by unconsolidated affiliates was $481 million as of December 31, 2020.</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summarized financial information for the Company's equity method investments: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11"/>
        </w:trPr>
        <w:tc>
          <w:tcPr>
            <w:tcW w:w="63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7"/>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Statement Data:</w:t>
            </w: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GenConn</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60</w:t>
            </w:r>
          </w:p>
        </w:tc>
        <w:tc>
          <w:tcPr>
            <w:tcW w:w="6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27</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17</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Desert Sunlight</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60" w:type="dxa"/>
            <w:vAlign w:val="bottom"/>
          </w:tcPr>
          <w:p>
            <w:pPr>
              <w:spacing w:after="0"/>
              <w:rPr>
                <w:sz w:val="19"/>
                <w:szCs w:val="19"/>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205</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123</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58</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6"/>
        </w:trPr>
        <w:tc>
          <w:tcPr>
            <w:tcW w:w="6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1"/>
                <w:szCs w:val="21"/>
                <w:b w:val="1"/>
                <w:bCs w:val="1"/>
                <w:color w:val="auto"/>
                <w:vertAlign w:val="superscript"/>
              </w:rPr>
              <w:t>(a)</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60" w:type="dxa"/>
            <w:vAlign w:val="bottom"/>
          </w:tcPr>
          <w:p>
            <w:pPr>
              <w:spacing w:after="0"/>
              <w:rPr>
                <w:sz w:val="19"/>
                <w:szCs w:val="19"/>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318</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110</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8"/>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50</w:t>
            </w:r>
          </w:p>
        </w:tc>
        <w:tc>
          <w:tcPr>
            <w:tcW w:w="6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95"/>
        </w:trPr>
        <w:tc>
          <w:tcPr>
            <w:tcW w:w="6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8"/>
        </w:trPr>
        <w:tc>
          <w:tcPr>
            <w:tcW w:w="6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2"/>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17"/>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GenConn</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40</w:t>
            </w:r>
          </w:p>
        </w:tc>
        <w:tc>
          <w:tcPr>
            <w:tcW w:w="6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344</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17</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185</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Desert Sunlight</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132</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1,244</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71</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921</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16"/>
        </w:trPr>
        <w:tc>
          <w:tcPr>
            <w:tcW w:w="632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(a)</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177</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2,201</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w:t>
            </w: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114</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700</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9571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44" w:lineRule="exact"/>
        <w:rPr>
          <w:sz w:val="20"/>
          <w:szCs w:val="20"/>
          <w:color w:val="auto"/>
        </w:rPr>
      </w:pPr>
    </w:p>
    <w:p>
      <w:pPr>
        <w:ind w:right="60" w:firstLine="8"/>
        <w:spacing w:after="0" w:line="286" w:lineRule="auto"/>
        <w:tabs>
          <w:tab w:leader="none" w:pos="143" w:val="left"/>
        </w:tabs>
        <w:numPr>
          <w:ilvl w:val="0"/>
          <w:numId w:val="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Agua Caliente, Elkhorn Ridge, Utah Solar Portfolio, San Juan Mesa, DGPV Holdco 1, DGPV Holdco 2 and DGPV Holdco 3. DGPV Holdco 1, DGPV Holdco 2 and DGPV Holdco 3. were consolidated by the Company during 2020 and are therefore excluded from the summarized balance sheet data as of December 31, 2020.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Variable Interest Entities, or VIEs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Consolidated</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and solar facilities and are further described below.</w:t>
      </w:r>
    </w:p>
    <w:p>
      <w:pPr>
        <w:spacing w:after="0" w:line="11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3 Consolidation — </w:t>
      </w:r>
      <w:r>
        <w:rPr>
          <w:rFonts w:ascii="Times New Roman" w:cs="Times New Roman" w:eastAsia="Times New Roman" w:hAnsi="Times New Roman"/>
          <w:sz w:val="18"/>
          <w:szCs w:val="18"/>
          <w:color w:val="auto"/>
        </w:rPr>
        <w:t>DGPV Holdco 3 LLC or DGPV Holdco 3 owned approximately 113 MW of Distributed Solar capacity,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cash to be distributed, with a weighted average remaining contract life of approximately 21 years. On May 29, 2020, the final construction projects for DGPV Holdco 3 were placed in service which resulted in a reconsideration event for consolidation of the entity. Upon the reconsideration event, the Company determined that it was the primary beneficiary of DGPV Holdco 3, as it is entitled to 99% of allocations of income and cash distributions from the entity. As such, effective on May 29, 2020, the Company consolidates DGPV Holdco 3, and records the interest owned by CEG as noncontrolling interest. DGPV Holdco 3 owns an interest in two tax equity funds with tax equity investors, both of which are consolidated by DGPV Holdco 3, and the interests owned by the tax equity investors are shown as noncontrolling interests. The Company removed its equity method investment in DGPV Holdco 3 of $155 million as of May 29, 2020 and recorded the difference between the net assets consolidated and the investment balance as a reduction to noncontrolling interests. The Company acquired CEG's interest in DGPV Holdco 3 on November 2, 2020 as further described in Note 3, </w:t>
      </w:r>
      <w:r>
        <w:rPr>
          <w:rFonts w:ascii="Times New Roman" w:cs="Times New Roman" w:eastAsia="Times New Roman" w:hAnsi="Times New Roman"/>
          <w:sz w:val="18"/>
          <w:szCs w:val="18"/>
          <w:i w:val="1"/>
          <w:iCs w:val="1"/>
          <w:color w:val="auto"/>
        </w:rPr>
        <w:t>Acquisitions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and below</w:t>
      </w:r>
      <w:r>
        <w:rPr>
          <w:rFonts w:ascii="Times New Roman" w:cs="Times New Roman" w:eastAsia="Times New Roman" w:hAnsi="Times New Roman"/>
          <w:sz w:val="18"/>
          <w:szCs w:val="18"/>
          <w:i w:val="1"/>
          <w:iCs w:val="1"/>
          <w:color w:val="auto"/>
        </w:rPr>
        <w: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Prior to the reconsideration event described above, the Company invested $10 million of cash in DGPV Holdco 3 during the first half of 2020.</w:t>
      </w:r>
    </w:p>
    <w:p>
      <w:pPr>
        <w:spacing w:after="0" w:line="14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Tax Equity Funds —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on November 2, 2020, the Company acquired the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membership interests in DGPV Holdco 1, DGPV Holdco 2 and DGPV Holdco 3, or the DGPV Holdco Entities, from Renew DG Holdings LLC, a subsidiary of CEG. The Company previously held the Class A membership interests in the DGPV Holdco Entities and accounted for its interests in DGPV Holdco 1 and DGPV Holdco 2 as equity method investments, while DGPV Holdco 3 was consolidated by the Company effective May 29, 2020 as further described above. Concurrent with the acquisition, the Company transferred its interests to DG-CS Master Borrower LLC. Effective with the acquisition of the Class B membership interests of the DGPV Holdco Entities, the Company consolidates all of the DGPV Holdco Entities, including DG-CS Master Borrower LLC, and its subsidiaries, which consist of seven projects including six tax equity funds that collectively own approximately 172 distributed solar projects with a combined 286 MW of capacity. Each of the six tax equity funds is a VIE, where the Company is the primary beneficiary and consolidates the fund, with the tax equity investor's interest shown as noncontrolling interest or redeemable noncontrolling interest. The Company utilizes the HLBV method to determine its share of the income or losses in the investees. The Company removed its equity method investments in DGPV Holdco 1 and DGPV Holdco 2 of $144 million as of November 2, 2020 and recorded the difference between the net assets consolidated and the investment balance as a reduction to noncontrolling interests.</w:t>
      </w:r>
    </w:p>
    <w:p>
      <w:pPr>
        <w:spacing w:after="0" w:line="13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Langford Tax Equity Partnership, LLC </w:t>
      </w:r>
      <w:r>
        <w:rPr>
          <w:rFonts w:ascii="Times New Roman" w:cs="Times New Roman" w:eastAsia="Times New Roman" w:hAnsi="Times New Roman"/>
          <w:sz w:val="18"/>
          <w:szCs w:val="18"/>
          <w:color w:val="auto"/>
        </w:rPr>
        <w:t>— 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on November 20, 2020, the Company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 of the Class B membership interest in Langford Holding LLC from CEG for $55 million as well as 100% of the Class A membership interests in Langford Holding LLC from a third party investor for $9 million. Langford Holding LLC owns 100% of the membership interests in Langford Class B Holdco LLC, which owns 100% of the Class B interest in Langford Tax Equity Partnership LLC, which indirectly owns 100% of the interest in a 160 MW wind project. Langford Tax Equity Partnership LLC is a variable interest entity. The Company is the primary beneficiary, through its position as managing member, and indirectly consolidates Langford Tax Equity Partnership LLC, through Langford Class B Holdco LLC. The Class A member is a tax equity investor whose interest is reflected as noncontrolling interest on the Company's consolidated balance sheet. The project achieved repowering COD in November 2020. The Company utilizes the HLBV method for income or loss allocation to the tax equity investor's noncontrolling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Lighthouse Partnership Arrangements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Lighthouse Renewable Holdco LLC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i w:val="1"/>
          <w:iCs w:val="1"/>
          <w:color w:val="auto"/>
        </w:rPr>
        <w:t xml:space="preserve"> Acquisitions and Dispositions</w:t>
      </w:r>
      <w:r>
        <w:rPr>
          <w:rFonts w:ascii="Times New Roman" w:cs="Times New Roman" w:eastAsia="Times New Roman" w:hAnsi="Times New Roman"/>
          <w:sz w:val="18"/>
          <w:szCs w:val="18"/>
          <w:color w:val="auto"/>
        </w:rPr>
        <w:t>, on September 1, 2020, the Company, through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subsidiary Lighthouse Renewable Class A LLC, acquired the Class A membership interests in Lighthouse Renewable Holdco LLC (formerly Mesquite Star Pledgor LLC) from Clearway Renew LLC, a subsidiary of CEG. Lighthouse Renewable Holdco LLC is a VIE and at the time of the acquisition the Company was not the primary beneficiary. Accordingly, the Company recorded the acquired interest as an equity method investment.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2020, CEG sold its Class B membership interest in Lighthouse Renewable Holdco LLC to a third-party investor which resulted in a reconsideration event for consolidation of the entity. Upon the reconsideration event, the Company determined that it was the primary beneficiary of Lighthouse Renewable Holdco LLC. As such, effective 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05" w:name="page106"/>
    <w:bookmarkEnd w:id="105"/>
    <w:p>
      <w:pPr>
        <w:jc w:val="both"/>
        <w:spacing w:after="0" w:line="258" w:lineRule="auto"/>
        <w:rPr>
          <w:sz w:val="20"/>
          <w:szCs w:val="20"/>
          <w:color w:val="auto"/>
        </w:rPr>
      </w:pPr>
      <w:r>
        <w:rPr>
          <w:rFonts w:ascii="Times New Roman" w:cs="Times New Roman" w:eastAsia="Times New Roman" w:hAnsi="Times New Roman"/>
          <w:sz w:val="18"/>
          <w:szCs w:val="18"/>
          <w:color w:val="auto"/>
        </w:rPr>
        <w:t>December 21, 2020, the Company consolidates Lighthouse Renewable Holdco LLC, and shows the Class B interests owned by the third party investor as noncontrolling interests on the Company’s consolidated balance sheet. Through its Class A membership interests, the Company receives 50.01% of income and distributable cash. In addition, Lighthouse Renewable Holdco LLC holds the Class B interests in a tax equity fund, Mesquite Star Tax Equity Holdco LLC, that holds the Mesquite Star project. The tax equity investor's interest is shown as noncontrolling interest. The HLBV method is utilized to allocate the income or losses of Mesquite Star Tax Equity Holdco LLC.</w:t>
      </w:r>
    </w:p>
    <w:p>
      <w:pPr>
        <w:spacing w:after="0" w:line="1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Rosie TargetCo LLC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i w:val="1"/>
          <w:iCs w:val="1"/>
          <w:color w:val="auto"/>
        </w:rPr>
        <w:t xml:space="preserve"> Acquisitions and Dispositions</w:t>
      </w:r>
      <w:r>
        <w:rPr>
          <w:rFonts w:ascii="Times New Roman" w:cs="Times New Roman" w:eastAsia="Times New Roman" w:hAnsi="Times New Roman"/>
          <w:sz w:val="18"/>
          <w:szCs w:val="18"/>
          <w:color w:val="auto"/>
        </w:rPr>
        <w:t>, on December 21, 2020, the Company acquired 100% of CEG's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membership interests of Rosie TargetCo LLC which owns 100% interest in Rosie Class B LLC, which in turn owns 100% of the Class B membership interest of Rosie TE Holdco LLC. The Company consolidates Rosie TargetCo LLC as a VIE as the Company is the primary beneficiary, through its role as managing member. The Class B membership interest of Rosie TargetCo LLC is owned by a third-party investor and is reflected as noncontrolling interest on the Company’s consolidated balance sheet. Through its Class A membership interests in Rosie TargetCo LLC, the Company receives 50% of income and distributable cash. Rosie TargetCo indirectly consolidates Rosie TE Holdco LLC, which is also a VIE. The tax equity investor's interest is shown as noncontrolling interest. The HLBV method is utilized to allocate the income or losses of Rosie TE Holdco LLC.</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Yield Protection Agreement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Lighthouse Partnership Agreements, the Company entered into an agreement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for a reallocation of cash distributions to the third-party investor in order to ensure that the investor achieves a target return. The agreement provides for the reallocation of up to 80% of cash distributed to the Company's Class A members beginning after the 15th year of the arrangement. The Company is accounting for this agreement as a guarantee and has recorded the fair value of its estimated liability under the arrangement of $15 million as a non-current liability with a corresponding offset to additional paid-in capital.</w:t>
      </w:r>
    </w:p>
    <w:p>
      <w:pPr>
        <w:spacing w:after="0" w:line="12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Kawailoa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31, 2018, the Company entered into an agreement with Clearway Renew LLC, a subsidiary of CEG, to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Class A membership interests in the Kawailoa Solar Partnership LLC, or Kawailoa Partnership, for $9 million in cash consideration. The purpose of the partnership is to own, finance, operate, and maintain the Kawailoa Solar project, a 49 MW utility-scale solar generation project, an indirect subsidiary of the Kawailoa Partnership, located in Oahu, Hawaii. The Kawailoa Solar project is contracted to sell power under a 22-year PPA with Hawaiian Electric Company, or HECO. The Kawailoa Solar project is 51% owned by the Kawailoa Partnership, with the remaining 49% owned by a third-party investor. The Kawailoa Partnership consolidates the Kawailoa Solar project through its controlling majority interest. On May 7, 2019, the Company made an initial capital contribution of $2 million, which represents 20% of its total anticipated capital contributions. The Company assumed non-recourse debt of $120 million, as further described in Note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non-controlling interests attributable to third parties in the amount of $21 million. Effective May 1, 2019, the Company, as a Class A member, is the primary beneficiary through its position as managing member and consolidates Kawailoa Partnership. Allocations of income and taxable items are equal to the distributions of available cash, which is currently 95% to the Company and 5% to Clearway Renew LLC. The Company's acquisition of the Class A membership interests in the Kawailoa Partnership was accounted for as a transfer of assets under common control and was recorded at historical cost in accordance with ASC 805-50,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Issues</w:t>
      </w:r>
      <w:r>
        <w:rPr>
          <w:rFonts w:ascii="Times New Roman" w:cs="Times New Roman" w:eastAsia="Times New Roman" w:hAnsi="Times New Roman"/>
          <w:sz w:val="18"/>
          <w:szCs w:val="18"/>
          <w:color w:val="auto"/>
        </w:rPr>
        <w:t>. The difference between the cash paid and payable recorded and the historical value of the assets was recorded as a distribution to CEG and decreased the balance of its noncontrolling interest.</w:t>
      </w:r>
    </w:p>
    <w:p>
      <w:pPr>
        <w:spacing w:after="0" w:line="13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Upon reaching COD in November of 2019, the Kawailoa Solar project's fixed assets were placed in service and began to depreciate. On December 22, 2019, Kawailoa Solar Holdings LLC, a tax equity fund, received its final equity contribution of $61 million. The proceeds were utilized to repay the ITC bridge loan in the amount of $57 million, and the construction debt was converted to term debt (and upsized, with an additional $5 million drawn). Distributions were paid to the third-party investor and Clearway Renew LLC, funded by the excess of the tax equity investment and the term loan upsizing above the amount of the bridge loan repayment and related fees. On December 27, 2019, the Company made its substantial completion contribution of $7 million into the Kawailoa Partnership, which was also utilized to make a distribution to Clearway Renew LLC. In addition, the Company started applying HLBV to allocate income attributable to the tax equity investor during the fourth quarter of 2019.</w:t>
      </w:r>
    </w:p>
    <w:p>
      <w:pPr>
        <w:spacing w:after="0" w:line="13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Oahu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31, 2018, the Company entered into an agreement with Clearway Renew LLC, a subsidiary of CEG, to acquire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with rated capacity of 15 MW and 46 MW, respectively, the indirect subsidiaries of the Oahu Partnership, located in Oahu, Hawaii. The Oahu Solar projects are contracted to sell power under a 22-year PPA with HECO. The Oahu Partnership consolidates the Oahu Solar projects through its controlling majority interest. On March 8, 2019, the Company made an initial capital contribution of $4 million, which represents 20% of its total anticipated capital contributions. The Company also assumed non-recourse debt of $143 million, as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6" w:name="page107"/>
    <w:bookmarkEnd w:id="106"/>
    <w:p>
      <w:pPr>
        <w:jc w:val="both"/>
        <w:spacing w:after="0" w:line="256" w:lineRule="auto"/>
        <w:rPr>
          <w:sz w:val="20"/>
          <w:szCs w:val="20"/>
          <w:color w:val="auto"/>
        </w:rPr>
      </w:pPr>
      <w:r>
        <w:rPr>
          <w:rFonts w:ascii="Times New Roman" w:cs="Times New Roman" w:eastAsia="Times New Roman" w:hAnsi="Times New Roman"/>
          <w:sz w:val="18"/>
          <w:szCs w:val="18"/>
          <w:color w:val="auto"/>
        </w:rPr>
        <w:t>further described in Note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$18 million of non-controlling interest attributable to a tax equity investor's initial contribution. Effective March 8, 2019,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 LLC. The Company's acquisition of the Class A membership interests in the Oahu Partnership was accounted for as a transfer of assets under common control and was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payable recorded and the historical value of the assets was recorded as a contribution from CEG and increased the balance of its noncontrolling interest.</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Upon reaching COD in September 2019, the Oahu Solar projects' fixed assets were placed in service and began to depreciate. On November 12, 2019, the tax equity investor made its final tax-equity contribution of $71 million and the proceeds were utilized to repay the related ITC bridge loan in the amount of $67 million, and the construction loan was converted to term debt. The Company paid the remaining 80% of the equity commitment in the amount of $16 million to Clearway Renew LLC when the Oahu Solar projects reached certain milestones in December 2019. In addition, the Company started applying HLBV to allocate income attributable to the tax equity investor during the third quarter of 2019.</w:t>
      </w:r>
    </w:p>
    <w:p>
      <w:pPr>
        <w:spacing w:after="0" w:line="125" w:lineRule="exact"/>
        <w:rPr>
          <w:sz w:val="20"/>
          <w:szCs w:val="20"/>
          <w:color w:val="auto"/>
        </w:rPr>
      </w:pPr>
    </w:p>
    <w:p>
      <w:pPr>
        <w:jc w:val="both"/>
        <w:ind w:right="8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Wind TE Holdco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December 31, 2018, Wind TE Holdco was a VIE and the Company, as the holder of Class B shares and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beneficiary through its position as managing member consolidated Wind TE Holdco. The Class A shares of Wind TE Holdco were owned by a tax equity investor, who received 99% of allocations of taxable income and other items.</w:t>
      </w:r>
    </w:p>
    <w:p>
      <w:pPr>
        <w:spacing w:after="0" w:line="121"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On January 2, 2019, the Company bought out 100% of the Class A membership interests from the TE Investor, for cash consideration of $19 million. The Company recorded the difference between the value of the interest bought and the cash received to equity and allocated it between non-controlling interest and additional paid in capital based on the economic ownership interest between CEG and public interest as of January 2, 2019.</w:t>
      </w:r>
    </w:p>
    <w:p>
      <w:pPr>
        <w:spacing w:after="0" w:line="11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Repowering Partnership II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30, 2018, Wind TE Holdco, an indirect subsidiary of the Company, formed Repowering Partnership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 Wind TE Holdco is the managing member of the partnership and consolidates the entity, which is a VIE. Clearway Renew LLC is initially entitled to allocations of 21% of income, which is reflected in Wind TE Holdco’s noncontrolling interests.</w:t>
      </w:r>
    </w:p>
    <w:p>
      <w:pPr>
        <w:spacing w:after="0" w:line="13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14, 2019, Repowering Partnership LLC was replaced with Repowering Partnership II LLC as the owner of the Elbow Creek and Wildorado Wind projects, as well as Repowering Partnership Holdco LLC, which concurrently entered into a financing agreement for construction debt commitment totaling $352 million, as further described in Note 10, Long-term Debt.</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Repowering of the Elbow Creek project was completed and on November 26, 2019, a third party tax equity investor purchased 100% of the Class A membership interests in Elbow Creek Repowering Tax Equity Holdco LLC, or Elbow TE Holdco for $89 million pursuant to a membership interest purchase agreement dated June 14, 2019. The Company also contributed $4 million. In connection with the completion of the Elbow Creek repowering, the construction loan of $93 million was repaid with the proceeds from the combined proceeds from the tax equity investor and the Company. The Company</w:t>
      </w:r>
    </w:p>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began applying HLBV during the fourth quarter to allocate income between the partners of Elbow TE Holdco. In connection with the closing, the allocations of income at Repowering Partnership II LLC (which indirectly consolidates both projects) changed to 59.63% for Wind TE Holdco LLC (the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 member) and 40.37% for CWSP Wildorado Elbow Holding LLC (the CEG member). In addition, approximately half of the repowered Wildorado equipment was placed in service in December 2019, with the remaining equipment being placed in service in January of 2020. In connection with repowering of the projects, the Company revised the remaining useful life of the property, plant and equipment that was replaced, resulting in additional expense of $54 million during the year ended December 31, 2019 related to accelerated depreciation.</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February 7, 2020, a third party tax equity investor purchased 100% of the Class A membership interests in Wildorado TE Holdco, for $148 million. In addition, the Company contributed $112 million to Wildorado TE Holdco. The combined proceeds were used to repay construction debt under the Repowering Partnership Holdco credit agreement, as described in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third party tax equity investor, or Wildorado Investor, will receive 99% of allocations of taxable income and other items until the Wildorado Investor obtains a specified return on its initial investment, or the last day of the PTC period, whichever occurs sooner. At such time, the allocations to the Wildorado Investor will change to 5%. Until such time, the Wildorado Investor will receive a variable percentage of cash distributions. Wildorado TE Holdco is a VIE and the Repowering Partnership II LLC is the primary beneficiary through its position as managing member. As a result, the Company consolidates Wildorado TE Holdco, with the Wildorado Investor's interest shown as noncontrolling interest. In connection with</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7" w:name="page108"/>
    <w:bookmarkEnd w:id="10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Wildorado TE Holdco closing, the allocations of income at Repowering Partnership II LLC changed to 60.14% for Wind TE Holdco LLC (the Company member) and 39.86% for CWSP Wildorado Elbow Holding LLC (the CEG member).</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May 11, 2020, the Company acquired CEG's interest in Repowering Partnership II LLC, for cash consideration of $70 million. Repowering Partnership II LLC is no longer a VIE and subsequent to the acquisition, is a wholly-owned subsidiary of the Company. Repowering Partnership II LLC continues to own interests in two VIEs, Wildorado Repowering Tax Equity Holdco LLC, or Wildorado TE Holdco, and Elbow Creek Repowering Tax Equity Holdco LLC, or Elbow Creek TE Holdco. </w:t>
      </w:r>
      <w:r>
        <w:rPr>
          <w:rFonts w:ascii="Times New Roman" w:cs="Times New Roman" w:eastAsia="Times New Roman" w:hAnsi="Times New Roman"/>
          <w:sz w:val="18"/>
          <w:szCs w:val="18"/>
          <w:color w:val="231F20"/>
        </w:rPr>
        <w:t>The Company removed the related noncontrolling interest balance of $8 million and recorded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difference between the cash paid and the noncontrolling interest balance removed as a reduction to noncontrolling interests. </w:t>
      </w:r>
      <w:r>
        <w:rPr>
          <w:rFonts w:ascii="Times New Roman" w:cs="Times New Roman" w:eastAsia="Times New Roman" w:hAnsi="Times New Roman"/>
          <w:sz w:val="18"/>
          <w:szCs w:val="18"/>
          <w:color w:val="000000"/>
        </w:rPr>
        <w:t>The Company utilizes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HLBV method to determine the net income or loss allocated to tax equity noncontrolling interest.</w:t>
      </w:r>
    </w:p>
    <w:p>
      <w:pPr>
        <w:spacing w:after="0" w:line="1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Renewables,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30, 2018, the Company acquired 100% of NRG’s interest in a 154 MW construction-stage utility-scale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contribution of $19 million on March 30, 2018, which is reflected as noncontrolling interest on the Company’s consolidated balance sheet. The project achieved substantial completion in May 2018, at which time the remaining tax equity contributions of $80 million were funded. The Company utilizes the HLBV method for income or loss allocation to the tax equity investor's noncontrolling interest.</w:t>
      </w:r>
    </w:p>
    <w:p>
      <w:pPr>
        <w:spacing w:after="0" w:line="1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Alta TE Holdco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30, 2015, the Company sold an economic interest in Alta TE Holdco to a financial institution in order to monetize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and tax attributes, primarily PTCs. The financial institution, or Alta Investor, 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13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Spring Canyon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holds 90.1% of the Class B interests in Spring Canyon II, a 32 MW wind facility, and Spring Canyon III, a 28 MW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 facility, each located in Logan County, Colorado, and Invenergy Wind Global 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The Class A member received 34.81% of the cash distributions and the Company and Invenergy received 65.19% during the period ended December 31, 2017.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8" w:name="page109"/>
    <w:bookmarkEnd w:id="108"/>
    <w:p>
      <w:pPr>
        <w:ind w:left="42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December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Oahu</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Kawailoa</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Wildorado</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DGPV</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Lighthouse</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Rosie</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Langford TE</w:t>
            </w:r>
          </w:p>
        </w:tc>
        <w:tc>
          <w:tcPr>
            <w:tcW w:w="16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Alta TE</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Buckthorn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Solar</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Renewable</w:t>
            </w:r>
          </w:p>
        </w:tc>
        <w:tc>
          <w:tcPr>
            <w:tcW w:w="140" w:type="dxa"/>
            <w:vAlign w:val="bottom"/>
          </w:tcPr>
          <w:p>
            <w:pPr>
              <w:spacing w:after="0"/>
              <w:rPr>
                <w:sz w:val="10"/>
                <w:szCs w:val="10"/>
                <w:color w:val="auto"/>
              </w:rPr>
            </w:pPr>
          </w:p>
        </w:tc>
        <w:tc>
          <w:tcPr>
            <w:tcW w:w="7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3"/>
              </w:rPr>
              <w:t>TargetCo</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Partnership</w:t>
            </w: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Renewables,</w:t>
            </w:r>
          </w:p>
        </w:tc>
        <w:tc>
          <w:tcPr>
            <w:tcW w:w="12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88"/>
              </w:rPr>
              <w:t xml:space="preserve">Other </w:t>
            </w:r>
            <w:r>
              <w:rPr>
                <w:rFonts w:ascii="Times New Roman" w:cs="Times New Roman" w:eastAsia="Times New Roman" w:hAnsi="Times New Roman"/>
                <w:sz w:val="16"/>
                <w:szCs w:val="16"/>
                <w:b w:val="1"/>
                <w:bCs w:val="1"/>
                <w:color w:val="auto"/>
                <w:w w:val="88"/>
                <w:vertAlign w:val="superscript"/>
              </w:rPr>
              <w:t>(b)</w:t>
            </w:r>
          </w:p>
        </w:tc>
        <w:tc>
          <w:tcPr>
            <w:tcW w:w="0" w:type="dxa"/>
            <w:vAlign w:val="bottom"/>
          </w:tcPr>
          <w:p>
            <w:pPr>
              <w:spacing w:after="0"/>
              <w:rPr>
                <w:sz w:val="1"/>
                <w:szCs w:val="1"/>
                <w:color w:val="auto"/>
              </w:rPr>
            </w:pPr>
          </w:p>
        </w:tc>
      </w:tr>
      <w:tr>
        <w:trPr>
          <w:trHeight w:val="176"/>
        </w:trPr>
        <w:tc>
          <w:tcPr>
            <w:tcW w:w="1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Partnership</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Partnership</w:t>
            </w: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TE Holdco</w:t>
            </w:r>
          </w:p>
        </w:tc>
        <w:tc>
          <w:tcPr>
            <w:tcW w:w="140" w:type="dxa"/>
            <w:vAlign w:val="bottom"/>
          </w:tcPr>
          <w:p>
            <w:pPr>
              <w:spacing w:after="0"/>
              <w:rPr>
                <w:sz w:val="15"/>
                <w:szCs w:val="15"/>
                <w:color w:val="auto"/>
              </w:rPr>
            </w:pPr>
          </w:p>
        </w:tc>
        <w:tc>
          <w:tcPr>
            <w:tcW w:w="78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3"/>
                <w:szCs w:val="13"/>
                <w:b w:val="1"/>
                <w:bCs w:val="1"/>
                <w:color w:val="auto"/>
                <w:w w:val="89"/>
              </w:rPr>
              <w:t>Funds</w:t>
            </w:r>
            <w:r>
              <w:rPr>
                <w:rFonts w:ascii="Times New Roman" w:cs="Times New Roman" w:eastAsia="Times New Roman" w:hAnsi="Times New Roman"/>
                <w:sz w:val="16"/>
                <w:szCs w:val="16"/>
                <w:b w:val="1"/>
                <w:bCs w:val="1"/>
                <w:color w:val="auto"/>
                <w:w w:val="89"/>
                <w:vertAlign w:val="superscript"/>
              </w:rPr>
              <w:t>(a)</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Holdco LLC</w:t>
            </w:r>
          </w:p>
        </w:tc>
        <w:tc>
          <w:tcPr>
            <w:tcW w:w="14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LLC</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LLC</w:t>
            </w: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Holdco</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LLC</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Other current and non-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Current and non-</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Noncontrolling</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assets less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noncontrolling</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8"/>
        </w:trPr>
        <w:tc>
          <w:tcPr>
            <w:tcW w:w="17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80" w:hanging="172"/>
        <w:spacing w:after="0"/>
        <w:tabs>
          <w:tab w:leader="none" w:pos="18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DGPV Funds is comprised of DGPV Fund 2 LLC, Clearway &amp; EFS Distributed Solar LLC, DGPV Fund 4 LLC, Golden Puma Fund LLC, Renew Solar CS4 Fund LLC and Chestnut Fund</w:t>
      </w:r>
    </w:p>
    <w:p>
      <w:pPr>
        <w:spacing w:after="0" w:line="3"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LLC</w:t>
      </w:r>
    </w:p>
    <w:p>
      <w:pPr>
        <w:spacing w:after="0" w:line="14"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Other is comprised of Crosswinds, Hardin, Elbow Creek Holdco and Spring Canyon projects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but for which it is not considered the primary beneficiary. The Company accounts for its interests in these entities under the equity method of accounting.</w:t>
      </w:r>
    </w:p>
    <w:p>
      <w:pPr>
        <w:spacing w:after="0" w:line="10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Utah Solar Portfolio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acquired 100% of the Class A equity interests in the Utah Solar Portfolio from NRG. The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on the last day of the calendar month on which the Class B member does not have an agreed upon adjusted capital account deficit, but not prior to the 10th day after the five year anniversary of the last project to achieve its placed in service date,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hanging="240"/>
        <w:spacing w:after="0" w:line="281" w:lineRule="auto"/>
        <w:tabs>
          <w:tab w:leader="none" w:pos="12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hanging="240"/>
        <w:spacing w:after="0" w:line="281" w:lineRule="auto"/>
        <w:tabs>
          <w:tab w:leader="none" w:pos="12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right="20" w:hanging="240"/>
        <w:spacing w:after="0" w:line="282" w:lineRule="auto"/>
        <w:tabs>
          <w:tab w:leader="none" w:pos="12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carrying amounts and fair values of the Company’s recorded financial instruments not carried at fair market value are as follows:</w:t>
      </w:r>
    </w:p>
    <w:p>
      <w:pPr>
        <w:spacing w:after="0" w:line="43" w:lineRule="exact"/>
        <w:rPr>
          <w:sz w:val="20"/>
          <w:szCs w:val="20"/>
          <w:color w:val="auto"/>
        </w:rPr>
      </w:pPr>
    </w:p>
    <w:tbl>
      <w:tblPr>
        <w:tblLayout w:type="fixed"/>
        <w:tblInd w:w="6020" w:type="dxa"/>
        <w:tblCellMar>
          <w:top w:w="0" w:type="dxa"/>
          <w:left w:w="0" w:type="dxa"/>
          <w:bottom w:w="0" w:type="dxa"/>
          <w:right w:w="0" w:type="dxa"/>
        </w:tblCellMar>
      </w:tblPr>
      <w:tr>
        <w:trPr>
          <w:trHeight w:val="195"/>
        </w:trPr>
        <w:tc>
          <w:tcPr>
            <w:tcW w:w="26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2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r>
      <w:tr>
        <w:trPr>
          <w:trHeight w:val="188"/>
        </w:trPr>
        <w:tc>
          <w:tcPr>
            <w:tcW w:w="14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1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1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4"/>
        </w:trPr>
        <w:tc>
          <w:tcPr>
            <w:tcW w:w="1400" w:type="dxa"/>
            <w:vAlign w:val="bottom"/>
          </w:tcPr>
          <w:p>
            <w:pPr>
              <w:spacing w:after="0"/>
              <w:rPr>
                <w:sz w:val="15"/>
                <w:szCs w:val="15"/>
                <w:color w:val="auto"/>
              </w:rPr>
            </w:pPr>
          </w:p>
        </w:tc>
        <w:tc>
          <w:tcPr>
            <w:tcW w:w="262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9803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1" w:lineRule="exact"/>
        <w:rPr>
          <w:sz w:val="20"/>
          <w:szCs w:val="20"/>
          <w:color w:val="auto"/>
        </w:rPr>
      </w:pPr>
    </w:p>
    <w:p>
      <w:pPr>
        <w:ind w:left="140"/>
        <w:spacing w:after="0"/>
        <w:tabs>
          <w:tab w:leader="none" w:pos="6020" w:val="left"/>
          <w:tab w:leader="none" w:pos="6740" w:val="left"/>
          <w:tab w:leader="none" w:pos="7360" w:val="left"/>
          <w:tab w:leader="none" w:pos="8080" w:val="left"/>
          <w:tab w:leader="none" w:pos="8680" w:val="left"/>
          <w:tab w:leader="none" w:pos="9380" w:val="left"/>
          <w:tab w:leader="none" w:pos="9980" w:val="left"/>
          <w:tab w:leader="none" w:pos="10680" w:val="left"/>
        </w:tabs>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3"/>
          <w:szCs w:val="23"/>
          <w:color w:val="auto"/>
          <w:vertAlign w:val="superscript"/>
        </w:rPr>
        <w:t>(a)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7,048</w:t>
        <w:tab/>
        <w:t>$</w:t>
      </w:r>
      <w:r>
        <w:rPr>
          <w:sz w:val="20"/>
          <w:szCs w:val="20"/>
          <w:color w:val="auto"/>
        </w:rPr>
        <w:tab/>
      </w:r>
      <w:r>
        <w:rPr>
          <w:rFonts w:ascii="Times New Roman" w:cs="Times New Roman" w:eastAsia="Times New Roman" w:hAnsi="Times New Roman"/>
          <w:sz w:val="18"/>
          <w:szCs w:val="18"/>
          <w:color w:val="auto"/>
        </w:rPr>
        <w:t>7,020</w:t>
        <w:tab/>
        <w:t>$</w:t>
      </w:r>
      <w:r>
        <w:rPr>
          <w:sz w:val="20"/>
          <w:szCs w:val="20"/>
          <w:color w:val="auto"/>
        </w:rPr>
        <w:tab/>
      </w:r>
      <w:r>
        <w:rPr>
          <w:rFonts w:ascii="Times New Roman" w:cs="Times New Roman" w:eastAsia="Times New Roman" w:hAnsi="Times New Roman"/>
          <w:sz w:val="18"/>
          <w:szCs w:val="18"/>
          <w:color w:val="auto"/>
        </w:rPr>
        <w:t>6,858</w:t>
        <w:tab/>
        <w:t>$</w:t>
      </w:r>
      <w:r>
        <w:rPr>
          <w:sz w:val="20"/>
          <w:szCs w:val="20"/>
          <w:color w:val="auto"/>
        </w:rPr>
        <w:tab/>
      </w:r>
      <w:r>
        <w:rPr>
          <w:rFonts w:ascii="Times New Roman" w:cs="Times New Roman" w:eastAsia="Times New Roman" w:hAnsi="Times New Roman"/>
          <w:sz w:val="18"/>
          <w:szCs w:val="18"/>
          <w:color w:val="auto"/>
        </w:rPr>
        <w:t>6,957</w:t>
      </w:r>
    </w:p>
    <w:p>
      <w:pPr>
        <w:spacing w:after="0" w:line="43" w:lineRule="exact"/>
        <w:rPr>
          <w:sz w:val="20"/>
          <w:szCs w:val="20"/>
          <w:color w:val="auto"/>
        </w:rPr>
      </w:pPr>
    </w:p>
    <w:p>
      <w:pPr>
        <w:ind w:left="140" w:hanging="132"/>
        <w:spacing w:after="0"/>
        <w:tabs>
          <w:tab w:leader="none" w:pos="140" w:val="left"/>
        </w:tabs>
        <w:numPr>
          <w:ilvl w:val="0"/>
          <w:numId w:val="4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net debt issuance costs, which are recorded as a reduction to long-term debt on the Company's consolidated balance sheets.</w:t>
      </w:r>
    </w:p>
    <w:p>
      <w:pPr>
        <w:spacing w:after="0" w:line="3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2020 and 2019:</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340" w:type="dxa"/>
            <w:vAlign w:val="bottom"/>
          </w:tcPr>
          <w:p>
            <w:pPr>
              <w:spacing w:after="0"/>
              <w:rPr>
                <w:sz w:val="16"/>
                <w:szCs w:val="16"/>
                <w:color w:val="auto"/>
              </w:rPr>
            </w:pPr>
          </w:p>
        </w:tc>
        <w:tc>
          <w:tcPr>
            <w:tcW w:w="218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r>
      <w:tr>
        <w:trPr>
          <w:trHeight w:val="188"/>
        </w:trPr>
        <w:tc>
          <w:tcPr>
            <w:tcW w:w="60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3"/>
        </w:trPr>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1,905</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1,736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20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20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of December 31, 2020</w:t>
            </w:r>
          </w:p>
        </w:tc>
        <w:tc>
          <w:tcPr>
            <w:tcW w:w="21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1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r>
      <w:tr>
        <w:trPr>
          <w:trHeight w:val="223"/>
        </w:trPr>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00" w:type="dxa"/>
            <w:vAlign w:val="bottom"/>
          </w:tcPr>
          <w:p>
            <w:pPr>
              <w:spacing w:after="0"/>
              <w:rPr>
                <w:sz w:val="19"/>
                <w:szCs w:val="19"/>
                <w:color w:val="auto"/>
              </w:rPr>
            </w:pPr>
          </w:p>
        </w:tc>
        <w:tc>
          <w:tcPr>
            <w:tcW w:w="1780" w:type="dxa"/>
            <w:vAlign w:val="bottom"/>
            <w:gridSpan w:val="2"/>
          </w:tcPr>
          <w:p>
            <w:pPr>
              <w:jc w:val="center"/>
              <w:ind w:right="420"/>
              <w:spacing w:after="0" w:line="223" w:lineRule="exact"/>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3"/>
                <w:szCs w:val="23"/>
                <w:b w:val="1"/>
                <w:bCs w:val="1"/>
                <w:color w:val="auto"/>
                <w:w w:val="95"/>
                <w:vertAlign w:val="superscript"/>
              </w:rPr>
              <w:t>(a)</w:t>
            </w:r>
          </w:p>
        </w:tc>
        <w:tc>
          <w:tcPr>
            <w:tcW w:w="300" w:type="dxa"/>
            <w:vAlign w:val="bottom"/>
          </w:tcPr>
          <w:p>
            <w:pPr>
              <w:spacing w:after="0"/>
              <w:rPr>
                <w:sz w:val="19"/>
                <w:szCs w:val="19"/>
                <w:color w:val="auto"/>
              </w:rPr>
            </w:pPr>
          </w:p>
        </w:tc>
        <w:tc>
          <w:tcPr>
            <w:tcW w:w="1800" w:type="dxa"/>
            <w:vAlign w:val="bottom"/>
            <w:gridSpan w:val="2"/>
          </w:tcPr>
          <w:p>
            <w:pPr>
              <w:jc w:val="center"/>
              <w:ind w:right="400"/>
              <w:spacing w:after="0" w:line="223" w:lineRule="exact"/>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3"/>
                <w:szCs w:val="23"/>
                <w:b w:val="1"/>
                <w:bCs w:val="1"/>
                <w:color w:val="auto"/>
                <w:w w:val="95"/>
                <w:vertAlign w:val="superscript"/>
              </w:rPr>
              <w:t>(a)</w:t>
            </w:r>
          </w:p>
        </w:tc>
        <w:tc>
          <w:tcPr>
            <w:tcW w:w="300" w:type="dxa"/>
            <w:vAlign w:val="bottom"/>
          </w:tcPr>
          <w:p>
            <w:pPr>
              <w:spacing w:after="0"/>
              <w:rPr>
                <w:sz w:val="19"/>
                <w:szCs w:val="19"/>
                <w:color w:val="auto"/>
              </w:rPr>
            </w:pPr>
          </w:p>
        </w:tc>
        <w:tc>
          <w:tcPr>
            <w:tcW w:w="1680" w:type="dxa"/>
            <w:vAlign w:val="bottom"/>
          </w:tcPr>
          <w:p>
            <w:pPr>
              <w:jc w:val="center"/>
              <w:ind w:right="210"/>
              <w:spacing w:after="0" w:line="223" w:lineRule="exact"/>
              <w:rPr>
                <w:sz w:val="20"/>
                <w:szCs w:val="20"/>
                <w:color w:val="auto"/>
              </w:rPr>
            </w:pPr>
            <w:r>
              <w:rPr>
                <w:rFonts w:ascii="Times New Roman" w:cs="Times New Roman" w:eastAsia="Times New Roman" w:hAnsi="Times New Roman"/>
                <w:sz w:val="18"/>
                <w:szCs w:val="18"/>
                <w:b w:val="1"/>
                <w:bCs w:val="1"/>
                <w:color w:val="auto"/>
                <w:w w:val="93"/>
              </w:rPr>
              <w:t xml:space="preserve">Fair Value </w:t>
            </w:r>
            <w:r>
              <w:rPr>
                <w:rFonts w:ascii="Times New Roman" w:cs="Times New Roman" w:eastAsia="Times New Roman" w:hAnsi="Times New Roman"/>
                <w:sz w:val="23"/>
                <w:szCs w:val="23"/>
                <w:b w:val="1"/>
                <w:bCs w:val="1"/>
                <w:color w:val="auto"/>
                <w:w w:val="93"/>
                <w:vertAlign w:val="superscript"/>
              </w:rPr>
              <w:t>(a)</w:t>
            </w: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contracts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3"/>
                <w:szCs w:val="23"/>
                <w:b w:val="1"/>
                <w:bCs w:val="1"/>
                <w:color w:val="auto"/>
                <w:vertAlign w:val="superscript"/>
              </w:rPr>
              <w:t>(b)</w:t>
            </w:r>
          </w:p>
        </w:tc>
        <w:tc>
          <w:tcPr>
            <w:tcW w:w="3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firstLine="8"/>
        <w:spacing w:after="0" w:line="280" w:lineRule="auto"/>
        <w:tabs>
          <w:tab w:leader="none" w:pos="127"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There were no derivative assets classified as Level 1, or Level 3 and no liabilities classified as Level 1 as of December 31, 2020 and no derivative assets classified as Level 1, Level 2 or Level 3 and no liabilities classified as Level 1 as of December 31, 2019</w:t>
      </w:r>
      <w:r>
        <w:rPr>
          <w:rFonts w:ascii="Times New Roman" w:cs="Times New Roman" w:eastAsia="Times New Roman" w:hAnsi="Times New Roman"/>
          <w:sz w:val="14"/>
          <w:szCs w:val="14"/>
          <w:color w:val="auto"/>
        </w:rPr>
        <w:t>.</w:t>
      </w:r>
    </w:p>
    <w:p>
      <w:pPr>
        <w:spacing w:after="0" w:line="16"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SREC contract acquired on November 2, 2020.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0" w:name="page111"/>
    <w:bookmarkEnd w:id="110"/>
    <w:p>
      <w:pPr>
        <w:ind w:right="20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6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4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69"/>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Pr>
          <w:p>
            <w:pPr>
              <w:spacing w:after="0"/>
              <w:rPr>
                <w:sz w:val="14"/>
                <w:szCs w:val="14"/>
                <w:color w:val="auto"/>
              </w:rPr>
            </w:pPr>
          </w:p>
        </w:tc>
        <w:tc>
          <w:tcPr>
            <w:tcW w:w="4040" w:type="dxa"/>
            <w:vAlign w:val="bottom"/>
            <w:gridSpan w:val="4"/>
          </w:tcPr>
          <w:p>
            <w:pPr>
              <w:jc w:val="center"/>
              <w:ind w:right="2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 Measurement Using Significant</w:t>
            </w:r>
          </w:p>
        </w:tc>
        <w:tc>
          <w:tcPr>
            <w:tcW w:w="0" w:type="dxa"/>
            <w:vAlign w:val="bottom"/>
          </w:tcPr>
          <w:p>
            <w:pPr>
              <w:spacing w:after="0"/>
              <w:rPr>
                <w:sz w:val="1"/>
                <w:szCs w:val="1"/>
                <w:color w:val="auto"/>
              </w:rPr>
            </w:pPr>
          </w:p>
        </w:tc>
      </w:tr>
      <w:tr>
        <w:trPr>
          <w:trHeight w:val="230"/>
        </w:trPr>
        <w:tc>
          <w:tcPr>
            <w:tcW w:w="63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04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Unobservable Inputs (Level 3)</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tc>
        <w:tc>
          <w:tcPr>
            <w:tcW w:w="32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180"/>
              <w:spacing w:after="0" w:line="182" w:lineRule="exact"/>
              <w:rPr>
                <w:sz w:val="20"/>
                <w:szCs w:val="20"/>
                <w:color w:val="auto"/>
              </w:rPr>
            </w:pPr>
            <w:r>
              <w:rPr>
                <w:rFonts w:ascii="Times New Roman" w:cs="Times New Roman" w:eastAsia="Times New Roman" w:hAnsi="Times New Roman"/>
                <w:sz w:val="18"/>
                <w:szCs w:val="18"/>
                <w:color w:val="auto"/>
              </w:rPr>
              <w:t>Change in unrealized losses included in earnings for derivatives held as of</w:t>
            </w: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2"/>
                <w:szCs w:val="12"/>
                <w:color w:val="auto"/>
              </w:rPr>
            </w:pPr>
          </w:p>
        </w:tc>
        <w:tc>
          <w:tcPr>
            <w:tcW w:w="4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320" w:type="dxa"/>
            <w:vAlign w:val="bottom"/>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For the Company’s energy contracts, management uses quoted observable forward prices. To the extent that observable forward prices are not available, the quoted prices reflect the average of the forward prices from the prior year, adjusted for inflation. As of December 31, 2020, contracts valued with prices provided by models and other valuation techniques make up 25% of derivative liabilities and 100% of other financial instruments.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significant positions classified as Level 3 include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 as of December 31, 2020:</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1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Input/Range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300" w:type="dxa"/>
            <w:vAlign w:val="bottom"/>
          </w:tcPr>
          <w:p>
            <w:pPr>
              <w:ind w:left="400"/>
              <w:spacing w:after="0" w:line="158" w:lineRule="exact"/>
              <w:rPr>
                <w:sz w:val="20"/>
                <w:szCs w:val="20"/>
                <w:color w:val="auto"/>
              </w:rPr>
            </w:pPr>
            <w:r>
              <w:rPr>
                <w:rFonts w:ascii="Times New Roman" w:cs="Times New Roman" w:eastAsia="Times New Roman" w:hAnsi="Times New Roman"/>
                <w:sz w:val="16"/>
                <w:szCs w:val="16"/>
                <w:b w:val="1"/>
                <w:bCs w:val="1"/>
                <w:color w:val="auto"/>
              </w:rPr>
              <w:t>Valuation</w:t>
            </w:r>
          </w:p>
        </w:tc>
        <w:tc>
          <w:tcPr>
            <w:tcW w:w="1980" w:type="dxa"/>
            <w:vAlign w:val="bottom"/>
          </w:tcPr>
          <w:p>
            <w:pPr>
              <w:jc w:val="center"/>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96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Low</w:t>
            </w:r>
          </w:p>
        </w:tc>
        <w:tc>
          <w:tcPr>
            <w:tcW w:w="160" w:type="dxa"/>
            <w:vAlign w:val="bottom"/>
          </w:tcPr>
          <w:p>
            <w:pPr>
              <w:spacing w:after="0"/>
              <w:rPr>
                <w:sz w:val="13"/>
                <w:szCs w:val="13"/>
                <w:color w:val="auto"/>
              </w:rPr>
            </w:pPr>
          </w:p>
        </w:tc>
        <w:tc>
          <w:tcPr>
            <w:tcW w:w="114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High</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19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Power Contracts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3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Discounted Cash</w:t>
            </w:r>
          </w:p>
        </w:tc>
        <w:tc>
          <w:tcPr>
            <w:tcW w:w="1980" w:type="dxa"/>
            <w:vAlign w:val="bottom"/>
            <w:shd w:val="clear" w:color="auto" w:fill="CCEEFF"/>
          </w:tcPr>
          <w:p>
            <w:pPr>
              <w:jc w:val="center"/>
              <w:ind w:right="159"/>
              <w:spacing w:after="0" w:line="162" w:lineRule="exact"/>
              <w:rPr>
                <w:sz w:val="20"/>
                <w:szCs w:val="20"/>
                <w:color w:val="auto"/>
              </w:rPr>
            </w:pPr>
            <w:r>
              <w:rPr>
                <w:rFonts w:ascii="Times New Roman" w:cs="Times New Roman" w:eastAsia="Times New Roman" w:hAnsi="Times New Roman"/>
                <w:sz w:val="16"/>
                <w:szCs w:val="16"/>
                <w:color w:val="auto"/>
              </w:rPr>
              <w:t>Forward Market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0" w:type="dxa"/>
            <w:vAlign w:val="bottom"/>
          </w:tcPr>
          <w:p>
            <w:pPr>
              <w:spacing w:after="0"/>
              <w:rPr>
                <w:sz w:val="1"/>
                <w:szCs w:val="1"/>
                <w:color w:val="auto"/>
              </w:rPr>
            </w:pPr>
          </w:p>
        </w:tc>
      </w:tr>
      <w:tr>
        <w:trPr>
          <w:trHeight w:val="216"/>
        </w:trPr>
        <w:tc>
          <w:tcPr>
            <w:tcW w:w="16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1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Price (per MWh)   $</w:t>
            </w:r>
          </w:p>
        </w:tc>
        <w:tc>
          <w:tcPr>
            <w:tcW w:w="9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color w:val="auto"/>
              </w:rPr>
              <w:t>Forecast annual</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Discounted Cash</w:t>
            </w:r>
          </w:p>
        </w:tc>
        <w:tc>
          <w:tcPr>
            <w:tcW w:w="198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color w:val="auto"/>
              </w:rPr>
              <w:t>generation levels of</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vMerge w:val="continue"/>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29</w:t>
            </w:r>
          </w:p>
        </w:tc>
        <w:tc>
          <w:tcPr>
            <w:tcW w:w="860" w:type="dxa"/>
            <w:vAlign w:val="bottom"/>
            <w:vMerge w:val="restart"/>
          </w:tcPr>
          <w:p>
            <w:pPr>
              <w:jc w:val="center"/>
              <w:ind w:left="4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continue"/>
          </w:tcPr>
          <w:p>
            <w:pPr>
              <w:spacing w:after="0"/>
              <w:rPr>
                <w:sz w:val="14"/>
                <w:szCs w:val="14"/>
                <w:color w:val="auto"/>
              </w:rPr>
            </w:pPr>
          </w:p>
        </w:tc>
        <w:tc>
          <w:tcPr>
            <w:tcW w:w="198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color w:val="auto"/>
              </w:rPr>
              <w:t>certain DG solar</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80,872 MWh</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131,374 MWh</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126,063 MWh</w:t>
            </w: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19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facilities</w:t>
            </w: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1" w:name="page112"/>
    <w:bookmarkEnd w:id="111"/>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sensitivity of fair value measurements to increases/(decreases) in significant unobservable inputs as of December 31, 2020:</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3920" w:type="dxa"/>
            <w:vAlign w:val="bottom"/>
            <w:vMerge w:val="restart"/>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Significant Observable Input</w:t>
            </w:r>
          </w:p>
        </w:tc>
        <w:tc>
          <w:tcPr>
            <w:tcW w:w="208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232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Change In Input</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Impact on Fair Value</w:t>
            </w:r>
          </w:p>
        </w:tc>
        <w:tc>
          <w:tcPr>
            <w:tcW w:w="0" w:type="dxa"/>
            <w:vAlign w:val="bottom"/>
          </w:tcPr>
          <w:p>
            <w:pPr>
              <w:spacing w:after="0"/>
              <w:rPr>
                <w:sz w:val="1"/>
                <w:szCs w:val="1"/>
                <w:color w:val="auto"/>
              </w:rPr>
            </w:pPr>
          </w:p>
        </w:tc>
      </w:tr>
      <w:tr>
        <w:trPr>
          <w:trHeight w:val="214"/>
        </w:trPr>
        <w:tc>
          <w:tcPr>
            <w:tcW w:w="392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0" w:type="dxa"/>
            <w:vAlign w:val="bottom"/>
          </w:tcPr>
          <w:p>
            <w:pPr>
              <w:spacing w:after="0"/>
              <w:rPr>
                <w:sz w:val="1"/>
                <w:szCs w:val="1"/>
                <w:color w:val="auto"/>
              </w:rPr>
            </w:pPr>
          </w:p>
        </w:tc>
      </w:tr>
      <w:tr>
        <w:trPr>
          <w:trHeight w:val="211"/>
        </w:trPr>
        <w:tc>
          <w:tcPr>
            <w:tcW w:w="39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Forward Market Price Power</w:t>
            </w:r>
          </w:p>
        </w:tc>
        <w:tc>
          <w:tcPr>
            <w:tcW w:w="208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Buy</w:t>
            </w:r>
          </w:p>
        </w:tc>
        <w:tc>
          <w:tcPr>
            <w:tcW w:w="23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Increase/(Decrease)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Higher/(Lower)</w:t>
            </w:r>
          </w:p>
        </w:tc>
        <w:tc>
          <w:tcPr>
            <w:tcW w:w="0" w:type="dxa"/>
            <w:vAlign w:val="bottom"/>
          </w:tcPr>
          <w:p>
            <w:pPr>
              <w:spacing w:after="0"/>
              <w:rPr>
                <w:sz w:val="1"/>
                <w:szCs w:val="1"/>
                <w:color w:val="auto"/>
              </w:rPr>
            </w:pPr>
          </w:p>
        </w:tc>
      </w:tr>
      <w:tr>
        <w:trPr>
          <w:trHeight w:val="213"/>
        </w:trPr>
        <w:tc>
          <w:tcPr>
            <w:tcW w:w="39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Forward Market Price Power</w:t>
            </w:r>
          </w:p>
        </w:tc>
        <w:tc>
          <w:tcPr>
            <w:tcW w:w="20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Sell</w:t>
            </w:r>
          </w:p>
        </w:tc>
        <w:tc>
          <w:tcPr>
            <w:tcW w:w="23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Increase/(Decrease)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Lower/(Higher)</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rPr>
              <w:t>Forecast Generation Level</w:t>
            </w:r>
          </w:p>
        </w:tc>
        <w:tc>
          <w:tcPr>
            <w:tcW w:w="208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Sell</w:t>
            </w:r>
          </w:p>
        </w:tc>
        <w:tc>
          <w:tcPr>
            <w:tcW w:w="23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Increase/(Decrease)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Higher/(Lower)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2020, the non-performance reserve was a $6 million gain recorded primarily to interest expense in the consolidated statement of operations. It is possible that future market prices could vary from those used in recording assets and liabilities and such variations could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w:t>
      </w:r>
    </w:p>
    <w:p>
      <w:pPr>
        <w:spacing w:after="0" w:line="1" w:lineRule="exact"/>
        <w:rPr>
          <w:sz w:val="20"/>
          <w:szCs w:val="20"/>
          <w:color w:val="auto"/>
        </w:rPr>
      </w:pPr>
    </w:p>
    <w:p>
      <w:pPr>
        <w:jc w:val="both"/>
        <w:ind w:firstLine="8"/>
        <w:spacing w:after="0" w:line="253" w:lineRule="auto"/>
        <w:tabs>
          <w:tab w:leader="none" w:pos="22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Accounting for Derivative Instruments and Hedging Activities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December 31, 2020, the Company had interest rate derivative instruments on non-recourse debt extending through 2044, a portion of which were designated as cash flow hedges. Under the interest rate swap agreements, the Company pays a fixed rate and the counterparties to the agreements pay a variable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2" w:name="page113"/>
    <w:bookmarkEnd w:id="112"/>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Energy Related Commodities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energy-related derivative instruments extending through 2032. At December 31, 2020, these contracts were not designated as cash flow or fair value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Volumetric Underlying Derivative Transactions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Total Volume</w:t>
            </w: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42"/>
        </w:trPr>
        <w:tc>
          <w:tcPr>
            <w:tcW w:w="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6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2"/>
                <w:szCs w:val="12"/>
                <w:color w:val="auto"/>
              </w:rPr>
            </w:pPr>
          </w:p>
        </w:tc>
        <w:tc>
          <w:tcPr>
            <w:tcW w:w="2040" w:type="dxa"/>
            <w:vAlign w:val="bottom"/>
            <w:gridSpan w:val="2"/>
          </w:tcPr>
          <w:p>
            <w:pPr>
              <w:jc w:val="center"/>
              <w:ind w:left="119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MMBtu</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w:t>
            </w: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MWh</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balance sheet: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8"/>
        </w:trPr>
        <w:tc>
          <w:tcPr>
            <w:tcW w:w="5460" w:type="dxa"/>
            <w:vAlign w:val="bottom"/>
          </w:tcPr>
          <w:p>
            <w:pPr>
              <w:spacing w:after="0"/>
              <w:rPr>
                <w:sz w:val="16"/>
                <w:szCs w:val="16"/>
                <w:color w:val="auto"/>
              </w:rPr>
            </w:pPr>
          </w:p>
        </w:tc>
        <w:tc>
          <w:tcPr>
            <w:tcW w:w="156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4"/>
                <w:szCs w:val="14"/>
                <w:b w:val="1"/>
                <w:bCs w:val="1"/>
                <w:color w:val="auto"/>
              </w:rPr>
              <w:t xml:space="preserve">Derivative Assets </w:t>
            </w:r>
            <w:r>
              <w:rPr>
                <w:rFonts w:ascii="Times New Roman" w:cs="Times New Roman" w:eastAsia="Times New Roman" w:hAnsi="Times New Roman"/>
                <w:sz w:val="18"/>
                <w:szCs w:val="18"/>
                <w:color w:val="auto"/>
                <w:vertAlign w:val="superscript"/>
              </w:rPr>
              <w:t>(a)</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83"/>
        </w:trPr>
        <w:tc>
          <w:tcPr>
            <w:tcW w:w="5460" w:type="dxa"/>
            <w:vAlign w:val="bottom"/>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3"/>
        </w:trPr>
        <w:tc>
          <w:tcPr>
            <w:tcW w:w="5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560" w:type="dxa"/>
            <w:vAlign w:val="bottom"/>
          </w:tcPr>
          <w:p>
            <w:pPr>
              <w:jc w:val="right"/>
              <w:ind w:right="135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560" w:type="dxa"/>
            <w:vAlign w:val="bottom"/>
            <w:tcBorders>
              <w:top w:val="single" w:sz="8" w:color="auto"/>
              <w:bottom w:val="single" w:sz="8" w:color="auto"/>
            </w:tcBorders>
          </w:tcPr>
          <w:p>
            <w:pPr>
              <w:jc w:val="right"/>
              <w:ind w:right="135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1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1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5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560" w:type="dxa"/>
            <w:vAlign w:val="bottom"/>
            <w:tcBorders>
              <w:bottom w:val="single" w:sz="8" w:color="auto"/>
            </w:tcBorders>
            <w:shd w:val="clear" w:color="auto" w:fill="CCEEFF"/>
          </w:tcPr>
          <w:p>
            <w:pPr>
              <w:jc w:val="right"/>
              <w:ind w:right="135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There were no derivative assets as of December 31, 2019.</w:t>
      </w:r>
    </w:p>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master agreement level. As of December 31, 2020 and 2019, there was no outstanding collateral paid or received. The following tables summarize the offsetting of derivatives by counterparty master agreement level:</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280" w:type="dxa"/>
            <w:vAlign w:val="bottom"/>
          </w:tcPr>
          <w:p>
            <w:pPr>
              <w:spacing w:after="0"/>
              <w:rPr>
                <w:sz w:val="11"/>
                <w:szCs w:val="11"/>
                <w:color w:val="auto"/>
              </w:rPr>
            </w:pPr>
          </w:p>
        </w:tc>
        <w:tc>
          <w:tcPr>
            <w:tcW w:w="256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20" w:type="dxa"/>
            <w:vAlign w:val="bottom"/>
          </w:tcPr>
          <w:p>
            <w:pPr>
              <w:spacing w:after="0"/>
              <w:rPr>
                <w:sz w:val="11"/>
                <w:szCs w:val="11"/>
                <w:color w:val="auto"/>
              </w:rPr>
            </w:pPr>
          </w:p>
        </w:tc>
        <w:tc>
          <w:tcPr>
            <w:tcW w:w="2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380" w:type="dxa"/>
            <w:vAlign w:val="bottom"/>
          </w:tcPr>
          <w:p>
            <w:pPr>
              <w:spacing w:after="0"/>
              <w:rPr>
                <w:sz w:val="11"/>
                <w:szCs w:val="11"/>
                <w:color w:val="auto"/>
              </w:rPr>
            </w:pPr>
          </w:p>
        </w:tc>
        <w:tc>
          <w:tcPr>
            <w:tcW w:w="14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8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8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0" w:type="dxa"/>
            <w:vAlign w:val="bottom"/>
            <w:tcBorders>
              <w:bottom w:val="single" w:sz="8" w:color="auto"/>
            </w:tcBorders>
            <w:gridSpan w:val="6"/>
          </w:tcPr>
          <w:p>
            <w:pPr>
              <w:jc w:val="center"/>
              <w:ind w:left="1077"/>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280" w:type="dxa"/>
            <w:vAlign w:val="bottom"/>
          </w:tcPr>
          <w:p>
            <w:pPr>
              <w:spacing w:after="0"/>
              <w:rPr>
                <w:sz w:val="11"/>
                <w:szCs w:val="11"/>
                <w:color w:val="auto"/>
              </w:rPr>
            </w:pPr>
          </w:p>
        </w:tc>
        <w:tc>
          <w:tcPr>
            <w:tcW w:w="256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20" w:type="dxa"/>
            <w:vAlign w:val="bottom"/>
          </w:tcPr>
          <w:p>
            <w:pPr>
              <w:spacing w:after="0"/>
              <w:rPr>
                <w:sz w:val="11"/>
                <w:szCs w:val="11"/>
                <w:color w:val="auto"/>
              </w:rPr>
            </w:pPr>
          </w:p>
        </w:tc>
        <w:tc>
          <w:tcPr>
            <w:tcW w:w="2620" w:type="dxa"/>
            <w:vAlign w:val="bottom"/>
            <w:gridSpan w:val="3"/>
            <w:vMerge w:val="restart"/>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3"/>
          </w:tcPr>
          <w:p>
            <w:pPr>
              <w:jc w:val="center"/>
              <w:ind w:right="15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8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OCL balance attributable to interest rate swaps designated as cash flow hedge derivatives, net of tax:</w:t>
      </w: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88"/>
        </w:trPr>
        <w:tc>
          <w:tcPr>
            <w:tcW w:w="76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76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OCL beginning balance</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Reclassified from accumulated OCL to income due to realization of previously deferred amounts</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OCL ending balance, net of income tax benefit of $5, $6 and $7, respectively</w:t>
            </w: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OCL attributable to noncontrolling interests</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OCL attributable to Clearway Energy, Inc.</w:t>
            </w: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expected to be realized from OCL during the next 12 months, net of income tax benefit of $4</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324"/>
        </w:trPr>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Amounts reclassified from accumulated OCL into income are recorded to interest expense.</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Statements of Income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interest rate derivative instruments that are not designated as cash flow hedges. The effect of interest rate hedges is recorded to interest expense. For the years ended December 31, 2020, 2019 and 2018 the impact to the consolidated statements of income was a loss of $38 million, a loss of $65 million and a gain of $15 million, respectively.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long-term power hedge derivatives, for which changes in fair value are recorded in operating income. For the years ended December 31, 2020 and 2019 the impact to the consolidated statements of income was a loss of $4 million and a loss of $9 million, respectively. There were no long-term power hedge derivatives outstanding during 2018.</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operations for these contracts.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Intangible Assets</w:t>
      </w:r>
    </w:p>
    <w:p>
      <w:pPr>
        <w:spacing w:after="0" w:line="173" w:lineRule="exact"/>
        <w:rPr>
          <w:sz w:val="20"/>
          <w:szCs w:val="20"/>
          <w:color w:val="auto"/>
        </w:rPr>
      </w:pPr>
    </w:p>
    <w:p>
      <w:pPr>
        <w:ind w:right="5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 The Company's intangible assets as of December 31, 2020 and 2019 primarily reflect intangible assets established from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acquisitions and are comprised of the following:</w:t>
      </w:r>
    </w:p>
    <w:p>
      <w:pPr>
        <w:spacing w:after="0" w:line="104" w:lineRule="exact"/>
        <w:rPr>
          <w:sz w:val="20"/>
          <w:szCs w:val="20"/>
          <w:color w:val="auto"/>
        </w:rPr>
      </w:pPr>
    </w:p>
    <w:p>
      <w:pPr>
        <w:ind w:left="660" w:right="20" w:hanging="328"/>
        <w:spacing w:after="0" w:line="284" w:lineRule="auto"/>
        <w:tabs>
          <w:tab w:leader="none" w:pos="655"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PPAs </w:t>
      </w:r>
      <w:r>
        <w:rPr>
          <w:rFonts w:ascii="Times New Roman" w:cs="Times New Roman" w:eastAsia="Times New Roman" w:hAnsi="Times New Roman"/>
          <w:sz w:val="18"/>
          <w:szCs w:val="18"/>
          <w:color w:val="auto"/>
        </w:rPr>
        <w:t>— Established predominantly with the acquisitions of the Alta Wind Portfolio, Walnut Creek, Tapestry, Laredo Ridge and Carlsbad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These represent the fair value of the PPAs acquired. These are amortized on a straight-line basis, over the term of the PPA.</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Leasehold Rights </w:t>
      </w:r>
      <w:r>
        <w:rPr>
          <w:rFonts w:ascii="Times New Roman" w:cs="Times New Roman" w:eastAsia="Times New Roman" w:hAnsi="Times New Roman"/>
          <w:sz w:val="18"/>
          <w:szCs w:val="18"/>
          <w:color w:val="auto"/>
        </w:rPr>
        <w:t>— Established with the acquisition of the Alta Wind Portfolio, this represents the fair value of contractual rights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royalty payments equal to a percentage of PPA revenue from certain projects. These are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amortized as a reduction to operating revenue on a straight-line basis over the term of the PPAs.</w:t>
      </w:r>
    </w:p>
    <w:p>
      <w:pPr>
        <w:spacing w:after="0" w:line="115" w:lineRule="exact"/>
        <w:rPr>
          <w:sz w:val="20"/>
          <w:szCs w:val="20"/>
          <w:color w:val="auto"/>
        </w:rPr>
      </w:pPr>
    </w:p>
    <w:p>
      <w:pPr>
        <w:jc w:val="both"/>
        <w:ind w:left="660" w:hanging="328"/>
        <w:spacing w:after="0" w:line="267"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relationships </w:t>
      </w:r>
      <w:r>
        <w:rPr>
          <w:rFonts w:ascii="Times New Roman" w:cs="Times New Roman" w:eastAsia="Times New Roman" w:hAnsi="Times New Roman"/>
          <w:sz w:val="18"/>
          <w:szCs w:val="18"/>
          <w:color w:val="auto"/>
        </w:rPr>
        <w:t>— Established with the acquisition of Energy Center Omaha and Energy Center Phoenix, these intangibles represent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at the acquisition date of the businesses' customer base. The customer relationships related to Energy Center Omaha are amortized as a reduction to operating revenue, which approximates the expected discounted future net cash flows by year.</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contracts </w:t>
      </w:r>
      <w:r>
        <w:rPr>
          <w:rFonts w:ascii="Times New Roman" w:cs="Times New Roman" w:eastAsia="Times New Roman" w:hAnsi="Times New Roman"/>
          <w:sz w:val="18"/>
          <w:szCs w:val="18"/>
          <w:color w:val="auto"/>
        </w:rPr>
        <w:t>— Established with the acquisition of Energy Center Phoenix, these intangibles represent the fair value at the acquisition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contracts that primarily provide chilled water, steam and electricity to its customers. These contracts are amortized to revenues based on expected volumes.</w:t>
      </w:r>
    </w:p>
    <w:p>
      <w:pPr>
        <w:spacing w:after="0" w:line="2" w:lineRule="exact"/>
        <w:rPr>
          <w:rFonts w:ascii="Times New Roman" w:cs="Times New Roman" w:eastAsia="Times New Roman" w:hAnsi="Times New Roman"/>
          <w:sz w:val="18"/>
          <w:szCs w:val="18"/>
          <w:i w:val="1"/>
          <w:iCs w:val="1"/>
          <w:color w:val="auto"/>
        </w:rPr>
      </w:pPr>
    </w:p>
    <w:p>
      <w:pPr>
        <w:jc w:val="both"/>
        <w:ind w:left="660" w:hanging="328"/>
        <w:spacing w:after="0" w:line="241" w:lineRule="auto"/>
        <w:tabs>
          <w:tab w:leader="none" w:pos="655"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Emission Allowances </w:t>
      </w:r>
      <w:r>
        <w:rPr>
          <w:rFonts w:ascii="Times New Roman" w:cs="Times New Roman" w:eastAsia="Times New Roman" w:hAnsi="Times New Roman"/>
          <w:sz w:val="18"/>
          <w:szCs w:val="18"/>
          <w:color w:val="auto"/>
        </w:rPr>
        <w:t>— These intangibles primarily consist of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w:t>
      </w:r>
      <w:r>
        <w:rPr>
          <w:rFonts w:ascii="Times New Roman" w:cs="Times New Roman" w:eastAsia="Times New Roman" w:hAnsi="Times New Roman"/>
          <w:sz w:val="14"/>
          <w:szCs w:val="14"/>
          <w:color w:val="auto"/>
        </w:rPr>
        <w:t>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 allowances established with the El Segundo, Walnut Creek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Carlsbad Energy Center acquisitions. These emission allowances are held-for-use and are amortized to cost of operations, with NO</w:t>
      </w:r>
      <w:r>
        <w:rPr>
          <w:rFonts w:ascii="Times New Roman" w:cs="Times New Roman" w:eastAsia="Times New Roman" w:hAnsi="Times New Roman"/>
          <w:sz w:val="14"/>
          <w:szCs w:val="14"/>
          <w:color w:val="auto"/>
        </w:rPr>
        <w:t>x</w:t>
      </w:r>
      <w:r>
        <w:rPr>
          <w:rFonts w:ascii="Times New Roman" w:cs="Times New Roman" w:eastAsia="Times New Roman" w:hAnsi="Times New Roman"/>
          <w:sz w:val="18"/>
          <w:szCs w:val="18"/>
          <w:color w:val="auto"/>
        </w:rPr>
        <w:t xml:space="preserve"> allowances amortized on a straight-line basis and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allowances amortized based on units of production.</w:t>
      </w:r>
    </w:p>
    <w:p>
      <w:pPr>
        <w:spacing w:after="0" w:line="82" w:lineRule="exact"/>
        <w:rPr>
          <w:rFonts w:ascii="Times New Roman" w:cs="Times New Roman" w:eastAsia="Times New Roman" w:hAnsi="Times New Roman"/>
          <w:sz w:val="18"/>
          <w:szCs w:val="18"/>
          <w:i w:val="1"/>
          <w:iCs w:val="1"/>
          <w:color w:val="auto"/>
        </w:rPr>
      </w:pPr>
    </w:p>
    <w:p>
      <w:pPr>
        <w:jc w:val="both"/>
        <w:ind w:left="660" w:right="2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Consists of a) the acquisition date fair value of the contractual rights to a ground lease for South Trent and to utilize certain interconnection facilities for Blythe, as well as land rights acquired in connection with the acquisition of Elbow Creek and Langford Wind and b) development rights related to certain solar businesses acquired in 2010 and 2011.</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components of intangible assets subject to amortization: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5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PPAs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Emission</w:t>
            </w:r>
          </w:p>
        </w:tc>
        <w:tc>
          <w:tcPr>
            <w:tcW w:w="16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Relationships</w:t>
            </w:r>
          </w:p>
        </w:tc>
        <w:tc>
          <w:tcPr>
            <w:tcW w:w="16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Contracts</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4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Consolidation of DGPV Holdco Entities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15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PPAs</w:t>
            </w:r>
          </w:p>
        </w:tc>
        <w:tc>
          <w:tcPr>
            <w:tcW w:w="14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Emission</w:t>
            </w:r>
          </w:p>
        </w:tc>
        <w:tc>
          <w:tcPr>
            <w:tcW w:w="160" w:type="dxa"/>
            <w:vAlign w:val="bottom"/>
          </w:tcPr>
          <w:p>
            <w:pPr>
              <w:spacing w:after="0"/>
              <w:rPr>
                <w:sz w:val="24"/>
                <w:szCs w:val="24"/>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24"/>
                <w:szCs w:val="24"/>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Relationships</w:t>
            </w:r>
          </w:p>
        </w:tc>
        <w:tc>
          <w:tcPr>
            <w:tcW w:w="16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Contracts</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2019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Carlsbad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recorded amortization expense of $91 million during the year ended December 31, 2020, $73 million for the year ended December 31, 2019 and $71 million for the year ended December 31, 2018. Of these amounts, $88 million for the year ended December 31, 2020 and $72 million for the year ended December 31, 2019 and $70 million for the year ended December 31, 2018, were recorded to contract amortization expense and reduced operating revenues in the consolidated statements of operations. The Company estimates the future amortization expense for its intangibles for the next five years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5" w:name="page116"/>
    <w:bookmarkEnd w:id="115"/>
    <w:tbl>
      <w:tblPr>
        <w:tblLayout w:type="fixed"/>
        <w:tblInd w:w="232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3"/>
        </w:trPr>
        <w:tc>
          <w:tcPr>
            <w:tcW w:w="27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w w:val="99"/>
              </w:rPr>
              <w:t>2021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9"/>
        </w:trPr>
        <w:tc>
          <w:tcPr>
            <w:tcW w:w="2700" w:type="dxa"/>
            <w:vAlign w:val="bottom"/>
            <w:shd w:val="clear" w:color="auto" w:fill="CCEEFF"/>
          </w:tcPr>
          <w:p>
            <w:pPr>
              <w:jc w:val="right"/>
              <w:ind w:right="2279"/>
              <w:spacing w:after="0"/>
              <w:rPr>
                <w:sz w:val="20"/>
                <w:szCs w:val="20"/>
                <w:color w:val="auto"/>
              </w:rPr>
            </w:pPr>
            <w:r>
              <w:rPr>
                <w:rFonts w:ascii="Times New Roman" w:cs="Times New Roman" w:eastAsia="Times New Roman" w:hAnsi="Times New Roman"/>
                <w:sz w:val="16"/>
                <w:szCs w:val="16"/>
                <w:color w:val="auto"/>
                <w:w w:val="99"/>
              </w:rPr>
              <w:t>2022</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27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w w:val="99"/>
              </w:rPr>
              <w:t>2023</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2700" w:type="dxa"/>
            <w:vAlign w:val="bottom"/>
            <w:shd w:val="clear" w:color="auto" w:fill="CCEEFF"/>
          </w:tcPr>
          <w:p>
            <w:pPr>
              <w:jc w:val="right"/>
              <w:ind w:right="2279"/>
              <w:spacing w:after="0"/>
              <w:rPr>
                <w:sz w:val="20"/>
                <w:szCs w:val="20"/>
                <w:color w:val="auto"/>
              </w:rPr>
            </w:pPr>
            <w:r>
              <w:rPr>
                <w:rFonts w:ascii="Times New Roman" w:cs="Times New Roman" w:eastAsia="Times New Roman" w:hAnsi="Times New Roman"/>
                <w:sz w:val="16"/>
                <w:szCs w:val="16"/>
                <w:color w:val="auto"/>
                <w:w w:val="99"/>
              </w:rPr>
              <w:t>2024</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0"/>
        </w:trPr>
        <w:tc>
          <w:tcPr>
            <w:tcW w:w="27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34"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Note 9 — Asset Impairments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Impairment Losses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fourth quarter of 2020 in the preparation and review of its annual budget, the Company updated its long-term estimates of operating and capital expenditures and revised its assessment of long-term merchant power prices which was primarily informed by present conditions and does not contemplate future policy changes, which could impact renewable energy power prices. As a result, the Company updated its estimated future cash flows and determined that the future cash flows for several wind projects within the Renewables segment no longer supported the recoverability of the related long-lived asset. As such, the Company recorded an impairment loss of $24 million, which primarily relates to property, plant, and equipment to reflect the assets at fair market value. The fair value of the facilities were determined using an income approach by applying a discounted cash flow methodology to the long-term budgets for each respective plant. The income approach included key inputs such as forecasted merchant power prices, operations and maintenance expense, and discount rates. The resulting fair value is a Level 3 fair value measurement.</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Additionally, during the fourth quarter of 2020, as the Company updated its estimated cash flows in connection with the preparation and review of the Company's annual budget, the Company determined that there was a significant decrease in the estimated future cash flows for its equity method investment in San Juan Mesa, a facility in the Renewables segment located in Elida, New Mexico. The decrease in the forecasted cash flows which is primarily driven by a decline in forecasted revenue in future merchant periods, is significant enough to be considered an indication of a decline in value of the investment that is not temporary. The Company concluded there was an other-than-temporary impairment of its investment and recorded an impairment loss of $8 million to reflect the investment at fair market value. The resulting fair value is a Level 3 fair value measurement.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Impairment Losses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recorded an impairment loss of $19 million related to a facility in the Thermal segment during the second quarter of 2019. The impairment was triggered by a potential sale negotiation with a third party which resulted in signing the purchase and sale agreement in September,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Additionally, during the fourth quarter of 2019, as a result of the preparation and review of its annual budget and assessment of long-term merchant power prices, the Company updated its estimated future cash flows and determined that the future cash flows for several wind projects within the Renewables segment no longer supported the recoverability of the related long-lived asset. As such, the Company recorded an impairment loss of $14 million to reflect the assets at fair market value. The fair value of the facilities was determined using an income approach by applying a discounted cash flow methodology to the long-term budgets for each respective plant. The income approach included key inputs such as forecasted merchant power prices, operations and maintenance expense, and discount rates. The resulting fair value is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borrowings, including short term and long term portions consisted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Letters of Credit</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Interest rate % </w:t>
            </w:r>
            <w:r>
              <w:rPr>
                <w:rFonts w:ascii="Times New Roman" w:cs="Times New Roman" w:eastAsia="Times New Roman" w:hAnsi="Times New Roman"/>
                <w:sz w:val="18"/>
                <w:szCs w:val="18"/>
                <w:b w:val="1"/>
                <w:bCs w:val="1"/>
                <w:color w:val="auto"/>
                <w:vertAlign w:val="superscript"/>
              </w:rPr>
              <w:t>(a)</w:t>
            </w:r>
          </w:p>
        </w:tc>
        <w:tc>
          <w:tcPr>
            <w:tcW w:w="160" w:type="dxa"/>
            <w:vAlign w:val="bottom"/>
          </w:tcPr>
          <w:p>
            <w:pPr>
              <w:spacing w:after="0"/>
              <w:rPr>
                <w:sz w:val="11"/>
                <w:szCs w:val="11"/>
                <w:color w:val="auto"/>
              </w:rPr>
            </w:pPr>
          </w:p>
        </w:tc>
        <w:tc>
          <w:tcPr>
            <w:tcW w:w="13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rPr>
              <w:t>Outstanding at</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960" w:type="dxa"/>
            <w:vAlign w:val="bottom"/>
            <w:tcBorders>
              <w:top w:val="single" w:sz="8" w:color="auto"/>
            </w:tcBorders>
            <w:gridSpan w:val="4"/>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 Convertible Notes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60" w:type="dxa"/>
            <w:vAlign w:val="bottom"/>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Senior Notes</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6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5.375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Senior Notes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60" w:type="dxa"/>
            <w:vAlign w:val="bottom"/>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5.750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Senior Notes</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66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60" w:type="dxa"/>
            <w:vAlign w:val="bottom"/>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4.750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4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Clearway Energy LLC and Clearway Energy Operating LLC Revolving Credit Facility, due</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L+1.50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2023 </w:t>
            </w:r>
            <w:r>
              <w:rPr>
                <w:rFonts w:ascii="Times New Roman" w:cs="Times New Roman" w:eastAsia="Times New Roman" w:hAnsi="Times New Roman"/>
                <w:sz w:val="18"/>
                <w:szCs w:val="18"/>
                <w:color w:val="auto"/>
                <w:vertAlign w:val="superscript"/>
              </w:rPr>
              <w:t>(b)</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Project-level debt: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Alpine, due 2022</w:t>
            </w:r>
            <w:r>
              <w:rPr>
                <w:rFonts w:ascii="Times New Roman" w:cs="Times New Roman" w:eastAsia="Times New Roman" w:hAnsi="Times New Roman"/>
                <w:sz w:val="18"/>
                <w:szCs w:val="18"/>
                <w:color w:val="auto"/>
                <w:vertAlign w:val="superscript"/>
              </w:rPr>
              <w:t>(e)</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L+2.00</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Alta Wind I-V lease financing arrangements, due 2034 and 2035</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5.696- 7.015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44</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Alta Wind Asset Management LLC, due 2031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L+2.50</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Alta Wind Realty Investments LLC, due 2031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5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Borrego, due 2024 and 2038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760" w:type="dxa"/>
            <w:vAlign w:val="bottom"/>
            <w:gridSpan w:val="2"/>
          </w:tcPr>
          <w:p>
            <w:pPr>
              <w:jc w:val="center"/>
              <w:ind w:left="1008"/>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4</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Buckthorn Solar, due 2025</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L+1.750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22</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Carlsbad Holdco, due 2038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66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4.210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4</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Carlsbad Energy Holdings LLC, due 2027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L+1.625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63</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Carlsbad Energy Holdings LLC, due 2038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CVSR, due 2037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2.339 - 3.775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 Notes, due 2037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66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4.680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13</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DG-CS Master Borrower LLC, due 2040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3.510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30</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Duquesne, due 2059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66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4.620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 Segundo Energy Center, due 2023</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L+1.875 - L+2.500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138</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Energy Center Minneapolis Series D, E, F, G, H Notes, due 2025-2037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760" w:type="dxa"/>
            <w:vAlign w:val="bottom"/>
            <w:gridSpan w:val="2"/>
          </w:tcPr>
          <w:p>
            <w:pPr>
              <w:jc w:val="center"/>
              <w:ind w:left="1028"/>
              <w:spacing w:after="0"/>
              <w:rPr>
                <w:sz w:val="20"/>
                <w:szCs w:val="20"/>
                <w:color w:val="auto"/>
              </w:rPr>
            </w:pPr>
            <w:r>
              <w:rPr>
                <w:rFonts w:ascii="Times New Roman" w:cs="Times New Roman" w:eastAsia="Times New Roman" w:hAnsi="Times New Roman"/>
                <w:sz w:val="14"/>
                <w:szCs w:val="14"/>
                <w:color w:val="auto"/>
              </w:rPr>
              <w:t>various</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Laredo Ridge, due 2028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L+2.125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10</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Kawailoa Solar Portfolio LLC, due 2026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L+1.375</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14</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Marsh Landing, due 2023</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L+2.125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27</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NIMH Solar, due 2024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L+2.00</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11</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Oahu Solar Holdings LLC, due 2026</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L+1.375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10</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Repowering Partnership Holdco LLC, due 2020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L+0.85</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Rosie Class B LLC, due 2027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L+1.75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19</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Tapestry, due 2031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L+1.375</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17</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Utah Solar Holdings, due 2036</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3.590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11</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Utah Solar Portfolio, due 2022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L+1.625</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Walnut Creek, due 2023</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L+1.75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73</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WCEP Holdings, LLC, due 2023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L+3.00</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(c)</w:t>
            </w: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760" w:type="dxa"/>
            <w:vAlign w:val="bottom"/>
            <w:gridSpan w:val="2"/>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various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50</w:t>
            </w:r>
          </w:p>
        </w:tc>
        <w:tc>
          <w:tcPr>
            <w:tcW w:w="0" w:type="dxa"/>
            <w:vAlign w:val="bottom"/>
          </w:tcPr>
          <w:p>
            <w:pPr>
              <w:spacing w:after="0"/>
              <w:rPr>
                <w:sz w:val="1"/>
                <w:szCs w:val="1"/>
                <w:color w:val="auto"/>
              </w:rPr>
            </w:pPr>
          </w:p>
        </w:tc>
      </w:tr>
      <w:tr>
        <w:trPr>
          <w:trHeight w:val="182"/>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Subtotal project-level debt</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1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w:t>
            </w: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maturities</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debt issuance costs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Borders>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Add premiums </w:t>
            </w:r>
            <w:r>
              <w:rPr>
                <w:rFonts w:ascii="Times New Roman" w:cs="Times New Roman" w:eastAsia="Times New Roman" w:hAnsi="Times New Roman"/>
                <w:sz w:val="18"/>
                <w:szCs w:val="18"/>
                <w:color w:val="auto"/>
                <w:vertAlign w:val="superscript"/>
              </w:rPr>
              <w:t>(d)</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w:t>
            </w: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40" w:hanging="132"/>
        <w:spacing w:after="0"/>
        <w:tabs>
          <w:tab w:leader="none" w:pos="140" w:val="left"/>
        </w:tabs>
        <w:numPr>
          <w:ilvl w:val="0"/>
          <w:numId w:val="5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December 31, 2020, L+ equals 3 month LIBOR plus x%, except Rosie Class B, due 2027 where L+ equals 1 month LIBOR plus x%</w:t>
      </w:r>
    </w:p>
    <w:p>
      <w:pPr>
        <w:spacing w:after="0" w:line="30" w:lineRule="exact"/>
        <w:rPr>
          <w:rFonts w:ascii="Times New Roman" w:cs="Times New Roman" w:eastAsia="Times New Roman" w:hAnsi="Times New Roman"/>
          <w:sz w:val="17"/>
          <w:szCs w:val="17"/>
          <w:color w:val="auto"/>
          <w:vertAlign w:val="superscript"/>
        </w:rPr>
      </w:pPr>
    </w:p>
    <w:p>
      <w:pPr>
        <w:ind w:left="160" w:hanging="152"/>
        <w:spacing w:after="0" w:line="189" w:lineRule="auto"/>
        <w:tabs>
          <w:tab w:leader="none" w:pos="16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Applicable rate is determined by the borrower leverage ratio, as defined in the credit agreement</w:t>
      </w:r>
    </w:p>
    <w:p>
      <w:pPr>
        <w:spacing w:after="0" w:line="16" w:lineRule="exact"/>
        <w:rPr>
          <w:rFonts w:ascii="Times New Roman" w:cs="Times New Roman" w:eastAsia="Times New Roman" w:hAnsi="Times New Roman"/>
          <w:sz w:val="19"/>
          <w:szCs w:val="19"/>
          <w:color w:val="auto"/>
          <w:vertAlign w:val="superscript"/>
        </w:rPr>
      </w:pPr>
    </w:p>
    <w:p>
      <w:pPr>
        <w:ind w:right="200" w:firstLine="8"/>
        <w:spacing w:after="0" w:line="257" w:lineRule="auto"/>
        <w:tabs>
          <w:tab w:leader="none" w:pos="139"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December 31, 2019 includes Blythe and Roadrunner debt outstanding of $14 million and $28 million, respectively which were transferred to NIMH in the third quarter of 2020, as described below</w:t>
      </w:r>
    </w:p>
    <w:p>
      <w:pPr>
        <w:ind w:left="160" w:hanging="152"/>
        <w:spacing w:after="0" w:line="222" w:lineRule="auto"/>
        <w:tabs>
          <w:tab w:leader="none" w:pos="16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Premiums relate to the 2028 Senior Notes</w:t>
      </w:r>
    </w:p>
    <w:p>
      <w:pPr>
        <w:spacing w:after="0" w:line="2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December 31, 2020, the Company was in compliance with all of the required principal, interest, sinking fund and redemption covenants.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8" w:name="page119"/>
    <w:bookmarkEnd w:id="11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Clearway Energy LLC and Clearway Energy Operating LLC Revolving Credit Facility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12529"/>
        </w:rPr>
        <w:t>On December 20, 2019, the Company entered into the Fifth Amendment to Amended and Restated Credit Agreement to provide for an increase of 0.50x to the borrower leverage ratio, as defined in the Amended and Restated Credit Agreement, for the last two fiscal quarters of 2020 and to implement certain other technical modifications.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2020, the Company had no outstanding borrowings under the revolving credit facility and $66 million in letters of credit outstanding. During the year ended December 31, 2020, the Company borrowed $265 million under the revolving credit facility, and subsequently repaid $265 million utilizing the proceeds from the issuance of additional 2028 Senior Notes, as described below, and cash on hand. The Company had $195 million outstanding under the revolving credit facility and a total of $70 million in letters of credit outstanding as of February 26, 2021.</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2028 Senior Notes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May 21, 2020, the Company completed the issuance of an additional $250 million in aggregate principal amount of its 4.750% Senior Notes due 2028.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notes were issued at a price of 102% of par plus accrued interest from December 11, 2019. The net proceeds were utilized to repay the $45 million outstanding principal amount of the Company's 2020 Convertible Notes on June 1, 2020, as well as to repay amounts outstanding under the Company’s revolving credit facility and for general corporate purposes.</w:t>
      </w:r>
    </w:p>
    <w:p>
      <w:pPr>
        <w:spacing w:after="0" w:line="13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December 11, 2019, the Company completed the sale of $600 million aggregate principal amount of the Senior Notes due 2028. The proceeds from the 2028 Senior Notes were partially used to repay the 2024 Senior Notes, as further described below.</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2020 Convertible Notes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2020 Convertible Notes matured on June 1, 2020 and the Company repaid the outstanding principal amount of $45 million. The repayment was funded by the issuance of the 2028 Senior Notes.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2024 Senior Notes Redemption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January 3, 2020, the Company redeemed the $88 million aggregate principal amount of the 2024 Senior Notes that remained outstanding following the Company's tender offer for the 2024 Senior Notes in December 2019. The redemption was effectuated at a premium of 102.7% for a total consideration of $90 million and as a result, the Company recorded a loss on debt extinguishment in the amount of $3 million, which also included the write off of previously deferred financing fees related to the 2024 Senior Notes.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2024 Senior Notes Tender Offer</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December 13, 2019, the Company repurchased an aggregate principal amount of $412 million or 82.4%, of the 2024 Senior Notes as part of the previously cash tender offer announced on December 11, 2019. Concurrently with the launch of the tender offer, the Company exercised its right to optionally redeem any 2024 Senior Notes not validly tendered and purchased in the tender offer, pursuant to the terms of the indenture governing the 2024 Senior Notes. The redemption of the Senior Notes due 2024 in December were effectuated at a premium of 103% for a total consideration of $424 million and as a result, the Company recorded a loss on extinguishment in the amount of $12 million. In addition, the Company recorded a $2 million debt extinguishment loss in connection with the write off of the deferred financing fees related to the 2024 Senior Notes.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2019 Convertible Notes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2019 Convertible Notes matured on February 1, 2019 and the Company paid off the remaining balance of an aggregate principal amount of $170 million. In January 2019, the Company repurchased an aggregate principal amount of $50 million of the 2019 Convertible Notes in open market transactions. The Company repurchased an aggregate principal amount of $125 million of the 2019 Convertible Notes during 2018.</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Project level Debt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PG&amp;E Bankruptcy</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July 1, 2020, PG&amp;E emerged from bankruptcy and assumed the Company's contracts without modification. In addition, PG&amp;E paid to the Company's applicable projects the portion of the invoices corresponding to the electricity delivered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9" w:name="page120"/>
    <w:bookmarkEnd w:id="119"/>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1 and January 28, 2019. These invoices related to the pre-petition period services and any payment therefore required the approval of the Bankruptcy Court. Subsequent to PG&amp;E's emergence from bankruptcy, the Company entered into waiver agreements with the lenders to the respective financing agreements related to the PG&amp;E Bankruptcy.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Rosamond Central (Rosie Class B LLC)</w:t>
      </w:r>
    </w:p>
    <w:p>
      <w:pPr>
        <w:spacing w:after="0" w:line="171"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On December 21, 2020 as part of the acquisition of Rosie TargetCo LLC, as further descried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Company assumed the Amended and Restated Financing Agreement, which provided for a construction loan of up to $91 million, a cash equity bridge loan of up to $24 million and an investment tax credit loan of up to $132 million.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December 31, 2020, Rosie Class B, LLC converted the construction loan to a $80 million term loan and repaid the investment tax credit loan of $130 million, utilizing tax equity funding. The term loan bears annual interest at a rate of LIBOR plus an applicable margin, which is 1.75% per annum through the third anniversary of the term conversion, and 2.00% per annum thereafter through the maturity date of December 31, 2027. In addition, Rosie Class B LLC is party to several letter of credit facility agreements, not to exceed $23 million. As of December 31, 2020, a total of $19 million in letters of credit were outstanding.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Repowering Partnership Holdco LLC, due 2020</w:t>
      </w:r>
    </w:p>
    <w:p>
      <w:pPr>
        <w:spacing w:after="0" w:line="16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June 14, 2019, as part of the Repowering Partnership, the Company entered into a financing agreement for non-recourse debt for a total commitment amount of $352 million related to the construction for the repowering activities at Wildorado and Elbow Creek. The debt consisted of a construction loan at an interest rate of LIBOR plus 0.85%. The Company borrowings were utilized to repay $109 million of the outstanding balance, including accrued interest, under the Viento financing agreement, to reimburse Clearway Renew LLC for previous contributions into the Repowering Partnership and pay construction invoices. On November 26, 2019, the construction loan of $93 million related to the repowering activities at Elbow Creek was repaid with the proceeds from the tax equity investor. On February 7, 2020, the construction loan of $260 million related to the repowering activities at Wildorado was repaid with the proceeds from the tax equity investor.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 of DGPV Holdco 3</w:t>
      </w:r>
    </w:p>
    <w:p>
      <w:pPr>
        <w:spacing w:after="0" w:line="171"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Upon consolidation of DGPV Holdco 3, as described in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the Company consolidates additional non-recourse debt for certain subsidiaries as further described below.</w:t>
      </w:r>
    </w:p>
    <w:p>
      <w:pPr>
        <w:spacing w:after="0" w:line="106"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Renew CS4 Borrower LLC, or CS4 Borrower, a consolidated subsidiary of DGPV Holdco 3, is party to a credit agreement for construction loans up to $97 million, an investment tax credit bridge loan, or ITC bridge loan, for up to $90 million and letter of credit facilities up to $5 million. The construction loan and the ITC bridge loan both have an interest rate of LIBOR plus an applicable margin of 2.00% per annum. As of June 30, 2020, all construction loans were converted to term loans and the ITC bridge loans were repaid in connection with tax equity funding. The term loan was repaid on November 2, 2020 with the proceeds of the term loan issued by DG-CS Master Borrower LLC, as described below.</w:t>
      </w:r>
    </w:p>
    <w:p>
      <w:pPr>
        <w:spacing w:after="0" w:line="21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Chestnut Borrower LLC, a consolidated subsidiary of DGPV Holdco 3, is party to a credit agreement for term loans of up to $120 million and letters of credit of up to $8 million. The loans were repaid on November 2, 2020 with the proceeds of the term loan issued by DG-CS Master Borrower LLC, as described below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DG-CS Master Borrower LLC</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November 2, 2020, DG-CS Master Borrower LLC, a wholly owned subsidiary of Clearway Energy Operating LLC, entered into a financing arrangement, which included the issuance of a $467 million term loan, as well as $30 million in letters of credit in support of debt service. The term loan bears interest at 3.51% and mature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Concurrent with the refinancing, the projects were transferred under DG-CS Master Borrower LLC and the obligations under the financing arrangement are supported by the Company's interest in the projects.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i w:val="1"/>
          <w:iCs w:val="1"/>
          <w:color w:val="auto"/>
        </w:rPr>
        <w:t>Utah Solar Holdings, LLC</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September 1, 2020, Utah Solar Holdings, LLC, or Utah Solar, entered into a financing arrangement, which included the issuance of approximately $296 million in senior secured notes supported by the Company’s interest in the Utah projects (Four Brothers, Granite Mountain and Iron Springs, previously defined as the Utah Solar Portfolio), as well as $16 million in letters of credit in support of debt service obligations.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NIMH Solar LLC</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September 30, 2020, the Alpine, Blythe and Roadrunner projects were transferred under NIMH Solar LLC, a wholly owned subsidiary of Clearway Energy Operating LLC. Concurrently, total project-level debt outstanding for Alpine, Blythe and Roadrunner of $158 million was assigned to NIMH Solar LLC. The consolidated facility was amended to a term loan for $193 million, as well as $16 million in letters of credit in support of debt service and project obligations. The term loan bears annual interest rate of LIBOR, plus an applicable margin, which is 2.00% per annum through the third anniversary of closing, and 2.125% per annum thereafter through the maturity date in September 2024. As a result of the amendment the Company received $35 million which was utilized to pay related fees and expenses and along with existing project level cash, provided a distribution to Clearway Energy Operating LLC of $45 million. The obligations under the financing arrangement are supported by the Company’s interests in the projects.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Carlsbad Drop Down Asset Debt</w:t>
      </w:r>
    </w:p>
    <w:p>
      <w:pPr>
        <w:spacing w:after="0" w:line="17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On December 6, 2019, as part of the Carlsbad Drop Down acquisition,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Company assumed $803 million of senior secured, non-recourse notes related to Carlsbad Holdco LLC and Carlsbad Energy Holding LLC. The Carlsbad Holdco LLC notes bear an interest rate of 4.21%, and are fully amortizing over 19 years. In addition, Carlsbad Holdco LLC is party to a letter of credit facility agreement with the issuing banks for an aggregate principal amount not to exceed $10 million. Fees on the unused commitment are 0.65%.</w:t>
      </w:r>
    </w:p>
    <w:p>
      <w:pPr>
        <w:spacing w:after="0" w:line="128" w:lineRule="exact"/>
        <w:rPr>
          <w:sz w:val="20"/>
          <w:szCs w:val="20"/>
          <w:color w:val="auto"/>
        </w:rPr>
      </w:pPr>
    </w:p>
    <w:p>
      <w:pPr>
        <w:jc w:val="both"/>
        <w:ind w:firstLine="209"/>
        <w:spacing w:after="0" w:line="256" w:lineRule="auto"/>
        <w:rPr>
          <w:sz w:val="20"/>
          <w:szCs w:val="20"/>
          <w:color w:val="auto"/>
        </w:rPr>
      </w:pPr>
      <w:r>
        <w:rPr>
          <w:rFonts w:ascii="Times New Roman" w:cs="Times New Roman" w:eastAsia="Times New Roman" w:hAnsi="Times New Roman"/>
          <w:sz w:val="18"/>
          <w:szCs w:val="18"/>
          <w:color w:val="auto"/>
        </w:rPr>
        <w:t>Carlsbad Energy Holdings LLC is party to a note payable agreement with financial institutions for the issuance of up to $407 million of senior secured notes that bear interest at a rate of 4.12%, and mature on October 31, 2038. Carlsbad Energy Holdings LLC is also party to a term loan agreement with issuing banks for an aggregate principal amount of $194 million at an issuance rate of LIBOR plus an applicable margin of 1.625% until February 25, 2022, 1.750% until February 25, 2025, and 1.875% until maturity. Fees on the unused commitment are 0.50%. upon completion of the project. The agreement also includes a letter of credit facility with an aggregate principal amount not to exceed $83 million, and a working capital loan facility with an aggregate principal amount not to exceed $4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Agua Caliente Borrower 2 Debt Repayment</w:t>
      </w:r>
    </w:p>
    <w:p>
      <w:pPr>
        <w:spacing w:after="0" w:line="171" w:lineRule="exact"/>
        <w:rPr>
          <w:sz w:val="20"/>
          <w:szCs w:val="20"/>
          <w:color w:val="auto"/>
        </w:rPr>
      </w:pPr>
    </w:p>
    <w:p>
      <w:pPr>
        <w:jc w:val="both"/>
        <w:ind w:firstLine="234"/>
        <w:spacing w:after="0" w:line="284" w:lineRule="auto"/>
        <w:rPr>
          <w:sz w:val="20"/>
          <w:szCs w:val="20"/>
          <w:color w:val="auto"/>
        </w:rPr>
      </w:pPr>
      <w:r>
        <w:rPr>
          <w:rFonts w:ascii="Times New Roman" w:cs="Times New Roman" w:eastAsia="Times New Roman" w:hAnsi="Times New Roman"/>
          <w:sz w:val="18"/>
          <w:szCs w:val="18"/>
          <w:color w:val="auto"/>
        </w:rPr>
        <w:t>On October 21,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through Agua Caliente Borrower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LLC, repaid $40 million of the outstanding notes balance, including accrued interest and premiums, issued under the Agua Caliente Holdco Financing Agreement. The repayment was funded with Company's existing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Duquesne University</w:t>
      </w:r>
    </w:p>
    <w:p>
      <w:pPr>
        <w:spacing w:after="0" w:line="171" w:lineRule="exact"/>
        <w:rPr>
          <w:sz w:val="20"/>
          <w:szCs w:val="20"/>
          <w:color w:val="auto"/>
        </w:rPr>
      </w:pPr>
    </w:p>
    <w:p>
      <w:pPr>
        <w:jc w:val="both"/>
        <w:ind w:firstLine="234"/>
        <w:spacing w:after="0" w:line="267" w:lineRule="auto"/>
        <w:rPr>
          <w:sz w:val="20"/>
          <w:szCs w:val="20"/>
          <w:color w:val="auto"/>
        </w:rPr>
      </w:pPr>
      <w:r>
        <w:rPr>
          <w:rFonts w:ascii="Times New Roman" w:cs="Times New Roman" w:eastAsia="Times New Roman" w:hAnsi="Times New Roman"/>
          <w:sz w:val="18"/>
          <w:szCs w:val="18"/>
          <w:color w:val="auto"/>
        </w:rPr>
        <w:t>On May 1,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part of the Duquesne University district energy system acquisition, ECP Uptown Campus LLC issued non-recourse debt of $95 million, excluding financing fees. The debt consists of senior notes at an interest rate of 4.62% that mature on May 1, 2059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Interest on the notes are payable semi-annually in arrears. The proceeds of the debt, along with cash on hand, were utilized to fund the purchase price of the 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Oahu Solar Holdings LLC</w:t>
      </w:r>
    </w:p>
    <w:p>
      <w:pPr>
        <w:spacing w:after="0" w:line="171" w:lineRule="exact"/>
        <w:rPr>
          <w:sz w:val="20"/>
          <w:szCs w:val="20"/>
          <w:color w:val="auto"/>
        </w:rPr>
      </w:pPr>
    </w:p>
    <w:p>
      <w:pPr>
        <w:jc w:val="both"/>
        <w:ind w:firstLine="210"/>
        <w:spacing w:after="0" w:line="257" w:lineRule="auto"/>
        <w:rPr>
          <w:sz w:val="20"/>
          <w:szCs w:val="20"/>
          <w:color w:val="auto"/>
        </w:rPr>
      </w:pPr>
      <w:r>
        <w:rPr>
          <w:rFonts w:ascii="Times New Roman" w:cs="Times New Roman" w:eastAsia="Times New Roman" w:hAnsi="Times New Roman"/>
          <w:sz w:val="18"/>
          <w:szCs w:val="18"/>
          <w:color w:val="auto"/>
        </w:rPr>
        <w:t xml:space="preserve">Due to the Company consolidating the Oahu Partnership, as further described in Note 5, </w:t>
      </w:r>
      <w:r>
        <w:rPr>
          <w:rFonts w:ascii="Times New Roman" w:cs="Times New Roman" w:eastAsia="Times New Roman" w:hAnsi="Times New Roman"/>
          <w:sz w:val="18"/>
          <w:szCs w:val="18"/>
          <w:i w:val="1"/>
          <w:iCs w:val="1"/>
          <w:color w:val="auto"/>
        </w:rPr>
        <w:t>Investments Accounted for by the Equity Method and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 the Company assumed non-recourse debt of $143 million related to Oahu Solar Holdings, LLC. The debt consists of a construction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 ITC bridge loan with a total commitment amount of $162 million, both at an interest rate of LIBOR plus 1.375%. On November 13, 2019, $90 million of non-recourse debt was converted to a term loan with an expected maturity of November 2026, and the remainder of the non-recourse debt was repaid with the final contribution from the tax equity investor of $67 million upon the project reaching substantial completion. Interest on the term loan is payable quarterly in arrears.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Kawailoa Solar Portfolio LLC</w:t>
      </w:r>
    </w:p>
    <w:p>
      <w:pPr>
        <w:spacing w:after="0" w:line="17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Due to the Company consolidating the Kawailoa Partnership, as further described in Note 5, </w:t>
      </w:r>
      <w:r>
        <w:rPr>
          <w:rFonts w:ascii="Times New Roman" w:cs="Times New Roman" w:eastAsia="Times New Roman" w:hAnsi="Times New Roman"/>
          <w:sz w:val="18"/>
          <w:szCs w:val="18"/>
          <w:i w:val="1"/>
          <w:iCs w:val="1"/>
          <w:color w:val="auto"/>
        </w:rPr>
        <w:t>Investments Accounted for by the Equity Method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the Company assumed non-recourse debt of $120 million related to Kawailoa Solar Portfolio, LLC. The debt consists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loan and an ITC bridge loan, with a total commitment amount of $137 million both at an interest rate of LIBOR plus 1.375%. On December 23, 2019, $82 million of non-recourse debt was converted to a term loan with an expected maturity of December 2026, and the remainder of the non-recourse debt was repaid with the final contribution from the tax equity investor of $57 million upon the project reaching substantial completion. Interest on the term loan is payable quarterly in arrears.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Trent Refinancing</w:t>
      </w:r>
    </w:p>
    <w:p>
      <w:pPr>
        <w:spacing w:after="0" w:line="17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June 14, 2019, the Company, through South Trent Wind LLC, refinanced $49 million of non-recourse debt due 2020 at an interest rate of LIBOR plus 1.625% by issuing $46 million of new non-recourse financing due 2028 at an interest rate of LIBOR plus 1.350%.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Tapestry Refinancing</w:t>
      </w:r>
    </w:p>
    <w:p>
      <w:pPr>
        <w:spacing w:after="0" w:line="1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April 29, 2019, the Company, through Tapestry Wind LLC, refinanced $147 million of non-recourse debt due 2021 at interest rate of LIBOR plus 1.75% by issuing $164 million of new non-recourse financing due 2031 at an interest rate of LIBOR plus 1.375%.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Project Financings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Many of the Company's project subsidiaries entered into interest rate swaps, intended to hedge the risks associated with interest rates on non-recourse project level debt. These swaps amortize in proportion to their respective loans and are floating for a fixed rate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swaps, some of which are forward starting as indicated, related to the Company's project level debt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Floating Interest</w:t>
            </w:r>
          </w:p>
        </w:tc>
        <w:tc>
          <w:tcPr>
            <w:tcW w:w="100" w:type="dxa"/>
            <w:vAlign w:val="bottom"/>
          </w:tcPr>
          <w:p>
            <w:pPr>
              <w:spacing w:after="0"/>
              <w:rPr>
                <w:sz w:val="16"/>
                <w:szCs w:val="16"/>
                <w:color w:val="auto"/>
              </w:rPr>
            </w:pPr>
          </w:p>
        </w:tc>
        <w:tc>
          <w:tcPr>
            <w:tcW w:w="1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Notional Amount at</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540" w:type="dxa"/>
            <w:vAlign w:val="bottom"/>
            <w:gridSpan w:val="2"/>
            <w:vMerge w:val="continue"/>
          </w:tcPr>
          <w:p>
            <w:pPr>
              <w:spacing w:after="0"/>
              <w:rPr>
                <w:sz w:val="14"/>
                <w:szCs w:val="14"/>
                <w:color w:val="auto"/>
              </w:rPr>
            </w:pPr>
          </w:p>
        </w:tc>
        <w:tc>
          <w:tcPr>
            <w:tcW w:w="16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December 31, 2020 (In</w:t>
            </w:r>
          </w:p>
        </w:tc>
        <w:tc>
          <w:tcPr>
            <w:tcW w:w="120" w:type="dxa"/>
            <w:vAlign w:val="bottom"/>
          </w:tcPr>
          <w:p>
            <w:pPr>
              <w:spacing w:after="0"/>
              <w:rPr>
                <w:sz w:val="14"/>
                <w:szCs w:val="14"/>
                <w:color w:val="auto"/>
              </w:rPr>
            </w:pPr>
          </w:p>
        </w:tc>
        <w:tc>
          <w:tcPr>
            <w:tcW w:w="1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18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0" w:type="dxa"/>
            <w:vAlign w:val="bottom"/>
          </w:tcPr>
          <w:p>
            <w:pPr>
              <w:spacing w:after="0"/>
              <w:rPr>
                <w:sz w:val="18"/>
                <w:szCs w:val="18"/>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2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Avra Valley</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9"/>
              </w:rPr>
              <w:t>3-Month LIBOR</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30, 2012</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30, 2030</w:t>
            </w: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Alta Wind Asset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20" w:type="dxa"/>
            <w:vAlign w:val="bottom"/>
          </w:tcPr>
          <w:p>
            <w:pPr>
              <w:spacing w:after="0"/>
              <w:rPr>
                <w:sz w:val="14"/>
                <w:szCs w:val="14"/>
                <w:color w:val="auto"/>
              </w:rPr>
            </w:pPr>
          </w:p>
        </w:tc>
        <w:tc>
          <w:tcPr>
            <w:tcW w:w="1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4"/>
                <w:szCs w:val="14"/>
                <w:color w:val="auto"/>
              </w:rPr>
            </w:pPr>
          </w:p>
        </w:tc>
        <w:tc>
          <w:tcPr>
            <w:tcW w:w="1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May 22, 2013</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May 15, 2031</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Borrego</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0.476 %</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30, 2020</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Buckthorn Solar</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Various</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28, 2018</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31, 2041</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Various</w:t>
            </w:r>
          </w:p>
        </w:tc>
        <w:tc>
          <w:tcPr>
            <w:tcW w:w="1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Various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30, 2027</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 Segundo</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Various</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Various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Kansas South</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2.368 %</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6-Month LIBOR</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28, 2013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31, 2030</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Kawailoa Solar</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Various</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November 30, 2019</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31, 2040</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Laredo Ridge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Various</w:t>
            </w:r>
          </w:p>
        </w:tc>
        <w:tc>
          <w:tcPr>
            <w:tcW w:w="1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17, 2014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31, 2028</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Marsh Landing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Various</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28, 2013</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2023</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NIMH Solar LLC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Various</w:t>
            </w:r>
          </w:p>
        </w:tc>
        <w:tc>
          <w:tcPr>
            <w:tcW w:w="1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September 30, 2020</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Oahu Solar</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Various</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November 30, 2019</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31, 2040</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Rosie Class B</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1.446 %</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31, 2020</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29, 2044</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Trent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3.847 %</w:t>
            </w:r>
          </w:p>
        </w:tc>
        <w:tc>
          <w:tcPr>
            <w:tcW w:w="120" w:type="dxa"/>
            <w:vAlign w:val="bottom"/>
          </w:tcPr>
          <w:p>
            <w:pPr>
              <w:spacing w:after="0"/>
              <w:rPr>
                <w:sz w:val="18"/>
                <w:szCs w:val="18"/>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14, 2019</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2028</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Tapestry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Various</w:t>
            </w:r>
          </w:p>
        </w:tc>
        <w:tc>
          <w:tcPr>
            <w:tcW w:w="1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Various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Tapestry</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20" w:type="dxa"/>
            <w:vAlign w:val="bottom"/>
          </w:tcPr>
          <w:p>
            <w:pPr>
              <w:spacing w:after="0"/>
              <w:rPr>
                <w:sz w:val="18"/>
                <w:szCs w:val="18"/>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December 21, 2021</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21, 2029</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Viento Funding II</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6-Month LIBOR</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Various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Viento Funding II</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4.985 %</w:t>
            </w:r>
          </w:p>
        </w:tc>
        <w:tc>
          <w:tcPr>
            <w:tcW w:w="120" w:type="dxa"/>
            <w:vAlign w:val="bottom"/>
          </w:tcPr>
          <w:p>
            <w:pPr>
              <w:spacing w:after="0"/>
              <w:rPr>
                <w:sz w:val="18"/>
                <w:szCs w:val="18"/>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6-Month LIBOR</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11, 2023</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2028</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Walnut Creek Energy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3.543 %</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28, 2013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31, 2023</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WCEP Holdings</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4.003 %</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3-Month LIBOR</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28, 2013</w:t>
            </w: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May 31, 2023</w:t>
            </w: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Annual Maturities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Annual payments based on the maturities of the Company's debt, for the years ending after December 31, 2020, are as follows:</w:t>
            </w:r>
          </w:p>
        </w:tc>
        <w:tc>
          <w:tcPr>
            <w:tcW w:w="1480" w:type="dxa"/>
            <w:vAlign w:val="bottom"/>
          </w:tcPr>
          <w:p>
            <w:pPr>
              <w:spacing w:after="0"/>
              <w:rPr>
                <w:sz w:val="20"/>
                <w:szCs w:val="20"/>
                <w:color w:val="auto"/>
              </w:rPr>
            </w:pPr>
          </w:p>
        </w:tc>
      </w:tr>
      <w:tr>
        <w:trPr>
          <w:trHeight w:val="240"/>
        </w:trPr>
        <w:tc>
          <w:tcPr>
            <w:tcW w:w="906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4,528</w:t>
            </w: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49"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Note 11 — Earnings (Loss) Per Share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reconciliation of the Company's basic and diluted (loss) earnings per share is shown in the following table:</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23"/>
                <w:szCs w:val="23"/>
                <w:b w:val="1"/>
                <w:bCs w:val="1"/>
                <w:color w:val="auto"/>
                <w:vertAlign w:val="superscript"/>
              </w:rPr>
              <w:t>(a)</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780" w:type="dxa"/>
            <w:vAlign w:val="bottom"/>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760" w:type="dxa"/>
            <w:vAlign w:val="bottom"/>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800" w:type="dxa"/>
            <w:vAlign w:val="bottom"/>
          </w:tcPr>
          <w:p>
            <w:pPr>
              <w:jc w:val="right"/>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Class C</w:t>
            </w:r>
          </w:p>
        </w:tc>
        <w:tc>
          <w:tcPr>
            <w:tcW w:w="14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Class C</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800" w:type="dxa"/>
            <w:vAlign w:val="bottom"/>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Basic and diluted earnings (loss) per share attributable to</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Clearway Energy, Inc. common stockholders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Clearway Energy, Inc.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0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100" w:type="dxa"/>
            <w:vAlign w:val="bottom"/>
            <w:gridSpan w:val="2"/>
            <w:shd w:val="clear" w:color="auto" w:fill="CCEEFF"/>
          </w:tcPr>
          <w:p>
            <w:pPr>
              <w:ind w:left="320"/>
              <w:spacing w:after="0" w:line="156" w:lineRule="exact"/>
              <w:rPr>
                <w:sz w:val="20"/>
                <w:szCs w:val="20"/>
                <w:color w:val="auto"/>
              </w:rPr>
            </w:pPr>
            <w:r>
              <w:rPr>
                <w:rFonts w:ascii="Times New Roman" w:cs="Times New Roman" w:eastAsia="Times New Roman" w:hAnsi="Times New Roman"/>
                <w:sz w:val="18"/>
                <w:szCs w:val="18"/>
                <w:b w:val="1"/>
                <w:bCs w:val="1"/>
                <w:color w:val="auto"/>
              </w:rPr>
              <w:t>Earnings (loss) per weighted average common share — basic</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100" w:type="dxa"/>
            <w:vAlign w:val="bottom"/>
            <w:tcBorders>
              <w:bottom w:val="single" w:sz="8" w:color="CCEEFF"/>
            </w:tcBorders>
            <w:gridSpan w:val="2"/>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b w:val="1"/>
                <w:bCs w:val="1"/>
                <w:color w:val="auto"/>
              </w:rPr>
              <w:t>and diluted</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3798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60" w:hanging="152"/>
        <w:spacing w:after="0"/>
        <w:tabs>
          <w:tab w:leader="none" w:pos="160"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Net income (loss) attributable to Clearway Energy, Inc. and basic and diluted earnings (loss) per share might not recalculate due to presenting values in millions rather than whole dollars.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equity instruments that are anti-dilutive and were not included in the computation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diluted earnings per share:</w:t>
      </w:r>
    </w:p>
    <w:p>
      <w:pPr>
        <w:spacing w:after="0" w:line="65"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7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(In millions of shares)</w:t>
            </w:r>
          </w:p>
        </w:tc>
        <w:tc>
          <w:tcPr>
            <w:tcW w:w="1040" w:type="dxa"/>
            <w:vAlign w:val="bottom"/>
          </w:tcPr>
          <w:p>
            <w:pPr>
              <w:spacing w:after="0"/>
              <w:rPr>
                <w:sz w:val="15"/>
                <w:szCs w:val="15"/>
                <w:color w:val="auto"/>
              </w:rPr>
            </w:pPr>
          </w:p>
        </w:tc>
      </w:tr>
      <w:tr>
        <w:trPr>
          <w:trHeight w:val="216"/>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 Convertible Notes - Common Class A</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2020 Convertible Notes - Common Class C</w:t>
            </w:r>
          </w:p>
        </w:tc>
        <w:tc>
          <w:tcPr>
            <w:tcW w:w="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324"/>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Class C Common Stock Issuance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sold a total of 5,405,405 shares of Class C common stock for net proceeds of $100 million on December 2, 2019. The Company utilized the proceeds of the offering to acquire 5,405,405 Class C units of Clearway Energy LLC.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Class C Common Stock Issuance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September 27, 2018, Clearway Energy, Inc. issued and sold 3,916,449 shares of Class C common stock for net proceeds of $75 million. The Company utilized the proceeds of the offering to acquire 3,916,449 Class C units of Clearway Energy LLC.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At-the-Market Equity Offering Program, or the ATM Programs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August 6, 2020, Clearway Energy, Inc. entered into an equity distribution agreement with Credit Suisse Securities (USA) LLC, Goldman Sachs &amp; Co. LLC, Morgan Stanley &amp; Co. LLC and UBS Securities LLC, as sales agents. Pursuant to the terms of the equity distribution agreement, Clearway Energy, Inc. may offer and sell shares of its Class C common stock from time to time through the sales agents up to an aggregate sales price of $150 million through an at-the-market equity offering program, or the 2020 ATM Program.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4" w:name="page125"/>
    <w:bookmarkEnd w:id="124"/>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August 9, 2016, Clearway Energy, Inc. entered into an equity distribution agreement, or EDA, with Barclays Capital Inc., Credit Suisse Securities (USA) LLC, J.P. Morgan Securities LLC and RBC Capital Markets, LLC, as sales agents. Pursuant to the terms of the equity distribution agreement Clearway Energy, Inc., offered and sold shares of its Class C common stock from time to time through the sales agents up to an aggregate sales price of $150 million through an at-the-market equity offering program, or the 2016 ATM Program. As of June 30, 2020, the Company had completed the issuance of shares of Class C common stock totaling $150 million in gross proceeds under the 2016 ATM Program.</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Class C common stock shares sold under the ATM Programs during the year end December 31, 2020 :</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Proceeds from the</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rPr>
              <w:t>sale of shares</w:t>
            </w:r>
            <w:r>
              <w:rPr>
                <w:rFonts w:ascii="Times New Roman" w:cs="Times New Roman" w:eastAsia="Times New Roman" w:hAnsi="Times New Roman"/>
                <w:sz w:val="15"/>
                <w:szCs w:val="15"/>
                <w:b w:val="1"/>
                <w:bCs w:val="1"/>
                <w:color w:val="auto"/>
                <w:vertAlign w:val="superscript"/>
              </w:rPr>
              <w:t>(a)</w:t>
            </w:r>
          </w:p>
        </w:tc>
        <w:tc>
          <w:tcPr>
            <w:tcW w:w="0" w:type="dxa"/>
            <w:vAlign w:val="bottom"/>
          </w:tcPr>
          <w:p>
            <w:pPr>
              <w:spacing w:after="0"/>
              <w:rPr>
                <w:sz w:val="1"/>
                <w:szCs w:val="1"/>
                <w:color w:val="auto"/>
              </w:rPr>
            </w:pPr>
          </w:p>
        </w:tc>
      </w:tr>
      <w:tr>
        <w:trPr>
          <w:trHeight w:val="189"/>
        </w:trPr>
        <w:tc>
          <w:tcPr>
            <w:tcW w:w="80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13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ATM Program</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940,790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2016 ATM Program</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1,749,665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Class C common stock sold during the year ended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2,690,455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00" w:hanging="144"/>
        <w:spacing w:after="0"/>
        <w:tabs>
          <w:tab w:leader="none" w:pos="800"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incurred commission fees of $0.6 million during the year ended December 31, 2020.</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2020, approximately $126 million of Class C common stock remains available for issuance under the 2020 ATM Program.</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utilized the proceeds of the sales under the ATM Programs to acquire 2,690,455 Class C units of Clearway Energy LLC and, as a result, as of </w:t>
      </w:r>
      <w:r>
        <w:rPr>
          <w:rFonts w:ascii="Times New Roman" w:cs="Times New Roman" w:eastAsia="Times New Roman" w:hAnsi="Times New Roman"/>
          <w:sz w:val="16"/>
          <w:szCs w:val="16"/>
          <w:color w:val="auto"/>
        </w:rPr>
        <w:t>December 31, 2020</w:t>
      </w:r>
      <w:r>
        <w:rPr>
          <w:rFonts w:ascii="Times New Roman" w:cs="Times New Roman" w:eastAsia="Times New Roman" w:hAnsi="Times New Roman"/>
          <w:sz w:val="18"/>
          <w:szCs w:val="18"/>
          <w:color w:val="auto"/>
        </w:rPr>
        <w:t xml:space="preserve"> the Company owned 57.61% of the economic interests of Clearway Energy LLC, with CEG retaining 42.39% of the economic interests of Clearway Energy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to Class A and Class C common stockholders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and Class C common stock during the year ended December 31,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Fourth Quarter 2020</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 2020</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 2020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2020</w:t>
            </w:r>
          </w:p>
        </w:tc>
      </w:tr>
      <w:tr>
        <w:trPr>
          <w:trHeight w:val="228"/>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share</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0.3180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0.3125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0.2100</w:t>
            </w: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C share</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0.3180</w:t>
            </w:r>
          </w:p>
        </w:tc>
        <w:tc>
          <w:tcPr>
            <w:tcW w:w="120" w:type="dxa"/>
            <w:vAlign w:val="bottom"/>
          </w:tcPr>
          <w:p>
            <w:pPr>
              <w:spacing w:after="0"/>
              <w:rPr>
                <w:sz w:val="20"/>
                <w:szCs w:val="20"/>
                <w:color w:val="auto"/>
              </w:rPr>
            </w:pP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0.3125</w:t>
            </w:r>
          </w:p>
        </w:tc>
        <w:tc>
          <w:tcPr>
            <w:tcW w:w="12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100" w:type="dxa"/>
            <w:vAlign w:val="bottom"/>
          </w:tcPr>
          <w:p>
            <w:pPr>
              <w:spacing w:after="0"/>
              <w:rPr>
                <w:sz w:val="20"/>
                <w:szCs w:val="20"/>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0.2100</w:t>
            </w:r>
          </w:p>
        </w:tc>
      </w:tr>
    </w:tbl>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February 12, 2021, the Company declared a quarterly dividend on its Class A and Class C common stock of $0.324 per share payable on March 15, 2021, to stockholders of record as of March 1, 2021.</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also authorized 10,000,000 shares of preferred stock, par value $0.01 per share. None of the shares of preferred stock have been issued.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CEG</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distributions paid to CEG during the year ended December 31, 2020 on Clearway Energy LLC's Class B and D units: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Fourth Quarter 2020</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Third Quarter 2020</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Second Quarter 2020</w:t>
            </w:r>
          </w:p>
        </w:tc>
        <w:tc>
          <w:tcPr>
            <w:tcW w:w="120" w:type="dxa"/>
            <w:vAlign w:val="bottom"/>
          </w:tcPr>
          <w:p>
            <w:pPr>
              <w:spacing w:after="0"/>
              <w:rPr>
                <w:sz w:val="16"/>
                <w:szCs w:val="16"/>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First Quarter 2020</w:t>
            </w: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per Class B unit</w:t>
            </w:r>
          </w:p>
        </w:tc>
        <w:tc>
          <w:tcPr>
            <w:tcW w:w="48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0.3180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0.3125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0.2100</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per Class D unit</w:t>
            </w:r>
          </w:p>
        </w:tc>
        <w:tc>
          <w:tcPr>
            <w:tcW w:w="4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0.3180</w:t>
            </w:r>
          </w:p>
        </w:tc>
        <w:tc>
          <w:tcPr>
            <w:tcW w:w="100" w:type="dxa"/>
            <w:vAlign w:val="bottom"/>
          </w:tcPr>
          <w:p>
            <w:pPr>
              <w:spacing w:after="0"/>
              <w:rPr>
                <w:sz w:val="20"/>
                <w:szCs w:val="20"/>
                <w:color w:val="auto"/>
              </w:rPr>
            </w:pPr>
          </w:p>
        </w:tc>
        <w:tc>
          <w:tcPr>
            <w:tcW w:w="4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0.3125</w:t>
            </w:r>
          </w:p>
        </w:tc>
        <w:tc>
          <w:tcPr>
            <w:tcW w:w="100" w:type="dxa"/>
            <w:vAlign w:val="bottom"/>
          </w:tcPr>
          <w:p>
            <w:pPr>
              <w:spacing w:after="0"/>
              <w:rPr>
                <w:sz w:val="20"/>
                <w:szCs w:val="20"/>
                <w:color w:val="auto"/>
              </w:rPr>
            </w:pPr>
          </w:p>
        </w:tc>
        <w:tc>
          <w:tcPr>
            <w:tcW w:w="4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0.2100</w:t>
            </w:r>
          </w:p>
        </w:tc>
      </w:tr>
    </w:tbl>
    <w:p>
      <w:pPr>
        <w:spacing w:after="0" w:line="200" w:lineRule="exact"/>
        <w:rPr>
          <w:sz w:val="20"/>
          <w:szCs w:val="20"/>
          <w:color w:val="auto"/>
        </w:rPr>
      </w:pPr>
    </w:p>
    <w:p>
      <w:pPr>
        <w:spacing w:after="0" w:line="2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portion of the distributions paid by Clearway Energy LLC to CEG is recorded as a reduction to the Company's noncontrolling interest balance. The portion of the distributions paid by Clearway Energy LLC to the Company was utilized to fund the dividends to the Class A and Class C common stockholders described above.</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February 12, 2021, Clearway Energy LLC declared a quarterly distribution on its Class B and Class D units of $0.324 per unit payable to CEG on 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Note 13 — 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generated more than 10% of its revenues from the following customers for the years ended December 31, 2020, 2019 and 2018:</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20" w:type="dxa"/>
            <w:vAlign w:val="bottom"/>
          </w:tcPr>
          <w:p>
            <w:pPr>
              <w:spacing w:after="0"/>
              <w:rPr>
                <w:sz w:val="16"/>
                <w:szCs w:val="16"/>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060" w:type="dxa"/>
            <w:vAlign w:val="bottom"/>
            <w:gridSpan w:val="2"/>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0" w:type="dxa"/>
            <w:vAlign w:val="bottom"/>
          </w:tcPr>
          <w:p>
            <w:pPr>
              <w:spacing w:after="0"/>
              <w:rPr>
                <w:sz w:val="1"/>
                <w:szCs w:val="1"/>
                <w:color w:val="auto"/>
              </w:rPr>
            </w:pPr>
          </w:p>
        </w:tc>
      </w:tr>
      <w:tr>
        <w:trPr>
          <w:trHeight w:val="212"/>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SCE</w:t>
            </w: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ind w:right="256"/>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PG&amp;E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5"/>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204"/>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256"/>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3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jc w:val="right"/>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00" w:type="dxa"/>
            <w:vAlign w:val="bottom"/>
          </w:tcPr>
          <w:p>
            <w:pPr>
              <w:spacing w:after="0"/>
              <w:rPr>
                <w:sz w:val="11"/>
                <w:szCs w:val="11"/>
                <w:color w:val="auto"/>
              </w:rPr>
            </w:pPr>
          </w:p>
        </w:tc>
        <w:tc>
          <w:tcPr>
            <w:tcW w:w="1080" w:type="dxa"/>
            <w:vAlign w:val="bottom"/>
            <w:gridSpan w:val="4"/>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8"/>
                <w:szCs w:val="18"/>
                <w:b w:val="1"/>
                <w:bCs w:val="1"/>
                <w:color w:val="auto"/>
                <w:vertAlign w:val="superscript"/>
              </w:rPr>
              <w:t>(a)</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3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0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5"/>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700" w:type="dxa"/>
            <w:vAlign w:val="bottom"/>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0" w:type="dxa"/>
            <w:vAlign w:val="bottom"/>
            <w:gridSpan w:val="3"/>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operations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losses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Development costs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(losses) of unconsolidated affiliates</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investment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unconsolidated affiliates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Clearway Energy, Inc.</w:t>
            </w:r>
          </w:p>
        </w:tc>
        <w:tc>
          <w:tcPr>
            <w:tcW w:w="440" w:type="dxa"/>
            <w:vAlign w:val="bottom"/>
          </w:tcPr>
          <w:p>
            <w:pPr>
              <w:spacing w:after="0"/>
              <w:rPr>
                <w:sz w:val="18"/>
                <w:szCs w:val="18"/>
                <w:color w:val="auto"/>
              </w:rPr>
            </w:pPr>
          </w:p>
        </w:tc>
        <w:tc>
          <w:tcPr>
            <w:tcW w:w="6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 in affiliates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5"/>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700" w:type="dxa"/>
            <w:vAlign w:val="bottom"/>
            <w:gridSpan w:val="2"/>
          </w:tcPr>
          <w:p>
            <w:pPr>
              <w:jc w:val="right"/>
              <w:ind w:right="424"/>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800" w:type="dxa"/>
            <w:vAlign w:val="bottom"/>
            <w:gridSpan w:val="3"/>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Capital expenditures </w:t>
            </w:r>
            <w:r>
              <w:rPr>
                <w:rFonts w:ascii="Times New Roman" w:cs="Times New Roman" w:eastAsia="Times New Roman" w:hAnsi="Times New Roman"/>
                <w:sz w:val="21"/>
                <w:szCs w:val="21"/>
                <w:color w:val="auto"/>
                <w:vertAlign w:val="superscript"/>
              </w:rPr>
              <w:t>(b)</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5"/>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700" w:type="dxa"/>
            <w:vAlign w:val="bottom"/>
            <w:gridSpan w:val="2"/>
          </w:tcPr>
          <w:p>
            <w:pPr>
              <w:jc w:val="right"/>
              <w:ind w:right="424"/>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800" w:type="dxa"/>
            <w:vAlign w:val="bottom"/>
            <w:gridSpan w:val="3"/>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13544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40" w:hanging="132"/>
        <w:spacing w:after="0"/>
        <w:tabs>
          <w:tab w:leader="none" w:pos="140" w:val="left"/>
        </w:tabs>
        <w:numPr>
          <w:ilvl w:val="0"/>
          <w:numId w:val="5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eliminations</w:t>
      </w:r>
    </w:p>
    <w:p>
      <w:pPr>
        <w:ind w:left="160" w:hanging="152"/>
        <w:spacing w:after="0" w:line="189" w:lineRule="auto"/>
        <w:tabs>
          <w:tab w:leader="none" w:pos="160" w:val="left"/>
        </w:tabs>
        <w:numPr>
          <w:ilvl w:val="0"/>
          <w:numId w:val="5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accruals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95"/>
        </w:trPr>
        <w:tc>
          <w:tcPr>
            <w:tcW w:w="21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8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Cost of operations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Impairment losses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Development costs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5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Clearway Energy, Inc.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Capital expenditures </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2"/>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0" w:type="dxa"/>
            <w:vAlign w:val="bottom"/>
          </w:tcPr>
          <w:p>
            <w:pPr>
              <w:spacing w:after="0"/>
              <w:rPr>
                <w:sz w:val="1"/>
                <w:szCs w:val="1"/>
                <w:color w:val="auto"/>
              </w:rPr>
            </w:pPr>
          </w:p>
        </w:tc>
      </w:tr>
      <w:tr>
        <w:trPr>
          <w:trHeight w:val="490"/>
        </w:trPr>
        <w:tc>
          <w:tcPr>
            <w:tcW w:w="214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4"/>
                <w:szCs w:val="14"/>
                <w:color w:val="auto"/>
              </w:rPr>
              <w:t xml:space="preserve"> Includes accruals.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8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Cost of operations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Development costs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7"/>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Clearway Energy,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25" w:right="3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income tax provision consisted of the following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00" w:type="dxa"/>
            <w:vAlign w:val="bottom"/>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193"/>
        </w:trPr>
        <w:tc>
          <w:tcPr>
            <w:tcW w:w="6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Federal</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7"/>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 deferred</w:t>
            </w:r>
          </w:p>
        </w:tc>
        <w:tc>
          <w:tcPr>
            <w:tcW w:w="1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7"/>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income tax expense (benefit)</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U.S. federal statutory rate of 21% to the Company's effective rate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93"/>
        </w:trPr>
        <w:tc>
          <w:tcPr>
            <w:tcW w:w="6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80" w:type="dxa"/>
            <w:vAlign w:val="bottom"/>
            <w:gridSpan w:val="6"/>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at 21%</w:t>
            </w:r>
          </w:p>
        </w:tc>
        <w:tc>
          <w:tcPr>
            <w:tcW w:w="10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6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state rate change due to deconsolidation from NRG</w:t>
            </w:r>
          </w:p>
        </w:tc>
        <w:tc>
          <w:tcPr>
            <w:tcW w:w="10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Impact of non-taxable equity earnings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6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tax credits</w:t>
            </w:r>
          </w:p>
        </w:tc>
        <w:tc>
          <w:tcPr>
            <w:tcW w:w="10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Production tax credits, including prior year true-up</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Valuation allowance adjustment</w:t>
            </w:r>
          </w:p>
        </w:tc>
        <w:tc>
          <w:tcPr>
            <w:tcW w:w="10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Rate Change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1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53.4 %</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firstLine="21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overall effective tax rate was different than the statutory rate of 21% primarily due to the taxable earnings and losses allocated to partners’ interest in Clearway Energy LLC, which includes the effects of applying HLBV method of accounting for book purposes of certain partnerships.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the overall effective tax rate was different than the statutory rate of 21% primarily due to the taxable earnings and losses allocated to partners’ interest in Clearway Energy LLC, which includes the effects of applying HLBV method of accounting for book purposes of certain partnerships.</w:t>
      </w:r>
    </w:p>
    <w:p>
      <w:pPr>
        <w:spacing w:after="0" w:line="122" w:lineRule="exact"/>
        <w:rPr>
          <w:sz w:val="20"/>
          <w:szCs w:val="20"/>
          <w:color w:val="auto"/>
        </w:rPr>
      </w:pPr>
    </w:p>
    <w:p>
      <w:pPr>
        <w:jc w:val="both"/>
        <w:ind w:firstLine="187"/>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the overall effective tax rate was different than the statutory rate of 21% primarily due to higher state income tax rate following the Company’s separation from NRG, as well as taxable earnings and losses allocated to partners’ interest in Clearway Energy LLC, which includes the effects of applying HLBV method of accounting for book purposes of certain partnerships. In 2018, the Company completed the accounting for all of the income tax effects related to the Tax Cuts and Jobs Act, which resulted in no material adjustments in 2018 to the provisional amounts recorded in 2017.</w:t>
      </w:r>
    </w:p>
    <w:p>
      <w:pPr>
        <w:spacing w:after="0" w:line="1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tax purposes, Clearway Energy LLC is treated as a partnership; therefore, the Company and CEG each record their respective share of taxable income or loss.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29" w:name="page130"/>
    <w:bookmarkEnd w:id="129"/>
    <w:p>
      <w:pPr>
        <w:ind w:left="420"/>
        <w:spacing w:after="0"/>
        <w:rPr>
          <w:sz w:val="20"/>
          <w:szCs w:val="20"/>
          <w:color w:val="auto"/>
        </w:rPr>
      </w:pPr>
      <w:r>
        <w:rPr>
          <w:rFonts w:ascii="Times New Roman" w:cs="Times New Roman" w:eastAsia="Times New Roman" w:hAnsi="Times New Roman"/>
          <w:sz w:val="18"/>
          <w:szCs w:val="18"/>
          <w:color w:val="auto"/>
        </w:rPr>
        <w:t>The temporary differences, which gave rise to the Company's deferred tax assets,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r>
      <w:tr>
        <w:trPr>
          <w:trHeight w:val="188"/>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Investment in projects</w:t>
            </w: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2"/>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07"/>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disallowance carryforward - Investment in Projects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Production tax credits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tax credits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Federal net operating loss carryforwards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loss carryforwards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State net operating loss carryforwards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2"/>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deferred tax assets, net of valuation allowance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2"/>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deferred noncurrent tax asset</w:t>
            </w: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 xml:space="preserve">The primary driver for the increase in the net deferred tax asset from $92 million to $104 million as of December 31, 2020, is the increase in federal and state NOLs, partially offset by utilization of the interest disallowance carryforward. As discussed in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NRG allocated $22 million to the Company in tax-effected state NOLs, which was recorded as a non-cash adjustments to the consolidated statements of stockholders’ equity for the year ended December 31, 2019.</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and Payable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2020, the Company has no current or long term tax receivable or payable to be recorded.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Valuation Allowance</w:t>
      </w:r>
    </w:p>
    <w:p>
      <w:pPr>
        <w:spacing w:after="0" w:line="17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deferred tax balance </w:t>
      </w:r>
      <w:r>
        <w:rPr>
          <w:rFonts w:ascii="Times New Roman" w:cs="Times New Roman" w:eastAsia="Times New Roman" w:hAnsi="Times New Roman"/>
          <w:sz w:val="18"/>
          <w:szCs w:val="18"/>
          <w:color w:val="auto"/>
        </w:rPr>
        <w:t>— As of December 31, 2020 and 2019, the Company recorded a net deferred tax asset of $104 million and $92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Company believes it is more likely than not that the results of future 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$15 million, a deferred tax asset, for which there are no existing capital gains or available tax planning strategies to utilize the asset in the future may not be realized, resulting in the recording of a valuation allowance.</w:t>
      </w:r>
    </w:p>
    <w:p>
      <w:pPr>
        <w:spacing w:after="0" w:line="128"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NOL carryforwards </w:t>
      </w:r>
      <w:r>
        <w:rPr>
          <w:rFonts w:ascii="Times New Roman" w:cs="Times New Roman" w:eastAsia="Times New Roman" w:hAnsi="Times New Roman"/>
          <w:sz w:val="18"/>
          <w:szCs w:val="18"/>
          <w:color w:val="auto"/>
        </w:rPr>
        <w:t>— As of December 31, 2020, the Company had domestic NOLs carryforwards for federal income tax purposes of $260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cumulative state NOLs of $48 million tax-effected.</w:t>
      </w:r>
    </w:p>
    <w:p>
      <w:pPr>
        <w:spacing w:after="0" w:line="104"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disallowance carryforward </w:t>
      </w:r>
      <w:r>
        <w:rPr>
          <w:rFonts w:ascii="Times New Roman" w:cs="Times New Roman" w:eastAsia="Times New Roman" w:hAnsi="Times New Roman"/>
          <w:sz w:val="18"/>
          <w:szCs w:val="18"/>
          <w:color w:val="auto"/>
        </w:rPr>
        <w:t>— As of December 31, 2020, the Company has a deferred tax asset of $11 million related to disallowed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under the proposed IRC §163(j) regulation.</w:t>
      </w:r>
    </w:p>
    <w:p>
      <w:pPr>
        <w:spacing w:after="0" w:line="1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disallowed interest deduction has an indefinite carry forward period and any limitations on the utilization of this carryforward have been factored into the valuation allowance analysis.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no identified uncertain tax positions that require evaluation as of December 31,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affiliates and amounts due to the Company from CEG subsidiaries are recorded as accounts receivable - affiliates in the Company's balance sheet. The disclosures below summarize the Company's material related party transactions with CEG and its subsidiaries that are included in the Company's operating revenues and operating costs.</w:t>
      </w:r>
    </w:p>
    <w:p>
      <w:pPr>
        <w:spacing w:after="0" w:line="124"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on August 31, 2018, NRG sold 100% of its interest in CEG to GIP, and as a result, CEG and its subsidiaries are considered related parties during the year ended December 31, 2020 and December 31, 2019, and NRG and its subsidiaries were considered related parties during the first eight months of the year ended December 31,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CEG entities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wholly-owned subsidiaries of the Company in the Renewables segment are party to administrative services agreements with Clearway Renewable Operation &amp; Maintenance LLC, or RENOM, a wholly-owned subsidiary of CEG, which provides operation and maintenance, or O&amp;M, services to these subsidiaries. The Company incurred total expenses for these services of $37 million and $31 million for the year ended December 31, 2020 and 2019, respectively. The Company incurred total expenses of $11 million for the period from September 1, 2018 to December 31, 2018. There was a balance of $10 million and $7 million due to RENOM as of December 31, 2020 and 2019,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Various wholly-owned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$10 million and $7 million for the year ended December 31, 2020 and 2019, respectively. The Company incurred expenses under these agreements of $3 million for the period from September 1, 2018 to December 31, 2018. There was a balance of $2 million and $1 million due to CEG as of December 31, 2020 and 2019,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175"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$2 million and $1 million under these agreements for the year ended December 31, 2020 and 2019,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NRG entities prior to the GIP Transaction</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NRG Renew Operation &amp; Maintenance LLC</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Various wholly-owned subsidiaries of the Company in the Renewables segment were party to administrative services agreements with NRG Renew Operation &amp; Maintenance LLC, or RENOM, formerly wholly-owned subsidiary of NRG, which provided O&amp;M, services to these subsidiaries. The Company incurred total expenses for these services of $29 million for the eight months ended August 31,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NRG</w:t>
      </w:r>
    </w:p>
    <w:p>
      <w:pPr>
        <w:spacing w:after="0" w:line="175"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8"/>
          <w:szCs w:val="18"/>
          <w:color w:val="auto"/>
        </w:rPr>
        <w:t>Various wholly-owned subsidiaries of the Company were parties to administrative services agreements with Clearway Asset Services (formerly NRG Asset Services) and Clearway Solar Asset Management (formerly NRG Solar Asset Management), two wholly-owned subsidiaries of CEG, which provided various administrative asset services to the Company's subsidiaries prior to GIP Transaction. The Company reimbursed costs under this agreement of $6 million for the eight months ended August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Agreements (PPAs) between the Company and NRG Power Marketing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Elbow Creek and Dover were parties to PPAs with NRG Power Marketing and generate revenue under the PPAs, which were recorded to operating revenues in the Company's consolidated statements of operations. For the eight months ended August 31, 2018, Elbow Creek and Dover, collectively, generated revenues of $8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Marketing Services Agreement by and between Thermal entities and NRG Power Marketing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Energy Center Dover LLC, Energy Center Minneapolis, Energy Center Phoenix LLC and Energy Center Paxton LLC, or Thermal entities, were parties to Energy Marketing Services Agreements with NRG Power Marketing, a wholly-owned subsidiary of NRG. Under the agreements, NRG Power Marketing procured fuel and fuel transportation for the operation of Thermal entities. For the eight months ended August 31, 2018, the Thermal entities purchased $7 million of natural gas from NRG Power Marketing.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 and Maintenance (O&amp;M) Services Agreements by and between the Company's subsidiaries and NRG</w:t>
      </w:r>
    </w:p>
    <w:p>
      <w:pPr>
        <w:spacing w:after="0" w:line="175"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these agreements were $27 million for the eight months ended August 31, 2018.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GenConn and NRG</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GenConn incurs fees under two O&amp;M agreements with wholly-owned subsidiaries of NRG. For the eight months ended August 31, 2018, the aggregate fees incurred under the agreements were $4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by and between Marsh Landing and NRG West Coast LLC</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Marsh Landing is a party to an administrative services agreement with NRG West Coast LLC, a wholly owned subsidiary of NRG. The Company reimbursed costs under this agreement of $11 million for the eight months ended August 31,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Administrative Services Agreement by and between ESEC and NRG West Coast LLC</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2018, ESEC, NRG West Coast LLC and NRG Power Marketing LLC, or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$11 million for the eight months ended August 31,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 Agreement by and between the Company and NRG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The costs incurred under the Management Services Agreement included certain direct expenses incurred by NRG on behalf of the Company in addition to the base management fee. Costs incurred under this agreement were $7 million for the eight months ended August 31, 2018.</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August 31, 2018, in connection with the consummation of the GIP Transaction, the Clearway Energy, Inc. entered into a Termination Agreement with Clearway Energy LLC, Clearway Energy Operating LLC and NRG terminating the Management Services Agreement, dated as of July 22, 2013, by and among the Company, Clearway Energy LLC, Clearway Energy Operating LLC and NRG. Concurrently with entering into the Termination Agreement on August 31, 2018, the Company entered into a Transition Services Agreement with NRG, or the NRG TSA,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2" w:name="page133"/>
    <w:bookmarkEnd w:id="132"/>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Subsequent to the GIP Transaction, the Company entered into the NRG TSA, pursuant to which NRG or certain of its affiliates began providing transitional services to the Company following the consummation of the GIP Transaction, in exchange for the payment of a fee in respect of such services. Expenses related to the NRG TSA are recorded in acquisition-related transaction and integration costs in the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EPC Agreement by and between ECP and NRG</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NRG Business Services LLC, a subsidiary of NRG, and Energy Center Pittsburgh LLC, or ECP, a wholly owned subsidiary of the Company, entered into an EPC agreement for the construction of a 73 MWt district energy system for ECP to provide 150 pph of steam, 6,750 tons of chilled water and 7.5 MW of emergency backup power service to UPMC Mercy. The initial term of the energy services agreement with UPMC Mercy will be for a period of twenty years from the service commencement date. On June 19, 2018, as discussed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ECP purchased the UPMC Thermal Project assets from NRG Business Services LLC for cash consideration of $84 million, subject to working capital adjustments. The Company paid an additional $3 million to NRG upon final completion of the project in January 2019 pursuant to the EPC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and Transportation Commitments</w:t>
      </w:r>
    </w:p>
    <w:p>
      <w:pPr>
        <w:spacing w:after="0" w:line="175" w:lineRule="exact"/>
        <w:rPr>
          <w:sz w:val="20"/>
          <w:szCs w:val="20"/>
          <w:color w:val="auto"/>
        </w:rPr>
      </w:pPr>
    </w:p>
    <w:p>
      <w:pPr>
        <w:jc w:val="both"/>
        <w:ind w:firstLine="181"/>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entered into contractual arrangements to procure power, fuel and associated transportation services. For the years ended December 31, 2020, 2019 and 2018, the Company purchased $32 million, $38 million, and $39 million, respectively, under such arrangements. As further described in Note 15,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these purchases include intercompany transactions through August 31, 2018 between certain Thermal entities and NRG Power Marketing under the Energy Marketing Services Agreements in the amount of $7 million for the eight months ended August 31, 2018.</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December 31, 2020, the Company's commitments under such outstanding agreements are estimated as follows: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80" w:type="dxa"/>
            <w:vAlign w:val="bottom"/>
          </w:tcPr>
          <w:p>
            <w:pPr>
              <w:spacing w:after="0"/>
              <w:rPr>
                <w:sz w:val="13"/>
                <w:szCs w:val="13"/>
                <w:color w:val="auto"/>
              </w:rPr>
            </w:pP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9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75" w:lineRule="exact"/>
        <w:rPr>
          <w:sz w:val="20"/>
          <w:szCs w:val="20"/>
          <w:color w:val="auto"/>
        </w:rPr>
      </w:pPr>
    </w:p>
    <w:p>
      <w:pPr>
        <w:jc w:val="both"/>
        <w:ind w:firstLine="204"/>
        <w:spacing w:after="0" w:line="254"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34"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Nebraska Public Power District Litigation</w:t>
      </w:r>
    </w:p>
    <w:p>
      <w:pPr>
        <w:spacing w:after="0" w:line="173" w:lineRule="exact"/>
        <w:rPr>
          <w:sz w:val="20"/>
          <w:szCs w:val="20"/>
          <w:color w:val="auto"/>
        </w:rPr>
      </w:pPr>
    </w:p>
    <w:p>
      <w:pPr>
        <w:jc w:val="both"/>
        <w:ind w:firstLine="246"/>
        <w:spacing w:after="0" w:line="253" w:lineRule="auto"/>
        <w:rPr>
          <w:sz w:val="20"/>
          <w:szCs w:val="20"/>
          <w:color w:val="auto"/>
        </w:rPr>
      </w:pPr>
      <w:r>
        <w:rPr>
          <w:rFonts w:ascii="Times New Roman" w:cs="Times New Roman" w:eastAsia="Times New Roman" w:hAnsi="Times New Roman"/>
          <w:sz w:val="18"/>
          <w:szCs w:val="18"/>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and the case in the Knox County District Court remains pending, but has been stayed pending the outcome of the U.S. District Court case. Argument before the U.S. Court of Appeals for the Eight Circuit is scheduled for March 18, 2021. The Company believes the allegations of NPPD are meritless and the Company is vigorously defending its rights under the PPAs.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4" w:name="page135"/>
    <w:bookmarkEnd w:id="134"/>
    <w:p>
      <w:pPr>
        <w:ind w:left="180"/>
        <w:spacing w:after="0"/>
        <w:rPr>
          <w:sz w:val="20"/>
          <w:szCs w:val="20"/>
          <w:color w:val="auto"/>
        </w:rPr>
      </w:pPr>
      <w:r>
        <w:rPr>
          <w:rFonts w:ascii="Times New Roman" w:cs="Times New Roman" w:eastAsia="Times New Roman" w:hAnsi="Times New Roman"/>
          <w:sz w:val="18"/>
          <w:szCs w:val="18"/>
          <w:i w:val="1"/>
          <w:iCs w:val="1"/>
          <w:color w:val="auto"/>
        </w:rPr>
        <w:t>Buckthorn Solar Litigation</w:t>
      </w:r>
    </w:p>
    <w:p>
      <w:pPr>
        <w:spacing w:after="0" w:line="173" w:lineRule="exact"/>
        <w:rPr>
          <w:sz w:val="20"/>
          <w:szCs w:val="20"/>
          <w:color w:val="auto"/>
        </w:rPr>
      </w:pPr>
    </w:p>
    <w:p>
      <w:pPr>
        <w:jc w:val="both"/>
        <w:ind w:firstLine="302"/>
        <w:spacing w:after="0" w:line="253" w:lineRule="auto"/>
        <w:rPr>
          <w:sz w:val="20"/>
          <w:szCs w:val="20"/>
          <w:color w:val="auto"/>
        </w:rPr>
      </w:pPr>
      <w:r>
        <w:rPr>
          <w:rFonts w:ascii="Times New Roman" w:cs="Times New Roman" w:eastAsia="Times New Roman" w:hAnsi="Times New Roman"/>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 </w:t>
      </w:r>
      <w:r>
        <w:rPr>
          <w:rFonts w:ascii="Times New Roman" w:cs="Times New Roman" w:eastAsia="Times New Roman" w:hAnsi="Times New Roman"/>
          <w:sz w:val="18"/>
          <w:szCs w:val="18"/>
          <w:b w:val="1"/>
          <w:bCs w:val="1"/>
          <w:i w:val="1"/>
          <w:iCs w:val="1"/>
          <w:color w:val="auto"/>
        </w:rPr>
        <w:t>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evaluates each arrangement at inception to determine if it contains a lease. Substantially all of the Company’s leases are operating leases.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173" w:lineRule="exact"/>
        <w:rPr>
          <w:sz w:val="20"/>
          <w:szCs w:val="20"/>
          <w:color w:val="auto"/>
        </w:rPr>
      </w:pPr>
    </w:p>
    <w:p>
      <w:pPr>
        <w:ind w:right="60" w:firstLine="177"/>
        <w:spacing w:after="0" w:line="258" w:lineRule="auto"/>
        <w:rPr>
          <w:sz w:val="20"/>
          <w:szCs w:val="20"/>
          <w:color w:val="auto"/>
        </w:rPr>
      </w:pPr>
      <w:r>
        <w:rPr>
          <w:rFonts w:ascii="Times New Roman" w:cs="Times New Roman" w:eastAsia="Times New Roman" w:hAnsi="Times New Roman"/>
          <w:sz w:val="18"/>
          <w:szCs w:val="18"/>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29" w:lineRule="exact"/>
        <w:rPr>
          <w:sz w:val="20"/>
          <w:szCs w:val="20"/>
          <w:color w:val="auto"/>
        </w:rPr>
      </w:pPr>
    </w:p>
    <w:p>
      <w:pPr>
        <w:ind w:firstLine="177"/>
        <w:spacing w:after="0" w:line="282" w:lineRule="auto"/>
        <w:rPr>
          <w:sz w:val="20"/>
          <w:szCs w:val="20"/>
          <w:color w:val="auto"/>
        </w:rPr>
      </w:pPr>
      <w:r>
        <w:rPr>
          <w:rFonts w:ascii="Times New Roman" w:cs="Times New Roman" w:eastAsia="Times New Roman" w:hAnsi="Times New Roman"/>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the year ended December 31, 2020 and December 31, 2019 was comprised of the following:</w:t>
      </w: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0"/>
                <w:szCs w:val="20"/>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December 31, 2020</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2019</w:t>
            </w:r>
          </w:p>
        </w:tc>
      </w:tr>
      <w:tr>
        <w:trPr>
          <w:trHeight w:val="223"/>
        </w:trPr>
        <w:tc>
          <w:tcPr>
            <w:tcW w:w="46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cost - Fixed</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lease cost - Variable</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46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Operating lease information as of December 31, 2020 and 2019 was as follows:</w:t>
      </w:r>
    </w:p>
    <w:p>
      <w:pPr>
        <w:spacing w:after="0" w:line="198"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term and rate)</w:t>
            </w:r>
          </w:p>
        </w:tc>
        <w:tc>
          <w:tcPr>
            <w:tcW w:w="200" w:type="dxa"/>
            <w:vAlign w:val="bottom"/>
          </w:tcPr>
          <w:p>
            <w:pPr>
              <w:spacing w:after="0"/>
              <w:rPr>
                <w:sz w:val="20"/>
                <w:szCs w:val="20"/>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2020</w:t>
            </w:r>
          </w:p>
        </w:tc>
        <w:tc>
          <w:tcPr>
            <w:tcW w:w="2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2019</w:t>
            </w:r>
          </w:p>
        </w:tc>
      </w:tr>
      <w:tr>
        <w:trPr>
          <w:trHeight w:val="223"/>
        </w:trPr>
        <w:tc>
          <w:tcPr>
            <w:tcW w:w="4240" w:type="dxa"/>
            <w:vAlign w:val="bottom"/>
            <w:tcBorders>
              <w:top w:val="single" w:sz="8" w:color="CCEEFF"/>
            </w:tcBorders>
            <w:shd w:val="clear" w:color="auto" w:fill="CCEEFF"/>
          </w:tcPr>
          <w:p>
            <w:pPr>
              <w:ind w:left="200"/>
              <w:spacing w:after="0" w:line="223" w:lineRule="exact"/>
              <w:rPr>
                <w:sz w:val="20"/>
                <w:szCs w:val="20"/>
                <w:color w:val="auto"/>
              </w:rPr>
            </w:pPr>
            <w:r>
              <w:rPr>
                <w:rFonts w:ascii="Times New Roman" w:cs="Times New Roman" w:eastAsia="Times New Roman" w:hAnsi="Times New Roman"/>
                <w:sz w:val="18"/>
                <w:szCs w:val="18"/>
                <w:color w:val="auto"/>
              </w:rPr>
              <w:t xml:space="preserve">ROU Assets - operating leases, net </w:t>
            </w:r>
            <w:r>
              <w:rPr>
                <w:rFonts w:ascii="Times New Roman" w:cs="Times New Roman" w:eastAsia="Times New Roman" w:hAnsi="Times New Roman"/>
                <w:sz w:val="23"/>
                <w:szCs w:val="23"/>
                <w:color w:val="auto"/>
                <w:vertAlign w:val="superscript"/>
              </w:rPr>
              <w:t>(a)</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w:t>
            </w:r>
          </w:p>
        </w:tc>
        <w:tc>
          <w:tcPr>
            <w:tcW w:w="1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r>
      <w:tr>
        <w:trPr>
          <w:trHeight w:val="142"/>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229"/>
        </w:trPr>
        <w:tc>
          <w:tcPr>
            <w:tcW w:w="424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Short-term lease liability - operating leases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240" w:type="dxa"/>
            <w:vAlign w:val="bottom"/>
            <w:tcBorders>
              <w:bottom w:val="single" w:sz="8" w:color="CCEEFF"/>
            </w:tcBorders>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Long-term lease liability - operating leases </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345</w:t>
            </w:r>
          </w:p>
        </w:tc>
        <w:tc>
          <w:tcPr>
            <w:tcW w:w="1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r>
      <w:tr>
        <w:trPr>
          <w:trHeight w:val="248"/>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 lease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162"/>
        </w:trPr>
        <w:tc>
          <w:tcPr>
            <w:tcW w:w="4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34"/>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13798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40" w:hanging="132"/>
        <w:spacing w:after="0"/>
        <w:tabs>
          <w:tab w:leader="none" w:pos="140" w:val="left"/>
        </w:tabs>
        <w:numPr>
          <w:ilvl w:val="0"/>
          <w:numId w:val="5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Increase in ROU Assets and lease liabilities is primarily due to the acquisition of Drop Down Assets, as further described in Note 3, </w:t>
      </w:r>
      <w:r>
        <w:rPr>
          <w:rFonts w:ascii="Times New Roman" w:cs="Times New Roman" w:eastAsia="Times New Roman" w:hAnsi="Times New Roman"/>
          <w:sz w:val="13"/>
          <w:szCs w:val="13"/>
          <w:i w:val="1"/>
          <w:iCs w:val="1"/>
          <w:color w:val="auto"/>
        </w:rPr>
        <w:t>Acquisitions and Dispositions</w:t>
      </w:r>
    </w:p>
    <w:p>
      <w:pPr>
        <w:spacing w:after="0" w:line="43" w:lineRule="exact"/>
        <w:rPr>
          <w:rFonts w:ascii="Times New Roman" w:cs="Times New Roman" w:eastAsia="Times New Roman" w:hAnsi="Times New Roman"/>
          <w:sz w:val="17"/>
          <w:szCs w:val="17"/>
          <w:color w:val="auto"/>
          <w:vertAlign w:val="superscript"/>
        </w:rPr>
      </w:pPr>
    </w:p>
    <w:p>
      <w:pPr>
        <w:ind w:right="20" w:firstLine="8"/>
        <w:spacing w:after="0"/>
        <w:tabs>
          <w:tab w:leader="none" w:pos="145" w:val="left"/>
        </w:tabs>
        <w:numPr>
          <w:ilvl w:val="0"/>
          <w:numId w:val="5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Short-term lease liability balances are included within the accrued expenses and other current liabilities line item of the consolidated balance sheets as of December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2020 are as follows: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87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8"/>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liability - operating leases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Oahu Solar Lease Agreements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of $20 million and $21 million as of December 31, 2020 and 2019 and corresponding right-of-use asset of $18 million and $19 million related to the leases as of December 31, 2020 and 2019.</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i w:val="1"/>
          <w:iCs w:val="1"/>
          <w:color w:val="auto"/>
        </w:rPr>
        <w:t>Rosamond Lease Agreement</w:t>
      </w:r>
    </w:p>
    <w:p>
      <w:pPr>
        <w:spacing w:after="0" w:line="16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Rosamond Central project is party to a land lease agreement with a wholly owned subsidiary of CEG. The project is leasing the land for a period of 35 years, with the ability to renew the lease for two additional five year periods. The Company has a lease liability of $12 million as of December 31, 2020 and corresponding right-of-use asset of $11 million related to the lease as of December 31, 2020.</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60"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8"/>
          <w:szCs w:val="18"/>
          <w:color w:val="auto"/>
        </w:rPr>
        <w:t>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Properties of this Form 10-K. Many of the leases have renewal options at the end of the lease term. Termination may be allowed under specific circumstances in the lease arrangements, such as under an event of default. All but one of the Company’s leases are operating leases. The remaining lease met the criteria of a sales-type lease and the impact of this sales-type lease to the consolidated financial statements was immaterial. Certain of these leases have both lease and non-lease components, and the Company allocates the transaction price to the components based on standalone selling prices.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amounts of energy and capacity revenue are related to the Company’s operating leases.</w:t>
      </w:r>
    </w:p>
    <w:p>
      <w:pPr>
        <w:spacing w:after="0" w:line="200" w:lineRule="exact"/>
        <w:rPr>
          <w:sz w:val="20"/>
          <w:szCs w:val="20"/>
          <w:color w:val="auto"/>
        </w:rPr>
      </w:pPr>
    </w:p>
    <w:p>
      <w:pPr>
        <w:spacing w:after="0" w:line="284" w:lineRule="exact"/>
        <w:rPr>
          <w:sz w:val="20"/>
          <w:szCs w:val="20"/>
          <w:color w:val="auto"/>
        </w:rPr>
      </w:pPr>
    </w:p>
    <w:tbl>
      <w:tblPr>
        <w:tblLayout w:type="fixed"/>
        <w:tblInd w:w="72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1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Conventional Generation</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8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26"/>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Energy revenue</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30"/>
        </w:trPr>
        <w:tc>
          <w:tcPr>
            <w:tcW w:w="3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Capacity revenue</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34"/>
        </w:trPr>
        <w:tc>
          <w:tcPr>
            <w:tcW w:w="3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revenue</w:t>
            </w: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72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1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Conventional Generation</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Energy revenue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3"/>
        </w:trPr>
        <w:tc>
          <w:tcPr>
            <w:tcW w:w="3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Capacity revenue</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37"/>
        </w:trPr>
        <w:tc>
          <w:tcPr>
            <w:tcW w:w="3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revenue</w:t>
            </w: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7" w:name="page138"/>
    <w:bookmarkEnd w:id="137"/>
    <w:p>
      <w:pPr>
        <w:ind w:left="180"/>
        <w:spacing w:after="0"/>
        <w:rPr>
          <w:sz w:val="20"/>
          <w:szCs w:val="20"/>
          <w:color w:val="auto"/>
        </w:rPr>
      </w:pPr>
      <w:r>
        <w:rPr>
          <w:rFonts w:ascii="Times New Roman" w:cs="Times New Roman" w:eastAsia="Times New Roman" w:hAnsi="Times New Roman"/>
          <w:sz w:val="17"/>
          <w:szCs w:val="17"/>
          <w:color w:val="auto"/>
        </w:rPr>
        <w:t>Minimum future rent payments for the remaining periods related to the Conventional segment operating leases were as follows as of December 31, 2020:</w:t>
      </w:r>
    </w:p>
    <w:p>
      <w:pPr>
        <w:spacing w:after="0" w:line="190" w:lineRule="exact"/>
        <w:rPr>
          <w:sz w:val="20"/>
          <w:szCs w:val="20"/>
          <w:color w:val="auto"/>
        </w:rPr>
      </w:pPr>
    </w:p>
    <w:tbl>
      <w:tblPr>
        <w:tblLayout w:type="fixed"/>
        <w:tblInd w:w="1520" w:type="dxa"/>
        <w:tblCellMar>
          <w:top w:w="0" w:type="dxa"/>
          <w:left w:w="0" w:type="dxa"/>
          <w:bottom w:w="0" w:type="dxa"/>
          <w:right w:w="0" w:type="dxa"/>
        </w:tblCellMar>
      </w:tblP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48"/>
        </w:trPr>
        <w:tc>
          <w:tcPr>
            <w:tcW w:w="6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net related to the Company’s operating leases were as follows:</w:t>
      </w:r>
    </w:p>
    <w:p>
      <w:pPr>
        <w:spacing w:after="0" w:line="192"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8"/>
              </w:rPr>
              <w:t>7,201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8"/>
              </w:rPr>
              <w:t>6,942</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95"/>
              <w:spacing w:after="0"/>
              <w:rPr>
                <w:sz w:val="20"/>
                <w:szCs w:val="20"/>
                <w:color w:val="auto"/>
              </w:rPr>
            </w:pPr>
            <w:r>
              <w:rPr>
                <w:rFonts w:ascii="Times New Roman" w:cs="Times New Roman" w:eastAsia="Times New Roman" w:hAnsi="Times New Roman"/>
                <w:sz w:val="18"/>
                <w:szCs w:val="18"/>
                <w:color w:val="auto"/>
                <w:w w:val="98"/>
              </w:rPr>
              <w:t>(1,964)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95"/>
              <w:spacing w:after="0"/>
              <w:rPr>
                <w:sz w:val="20"/>
                <w:szCs w:val="20"/>
                <w:color w:val="auto"/>
              </w:rPr>
            </w:pPr>
            <w:r>
              <w:rPr>
                <w:rFonts w:ascii="Times New Roman" w:cs="Times New Roman" w:eastAsia="Times New Roman" w:hAnsi="Times New Roman"/>
                <w:sz w:val="18"/>
                <w:szCs w:val="18"/>
                <w:color w:val="auto"/>
                <w:w w:val="98"/>
              </w:rPr>
              <w:t>(1,649)</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8"/>
              </w:rPr>
              <w:t>5,237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8"/>
              </w:rPr>
              <w:t>5,293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Energy Center Caguas Sales-Type Lease Agreement</w:t>
      </w:r>
    </w:p>
    <w:p>
      <w:pPr>
        <w:spacing w:after="0" w:line="13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November 1, 2018, the Company, through its indirect subsidiary Energy Center Caguas LLC, entered into an Energy Services Agreement (ESA) for its Viatris (formerly Mylan) facility in Puerto Rico. The ESA was determined to be a sales-type lease, as the present value of the lease payments is greater than substantially all of the fair value of the facility. As a result, upon the service commencement date of the contract, the Company recorded a lease receivable of approximately $12 million which represents the net present value of the lease investment. The Company is permitted to receive approximately $1 million per year in fixed payments under the ESA, which expires in September 2032 based upon a service commencement date in September 2020, with options to extend the term for two additional five year periods upon mutual agreement of the parties.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Minimum future rent payments for the remaining periods related to the Thermal segment sales-type lease were as follows as of December 31, 2020:</w:t>
      </w:r>
    </w:p>
    <w:p>
      <w:pPr>
        <w:spacing w:after="0" w:line="192" w:lineRule="exact"/>
        <w:rPr>
          <w:sz w:val="20"/>
          <w:szCs w:val="20"/>
          <w:color w:val="auto"/>
        </w:rPr>
      </w:pPr>
    </w:p>
    <w:tbl>
      <w:tblPr>
        <w:tblLayout w:type="fixed"/>
        <w:tblInd w:w="1520" w:type="dxa"/>
        <w:tblCellMar>
          <w:top w:w="0" w:type="dxa"/>
          <w:left w:w="0" w:type="dxa"/>
          <w:bottom w:w="0" w:type="dxa"/>
          <w:right w:w="0" w:type="dxa"/>
        </w:tblCellMar>
      </w:tblP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6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sales-type lease payments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Note 18 — Unaudited Quarterly Data</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summarized unaudited quarterly financial data for the periods ending December 31, 2020 and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7"/>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Attributable to Clearway Energy, Inc.</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45"/>
        </w:trPr>
        <w:tc>
          <w:tcPr>
            <w:tcW w:w="508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6"/>
                <w:szCs w:val="16"/>
                <w:color w:val="auto"/>
              </w:rPr>
              <w:t>Weighted average number of Class A common shares</w:t>
            </w:r>
          </w:p>
        </w:tc>
        <w:tc>
          <w:tcPr>
            <w:tcW w:w="1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outstanding — basic and diluted</w:t>
            </w: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Weighted average number of Class C common shares</w:t>
            </w: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3"/>
        </w:trPr>
        <w:tc>
          <w:tcPr>
            <w:tcW w:w="50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outstanding — basic and diluted</w:t>
            </w: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(Loss) Earnings per Weighted Average Common Share Basic and</w:t>
            </w: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8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Attributable to Clearway Energy, Inc.</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45"/>
        </w:trPr>
        <w:tc>
          <w:tcPr>
            <w:tcW w:w="50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6"/>
                <w:szCs w:val="16"/>
                <w:color w:val="auto"/>
              </w:rPr>
              <w:t>Weighted average number of Class A common shares</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outstanding — basic</w:t>
            </w:r>
          </w:p>
        </w:tc>
        <w:tc>
          <w:tcPr>
            <w:tcW w:w="2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Weighted average number of Class A common shares</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5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outstanding — diluted</w:t>
            </w: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Weighted average number of Class C common shares</w:t>
            </w: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outstanding — basic</w:t>
            </w:r>
          </w:p>
        </w:tc>
        <w:tc>
          <w:tcPr>
            <w:tcW w:w="2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Weighted average number of Class C common shares</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3"/>
        </w:trPr>
        <w:tc>
          <w:tcPr>
            <w:tcW w:w="5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outstanding — diluted</w:t>
            </w: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b w:val="1"/>
                <w:bCs w:val="1"/>
                <w:color w:val="auto"/>
              </w:rPr>
              <w:t>(Loss) Earnings per Weighted Average Common Share Basic and</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297"/>
        </w:trPr>
        <w:tc>
          <w:tcPr>
            <w:tcW w:w="7100" w:type="dxa"/>
            <w:vAlign w:val="bottom"/>
          </w:tcPr>
          <w:p>
            <w:pPr>
              <w:jc w:val="center"/>
              <w:ind w:left="4051"/>
              <w:spacing w:after="0"/>
              <w:rPr>
                <w:sz w:val="20"/>
                <w:szCs w:val="20"/>
                <w:color w:val="auto"/>
              </w:rPr>
            </w:pPr>
            <w:r>
              <w:rPr>
                <w:rFonts w:ascii="Times New Roman" w:cs="Times New Roman" w:eastAsia="Times New Roman" w:hAnsi="Times New Roman"/>
                <w:sz w:val="18"/>
                <w:szCs w:val="18"/>
                <w:b w:val="1"/>
                <w:bCs w:val="1"/>
                <w:color w:val="auto"/>
                <w:w w:val="99"/>
              </w:rPr>
              <w:t>Clearway Energy, Inc. (Parent)</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7540" w:type="dxa"/>
            <w:vAlign w:val="bottom"/>
            <w:gridSpan w:val="2"/>
          </w:tcPr>
          <w:p>
            <w:pPr>
              <w:jc w:val="center"/>
              <w:ind w:left="3611"/>
              <w:spacing w:after="0"/>
              <w:rPr>
                <w:sz w:val="20"/>
                <w:szCs w:val="20"/>
                <w:color w:val="auto"/>
              </w:rPr>
            </w:pPr>
            <w:r>
              <w:rPr>
                <w:rFonts w:ascii="Times New Roman" w:cs="Times New Roman" w:eastAsia="Times New Roman" w:hAnsi="Times New Roman"/>
                <w:sz w:val="18"/>
                <w:szCs w:val="18"/>
                <w:b w:val="1"/>
                <w:bCs w:val="1"/>
                <w:color w:val="auto"/>
                <w:w w:val="99"/>
              </w:rPr>
              <w:t>Condensed Financial Information of Registrant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0"/>
        </w:trPr>
        <w:tc>
          <w:tcPr>
            <w:tcW w:w="7100" w:type="dxa"/>
            <w:vAlign w:val="bottom"/>
          </w:tcPr>
          <w:p>
            <w:pPr>
              <w:jc w:val="center"/>
              <w:ind w:left="4051"/>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33"/>
        </w:trPr>
        <w:tc>
          <w:tcPr>
            <w:tcW w:w="7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(losses) earnings of consolidated subsidiaries</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Pre-acquisition net income of Drop Down Assets</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c>
          <w:tcPr>
            <w:tcW w:w="0" w:type="dxa"/>
            <w:vAlign w:val="bottom"/>
          </w:tcPr>
          <w:p>
            <w:pPr>
              <w:spacing w:after="0"/>
              <w:rPr>
                <w:sz w:val="1"/>
                <w:szCs w:val="1"/>
                <w:color w:val="auto"/>
              </w:rPr>
            </w:pPr>
          </w:p>
        </w:tc>
      </w:tr>
      <w:tr>
        <w:trPr>
          <w:trHeight w:val="311"/>
        </w:trPr>
        <w:tc>
          <w:tcPr>
            <w:tcW w:w="8360" w:type="dxa"/>
            <w:vAlign w:val="bottom"/>
          </w:tcPr>
          <w:p>
            <w:pPr>
              <w:ind w:left="4400"/>
              <w:spacing w:after="0"/>
              <w:rPr>
                <w:sz w:val="20"/>
                <w:szCs w:val="20"/>
                <w:color w:val="auto"/>
              </w:rPr>
            </w:pPr>
            <w:r>
              <w:rPr>
                <w:rFonts w:ascii="Times New Roman" w:cs="Times New Roman" w:eastAsia="Times New Roman" w:hAnsi="Times New Roman"/>
                <w:sz w:val="18"/>
                <w:szCs w:val="18"/>
                <w:b w:val="1"/>
                <w:bCs w:val="1"/>
                <w:color w:val="auto"/>
              </w:rPr>
              <w:t>Clearway Energy, Inc. (Parent)</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6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Condensed Balance Sheets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360" w:type="dxa"/>
            <w:vAlign w:val="bottom"/>
          </w:tcPr>
          <w:p>
            <w:pPr>
              <w:spacing w:after="0"/>
              <w:rPr>
                <w:sz w:val="24"/>
                <w:szCs w:val="24"/>
                <w:color w:val="auto"/>
              </w:rPr>
            </w:pPr>
          </w:p>
        </w:tc>
        <w:tc>
          <w:tcPr>
            <w:tcW w:w="14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3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6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Pr>
          <w:p>
            <w:pPr>
              <w:spacing w:after="0"/>
              <w:rPr>
                <w:sz w:val="18"/>
                <w:szCs w:val="18"/>
                <w:color w:val="auto"/>
              </w:rPr>
            </w:pP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61"/>
        </w:trPr>
        <w:tc>
          <w:tcPr>
            <w:tcW w:w="8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 affiliates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 receivable - Clearway Energy Operating LLC</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shd w:val="clear" w:color="auto" w:fill="CCEEFF"/>
          </w:tcPr>
          <w:p>
            <w:pPr>
              <w:ind w:left="22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Class B, Class C and Class D common stock, $0.01 par value; 3,000,000,000 shares authorized (Class A</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500,000,000, Class B 500,000,000, Class C 1,000,000,000, Class D 1,000,000,000); 201,635,990 shares issued</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and outstanding (Class A 34,599,645, Class B 42,738,750, Class C 81,558,845 Class D 42,738,750) at December</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31, 2020 and 1,198,819,999 shares issued and outstanding (Class A 34,599,645, Class B 42,738,750, Class C</w:t>
            </w:r>
          </w:p>
        </w:tc>
        <w:tc>
          <w:tcPr>
            <w:tcW w:w="8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78,742,854, Class D 42,738,750) at December 31, 2019</w:t>
            </w:r>
          </w:p>
        </w:tc>
        <w:tc>
          <w:tcPr>
            <w:tcW w:w="86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60" w:type="dxa"/>
            <w:vAlign w:val="bottom"/>
          </w:tcPr>
          <w:p>
            <w:pPr>
              <w:spacing w:after="0"/>
              <w:rPr>
                <w:sz w:val="19"/>
                <w:szCs w:val="19"/>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r>
      <w:tr>
        <w:trPr>
          <w:trHeight w:val="297"/>
        </w:trPr>
        <w:tc>
          <w:tcPr>
            <w:tcW w:w="7080" w:type="dxa"/>
            <w:vAlign w:val="bottom"/>
          </w:tcPr>
          <w:p>
            <w:pPr>
              <w:ind w:left="4380"/>
              <w:spacing w:after="0"/>
              <w:rPr>
                <w:sz w:val="20"/>
                <w:szCs w:val="20"/>
                <w:color w:val="auto"/>
              </w:rPr>
            </w:pPr>
            <w:r>
              <w:rPr>
                <w:rFonts w:ascii="Times New Roman" w:cs="Times New Roman" w:eastAsia="Times New Roman" w:hAnsi="Times New Roman"/>
                <w:sz w:val="18"/>
                <w:szCs w:val="18"/>
                <w:b w:val="1"/>
                <w:bCs w:val="1"/>
                <w:color w:val="auto"/>
              </w:rPr>
              <w:t>Clearway Energy, Inc. (Parent)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708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8"/>
        </w:trPr>
        <w:tc>
          <w:tcPr>
            <w:tcW w:w="70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70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6"/>
                <w:szCs w:val="16"/>
                <w:color w:val="auto"/>
              </w:rPr>
            </w:pPr>
          </w:p>
        </w:tc>
      </w:tr>
      <w:tr>
        <w:trPr>
          <w:trHeight w:val="183"/>
        </w:trPr>
        <w:tc>
          <w:tcPr>
            <w:tcW w:w="7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 in consolidated affiliates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r>
      <w:tr>
        <w:trPr>
          <w:trHeight w:val="229"/>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advances for notes receivable - affiliate</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received from notes receivable - affiliate</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9"/>
                <w:szCs w:val="19"/>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9"/>
                <w:szCs w:val="19"/>
                <w:color w:val="auto"/>
              </w:rPr>
            </w:pPr>
          </w:p>
        </w:tc>
      </w:tr>
      <w:tr>
        <w:trPr>
          <w:trHeight w:val="229"/>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r>
      <w:tr>
        <w:trPr>
          <w:trHeight w:val="230"/>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from Clearway Energy LLC for the payment of dividends</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r>
      <w:tr>
        <w:trPr>
          <w:trHeight w:val="229"/>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dividends</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19"/>
                <w:szCs w:val="19"/>
                <w:color w:val="auto"/>
              </w:rPr>
            </w:pP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981"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 (Parent)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On August 31, 2018, NRG Energy, Inc., or NRG, transferred its full ownership interest in the Company to Clearway Energy Group LLC, or CEG, the holder of NRG's renewable energy development and operations platform, and subsequently sold 100% of its interest in CEG to Global Infrastructure Partners III, or GIP, referred to hereinafter as the NRG Transaction. As a result of the NRG Transaction, GIP indirectly acquired a 45.2% economic interest in Clearway Energy LLC and a 55% voting interest in the Company. GIP is an independent fund manager that invests in infrastructure assets in energy and transport sectors. The Company is sponsored by GIP through GIP's portfolio company, Clearway Energy Group.</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is one of the largest renewable energy owners in the U.S. with over 4,200 net MW of installed wind and solar generation projects. The Company also owns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Class C common stock issuance under the ATM Programs during the twelve months ended December 31, 2020, the Company owns 57.61% of the economic interests of Clearway Energy LLC, with CEG retaining 42.39% of the economic interests of Clearway Energy LLC as of December 31,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December 6, 2019, the Company acquired 100% of GIP's membership interests in CBAD Holdings, LLC, which indirectly owns Carlsbad Energy Center LLC, a 527 megawatt natural gas fired power project located in Carlsbad, California, or the Carlsbad Drop Down Asset. The assets transferred to the Company relate to interests under common control by GIP and were recorded at book value in accordance with ASC 805-50, </w:t>
      </w:r>
      <w:r>
        <w:rPr>
          <w:rFonts w:ascii="Times New Roman" w:cs="Times New Roman" w:eastAsia="Times New Roman" w:hAnsi="Times New Roman"/>
          <w:sz w:val="18"/>
          <w:szCs w:val="18"/>
          <w:i w:val="1"/>
          <w:iCs w:val="1"/>
          <w:color w:val="auto"/>
        </w:rPr>
        <w:t>Business Combinations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Issues</w:t>
      </w:r>
      <w:r>
        <w:rPr>
          <w:rFonts w:ascii="Times New Roman" w:cs="Times New Roman" w:eastAsia="Times New Roman" w:hAnsi="Times New Roman"/>
          <w:sz w:val="18"/>
          <w:szCs w:val="18"/>
          <w:color w:val="auto"/>
        </w:rPr>
        <w:t>. The difference between the purchase price and book value of the assets was recorded as a distribution to CEG and decreased the balance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noncontrolling interest. The acquisition was determined to be an asset acquisition and not a business combination, therefore no recast of the historical financial information was deemed necessary. For further discussion, see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Long-Term Debt</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Clearway Energy, Inc.’s financing arrangements,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Company's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Contingencies and Guarantees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Company's consolidated financial statements for a detailed discussion of Clearway Energy, Inc.’s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Note 4 — Dividends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Cash distributions paid to Clearway Energy, Inc. by its subsidiary, Clearway Energy LLC, were $121 million, $87 million, and $130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2019, and 2018</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240" w:type="dxa"/>
            <w:vAlign w:val="bottom"/>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500" w:type="dxa"/>
            <w:vAlign w:val="bottom"/>
            <w:vMerge w:val="restart"/>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10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1"/>
                <w:szCs w:val="11"/>
                <w:color w:val="auto"/>
              </w:rPr>
            </w:pPr>
          </w:p>
        </w:tc>
        <w:tc>
          <w:tcPr>
            <w:tcW w:w="1240" w:type="dxa"/>
            <w:vAlign w:val="bottom"/>
          </w:tcPr>
          <w:p>
            <w:pPr>
              <w:jc w:val="center"/>
              <w:ind w:right="344"/>
              <w:spacing w:after="0" w:line="135"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5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500" w:type="dxa"/>
            <w:vAlign w:val="bottom"/>
            <w:tcBorders>
              <w:bottom w:val="single" w:sz="8" w:color="auto"/>
            </w:tcBorders>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rPr>
              <w:t>Other Accounts</w:t>
            </w:r>
          </w:p>
        </w:tc>
        <w:tc>
          <w:tcPr>
            <w:tcW w:w="11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Income tax valuation allowance, deducted from deferred tax</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Year Ended December 31,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2019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Year Ended December 31, 2018</w:t>
            </w:r>
          </w:p>
        </w:tc>
        <w:tc>
          <w:tcPr>
            <w:tcW w:w="12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1240" w:type="dxa"/>
            <w:vAlign w:val="bottom"/>
          </w:tcPr>
          <w:p>
            <w:pPr>
              <w:jc w:val="right"/>
              <w:ind w:right="264"/>
              <w:spacing w:after="0"/>
              <w:rPr>
                <w:sz w:val="20"/>
                <w:szCs w:val="20"/>
                <w:color w:val="auto"/>
              </w:rPr>
            </w:pPr>
            <w:r>
              <w:rPr>
                <w:rFonts w:ascii="Times New Roman" w:cs="Times New Roman" w:eastAsia="Times New Roman" w:hAnsi="Times New Roman"/>
                <w:sz w:val="16"/>
                <w:szCs w:val="16"/>
                <w:color w:val="auto"/>
              </w:rPr>
              <w:t>5</w:t>
            </w:r>
          </w:p>
        </w:tc>
        <w:tc>
          <w:tcPr>
            <w:tcW w:w="15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1020" w:top="887" w:right="1019" w:bottom="1440" w:gutter="0" w:footer="0" w:header="0"/>
        </w:sectPr>
      </w:pPr>
    </w:p>
    <w:bookmarkStart w:id="145" w:name="page146"/>
    <w:bookmarkEnd w:id="145"/>
    <w:p>
      <w:pPr>
        <w:spacing w:after="0" w:line="317"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6"/>
          <w:szCs w:val="16"/>
          <w:b w:val="1"/>
          <w:bCs w:val="1"/>
          <w:color w:val="auto"/>
        </w:rPr>
        <w:t xml:space="preserve">Number </w:t>
      </w: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br w:type="column"/>
      </w:r>
    </w:p>
    <w:p>
      <w:pPr>
        <w:ind w:left="40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10"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6"/>
          <w:szCs w:val="16"/>
          <w:b w:val="1"/>
          <w:bCs w:val="1"/>
          <w:color w:val="auto"/>
        </w:rPr>
        <w:t>Description</w:t>
      </w:r>
      <w:r>
        <w:rPr>
          <w:sz w:val="20"/>
          <w:szCs w:val="20"/>
          <w:color w:val="auto"/>
        </w:rPr>
        <w:tab/>
      </w:r>
      <w:r>
        <w:rPr>
          <w:rFonts w:ascii="Times New Roman" w:cs="Times New Roman" w:eastAsia="Times New Roman" w:hAnsi="Times New Roman"/>
          <w:sz w:val="16"/>
          <w:szCs w:val="16"/>
          <w:b w:val="1"/>
          <w:bCs w:val="1"/>
          <w:color w:val="auto"/>
        </w:rPr>
        <w:t>Method of Filing</w:t>
      </w:r>
    </w:p>
    <w:p>
      <w:pPr>
        <w:spacing w:after="0" w:line="191" w:lineRule="auto"/>
        <w:rPr>
          <w:rFonts w:ascii="Times New Roman" w:cs="Times New Roman" w:eastAsia="Times New Roman" w:hAnsi="Times New Roman"/>
          <w:sz w:val="16"/>
          <w:szCs w:val="16"/>
          <w:u w:val="single" w:color="auto"/>
          <w:color w:val="0000FF"/>
        </w:rPr>
      </w:pPr>
      <w:hyperlink r:id="rId186">
        <w:r>
          <w:rPr>
            <w:rFonts w:ascii="Times New Roman" w:cs="Times New Roman" w:eastAsia="Times New Roman" w:hAnsi="Times New Roman"/>
            <w:sz w:val="16"/>
            <w:szCs w:val="16"/>
            <w:u w:val="single" w:color="auto"/>
            <w:color w:val="0000FF"/>
          </w:rPr>
          <w:t>Purchase and Sale Agreement, dated as of February 6, 2018, by and between</w:t>
        </w:r>
      </w:hyperlink>
    </w:p>
    <w:p>
      <w:pPr>
        <w:spacing w:after="0" w:line="187" w:lineRule="auto"/>
        <w:tabs>
          <w:tab w:leader="none" w:pos="5100" w:val="left"/>
        </w:tabs>
        <w:rPr>
          <w:rFonts w:ascii="Times New Roman" w:cs="Times New Roman" w:eastAsia="Times New Roman" w:hAnsi="Times New Roman"/>
          <w:sz w:val="13"/>
          <w:szCs w:val="13"/>
          <w:color w:val="0000FF"/>
        </w:rPr>
      </w:pPr>
      <w:hyperlink r:id="rId186">
        <w:r>
          <w:rPr>
            <w:rFonts w:ascii="Times New Roman" w:cs="Times New Roman" w:eastAsia="Times New Roman" w:hAnsi="Times New Roman"/>
            <w:sz w:val="13"/>
            <w:szCs w:val="13"/>
            <w:u w:val="single" w:color="auto"/>
            <w:color w:val="0000FF"/>
          </w:rPr>
          <w:t>NRG Gas Development Company, LLC and NRG Yield Operating LLC.</w:t>
        </w:r>
      </w:hyperlink>
      <w:r>
        <w:rPr>
          <w:rFonts w:ascii="Times New Roman" w:cs="Times New Roman" w:eastAsia="Times New Roman" w:hAnsi="Times New Roman"/>
          <w:sz w:val="13"/>
          <w:szCs w:val="13"/>
          <w:color w:val="0000FF"/>
        </w:rPr>
        <w:tab/>
      </w:r>
      <w:r>
        <w:rPr>
          <w:rFonts w:ascii="Times New Roman" w:cs="Times New Roman" w:eastAsia="Times New Roman" w:hAnsi="Times New Roman"/>
          <w:sz w:val="18"/>
          <w:szCs w:val="18"/>
          <w:color w:val="0000FF"/>
          <w:vertAlign w:val="superscript"/>
        </w:rPr>
        <w:t>Incorporated herein by reference to Exhibit 2.10 to the</w:t>
      </w:r>
    </w:p>
    <w:p>
      <w:pPr>
        <w:ind w:left="5120"/>
        <w:spacing w:after="0" w:line="212" w:lineRule="auto"/>
        <w:rPr>
          <w:sz w:val="20"/>
          <w:szCs w:val="20"/>
          <w:color w:val="auto"/>
        </w:rPr>
      </w:pPr>
      <w:r>
        <w:rPr>
          <w:rFonts w:ascii="Times New Roman" w:cs="Times New Roman" w:eastAsia="Times New Roman" w:hAnsi="Times New Roman"/>
          <w:sz w:val="16"/>
          <w:szCs w:val="16"/>
          <w:color w:val="auto"/>
        </w:rPr>
        <w:t>Company's Annual Report on Form 10-K, filed on</w:t>
      </w:r>
    </w:p>
    <w:p>
      <w:pPr>
        <w:ind w:left="5120"/>
        <w:spacing w:after="0"/>
        <w:rPr>
          <w:sz w:val="20"/>
          <w:szCs w:val="20"/>
          <w:color w:val="auto"/>
        </w:rPr>
      </w:pPr>
      <w:r>
        <w:rPr>
          <w:rFonts w:ascii="Times New Roman" w:cs="Times New Roman" w:eastAsia="Times New Roman" w:hAnsi="Times New Roman"/>
          <w:sz w:val="16"/>
          <w:szCs w:val="16"/>
          <w:color w:val="auto"/>
        </w:rPr>
        <w:t>March 1, 2018.</w:t>
      </w:r>
    </w:p>
    <w:p>
      <w:pPr>
        <w:spacing w:after="0" w:line="95" w:lineRule="exact"/>
        <w:rPr>
          <w:sz w:val="20"/>
          <w:szCs w:val="20"/>
          <w:color w:val="auto"/>
        </w:rPr>
      </w:pPr>
    </w:p>
    <w:p>
      <w:pPr>
        <w:sectPr>
          <w:pgSz w:w="11900" w:h="16838" w:orient="portrait"/>
          <w:cols w:equalWidth="0" w:num="2">
            <w:col w:w="580" w:space="320"/>
            <w:col w:w="9219"/>
          </w:cols>
          <w:pgMar w:left="340" w:top="887" w:right="144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2.2*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4.10</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4.13</w:t>
      </w:r>
    </w:p>
    <w:p>
      <w:pPr>
        <w:spacing w:after="0" w:line="20" w:lineRule="exact"/>
        <w:rPr>
          <w:sz w:val="20"/>
          <w:szCs w:val="20"/>
          <w:color w:val="auto"/>
        </w:rPr>
      </w:pPr>
      <w:r>
        <w:rPr>
          <w:sz w:val="20"/>
          <w:szCs w:val="20"/>
          <w:color w:val="auto"/>
        </w:rPr>
        <w:br w:type="column"/>
      </w:r>
    </w:p>
    <w:p>
      <w:pPr>
        <w:ind w:right="340"/>
        <w:spacing w:after="0" w:line="232" w:lineRule="auto"/>
        <w:rPr>
          <w:rFonts w:ascii="Times New Roman" w:cs="Times New Roman" w:eastAsia="Times New Roman" w:hAnsi="Times New Roman"/>
          <w:sz w:val="16"/>
          <w:szCs w:val="16"/>
          <w:u w:val="single" w:color="auto"/>
          <w:color w:val="0000FF"/>
        </w:rPr>
      </w:pPr>
      <w:hyperlink r:id="rId187">
        <w:r>
          <w:rPr>
            <w:rFonts w:ascii="Times New Roman" w:cs="Times New Roman" w:eastAsia="Times New Roman" w:hAnsi="Times New Roman"/>
            <w:sz w:val="16"/>
            <w:szCs w:val="16"/>
            <w:u w:val="single" w:color="auto"/>
            <w:color w:val="0000FF"/>
          </w:rPr>
          <w:t>Purchase and Sale Agreement, dated as of December 6, 2019, by and</w:t>
        </w:r>
      </w:hyperlink>
      <w:r>
        <w:rPr>
          <w:rFonts w:ascii="Times New Roman" w:cs="Times New Roman" w:eastAsia="Times New Roman" w:hAnsi="Times New Roman"/>
          <w:sz w:val="16"/>
          <w:szCs w:val="16"/>
          <w:u w:val="single" w:color="auto"/>
          <w:color w:val="0000FF"/>
        </w:rPr>
        <w:t xml:space="preserve"> </w:t>
      </w:r>
      <w:hyperlink r:id="rId187">
        <w:r>
          <w:rPr>
            <w:rFonts w:ascii="Times New Roman" w:cs="Times New Roman" w:eastAsia="Times New Roman" w:hAnsi="Times New Roman"/>
            <w:sz w:val="16"/>
            <w:szCs w:val="16"/>
            <w:u w:val="single" w:color="auto"/>
            <w:color w:val="0000FF"/>
          </w:rPr>
          <w:t>between Clearway Energy Operating LLC and GIP III Zephyr Carlsbad</w:t>
        </w:r>
      </w:hyperlink>
      <w:r>
        <w:rPr>
          <w:rFonts w:ascii="Times New Roman" w:cs="Times New Roman" w:eastAsia="Times New Roman" w:hAnsi="Times New Roman"/>
          <w:sz w:val="16"/>
          <w:szCs w:val="16"/>
          <w:u w:val="single" w:color="auto"/>
          <w:color w:val="0000FF"/>
        </w:rPr>
        <w:t xml:space="preserve"> </w:t>
      </w:r>
      <w:hyperlink r:id="rId187">
        <w:r>
          <w:rPr>
            <w:rFonts w:ascii="Times New Roman" w:cs="Times New Roman" w:eastAsia="Times New Roman" w:hAnsi="Times New Roman"/>
            <w:sz w:val="16"/>
            <w:szCs w:val="16"/>
            <w:u w:val="single" w:color="auto"/>
            <w:color w:val="0000FF"/>
          </w:rPr>
          <w:t>Holdings, LLC.</w:t>
        </w:r>
      </w:hyperlink>
    </w:p>
    <w:p>
      <w:pPr>
        <w:spacing w:after="0" w:line="182" w:lineRule="exact"/>
        <w:rPr>
          <w:rFonts w:ascii="Times New Roman" w:cs="Times New Roman" w:eastAsia="Times New Roman" w:hAnsi="Times New Roman"/>
          <w:sz w:val="16"/>
          <w:szCs w:val="16"/>
          <w:u w:val="single" w:color="auto"/>
          <w:color w:val="0000FF"/>
        </w:rPr>
      </w:pPr>
    </w:p>
    <w:p>
      <w:pPr>
        <w:ind w:right="200"/>
        <w:spacing w:after="0" w:line="245" w:lineRule="auto"/>
        <w:rPr>
          <w:rFonts w:ascii="Times New Roman" w:cs="Times New Roman" w:eastAsia="Times New Roman" w:hAnsi="Times New Roman"/>
          <w:sz w:val="16"/>
          <w:szCs w:val="16"/>
          <w:u w:val="single" w:color="auto"/>
          <w:color w:val="0000FF"/>
        </w:rPr>
      </w:pPr>
      <w:hyperlink r:id="rId188">
        <w:r>
          <w:rPr>
            <w:rFonts w:ascii="Times New Roman" w:cs="Times New Roman" w:eastAsia="Times New Roman" w:hAnsi="Times New Roman"/>
            <w:sz w:val="16"/>
            <w:szCs w:val="16"/>
            <w:u w:val="single" w:color="auto"/>
            <w:color w:val="0000FF"/>
          </w:rPr>
          <w:t>Purchase and Sale Agreement, dated as of November 19, 2020, by and</w:t>
        </w:r>
      </w:hyperlink>
      <w:r>
        <w:rPr>
          <w:rFonts w:ascii="Times New Roman" w:cs="Times New Roman" w:eastAsia="Times New Roman" w:hAnsi="Times New Roman"/>
          <w:sz w:val="16"/>
          <w:szCs w:val="16"/>
          <w:u w:val="single" w:color="auto"/>
          <w:color w:val="0000FF"/>
        </w:rPr>
        <w:t xml:space="preserve"> </w:t>
      </w:r>
      <w:hyperlink r:id="rId188">
        <w:r>
          <w:rPr>
            <w:rFonts w:ascii="Times New Roman" w:cs="Times New Roman" w:eastAsia="Times New Roman" w:hAnsi="Times New Roman"/>
            <w:sz w:val="16"/>
            <w:szCs w:val="16"/>
            <w:u w:val="single" w:color="auto"/>
            <w:color w:val="0000FF"/>
          </w:rPr>
          <w:t>between NRG Solar Sunrise LLC and Clearway AC Solar Holdings LLC.</w:t>
        </w:r>
      </w:hyperlink>
    </w:p>
    <w:p>
      <w:pPr>
        <w:spacing w:after="0" w:line="259"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89">
        <w:r>
          <w:rPr>
            <w:rFonts w:ascii="Times New Roman" w:cs="Times New Roman" w:eastAsia="Times New Roman" w:hAnsi="Times New Roman"/>
            <w:sz w:val="16"/>
            <w:szCs w:val="16"/>
            <w:u w:val="single" w:color="auto"/>
            <w:color w:val="0000FF"/>
          </w:rPr>
          <w:t>Amended and Restated Certificate of Incorporation of Clearway Energy, Inc.</w:t>
        </w:r>
      </w:hyperlink>
    </w:p>
    <w:p>
      <w:pPr>
        <w:spacing w:after="0" w:line="356" w:lineRule="exact"/>
        <w:rPr>
          <w:sz w:val="20"/>
          <w:szCs w:val="20"/>
          <w:color w:val="auto"/>
        </w:rPr>
      </w:pPr>
    </w:p>
    <w:p>
      <w:pPr>
        <w:ind w:right="380"/>
        <w:spacing w:after="0" w:line="245" w:lineRule="auto"/>
        <w:rPr>
          <w:rFonts w:ascii="Times New Roman" w:cs="Times New Roman" w:eastAsia="Times New Roman" w:hAnsi="Times New Roman"/>
          <w:sz w:val="16"/>
          <w:szCs w:val="16"/>
          <w:u w:val="single" w:color="auto"/>
          <w:color w:val="0000FF"/>
        </w:rPr>
      </w:pPr>
      <w:hyperlink r:id="rId190">
        <w:r>
          <w:rPr>
            <w:rFonts w:ascii="Times New Roman" w:cs="Times New Roman" w:eastAsia="Times New Roman" w:hAnsi="Times New Roman"/>
            <w:sz w:val="16"/>
            <w:szCs w:val="16"/>
            <w:u w:val="single" w:color="auto"/>
            <w:color w:val="0000FF"/>
          </w:rPr>
          <w:t>Fourth Amended and Restated Bylaws of Clearway Energy, Inc., dated</w:t>
        </w:r>
      </w:hyperlink>
      <w:r>
        <w:rPr>
          <w:rFonts w:ascii="Times New Roman" w:cs="Times New Roman" w:eastAsia="Times New Roman" w:hAnsi="Times New Roman"/>
          <w:sz w:val="16"/>
          <w:szCs w:val="16"/>
          <w:u w:val="single" w:color="auto"/>
          <w:color w:val="0000FF"/>
        </w:rPr>
        <w:t xml:space="preserve"> </w:t>
      </w:r>
      <w:hyperlink r:id="rId190">
        <w:r>
          <w:rPr>
            <w:rFonts w:ascii="Times New Roman" w:cs="Times New Roman" w:eastAsia="Times New Roman" w:hAnsi="Times New Roman"/>
            <w:sz w:val="16"/>
            <w:szCs w:val="16"/>
            <w:u w:val="single" w:color="auto"/>
            <w:color w:val="0000FF"/>
          </w:rPr>
          <w:t>August 31, 2018.</w:t>
        </w:r>
      </w:hyperlink>
    </w:p>
    <w:p>
      <w:pPr>
        <w:spacing w:after="0" w:line="164" w:lineRule="exact"/>
        <w:rPr>
          <w:sz w:val="20"/>
          <w:szCs w:val="20"/>
          <w:color w:val="auto"/>
        </w:rPr>
      </w:pPr>
    </w:p>
    <w:p>
      <w:pPr>
        <w:ind w:right="100"/>
        <w:spacing w:after="0" w:line="232" w:lineRule="auto"/>
        <w:rPr>
          <w:rFonts w:ascii="Times New Roman" w:cs="Times New Roman" w:eastAsia="Times New Roman" w:hAnsi="Times New Roman"/>
          <w:sz w:val="16"/>
          <w:szCs w:val="16"/>
          <w:u w:val="single" w:color="auto"/>
          <w:color w:val="0000FF"/>
        </w:rPr>
      </w:pPr>
      <w:hyperlink r:id="rId191">
        <w:r>
          <w:rPr>
            <w:rFonts w:ascii="Times New Roman" w:cs="Times New Roman" w:eastAsia="Times New Roman" w:hAnsi="Times New Roman"/>
            <w:sz w:val="16"/>
            <w:szCs w:val="16"/>
            <w:u w:val="single" w:color="auto"/>
            <w:color w:val="0000FF"/>
          </w:rPr>
          <w:t>Fourth Amended and Restated Limited Liability Company Agreement of</w:t>
        </w:r>
      </w:hyperlink>
      <w:r>
        <w:rPr>
          <w:rFonts w:ascii="Times New Roman" w:cs="Times New Roman" w:eastAsia="Times New Roman" w:hAnsi="Times New Roman"/>
          <w:sz w:val="16"/>
          <w:szCs w:val="16"/>
          <w:u w:val="single" w:color="auto"/>
          <w:color w:val="0000FF"/>
        </w:rPr>
        <w:t xml:space="preserve"> </w:t>
      </w:r>
      <w:hyperlink r:id="rId191">
        <w:r>
          <w:rPr>
            <w:rFonts w:ascii="Times New Roman" w:cs="Times New Roman" w:eastAsia="Times New Roman" w:hAnsi="Times New Roman"/>
            <w:sz w:val="16"/>
            <w:szCs w:val="16"/>
            <w:u w:val="single" w:color="auto"/>
            <w:color w:val="0000FF"/>
          </w:rPr>
          <w:t>NRG Yield LLC, dated as of August 31, 2018, by and between NRG Yield,</w:t>
        </w:r>
      </w:hyperlink>
      <w:r>
        <w:rPr>
          <w:rFonts w:ascii="Times New Roman" w:cs="Times New Roman" w:eastAsia="Times New Roman" w:hAnsi="Times New Roman"/>
          <w:sz w:val="16"/>
          <w:szCs w:val="16"/>
          <w:u w:val="single" w:color="auto"/>
          <w:color w:val="0000FF"/>
        </w:rPr>
        <w:t xml:space="preserve"> </w:t>
      </w:r>
      <w:hyperlink r:id="rId191">
        <w:r>
          <w:rPr>
            <w:rFonts w:ascii="Times New Roman" w:cs="Times New Roman" w:eastAsia="Times New Roman" w:hAnsi="Times New Roman"/>
            <w:sz w:val="16"/>
            <w:szCs w:val="16"/>
            <w:u w:val="single" w:color="auto"/>
            <w:color w:val="0000FF"/>
          </w:rPr>
          <w:t>Inc. and Zephyr Renewables LLC.</w:t>
        </w:r>
      </w:hyperlink>
    </w:p>
    <w:p>
      <w:pPr>
        <w:spacing w:after="0" w:line="182" w:lineRule="exact"/>
        <w:rPr>
          <w:rFonts w:ascii="Times New Roman" w:cs="Times New Roman" w:eastAsia="Times New Roman" w:hAnsi="Times New Roman"/>
          <w:sz w:val="16"/>
          <w:szCs w:val="16"/>
          <w:u w:val="single" w:color="auto"/>
          <w:color w:val="0000FF"/>
        </w:rPr>
      </w:pPr>
    </w:p>
    <w:p>
      <w:pPr>
        <w:ind w:right="60"/>
        <w:spacing w:after="0" w:line="227" w:lineRule="auto"/>
        <w:rPr>
          <w:rFonts w:ascii="Times New Roman" w:cs="Times New Roman" w:eastAsia="Times New Roman" w:hAnsi="Times New Roman"/>
          <w:sz w:val="16"/>
          <w:szCs w:val="16"/>
          <w:u w:val="single" w:color="auto"/>
          <w:color w:val="0000FF"/>
        </w:rPr>
      </w:pPr>
      <w:hyperlink r:id="rId192">
        <w:r>
          <w:rPr>
            <w:rFonts w:ascii="Times New Roman" w:cs="Times New Roman" w:eastAsia="Times New Roman" w:hAnsi="Times New Roman"/>
            <w:sz w:val="16"/>
            <w:szCs w:val="16"/>
            <w:u w:val="single" w:color="auto"/>
            <w:color w:val="0000FF"/>
          </w:rPr>
          <w:t>Indenture, dated February 11, 2014, among NRG Yield, Inc., NRG Yield</w:t>
        </w:r>
      </w:hyperlink>
      <w:r>
        <w:rPr>
          <w:rFonts w:ascii="Times New Roman" w:cs="Times New Roman" w:eastAsia="Times New Roman" w:hAnsi="Times New Roman"/>
          <w:sz w:val="16"/>
          <w:szCs w:val="16"/>
          <w:u w:val="single" w:color="auto"/>
          <w:color w:val="0000FF"/>
        </w:rPr>
        <w:t xml:space="preserve"> </w:t>
      </w:r>
      <w:hyperlink r:id="rId192">
        <w:r>
          <w:rPr>
            <w:rFonts w:ascii="Times New Roman" w:cs="Times New Roman" w:eastAsia="Times New Roman" w:hAnsi="Times New Roman"/>
            <w:sz w:val="16"/>
            <w:szCs w:val="16"/>
            <w:u w:val="single" w:color="auto"/>
            <w:color w:val="0000FF"/>
          </w:rPr>
          <w:t>Operating LLC and NRG Yield LLC, as Guarantors, and Wilmington Trust,</w:t>
        </w:r>
      </w:hyperlink>
      <w:r>
        <w:rPr>
          <w:rFonts w:ascii="Times New Roman" w:cs="Times New Roman" w:eastAsia="Times New Roman" w:hAnsi="Times New Roman"/>
          <w:sz w:val="16"/>
          <w:szCs w:val="16"/>
          <w:u w:val="single" w:color="auto"/>
          <w:color w:val="0000FF"/>
        </w:rPr>
        <w:t xml:space="preserve"> </w:t>
      </w:r>
      <w:hyperlink r:id="rId192">
        <w:r>
          <w:rPr>
            <w:rFonts w:ascii="Times New Roman" w:cs="Times New Roman" w:eastAsia="Times New Roman" w:hAnsi="Times New Roman"/>
            <w:sz w:val="16"/>
            <w:szCs w:val="16"/>
            <w:u w:val="single" w:color="auto"/>
            <w:color w:val="0000FF"/>
          </w:rPr>
          <w:t>National Association, as trustee, re: the Company’s 3.50% Convertible</w:t>
        </w:r>
      </w:hyperlink>
      <w:r>
        <w:rPr>
          <w:rFonts w:ascii="Times New Roman" w:cs="Times New Roman" w:eastAsia="Times New Roman" w:hAnsi="Times New Roman"/>
          <w:sz w:val="16"/>
          <w:szCs w:val="16"/>
          <w:u w:val="single" w:color="auto"/>
          <w:color w:val="0000FF"/>
        </w:rPr>
        <w:t xml:space="preserve"> </w:t>
      </w:r>
      <w:hyperlink r:id="rId192">
        <w:r>
          <w:rPr>
            <w:rFonts w:ascii="Times New Roman" w:cs="Times New Roman" w:eastAsia="Times New Roman" w:hAnsi="Times New Roman"/>
            <w:sz w:val="16"/>
            <w:szCs w:val="16"/>
            <w:u w:val="single" w:color="auto"/>
            <w:color w:val="0000FF"/>
          </w:rPr>
          <w:t>Senior Notes due 2019.</w:t>
        </w:r>
      </w:hyperlink>
    </w:p>
    <w:p>
      <w:pPr>
        <w:spacing w:after="0" w:line="6"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6"/>
          <w:szCs w:val="16"/>
          <w:u w:val="single" w:color="auto"/>
          <w:color w:val="0000FF"/>
        </w:rPr>
      </w:pPr>
      <w:hyperlink r:id="rId192">
        <w:r>
          <w:rPr>
            <w:rFonts w:ascii="Times New Roman" w:cs="Times New Roman" w:eastAsia="Times New Roman" w:hAnsi="Times New Roman"/>
            <w:sz w:val="16"/>
            <w:szCs w:val="16"/>
            <w:u w:val="single" w:color="auto"/>
            <w:color w:val="0000FF"/>
          </w:rPr>
          <w:t>Form of 3.50% Convertible Senior Note due 2019.</w:t>
        </w:r>
      </w:hyperlink>
    </w:p>
    <w:p>
      <w:pPr>
        <w:spacing w:after="0" w:line="356" w:lineRule="exact"/>
        <w:rPr>
          <w:rFonts w:ascii="Times New Roman" w:cs="Times New Roman" w:eastAsia="Times New Roman" w:hAnsi="Times New Roman"/>
          <w:sz w:val="16"/>
          <w:szCs w:val="16"/>
          <w:u w:val="single" w:color="auto"/>
          <w:color w:val="0000FF"/>
        </w:rPr>
      </w:pPr>
    </w:p>
    <w:p>
      <w:pPr>
        <w:ind w:right="60"/>
        <w:spacing w:after="0" w:line="232" w:lineRule="auto"/>
        <w:rPr>
          <w:rFonts w:ascii="Times New Roman" w:cs="Times New Roman" w:eastAsia="Times New Roman" w:hAnsi="Times New Roman"/>
          <w:sz w:val="16"/>
          <w:szCs w:val="16"/>
          <w:u w:val="single" w:color="auto"/>
          <w:color w:val="0000FF"/>
        </w:rPr>
      </w:pPr>
      <w:hyperlink r:id="rId193">
        <w:r>
          <w:rPr>
            <w:rFonts w:ascii="Times New Roman" w:cs="Times New Roman" w:eastAsia="Times New Roman" w:hAnsi="Times New Roman"/>
            <w:sz w:val="16"/>
            <w:szCs w:val="16"/>
            <w:u w:val="single" w:color="auto"/>
            <w:color w:val="0000FF"/>
          </w:rPr>
          <w:t>Indenture, dated August 5, 2014, among NRG Yield Operating LLC, the</w:t>
        </w:r>
      </w:hyperlink>
      <w:r>
        <w:rPr>
          <w:rFonts w:ascii="Times New Roman" w:cs="Times New Roman" w:eastAsia="Times New Roman" w:hAnsi="Times New Roman"/>
          <w:sz w:val="16"/>
          <w:szCs w:val="16"/>
          <w:u w:val="single" w:color="auto"/>
          <w:color w:val="0000FF"/>
        </w:rPr>
        <w:t xml:space="preserve"> </w:t>
      </w:r>
      <w:hyperlink r:id="rId193">
        <w:r>
          <w:rPr>
            <w:rFonts w:ascii="Times New Roman" w:cs="Times New Roman" w:eastAsia="Times New Roman" w:hAnsi="Times New Roman"/>
            <w:sz w:val="16"/>
            <w:szCs w:val="16"/>
            <w:u w:val="single" w:color="auto"/>
            <w:color w:val="0000FF"/>
          </w:rPr>
          <w:t>guarantors named therein and Law Debenture Trust Company of New York,</w:t>
        </w:r>
      </w:hyperlink>
      <w:r>
        <w:rPr>
          <w:rFonts w:ascii="Times New Roman" w:cs="Times New Roman" w:eastAsia="Times New Roman" w:hAnsi="Times New Roman"/>
          <w:sz w:val="16"/>
          <w:szCs w:val="16"/>
          <w:u w:val="single" w:color="auto"/>
          <w:color w:val="0000FF"/>
        </w:rPr>
        <w:t xml:space="preserve"> </w:t>
      </w:r>
      <w:hyperlink r:id="rId193">
        <w:r>
          <w:rPr>
            <w:rFonts w:ascii="Times New Roman" w:cs="Times New Roman" w:eastAsia="Times New Roman" w:hAnsi="Times New Roman"/>
            <w:sz w:val="16"/>
            <w:szCs w:val="16"/>
            <w:u w:val="single" w:color="auto"/>
            <w:color w:val="0000FF"/>
          </w:rPr>
          <w:t>as trustee.</w:t>
        </w:r>
      </w:hyperlink>
    </w:p>
    <w:p>
      <w:pPr>
        <w:spacing w:after="0" w:line="6"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u w:val="single" w:color="auto"/>
            <w:color w:val="0000FF"/>
          </w:rPr>
          <w:t>Form of 5.375% Senior Note due 2024</w:t>
        </w:r>
        <w:r>
          <w:rPr>
            <w:rFonts w:ascii="Times New Roman" w:cs="Times New Roman" w:eastAsia="Times New Roman" w:hAnsi="Times New Roman"/>
            <w:sz w:val="16"/>
            <w:szCs w:val="16"/>
            <w:color w:val="0000FF"/>
          </w:rPr>
          <w:t>.</w:t>
        </w:r>
      </w:hyperlink>
    </w:p>
    <w:p>
      <w:pPr>
        <w:spacing w:after="0" w:line="356" w:lineRule="exact"/>
        <w:rPr>
          <w:rFonts w:ascii="Times New Roman" w:cs="Times New Roman" w:eastAsia="Times New Roman" w:hAnsi="Times New Roman"/>
          <w:sz w:val="16"/>
          <w:szCs w:val="16"/>
          <w:u w:val="single" w:color="auto"/>
          <w:color w:val="0000FF"/>
        </w:rPr>
      </w:pPr>
    </w:p>
    <w:p>
      <w:pPr>
        <w:jc w:val="both"/>
        <w:ind w:right="200"/>
        <w:spacing w:after="0" w:line="232" w:lineRule="auto"/>
        <w:rPr>
          <w:rFonts w:ascii="Times New Roman" w:cs="Times New Roman" w:eastAsia="Times New Roman" w:hAnsi="Times New Roman"/>
          <w:sz w:val="16"/>
          <w:szCs w:val="16"/>
          <w:u w:val="single" w:color="auto"/>
          <w:color w:val="0000FF"/>
        </w:rPr>
      </w:pPr>
      <w:hyperlink r:id="rId194">
        <w:r>
          <w:rPr>
            <w:rFonts w:ascii="Times New Roman" w:cs="Times New Roman" w:eastAsia="Times New Roman" w:hAnsi="Times New Roman"/>
            <w:sz w:val="16"/>
            <w:szCs w:val="16"/>
            <w:u w:val="single" w:color="auto"/>
            <w:color w:val="0000FF"/>
          </w:rPr>
          <w:t>Registration Rights Agreement, dated August 5, 2014, among NRG Yield</w:t>
        </w:r>
      </w:hyperlink>
      <w:r>
        <w:rPr>
          <w:rFonts w:ascii="Times New Roman" w:cs="Times New Roman" w:eastAsia="Times New Roman" w:hAnsi="Times New Roman"/>
          <w:sz w:val="16"/>
          <w:szCs w:val="16"/>
          <w:u w:val="single" w:color="auto"/>
          <w:color w:val="0000FF"/>
        </w:rPr>
        <w:t xml:space="preserve"> </w:t>
      </w:r>
      <w:hyperlink r:id="rId194">
        <w:r>
          <w:rPr>
            <w:rFonts w:ascii="Times New Roman" w:cs="Times New Roman" w:eastAsia="Times New Roman" w:hAnsi="Times New Roman"/>
            <w:sz w:val="16"/>
            <w:szCs w:val="16"/>
            <w:u w:val="single" w:color="auto"/>
            <w:color w:val="0000FF"/>
          </w:rPr>
          <w:t>Operating LLC, the guarantors named therein and Merrill Lynch, Pierce,</w:t>
        </w:r>
      </w:hyperlink>
      <w:r>
        <w:rPr>
          <w:rFonts w:ascii="Times New Roman" w:cs="Times New Roman" w:eastAsia="Times New Roman" w:hAnsi="Times New Roman"/>
          <w:sz w:val="16"/>
          <w:szCs w:val="16"/>
          <w:u w:val="single" w:color="auto"/>
          <w:color w:val="0000FF"/>
        </w:rPr>
        <w:t xml:space="preserve"> </w:t>
      </w:r>
      <w:hyperlink r:id="rId194">
        <w:r>
          <w:rPr>
            <w:rFonts w:ascii="Times New Roman" w:cs="Times New Roman" w:eastAsia="Times New Roman" w:hAnsi="Times New Roman"/>
            <w:sz w:val="16"/>
            <w:szCs w:val="16"/>
            <w:u w:val="single" w:color="auto"/>
            <w:color w:val="0000FF"/>
          </w:rPr>
          <w:t>Fenner &amp; Smith Incorporated, as representative of the initial purchasers.</w:t>
        </w:r>
      </w:hyperlink>
    </w:p>
    <w:p>
      <w:pPr>
        <w:spacing w:after="0" w:line="6" w:lineRule="exact"/>
        <w:rPr>
          <w:rFonts w:ascii="Times New Roman" w:cs="Times New Roman" w:eastAsia="Times New Roman" w:hAnsi="Times New Roman"/>
          <w:sz w:val="16"/>
          <w:szCs w:val="16"/>
          <w:u w:val="single" w:color="auto"/>
          <w:color w:val="0000FF"/>
        </w:rPr>
      </w:pPr>
    </w:p>
    <w:p>
      <w:pPr>
        <w:ind w:right="100"/>
        <w:spacing w:after="0" w:line="232" w:lineRule="auto"/>
        <w:rPr>
          <w:rFonts w:ascii="Times New Roman" w:cs="Times New Roman" w:eastAsia="Times New Roman" w:hAnsi="Times New Roman"/>
          <w:sz w:val="16"/>
          <w:szCs w:val="16"/>
          <w:u w:val="single" w:color="auto"/>
          <w:color w:val="0000FF"/>
        </w:rPr>
      </w:pPr>
      <w:hyperlink r:id="rId195">
        <w:r>
          <w:rPr>
            <w:rFonts w:ascii="Times New Roman" w:cs="Times New Roman" w:eastAsia="Times New Roman" w:hAnsi="Times New Roman"/>
            <w:sz w:val="16"/>
            <w:szCs w:val="16"/>
            <w:u w:val="single" w:color="auto"/>
            <w:color w:val="0000FF"/>
          </w:rPr>
          <w:t>Supplemental Indenture, dated as of November 7, 2014, among NRG Yield</w:t>
        </w:r>
      </w:hyperlink>
      <w:r>
        <w:rPr>
          <w:rFonts w:ascii="Times New Roman" w:cs="Times New Roman" w:eastAsia="Times New Roman" w:hAnsi="Times New Roman"/>
          <w:sz w:val="16"/>
          <w:szCs w:val="16"/>
          <w:u w:val="single" w:color="auto"/>
          <w:color w:val="0000FF"/>
        </w:rPr>
        <w:t xml:space="preserve"> </w:t>
      </w:r>
      <w:hyperlink r:id="rId195">
        <w:r>
          <w:rPr>
            <w:rFonts w:ascii="Times New Roman" w:cs="Times New Roman" w:eastAsia="Times New Roman" w:hAnsi="Times New Roman"/>
            <w:sz w:val="16"/>
            <w:szCs w:val="16"/>
            <w:u w:val="single" w:color="auto"/>
            <w:color w:val="0000FF"/>
          </w:rPr>
          <w:t>Operating LLC, the guarantors named therein and Law Debenture Trust</w:t>
        </w:r>
      </w:hyperlink>
      <w:r>
        <w:rPr>
          <w:rFonts w:ascii="Times New Roman" w:cs="Times New Roman" w:eastAsia="Times New Roman" w:hAnsi="Times New Roman"/>
          <w:sz w:val="16"/>
          <w:szCs w:val="16"/>
          <w:u w:val="single" w:color="auto"/>
          <w:color w:val="0000FF"/>
        </w:rPr>
        <w:t xml:space="preserve"> </w:t>
      </w:r>
      <w:hyperlink r:id="rId195">
        <w:r>
          <w:rPr>
            <w:rFonts w:ascii="Times New Roman" w:cs="Times New Roman" w:eastAsia="Times New Roman" w:hAnsi="Times New Roman"/>
            <w:sz w:val="16"/>
            <w:szCs w:val="16"/>
            <w:u w:val="single" w:color="auto"/>
            <w:color w:val="0000FF"/>
          </w:rPr>
          <w:t>Company of New York.</w:t>
        </w:r>
      </w:hyperlink>
    </w:p>
    <w:p>
      <w:pPr>
        <w:spacing w:after="0" w:line="6" w:lineRule="exact"/>
        <w:rPr>
          <w:rFonts w:ascii="Times New Roman" w:cs="Times New Roman" w:eastAsia="Times New Roman" w:hAnsi="Times New Roman"/>
          <w:sz w:val="16"/>
          <w:szCs w:val="16"/>
          <w:u w:val="single" w:color="auto"/>
          <w:color w:val="0000FF"/>
        </w:rPr>
      </w:pPr>
    </w:p>
    <w:p>
      <w:pPr>
        <w:ind w:right="120"/>
        <w:spacing w:after="0" w:line="232" w:lineRule="auto"/>
        <w:rPr>
          <w:rFonts w:ascii="Times New Roman" w:cs="Times New Roman" w:eastAsia="Times New Roman" w:hAnsi="Times New Roman"/>
          <w:sz w:val="16"/>
          <w:szCs w:val="16"/>
          <w:u w:val="single" w:color="auto"/>
          <w:color w:val="0000FF"/>
        </w:rPr>
      </w:pPr>
      <w:hyperlink r:id="rId196">
        <w:r>
          <w:rPr>
            <w:rFonts w:ascii="Times New Roman" w:cs="Times New Roman" w:eastAsia="Times New Roman" w:hAnsi="Times New Roman"/>
            <w:sz w:val="16"/>
            <w:szCs w:val="16"/>
            <w:u w:val="single" w:color="auto"/>
            <w:color w:val="0000FF"/>
          </w:rPr>
          <w:t>Supplemental Indenture, dated as of February 25, 2015, among NRG Yield</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Operating LLC, the guarantors named therein and Law Debenture Trust</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Company of New York.</w:t>
        </w:r>
      </w:hyperlink>
    </w:p>
    <w:p>
      <w:pPr>
        <w:spacing w:after="0" w:line="276" w:lineRule="exact"/>
        <w:rPr>
          <w:rFonts w:ascii="Times New Roman" w:cs="Times New Roman" w:eastAsia="Times New Roman" w:hAnsi="Times New Roman"/>
          <w:sz w:val="16"/>
          <w:szCs w:val="16"/>
          <w:u w:val="single" w:color="auto"/>
          <w:color w:val="0000FF"/>
        </w:rPr>
      </w:pPr>
    </w:p>
    <w:p>
      <w:pPr>
        <w:ind w:right="100"/>
        <w:spacing w:after="0" w:line="232" w:lineRule="auto"/>
        <w:rPr>
          <w:rFonts w:ascii="Times New Roman" w:cs="Times New Roman" w:eastAsia="Times New Roman" w:hAnsi="Times New Roman"/>
          <w:sz w:val="16"/>
          <w:szCs w:val="16"/>
          <w:u w:val="single" w:color="auto"/>
          <w:color w:val="0000FF"/>
        </w:rPr>
      </w:pPr>
      <w:hyperlink r:id="rId197">
        <w:r>
          <w:rPr>
            <w:rFonts w:ascii="Times New Roman" w:cs="Times New Roman" w:eastAsia="Times New Roman" w:hAnsi="Times New Roman"/>
            <w:sz w:val="16"/>
            <w:szCs w:val="16"/>
            <w:u w:val="single" w:color="auto"/>
            <w:color w:val="0000FF"/>
          </w:rPr>
          <w:t>Third Supplemental Indenture, dated as of April 10, 2015, among NRG</w:t>
        </w:r>
      </w:hyperlink>
      <w:r>
        <w:rPr>
          <w:rFonts w:ascii="Times New Roman" w:cs="Times New Roman" w:eastAsia="Times New Roman" w:hAnsi="Times New Roman"/>
          <w:sz w:val="16"/>
          <w:szCs w:val="16"/>
          <w:u w:val="single" w:color="auto"/>
          <w:color w:val="0000FF"/>
        </w:rPr>
        <w:t xml:space="preserve"> </w:t>
      </w:r>
      <w:hyperlink r:id="rId197">
        <w:r>
          <w:rPr>
            <w:rFonts w:ascii="Times New Roman" w:cs="Times New Roman" w:eastAsia="Times New Roman" w:hAnsi="Times New Roman"/>
            <w:sz w:val="16"/>
            <w:szCs w:val="16"/>
            <w:u w:val="single" w:color="auto"/>
            <w:color w:val="0000FF"/>
          </w:rPr>
          <w:t>Yield Operating LLC, NRG Yield LLC, the other guarantors named therein</w:t>
        </w:r>
      </w:hyperlink>
      <w:r>
        <w:rPr>
          <w:rFonts w:ascii="Times New Roman" w:cs="Times New Roman" w:eastAsia="Times New Roman" w:hAnsi="Times New Roman"/>
          <w:sz w:val="16"/>
          <w:szCs w:val="16"/>
          <w:u w:val="single" w:color="auto"/>
          <w:color w:val="0000FF"/>
        </w:rPr>
        <w:t xml:space="preserve"> </w:t>
      </w:r>
      <w:hyperlink r:id="rId197">
        <w:r>
          <w:rPr>
            <w:rFonts w:ascii="Times New Roman" w:cs="Times New Roman" w:eastAsia="Times New Roman" w:hAnsi="Times New Roman"/>
            <w:sz w:val="16"/>
            <w:szCs w:val="16"/>
            <w:u w:val="single" w:color="auto"/>
            <w:color w:val="0000FF"/>
          </w:rPr>
          <w:t>and Law Debenture Trust Company of New York.</w:t>
        </w:r>
      </w:hyperlink>
    </w:p>
    <w:p>
      <w:pPr>
        <w:spacing w:after="0" w:line="182" w:lineRule="exact"/>
        <w:rPr>
          <w:rFonts w:ascii="Times New Roman" w:cs="Times New Roman" w:eastAsia="Times New Roman" w:hAnsi="Times New Roman"/>
          <w:sz w:val="16"/>
          <w:szCs w:val="16"/>
          <w:u w:val="single" w:color="auto"/>
          <w:color w:val="0000FF"/>
        </w:rPr>
      </w:pPr>
    </w:p>
    <w:p>
      <w:pPr>
        <w:ind w:right="20"/>
        <w:spacing w:after="0" w:line="232" w:lineRule="auto"/>
        <w:rPr>
          <w:rFonts w:ascii="Times New Roman" w:cs="Times New Roman" w:eastAsia="Times New Roman" w:hAnsi="Times New Roman"/>
          <w:sz w:val="16"/>
          <w:szCs w:val="16"/>
          <w:u w:val="single" w:color="auto"/>
          <w:color w:val="0000FF"/>
        </w:rPr>
      </w:pPr>
      <w:hyperlink r:id="rId198">
        <w:r>
          <w:rPr>
            <w:rFonts w:ascii="Times New Roman" w:cs="Times New Roman" w:eastAsia="Times New Roman" w:hAnsi="Times New Roman"/>
            <w:sz w:val="16"/>
            <w:szCs w:val="16"/>
            <w:u w:val="single" w:color="auto"/>
            <w:color w:val="0000FF"/>
          </w:rPr>
          <w:t>Fourth Supplemental Indenture, dated as of May 8, 2015, among NRG Yield</w:t>
        </w:r>
      </w:hyperlink>
      <w:r>
        <w:rPr>
          <w:rFonts w:ascii="Times New Roman" w:cs="Times New Roman" w:eastAsia="Times New Roman" w:hAnsi="Times New Roman"/>
          <w:sz w:val="16"/>
          <w:szCs w:val="16"/>
          <w:u w:val="single" w:color="auto"/>
          <w:color w:val="0000FF"/>
        </w:rPr>
        <w:t xml:space="preserve"> </w:t>
      </w:r>
      <w:hyperlink r:id="rId198">
        <w:r>
          <w:rPr>
            <w:rFonts w:ascii="Times New Roman" w:cs="Times New Roman" w:eastAsia="Times New Roman" w:hAnsi="Times New Roman"/>
            <w:sz w:val="16"/>
            <w:szCs w:val="16"/>
            <w:u w:val="single" w:color="auto"/>
            <w:color w:val="0000FF"/>
          </w:rPr>
          <w:t>Operating LLC, the guarantors named therein and Law Debenture Trust</w:t>
        </w:r>
      </w:hyperlink>
      <w:r>
        <w:rPr>
          <w:rFonts w:ascii="Times New Roman" w:cs="Times New Roman" w:eastAsia="Times New Roman" w:hAnsi="Times New Roman"/>
          <w:sz w:val="16"/>
          <w:szCs w:val="16"/>
          <w:u w:val="single" w:color="auto"/>
          <w:color w:val="0000FF"/>
        </w:rPr>
        <w:t xml:space="preserve"> </w:t>
      </w:r>
      <w:hyperlink r:id="rId198">
        <w:r>
          <w:rPr>
            <w:rFonts w:ascii="Times New Roman" w:cs="Times New Roman" w:eastAsia="Times New Roman" w:hAnsi="Times New Roman"/>
            <w:sz w:val="16"/>
            <w:szCs w:val="16"/>
            <w:u w:val="single" w:color="auto"/>
            <w:color w:val="0000FF"/>
          </w:rPr>
          <w:t>Company of New York.</w:t>
        </w:r>
      </w:hyperlink>
    </w:p>
    <w:p>
      <w:pPr>
        <w:spacing w:after="0" w:line="182" w:lineRule="exact"/>
        <w:rPr>
          <w:rFonts w:ascii="Times New Roman" w:cs="Times New Roman" w:eastAsia="Times New Roman" w:hAnsi="Times New Roman"/>
          <w:sz w:val="16"/>
          <w:szCs w:val="16"/>
          <w:u w:val="single" w:color="auto"/>
          <w:color w:val="0000FF"/>
        </w:rPr>
      </w:pPr>
    </w:p>
    <w:p>
      <w:pPr>
        <w:ind w:right="60"/>
        <w:spacing w:after="0" w:line="232" w:lineRule="auto"/>
        <w:rPr>
          <w:rFonts w:ascii="Times New Roman" w:cs="Times New Roman" w:eastAsia="Times New Roman" w:hAnsi="Times New Roman"/>
          <w:sz w:val="16"/>
          <w:szCs w:val="16"/>
          <w:u w:val="single" w:color="auto"/>
          <w:color w:val="0000FF"/>
        </w:rPr>
      </w:pPr>
      <w:hyperlink r:id="rId199">
        <w:r>
          <w:rPr>
            <w:rFonts w:ascii="Times New Roman" w:cs="Times New Roman" w:eastAsia="Times New Roman" w:hAnsi="Times New Roman"/>
            <w:sz w:val="16"/>
            <w:szCs w:val="16"/>
            <w:u w:val="single" w:color="auto"/>
            <w:color w:val="0000FF"/>
          </w:rPr>
          <w:t>Indenture, dated June 29, 2015, among NRG Yield, Inc., NRG Yield</w:t>
        </w:r>
      </w:hyperlink>
      <w:r>
        <w:rPr>
          <w:rFonts w:ascii="Times New Roman" w:cs="Times New Roman" w:eastAsia="Times New Roman" w:hAnsi="Times New Roman"/>
          <w:sz w:val="16"/>
          <w:szCs w:val="16"/>
          <w:u w:val="single" w:color="auto"/>
          <w:color w:val="0000FF"/>
        </w:rPr>
        <w:t xml:space="preserve"> </w:t>
      </w:r>
      <w:hyperlink r:id="rId199">
        <w:r>
          <w:rPr>
            <w:rFonts w:ascii="Times New Roman" w:cs="Times New Roman" w:eastAsia="Times New Roman" w:hAnsi="Times New Roman"/>
            <w:sz w:val="16"/>
            <w:szCs w:val="16"/>
            <w:u w:val="single" w:color="auto"/>
            <w:color w:val="0000FF"/>
          </w:rPr>
          <w:t>Operating LLC and NRG Yield LLC, as Guarantors, and Wilmington Trust,</w:t>
        </w:r>
      </w:hyperlink>
      <w:r>
        <w:rPr>
          <w:rFonts w:ascii="Times New Roman" w:cs="Times New Roman" w:eastAsia="Times New Roman" w:hAnsi="Times New Roman"/>
          <w:sz w:val="16"/>
          <w:szCs w:val="16"/>
          <w:u w:val="single" w:color="auto"/>
          <w:color w:val="0000FF"/>
        </w:rPr>
        <w:t xml:space="preserve"> </w:t>
      </w:r>
      <w:hyperlink r:id="rId199">
        <w:r>
          <w:rPr>
            <w:rFonts w:ascii="Times New Roman" w:cs="Times New Roman" w:eastAsia="Times New Roman" w:hAnsi="Times New Roman"/>
            <w:sz w:val="16"/>
            <w:szCs w:val="16"/>
            <w:u w:val="single" w:color="auto"/>
            <w:color w:val="0000FF"/>
          </w:rPr>
          <w:t>National Association, as Trustee.</w:t>
        </w:r>
      </w:hyperlink>
    </w:p>
    <w:p>
      <w:pPr>
        <w:spacing w:after="0" w:line="182"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6"/>
          <w:szCs w:val="16"/>
          <w:u w:val="single" w:color="auto"/>
          <w:color w:val="0000FF"/>
        </w:rPr>
      </w:pPr>
      <w:hyperlink r:id="rId199">
        <w:r>
          <w:rPr>
            <w:rFonts w:ascii="Times New Roman" w:cs="Times New Roman" w:eastAsia="Times New Roman" w:hAnsi="Times New Roman"/>
            <w:sz w:val="16"/>
            <w:szCs w:val="16"/>
            <w:u w:val="single" w:color="auto"/>
            <w:color w:val="0000FF"/>
          </w:rPr>
          <w:t>Form of 3.25% Convertible Senior Note due 2020.</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291"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6"/>
          <w:szCs w:val="16"/>
          <w:u w:val="single" w:color="auto"/>
          <w:color w:val="0000FF"/>
        </w:rPr>
      </w:pPr>
      <w:hyperlink r:id="rId200">
        <w:r>
          <w:rPr>
            <w:rFonts w:ascii="Times New Roman" w:cs="Times New Roman" w:eastAsia="Times New Roman" w:hAnsi="Times New Roman"/>
            <w:sz w:val="16"/>
            <w:szCs w:val="16"/>
            <w:u w:val="single" w:color="auto"/>
            <w:color w:val="0000FF"/>
          </w:rPr>
          <w:t>Specimen Class A Common Stock Certificate.</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75" w:lineRule="exact"/>
        <w:rPr>
          <w:rFonts w:ascii="Times New Roman" w:cs="Times New Roman" w:eastAsia="Times New Roman" w:hAnsi="Times New Roman"/>
          <w:sz w:val="16"/>
          <w:szCs w:val="16"/>
          <w:u w:val="single" w:color="auto"/>
          <w:color w:val="0000FF"/>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2.1 to the Company's Current Report on Form 8-K, filed on December 9, 2019.</w:t>
      </w:r>
    </w:p>
    <w:p>
      <w:pPr>
        <w:spacing w:after="0" w:line="182" w:lineRule="exact"/>
        <w:rPr>
          <w:rFonts w:ascii="Times New Roman" w:cs="Times New Roman" w:eastAsia="Times New Roman" w:hAnsi="Times New Roman"/>
          <w:sz w:val="16"/>
          <w:szCs w:val="16"/>
          <w:u w:val="single" w:color="auto"/>
          <w:color w:val="0000FF"/>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2.1 to the Company's Current Report on Form 8-K, filed on November 20, 2020.</w:t>
      </w:r>
    </w:p>
    <w:p>
      <w:pPr>
        <w:spacing w:after="0" w:line="6" w:lineRule="exact"/>
        <w:rPr>
          <w:rFonts w:ascii="Times New Roman" w:cs="Times New Roman" w:eastAsia="Times New Roman" w:hAnsi="Times New Roman"/>
          <w:sz w:val="16"/>
          <w:szCs w:val="16"/>
          <w:u w:val="single" w:color="auto"/>
          <w:color w:val="0000FF"/>
        </w:rPr>
      </w:pPr>
    </w:p>
    <w:p>
      <w:pPr>
        <w:ind w:right="49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3.1 to the Company's Current Report on Form 10-Q filed on May 4, 2020.</w:t>
      </w:r>
    </w:p>
    <w:p>
      <w:pPr>
        <w:spacing w:after="0" w:line="6" w:lineRule="exact"/>
        <w:rPr>
          <w:rFonts w:ascii="Times New Roman" w:cs="Times New Roman" w:eastAsia="Times New Roman" w:hAnsi="Times New Roman"/>
          <w:sz w:val="16"/>
          <w:szCs w:val="16"/>
          <w:u w:val="single" w:color="auto"/>
          <w:color w:val="0000FF"/>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3.2 to the Company's Current Report on Form 8-K filed on September 5, 2018.</w:t>
      </w:r>
    </w:p>
    <w:p>
      <w:pPr>
        <w:spacing w:after="0" w:line="101" w:lineRule="exact"/>
        <w:rPr>
          <w:rFonts w:ascii="Times New Roman" w:cs="Times New Roman" w:eastAsia="Times New Roman" w:hAnsi="Times New Roman"/>
          <w:sz w:val="16"/>
          <w:szCs w:val="16"/>
          <w:u w:val="single" w:color="auto"/>
          <w:color w:val="0000FF"/>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10.6 to the Company's Current Report on Form 8-K filed on September 5, 2018.</w:t>
      </w:r>
    </w:p>
    <w:p>
      <w:pPr>
        <w:spacing w:after="0" w:line="87" w:lineRule="exact"/>
        <w:rPr>
          <w:rFonts w:ascii="Times New Roman" w:cs="Times New Roman" w:eastAsia="Times New Roman" w:hAnsi="Times New Roman"/>
          <w:sz w:val="16"/>
          <w:szCs w:val="16"/>
          <w:u w:val="single" w:color="auto"/>
          <w:color w:val="0000FF"/>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February 11, 2014.</w:t>
      </w:r>
    </w:p>
    <w:p>
      <w:pPr>
        <w:spacing w:after="0" w:line="168" w:lineRule="exact"/>
        <w:rPr>
          <w:rFonts w:ascii="Times New Roman" w:cs="Times New Roman" w:eastAsia="Times New Roman" w:hAnsi="Times New Roman"/>
          <w:sz w:val="16"/>
          <w:szCs w:val="16"/>
          <w:u w:val="single" w:color="auto"/>
          <w:color w:val="0000FF"/>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February 11, 2014.</w:t>
      </w:r>
    </w:p>
    <w:p>
      <w:pPr>
        <w:spacing w:after="0" w:line="6" w:lineRule="exact"/>
        <w:rPr>
          <w:rFonts w:ascii="Times New Roman" w:cs="Times New Roman" w:eastAsia="Times New Roman" w:hAnsi="Times New Roman"/>
          <w:sz w:val="16"/>
          <w:szCs w:val="16"/>
          <w:u w:val="single" w:color="auto"/>
          <w:color w:val="0000FF"/>
        </w:rPr>
      </w:pPr>
    </w:p>
    <w:p>
      <w:pPr>
        <w:ind w:right="41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August 5, 2014.</w:t>
      </w:r>
    </w:p>
    <w:p>
      <w:pPr>
        <w:spacing w:after="0" w:line="6" w:lineRule="exact"/>
        <w:rPr>
          <w:rFonts w:ascii="Times New Roman" w:cs="Times New Roman" w:eastAsia="Times New Roman" w:hAnsi="Times New Roman"/>
          <w:sz w:val="16"/>
          <w:szCs w:val="16"/>
          <w:u w:val="single" w:color="auto"/>
          <w:color w:val="0000FF"/>
        </w:rPr>
      </w:pPr>
    </w:p>
    <w:p>
      <w:pPr>
        <w:ind w:right="41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August 5, 2014.</w:t>
      </w:r>
    </w:p>
    <w:p>
      <w:pPr>
        <w:spacing w:after="0" w:line="6" w:lineRule="exact"/>
        <w:rPr>
          <w:rFonts w:ascii="Times New Roman" w:cs="Times New Roman" w:eastAsia="Times New Roman" w:hAnsi="Times New Roman"/>
          <w:sz w:val="16"/>
          <w:szCs w:val="16"/>
          <w:u w:val="single" w:color="auto"/>
          <w:color w:val="0000FF"/>
        </w:rPr>
      </w:pPr>
    </w:p>
    <w:p>
      <w:pPr>
        <w:ind w:right="41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August 5, 2014.</w:t>
      </w:r>
    </w:p>
    <w:p>
      <w:pPr>
        <w:spacing w:after="0" w:line="6" w:lineRule="exact"/>
        <w:rPr>
          <w:rFonts w:ascii="Times New Roman" w:cs="Times New Roman" w:eastAsia="Times New Roman" w:hAnsi="Times New Roman"/>
          <w:sz w:val="16"/>
          <w:szCs w:val="16"/>
          <w:u w:val="single" w:color="auto"/>
          <w:color w:val="0000FF"/>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November 13, 2014.</w:t>
      </w:r>
    </w:p>
    <w:p>
      <w:pPr>
        <w:spacing w:after="0" w:line="101" w:lineRule="exact"/>
        <w:rPr>
          <w:rFonts w:ascii="Times New Roman" w:cs="Times New Roman" w:eastAsia="Times New Roman" w:hAnsi="Times New Roman"/>
          <w:sz w:val="16"/>
          <w:szCs w:val="16"/>
          <w:u w:val="single" w:color="auto"/>
          <w:color w:val="0000FF"/>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February 27, 2015.</w:t>
      </w:r>
    </w:p>
    <w:p>
      <w:pPr>
        <w:spacing w:after="0" w:line="182" w:lineRule="exact"/>
        <w:rPr>
          <w:rFonts w:ascii="Times New Roman" w:cs="Times New Roman" w:eastAsia="Times New Roman" w:hAnsi="Times New Roman"/>
          <w:sz w:val="16"/>
          <w:szCs w:val="16"/>
          <w:u w:val="single" w:color="auto"/>
          <w:color w:val="0000FF"/>
        </w:rPr>
      </w:pPr>
    </w:p>
    <w:p>
      <w:pPr>
        <w:ind w:right="5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April 16, 2015.</w:t>
      </w:r>
    </w:p>
    <w:p>
      <w:pPr>
        <w:spacing w:after="0" w:line="182" w:lineRule="exact"/>
        <w:rPr>
          <w:rFonts w:ascii="Times New Roman" w:cs="Times New Roman" w:eastAsia="Times New Roman" w:hAnsi="Times New Roman"/>
          <w:sz w:val="16"/>
          <w:szCs w:val="16"/>
          <w:u w:val="single" w:color="auto"/>
          <w:color w:val="0000FF"/>
        </w:rPr>
      </w:pPr>
    </w:p>
    <w:p>
      <w:pPr>
        <w:ind w:right="41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May 8, 2015.</w:t>
      </w:r>
    </w:p>
    <w:p>
      <w:pPr>
        <w:spacing w:after="0" w:line="182" w:lineRule="exact"/>
        <w:rPr>
          <w:rFonts w:ascii="Times New Roman" w:cs="Times New Roman" w:eastAsia="Times New Roman" w:hAnsi="Times New Roman"/>
          <w:sz w:val="16"/>
          <w:szCs w:val="16"/>
          <w:u w:val="single" w:color="auto"/>
          <w:color w:val="0000FF"/>
        </w:rPr>
      </w:pPr>
    </w:p>
    <w:p>
      <w:pPr>
        <w:jc w:val="both"/>
        <w:ind w:right="59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June 29, 2015.</w:t>
      </w:r>
    </w:p>
    <w:p>
      <w:pPr>
        <w:spacing w:after="0" w:line="182" w:lineRule="exact"/>
        <w:rPr>
          <w:rFonts w:ascii="Times New Roman" w:cs="Times New Roman" w:eastAsia="Times New Roman" w:hAnsi="Times New Roman"/>
          <w:sz w:val="16"/>
          <w:szCs w:val="16"/>
          <w:u w:val="single" w:color="auto"/>
          <w:color w:val="0000FF"/>
        </w:rPr>
      </w:pPr>
    </w:p>
    <w:p>
      <w:pPr>
        <w:jc w:val="both"/>
        <w:ind w:right="599"/>
        <w:spacing w:after="0" w:line="218"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June</w:t>
      </w:r>
    </w:p>
    <w:p>
      <w:pPr>
        <w:spacing w:after="0"/>
        <w:rPr>
          <w:sz w:val="20"/>
          <w:szCs w:val="20"/>
          <w:color w:val="auto"/>
        </w:rPr>
      </w:pPr>
      <w:r>
        <w:rPr>
          <w:rFonts w:ascii="Times New Roman" w:cs="Times New Roman" w:eastAsia="Times New Roman" w:hAnsi="Times New Roman"/>
          <w:sz w:val="16"/>
          <w:szCs w:val="16"/>
          <w:color w:val="auto"/>
        </w:rPr>
        <w:t>29, 2015</w:t>
      </w:r>
      <w:r>
        <w:rPr>
          <w:rFonts w:ascii="Times New Roman" w:cs="Times New Roman" w:eastAsia="Times New Roman" w:hAnsi="Times New Roman"/>
          <w:sz w:val="21"/>
          <w:szCs w:val="21"/>
          <w:color w:val="auto"/>
        </w:rPr>
        <w:t>.</w:t>
      </w:r>
    </w:p>
    <w:p>
      <w:pPr>
        <w:spacing w:after="0" w:line="194" w:lineRule="exact"/>
        <w:rPr>
          <w:rFonts w:ascii="Times New Roman" w:cs="Times New Roman" w:eastAsia="Times New Roman" w:hAnsi="Times New Roman"/>
          <w:sz w:val="16"/>
          <w:szCs w:val="16"/>
          <w:u w:val="single" w:color="auto"/>
          <w:color w:val="0000FF"/>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4.13 to the Company's Annual Report on Form 10-K filed on February 28, 2019.</w:t>
      </w:r>
    </w:p>
    <w:p>
      <w:pPr>
        <w:spacing w:after="0" w:line="200"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280" w:space="620"/>
            <w:col w:w="4980" w:space="140"/>
            <w:col w:w="4099"/>
          </w:cols>
          <w:pgMar w:left="340" w:top="887" w:right="1440" w:bottom="1440" w:gutter="0" w:footer="0" w:header="0"/>
          <w:type w:val="continuous"/>
        </w:sectPr>
      </w:pPr>
    </w:p>
    <w:p>
      <w:pPr>
        <w:spacing w:after="0" w:line="200" w:lineRule="exact"/>
        <w:rPr>
          <w:rFonts w:ascii="Times New Roman" w:cs="Times New Roman" w:eastAsia="Times New Roman" w:hAnsi="Times New Roman"/>
          <w:sz w:val="16"/>
          <w:szCs w:val="16"/>
          <w:u w:val="single" w:color="auto"/>
          <w:color w:val="0000FF"/>
        </w:rPr>
      </w:pPr>
    </w:p>
    <w:p>
      <w:pPr>
        <w:spacing w:after="0" w:line="331" w:lineRule="exact"/>
        <w:rPr>
          <w:rFonts w:ascii="Times New Roman" w:cs="Times New Roman" w:eastAsia="Times New Roman" w:hAnsi="Times New Roman"/>
          <w:sz w:val="16"/>
          <w:szCs w:val="16"/>
          <w:u w:val="single" w:color="auto"/>
          <w:color w:val="0000FF"/>
        </w:rPr>
      </w:pPr>
    </w:p>
    <w:p>
      <w:pPr>
        <w:ind w:left="546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887" w:right="1440"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color w:val="auto"/>
        </w:rPr>
        <w:t>4.14</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4.15</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020" w:type="dxa"/>
            <w:vAlign w:val="bottom"/>
            <w:gridSpan w:val="2"/>
          </w:tcPr>
          <w:p>
            <w:pPr>
              <w:spacing w:after="0"/>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u w:val="single" w:color="auto"/>
                  <w:color w:val="0000FF"/>
                </w:rPr>
                <w:t>Specimen Class C Common Stock Certificate</w:t>
              </w:r>
              <w:r>
                <w:rPr>
                  <w:rFonts w:ascii="Times New Roman" w:cs="Times New Roman" w:eastAsia="Times New Roman" w:hAnsi="Times New Roman"/>
                  <w:sz w:val="16"/>
                  <w:szCs w:val="16"/>
                  <w:color w:val="0000FF"/>
                </w:rPr>
                <w:t>.</w:t>
              </w:r>
            </w:hyperlink>
          </w:p>
        </w:tc>
        <w:tc>
          <w:tcPr>
            <w:tcW w:w="3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4.14 to the</w:t>
            </w:r>
          </w:p>
        </w:tc>
        <w:tc>
          <w:tcPr>
            <w:tcW w:w="0" w:type="dxa"/>
            <w:vAlign w:val="bottom"/>
          </w:tcPr>
          <w:p>
            <w:pPr>
              <w:spacing w:after="0"/>
              <w:rPr>
                <w:sz w:val="1"/>
                <w:szCs w:val="1"/>
                <w:color w:val="auto"/>
              </w:rPr>
            </w:pPr>
          </w:p>
        </w:tc>
      </w:tr>
      <w:tr>
        <w:trPr>
          <w:trHeight w:val="46"/>
        </w:trPr>
        <w:tc>
          <w:tcPr>
            <w:tcW w:w="4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Company's Annual Report on Form 10-K filed on</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February 28, 2019.</w:t>
            </w:r>
          </w:p>
        </w:tc>
        <w:tc>
          <w:tcPr>
            <w:tcW w:w="0" w:type="dxa"/>
            <w:vAlign w:val="bottom"/>
          </w:tcPr>
          <w:p>
            <w:pPr>
              <w:spacing w:after="0"/>
              <w:rPr>
                <w:sz w:val="1"/>
                <w:szCs w:val="1"/>
                <w:color w:val="auto"/>
              </w:rPr>
            </w:pPr>
          </w:p>
        </w:tc>
      </w:tr>
      <w:tr>
        <w:trPr>
          <w:trHeight w:val="357"/>
        </w:trPr>
        <w:tc>
          <w:tcPr>
            <w:tcW w:w="4780" w:type="dxa"/>
            <w:vAlign w:val="bottom"/>
            <w:tcBorders>
              <w:bottom w:val="single" w:sz="8" w:color="0000FF"/>
            </w:tcBorders>
          </w:tcPr>
          <w:p>
            <w:pPr>
              <w:spacing w:after="0"/>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Indenture, dated August 18, 2016, among NRG Yield Operating LLC, the</w:t>
              </w:r>
            </w:hyperlink>
          </w:p>
        </w:tc>
        <w:tc>
          <w:tcPr>
            <w:tcW w:w="24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4.1 to the</w:t>
            </w:r>
          </w:p>
        </w:tc>
        <w:tc>
          <w:tcPr>
            <w:tcW w:w="0" w:type="dxa"/>
            <w:vAlign w:val="bottom"/>
          </w:tcPr>
          <w:p>
            <w:pPr>
              <w:spacing w:after="0"/>
              <w:rPr>
                <w:sz w:val="1"/>
                <w:szCs w:val="1"/>
                <w:color w:val="auto"/>
              </w:rPr>
            </w:pPr>
          </w:p>
        </w:tc>
      </w:tr>
      <w:tr>
        <w:trPr>
          <w:trHeight w:val="128"/>
        </w:trPr>
        <w:tc>
          <w:tcPr>
            <w:tcW w:w="5020" w:type="dxa"/>
            <w:vAlign w:val="bottom"/>
            <w:gridSpan w:val="2"/>
          </w:tcPr>
          <w:p>
            <w:pPr>
              <w:spacing w:after="0" w:line="129" w:lineRule="exact"/>
              <w:rPr>
                <w:rFonts w:ascii="Times New Roman" w:cs="Times New Roman" w:eastAsia="Times New Roman" w:hAnsi="Times New Roman"/>
                <w:sz w:val="14"/>
                <w:szCs w:val="14"/>
                <w:u w:val="single" w:color="auto"/>
                <w:color w:val="0000FF"/>
              </w:rPr>
            </w:pPr>
            <w:hyperlink r:id="rId203">
              <w:r>
                <w:rPr>
                  <w:rFonts w:ascii="Times New Roman" w:cs="Times New Roman" w:eastAsia="Times New Roman" w:hAnsi="Times New Roman"/>
                  <w:sz w:val="14"/>
                  <w:szCs w:val="14"/>
                  <w:u w:val="single" w:color="auto"/>
                  <w:color w:val="0000FF"/>
                </w:rPr>
                <w:t>guarantors named therein and Law Debenture Trust Company of New York.</w:t>
              </w:r>
            </w:hyperlink>
          </w:p>
        </w:tc>
        <w:tc>
          <w:tcPr>
            <w:tcW w:w="364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Registrant's Current Report on Form 8-K, filed on</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August 18, 2016.</w:t>
            </w:r>
          </w:p>
        </w:tc>
        <w:tc>
          <w:tcPr>
            <w:tcW w:w="0" w:type="dxa"/>
            <w:vAlign w:val="bottom"/>
          </w:tcPr>
          <w:p>
            <w:pPr>
              <w:spacing w:after="0"/>
              <w:rPr>
                <w:sz w:val="1"/>
                <w:szCs w:val="1"/>
                <w:color w:val="auto"/>
              </w:rPr>
            </w:pPr>
          </w:p>
        </w:tc>
      </w:tr>
      <w:tr>
        <w:trPr>
          <w:trHeight w:val="343"/>
        </w:trPr>
        <w:tc>
          <w:tcPr>
            <w:tcW w:w="5020" w:type="dxa"/>
            <w:vAlign w:val="bottom"/>
            <w:gridSpan w:val="2"/>
          </w:tcPr>
          <w:p>
            <w:pPr>
              <w:spacing w:after="0"/>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u w:val="single" w:color="auto"/>
                  <w:color w:val="0000FF"/>
                </w:rPr>
                <w:t>Form of 5.000% Senior Note due 2026</w:t>
              </w:r>
              <w:r>
                <w:rPr>
                  <w:rFonts w:ascii="Times New Roman" w:cs="Times New Roman" w:eastAsia="Times New Roman" w:hAnsi="Times New Roman"/>
                  <w:sz w:val="16"/>
                  <w:szCs w:val="16"/>
                  <w:color w:val="0000FF"/>
                </w:rPr>
                <w:t>.</w:t>
              </w:r>
            </w:hyperlink>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4.2 to the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Registrant's Current Report on Form 8-K, filed on</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August 18, 2016.</w:t>
            </w: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2">
            <w:col w:w="280" w:space="620"/>
            <w:col w:w="9219"/>
          </w:cols>
          <w:pgMar w:left="340" w:top="936" w:right="1440" w:bottom="474" w:gutter="0" w:footer="0" w:header="0"/>
        </w:sectPr>
      </w:pPr>
    </w:p>
    <w:p>
      <w:pPr>
        <w:spacing w:after="0"/>
        <w:rPr>
          <w:sz w:val="20"/>
          <w:szCs w:val="20"/>
          <w:color w:val="auto"/>
        </w:rPr>
      </w:pPr>
      <w:r>
        <w:rPr>
          <w:rFonts w:ascii="Times New Roman" w:cs="Times New Roman" w:eastAsia="Times New Roman" w:hAnsi="Times New Roman"/>
          <w:sz w:val="16"/>
          <w:szCs w:val="16"/>
          <w:color w:val="auto"/>
        </w:rPr>
        <w:t>4.17</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4.18</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4.19</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4.20</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4.23</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4.26</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4.27</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120"/>
        <w:spacing w:after="0" w:line="232" w:lineRule="auto"/>
        <w:rPr>
          <w:rFonts w:ascii="Times New Roman" w:cs="Times New Roman" w:eastAsia="Times New Roman" w:hAnsi="Times New Roman"/>
          <w:sz w:val="16"/>
          <w:szCs w:val="16"/>
          <w:u w:val="single" w:color="auto"/>
          <w:color w:val="0000FF"/>
        </w:rPr>
      </w:pPr>
      <w:hyperlink r:id="rId204">
        <w:r>
          <w:rPr>
            <w:rFonts w:ascii="Times New Roman" w:cs="Times New Roman" w:eastAsia="Times New Roman" w:hAnsi="Times New Roman"/>
            <w:sz w:val="16"/>
            <w:szCs w:val="16"/>
            <w:u w:val="single" w:color="auto"/>
            <w:color w:val="0000FF"/>
          </w:rPr>
          <w:t>Registration Rights Agreement, dated August 18, 2016, among NRG Yield</w:t>
        </w:r>
      </w:hyperlink>
      <w:r>
        <w:rPr>
          <w:rFonts w:ascii="Times New Roman" w:cs="Times New Roman" w:eastAsia="Times New Roman" w:hAnsi="Times New Roman"/>
          <w:sz w:val="16"/>
          <w:szCs w:val="16"/>
          <w:u w:val="single" w:color="auto"/>
          <w:color w:val="0000FF"/>
        </w:rPr>
        <w:t xml:space="preserve"> </w:t>
      </w:r>
      <w:hyperlink r:id="rId204">
        <w:r>
          <w:rPr>
            <w:rFonts w:ascii="Times New Roman" w:cs="Times New Roman" w:eastAsia="Times New Roman" w:hAnsi="Times New Roman"/>
            <w:sz w:val="16"/>
            <w:szCs w:val="16"/>
            <w:u w:val="single" w:color="auto"/>
            <w:color w:val="0000FF"/>
          </w:rPr>
          <w:t>Operating LLC, the guarantors named therein and J.P. Morgan Securities</w:t>
        </w:r>
      </w:hyperlink>
      <w:r>
        <w:rPr>
          <w:rFonts w:ascii="Times New Roman" w:cs="Times New Roman" w:eastAsia="Times New Roman" w:hAnsi="Times New Roman"/>
          <w:sz w:val="16"/>
          <w:szCs w:val="16"/>
          <w:u w:val="single" w:color="auto"/>
          <w:color w:val="0000FF"/>
        </w:rPr>
        <w:t xml:space="preserve"> </w:t>
      </w:r>
      <w:hyperlink r:id="rId204">
        <w:r>
          <w:rPr>
            <w:rFonts w:ascii="Times New Roman" w:cs="Times New Roman" w:eastAsia="Times New Roman" w:hAnsi="Times New Roman"/>
            <w:sz w:val="16"/>
            <w:szCs w:val="16"/>
            <w:u w:val="single" w:color="auto"/>
            <w:color w:val="0000FF"/>
          </w:rPr>
          <w:t>LLC, as representative of the initial purchasers.</w:t>
        </w:r>
      </w:hyperlink>
    </w:p>
    <w:p>
      <w:pPr>
        <w:spacing w:after="0" w:line="182" w:lineRule="exact"/>
        <w:rPr>
          <w:rFonts w:ascii="Times New Roman" w:cs="Times New Roman" w:eastAsia="Times New Roman" w:hAnsi="Times New Roman"/>
          <w:sz w:val="16"/>
          <w:szCs w:val="16"/>
          <w:u w:val="single" w:color="auto"/>
          <w:color w:val="0000FF"/>
        </w:rPr>
      </w:pPr>
    </w:p>
    <w:p>
      <w:pPr>
        <w:spacing w:after="0" w:line="227" w:lineRule="auto"/>
        <w:rPr>
          <w:rFonts w:ascii="Times New Roman" w:cs="Times New Roman" w:eastAsia="Times New Roman" w:hAnsi="Times New Roman"/>
          <w:sz w:val="16"/>
          <w:szCs w:val="16"/>
          <w:u w:val="single" w:color="auto"/>
          <w:color w:val="0000FF"/>
        </w:rPr>
      </w:pPr>
      <w:hyperlink r:id="rId205">
        <w:r>
          <w:rPr>
            <w:rFonts w:ascii="Times New Roman" w:cs="Times New Roman" w:eastAsia="Times New Roman" w:hAnsi="Times New Roman"/>
            <w:sz w:val="16"/>
            <w:szCs w:val="16"/>
            <w:u w:val="single" w:color="auto"/>
            <w:color w:val="0000FF"/>
          </w:rPr>
          <w:t>Fifth Supplemental Indenture, dated as of January 29, 2018, among NRG</w:t>
        </w:r>
      </w:hyperlink>
      <w:r>
        <w:rPr>
          <w:rFonts w:ascii="Times New Roman" w:cs="Times New Roman" w:eastAsia="Times New Roman" w:hAnsi="Times New Roman"/>
          <w:sz w:val="16"/>
          <w:szCs w:val="16"/>
          <w:u w:val="single" w:color="auto"/>
          <w:color w:val="0000FF"/>
        </w:rPr>
        <w:t xml:space="preserve"> </w:t>
      </w:r>
      <w:hyperlink r:id="rId205">
        <w:r>
          <w:rPr>
            <w:rFonts w:ascii="Times New Roman" w:cs="Times New Roman" w:eastAsia="Times New Roman" w:hAnsi="Times New Roman"/>
            <w:sz w:val="16"/>
            <w:szCs w:val="16"/>
            <w:u w:val="single" w:color="auto"/>
            <w:color w:val="0000FF"/>
          </w:rPr>
          <w:t>Yield Operating LLC, the guarantors named therein and Delaware Trust</w:t>
        </w:r>
      </w:hyperlink>
      <w:r>
        <w:rPr>
          <w:rFonts w:ascii="Times New Roman" w:cs="Times New Roman" w:eastAsia="Times New Roman" w:hAnsi="Times New Roman"/>
          <w:sz w:val="16"/>
          <w:szCs w:val="16"/>
          <w:u w:val="single" w:color="auto"/>
          <w:color w:val="0000FF"/>
        </w:rPr>
        <w:t xml:space="preserve"> </w:t>
      </w:r>
      <w:hyperlink r:id="rId205">
        <w:r>
          <w:rPr>
            <w:rFonts w:ascii="Times New Roman" w:cs="Times New Roman" w:eastAsia="Times New Roman" w:hAnsi="Times New Roman"/>
            <w:sz w:val="16"/>
            <w:szCs w:val="16"/>
            <w:u w:val="single" w:color="auto"/>
            <w:color w:val="0000FF"/>
          </w:rPr>
          <w:t>Company (as successor in interest to Law Debenture Trust Company of New</w:t>
        </w:r>
      </w:hyperlink>
      <w:r>
        <w:rPr>
          <w:rFonts w:ascii="Times New Roman" w:cs="Times New Roman" w:eastAsia="Times New Roman" w:hAnsi="Times New Roman"/>
          <w:sz w:val="16"/>
          <w:szCs w:val="16"/>
          <w:u w:val="single" w:color="auto"/>
          <w:color w:val="0000FF"/>
        </w:rPr>
        <w:t xml:space="preserve"> </w:t>
      </w:r>
      <w:hyperlink r:id="rId205">
        <w:r>
          <w:rPr>
            <w:rFonts w:ascii="Times New Roman" w:cs="Times New Roman" w:eastAsia="Times New Roman" w:hAnsi="Times New Roman"/>
            <w:sz w:val="16"/>
            <w:szCs w:val="16"/>
            <w:u w:val="single" w:color="auto"/>
            <w:color w:val="0000FF"/>
          </w:rPr>
          <w:t>York).</w:t>
        </w:r>
      </w:hyperlink>
    </w:p>
    <w:p>
      <w:pPr>
        <w:spacing w:after="0" w:line="181" w:lineRule="exact"/>
        <w:rPr>
          <w:rFonts w:ascii="Times New Roman" w:cs="Times New Roman" w:eastAsia="Times New Roman" w:hAnsi="Times New Roman"/>
          <w:sz w:val="16"/>
          <w:szCs w:val="16"/>
          <w:u w:val="single" w:color="auto"/>
          <w:color w:val="0000FF"/>
        </w:rPr>
      </w:pPr>
    </w:p>
    <w:p>
      <w:pPr>
        <w:spacing w:after="0" w:line="227" w:lineRule="auto"/>
        <w:rPr>
          <w:rFonts w:ascii="Times New Roman" w:cs="Times New Roman" w:eastAsia="Times New Roman" w:hAnsi="Times New Roman"/>
          <w:sz w:val="16"/>
          <w:szCs w:val="16"/>
          <w:u w:val="single" w:color="auto"/>
          <w:color w:val="0000FF"/>
        </w:rPr>
      </w:pPr>
      <w:hyperlink r:id="rId206">
        <w:r>
          <w:rPr>
            <w:rFonts w:ascii="Times New Roman" w:cs="Times New Roman" w:eastAsia="Times New Roman" w:hAnsi="Times New Roman"/>
            <w:sz w:val="16"/>
            <w:szCs w:val="16"/>
            <w:u w:val="single" w:color="auto"/>
            <w:color w:val="0000FF"/>
          </w:rPr>
          <w:t>Supplemental Indenture, dated as of January 29, 2018, among NRG Yield</w:t>
        </w:r>
      </w:hyperlink>
      <w:r>
        <w:rPr>
          <w:rFonts w:ascii="Times New Roman" w:cs="Times New Roman" w:eastAsia="Times New Roman" w:hAnsi="Times New Roman"/>
          <w:sz w:val="16"/>
          <w:szCs w:val="16"/>
          <w:u w:val="single" w:color="auto"/>
          <w:color w:val="0000FF"/>
        </w:rPr>
        <w:t xml:space="preserve"> </w:t>
      </w:r>
      <w:hyperlink r:id="rId206">
        <w:r>
          <w:rPr>
            <w:rFonts w:ascii="Times New Roman" w:cs="Times New Roman" w:eastAsia="Times New Roman" w:hAnsi="Times New Roman"/>
            <w:sz w:val="16"/>
            <w:szCs w:val="16"/>
            <w:u w:val="single" w:color="auto"/>
            <w:color w:val="0000FF"/>
          </w:rPr>
          <w:t>Operating LLC, the guarantors named therein and the Delaware Trust</w:t>
        </w:r>
      </w:hyperlink>
      <w:r>
        <w:rPr>
          <w:rFonts w:ascii="Times New Roman" w:cs="Times New Roman" w:eastAsia="Times New Roman" w:hAnsi="Times New Roman"/>
          <w:sz w:val="16"/>
          <w:szCs w:val="16"/>
          <w:u w:val="single" w:color="auto"/>
          <w:color w:val="0000FF"/>
        </w:rPr>
        <w:t xml:space="preserve"> </w:t>
      </w:r>
      <w:hyperlink r:id="rId206">
        <w:r>
          <w:rPr>
            <w:rFonts w:ascii="Times New Roman" w:cs="Times New Roman" w:eastAsia="Times New Roman" w:hAnsi="Times New Roman"/>
            <w:sz w:val="16"/>
            <w:szCs w:val="16"/>
            <w:u w:val="single" w:color="auto"/>
            <w:color w:val="0000FF"/>
          </w:rPr>
          <w:t>Company (as successor in interest to Law Debenture Trust Company of New</w:t>
        </w:r>
      </w:hyperlink>
      <w:r>
        <w:rPr>
          <w:rFonts w:ascii="Times New Roman" w:cs="Times New Roman" w:eastAsia="Times New Roman" w:hAnsi="Times New Roman"/>
          <w:sz w:val="16"/>
          <w:szCs w:val="16"/>
          <w:u w:val="single" w:color="auto"/>
          <w:color w:val="0000FF"/>
        </w:rPr>
        <w:t xml:space="preserve"> </w:t>
      </w:r>
      <w:hyperlink r:id="rId206">
        <w:r>
          <w:rPr>
            <w:rFonts w:ascii="Times New Roman" w:cs="Times New Roman" w:eastAsia="Times New Roman" w:hAnsi="Times New Roman"/>
            <w:sz w:val="16"/>
            <w:szCs w:val="16"/>
            <w:u w:val="single" w:color="auto"/>
            <w:color w:val="0000FF"/>
          </w:rPr>
          <w:t>York).</w:t>
        </w:r>
      </w:hyperlink>
    </w:p>
    <w:p>
      <w:pPr>
        <w:spacing w:after="0" w:line="181" w:lineRule="exact"/>
        <w:rPr>
          <w:rFonts w:ascii="Times New Roman" w:cs="Times New Roman" w:eastAsia="Times New Roman" w:hAnsi="Times New Roman"/>
          <w:sz w:val="16"/>
          <w:szCs w:val="16"/>
          <w:u w:val="single" w:color="auto"/>
          <w:color w:val="0000FF"/>
        </w:rPr>
      </w:pPr>
    </w:p>
    <w:p>
      <w:pPr>
        <w:jc w:val="both"/>
        <w:ind w:right="20"/>
        <w:spacing w:after="0" w:line="232" w:lineRule="auto"/>
        <w:rPr>
          <w:rFonts w:ascii="Times New Roman" w:cs="Times New Roman" w:eastAsia="Times New Roman" w:hAnsi="Times New Roman"/>
          <w:sz w:val="16"/>
          <w:szCs w:val="16"/>
          <w:u w:val="single" w:color="auto"/>
          <w:color w:val="0000FF"/>
        </w:rPr>
      </w:pPr>
      <w:hyperlink r:id="rId207">
        <w:r>
          <w:rPr>
            <w:rFonts w:ascii="Times New Roman" w:cs="Times New Roman" w:eastAsia="Times New Roman" w:hAnsi="Times New Roman"/>
            <w:sz w:val="16"/>
            <w:szCs w:val="16"/>
            <w:u w:val="single" w:color="auto"/>
            <w:color w:val="0000FF"/>
          </w:rPr>
          <w:t>Sixth Supplemental Indenture, dated as of June 12, 2018, among NRG Yield</w:t>
        </w:r>
      </w:hyperlink>
      <w:r>
        <w:rPr>
          <w:rFonts w:ascii="Times New Roman" w:cs="Times New Roman" w:eastAsia="Times New Roman" w:hAnsi="Times New Roman"/>
          <w:sz w:val="16"/>
          <w:szCs w:val="16"/>
          <w:u w:val="single" w:color="auto"/>
          <w:color w:val="0000FF"/>
        </w:rPr>
        <w:t xml:space="preserve"> </w:t>
      </w:r>
      <w:hyperlink r:id="rId207">
        <w:r>
          <w:rPr>
            <w:rFonts w:ascii="Times New Roman" w:cs="Times New Roman" w:eastAsia="Times New Roman" w:hAnsi="Times New Roman"/>
            <w:sz w:val="16"/>
            <w:szCs w:val="16"/>
            <w:u w:val="single" w:color="auto"/>
            <w:color w:val="0000FF"/>
          </w:rPr>
          <w:t>Operating LLC, the guarantors named therein and Delaware Trust Company</w:t>
        </w:r>
      </w:hyperlink>
      <w:r>
        <w:rPr>
          <w:rFonts w:ascii="Times New Roman" w:cs="Times New Roman" w:eastAsia="Times New Roman" w:hAnsi="Times New Roman"/>
          <w:sz w:val="16"/>
          <w:szCs w:val="16"/>
          <w:u w:val="single" w:color="auto"/>
          <w:color w:val="0000FF"/>
        </w:rPr>
        <w:t xml:space="preserve"> </w:t>
      </w:r>
      <w:hyperlink r:id="rId207">
        <w:r>
          <w:rPr>
            <w:rFonts w:ascii="Times New Roman" w:cs="Times New Roman" w:eastAsia="Times New Roman" w:hAnsi="Times New Roman"/>
            <w:sz w:val="16"/>
            <w:szCs w:val="16"/>
            <w:u w:val="single" w:color="auto"/>
            <w:color w:val="0000FF"/>
          </w:rPr>
          <w:t>(as successor in interest to Law Debenture Trust Company of New York).</w:t>
        </w:r>
      </w:hyperlink>
    </w:p>
    <w:p>
      <w:pPr>
        <w:spacing w:after="0" w:line="87" w:lineRule="exact"/>
        <w:rPr>
          <w:rFonts w:ascii="Times New Roman" w:cs="Times New Roman" w:eastAsia="Times New Roman" w:hAnsi="Times New Roman"/>
          <w:sz w:val="16"/>
          <w:szCs w:val="16"/>
          <w:u w:val="single" w:color="auto"/>
          <w:color w:val="0000FF"/>
        </w:rPr>
      </w:pPr>
    </w:p>
    <w:p>
      <w:pPr>
        <w:spacing w:after="0" w:line="227" w:lineRule="auto"/>
        <w:rPr>
          <w:rFonts w:ascii="Times New Roman" w:cs="Times New Roman" w:eastAsia="Times New Roman" w:hAnsi="Times New Roman"/>
          <w:sz w:val="16"/>
          <w:szCs w:val="16"/>
          <w:u w:val="single" w:color="auto"/>
          <w:color w:val="0000FF"/>
        </w:rPr>
      </w:pPr>
      <w:hyperlink r:id="rId208">
        <w:r>
          <w:rPr>
            <w:rFonts w:ascii="Times New Roman" w:cs="Times New Roman" w:eastAsia="Times New Roman" w:hAnsi="Times New Roman"/>
            <w:sz w:val="16"/>
            <w:szCs w:val="16"/>
            <w:u w:val="single" w:color="auto"/>
            <w:color w:val="0000FF"/>
          </w:rPr>
          <w:t>Second Supplemental Indenture, dated as of June 12, 2018, among NRG</w:t>
        </w:r>
      </w:hyperlink>
      <w:r>
        <w:rPr>
          <w:rFonts w:ascii="Times New Roman" w:cs="Times New Roman" w:eastAsia="Times New Roman" w:hAnsi="Times New Roman"/>
          <w:sz w:val="16"/>
          <w:szCs w:val="16"/>
          <w:u w:val="single" w:color="auto"/>
          <w:color w:val="0000FF"/>
        </w:rPr>
        <w:t xml:space="preserve"> </w:t>
      </w:r>
      <w:hyperlink r:id="rId208">
        <w:r>
          <w:rPr>
            <w:rFonts w:ascii="Times New Roman" w:cs="Times New Roman" w:eastAsia="Times New Roman" w:hAnsi="Times New Roman"/>
            <w:sz w:val="16"/>
            <w:szCs w:val="16"/>
            <w:u w:val="single" w:color="auto"/>
            <w:color w:val="0000FF"/>
          </w:rPr>
          <w:t>Yield Operating LLC, the guarantors named therein and Delaware Trust</w:t>
        </w:r>
      </w:hyperlink>
      <w:r>
        <w:rPr>
          <w:rFonts w:ascii="Times New Roman" w:cs="Times New Roman" w:eastAsia="Times New Roman" w:hAnsi="Times New Roman"/>
          <w:sz w:val="16"/>
          <w:szCs w:val="16"/>
          <w:u w:val="single" w:color="auto"/>
          <w:color w:val="0000FF"/>
        </w:rPr>
        <w:t xml:space="preserve"> </w:t>
      </w:r>
      <w:hyperlink r:id="rId208">
        <w:r>
          <w:rPr>
            <w:rFonts w:ascii="Times New Roman" w:cs="Times New Roman" w:eastAsia="Times New Roman" w:hAnsi="Times New Roman"/>
            <w:sz w:val="16"/>
            <w:szCs w:val="16"/>
            <w:u w:val="single" w:color="auto"/>
            <w:color w:val="0000FF"/>
          </w:rPr>
          <w:t>Company (as successor in interest to Law Debenture Trust Company of New</w:t>
        </w:r>
      </w:hyperlink>
      <w:r>
        <w:rPr>
          <w:rFonts w:ascii="Times New Roman" w:cs="Times New Roman" w:eastAsia="Times New Roman" w:hAnsi="Times New Roman"/>
          <w:sz w:val="16"/>
          <w:szCs w:val="16"/>
          <w:u w:val="single" w:color="auto"/>
          <w:color w:val="0000FF"/>
        </w:rPr>
        <w:t xml:space="preserve"> </w:t>
      </w:r>
      <w:hyperlink r:id="rId208">
        <w:r>
          <w:rPr>
            <w:rFonts w:ascii="Times New Roman" w:cs="Times New Roman" w:eastAsia="Times New Roman" w:hAnsi="Times New Roman"/>
            <w:sz w:val="16"/>
            <w:szCs w:val="16"/>
            <w:u w:val="single" w:color="auto"/>
            <w:color w:val="0000FF"/>
          </w:rPr>
          <w:t>York).</w:t>
        </w:r>
      </w:hyperlink>
    </w:p>
    <w:p>
      <w:pPr>
        <w:spacing w:after="0" w:line="114" w:lineRule="exact"/>
        <w:rPr>
          <w:rFonts w:ascii="Times New Roman" w:cs="Times New Roman" w:eastAsia="Times New Roman" w:hAnsi="Times New Roman"/>
          <w:sz w:val="16"/>
          <w:szCs w:val="16"/>
          <w:u w:val="single" w:color="auto"/>
          <w:color w:val="0000FF"/>
        </w:rPr>
      </w:pPr>
    </w:p>
    <w:p>
      <w:pPr>
        <w:spacing w:after="0" w:line="227" w:lineRule="auto"/>
        <w:rPr>
          <w:rFonts w:ascii="Times New Roman" w:cs="Times New Roman" w:eastAsia="Times New Roman" w:hAnsi="Times New Roman"/>
          <w:sz w:val="16"/>
          <w:szCs w:val="16"/>
          <w:u w:val="single" w:color="auto"/>
          <w:color w:val="0000FF"/>
        </w:rPr>
      </w:pPr>
      <w:hyperlink r:id="rId209">
        <w:r>
          <w:rPr>
            <w:rFonts w:ascii="Times New Roman" w:cs="Times New Roman" w:eastAsia="Times New Roman" w:hAnsi="Times New Roman"/>
            <w:sz w:val="16"/>
            <w:szCs w:val="16"/>
            <w:u w:val="single" w:color="auto"/>
            <w:color w:val="0000FF"/>
          </w:rPr>
          <w:t>Seventh Supplemental Indenture, dated as of July 17, 2018, among NRG</w:t>
        </w:r>
      </w:hyperlink>
      <w:r>
        <w:rPr>
          <w:rFonts w:ascii="Times New Roman" w:cs="Times New Roman" w:eastAsia="Times New Roman" w:hAnsi="Times New Roman"/>
          <w:sz w:val="16"/>
          <w:szCs w:val="16"/>
          <w:u w:val="single" w:color="auto"/>
          <w:color w:val="0000FF"/>
        </w:rPr>
        <w:t xml:space="preserve"> </w:t>
      </w:r>
      <w:hyperlink r:id="rId209">
        <w:r>
          <w:rPr>
            <w:rFonts w:ascii="Times New Roman" w:cs="Times New Roman" w:eastAsia="Times New Roman" w:hAnsi="Times New Roman"/>
            <w:sz w:val="16"/>
            <w:szCs w:val="16"/>
            <w:u w:val="single" w:color="auto"/>
            <w:color w:val="0000FF"/>
          </w:rPr>
          <w:t>Yield Operating LLC, the guarantors named therein and Delaware Trust</w:t>
        </w:r>
      </w:hyperlink>
      <w:r>
        <w:rPr>
          <w:rFonts w:ascii="Times New Roman" w:cs="Times New Roman" w:eastAsia="Times New Roman" w:hAnsi="Times New Roman"/>
          <w:sz w:val="16"/>
          <w:szCs w:val="16"/>
          <w:u w:val="single" w:color="auto"/>
          <w:color w:val="0000FF"/>
        </w:rPr>
        <w:t xml:space="preserve"> </w:t>
      </w:r>
      <w:hyperlink r:id="rId209">
        <w:r>
          <w:rPr>
            <w:rFonts w:ascii="Times New Roman" w:cs="Times New Roman" w:eastAsia="Times New Roman" w:hAnsi="Times New Roman"/>
            <w:sz w:val="16"/>
            <w:szCs w:val="16"/>
            <w:u w:val="single" w:color="auto"/>
            <w:color w:val="0000FF"/>
          </w:rPr>
          <w:t>Company (as successor in interest to Law Debenture Trust Company of New</w:t>
        </w:r>
      </w:hyperlink>
      <w:r>
        <w:rPr>
          <w:rFonts w:ascii="Times New Roman" w:cs="Times New Roman" w:eastAsia="Times New Roman" w:hAnsi="Times New Roman"/>
          <w:sz w:val="16"/>
          <w:szCs w:val="16"/>
          <w:u w:val="single" w:color="auto"/>
          <w:color w:val="0000FF"/>
        </w:rPr>
        <w:t xml:space="preserve"> </w:t>
      </w:r>
      <w:hyperlink r:id="rId209">
        <w:r>
          <w:rPr>
            <w:rFonts w:ascii="Times New Roman" w:cs="Times New Roman" w:eastAsia="Times New Roman" w:hAnsi="Times New Roman"/>
            <w:sz w:val="16"/>
            <w:szCs w:val="16"/>
            <w:u w:val="single" w:color="auto"/>
            <w:color w:val="0000FF"/>
          </w:rPr>
          <w:t>York).</w:t>
        </w:r>
      </w:hyperlink>
    </w:p>
    <w:p>
      <w:pPr>
        <w:spacing w:after="0" w:line="181" w:lineRule="exact"/>
        <w:rPr>
          <w:rFonts w:ascii="Times New Roman" w:cs="Times New Roman" w:eastAsia="Times New Roman" w:hAnsi="Times New Roman"/>
          <w:sz w:val="16"/>
          <w:szCs w:val="16"/>
          <w:u w:val="single" w:color="auto"/>
          <w:color w:val="0000FF"/>
        </w:rPr>
      </w:pPr>
    </w:p>
    <w:p>
      <w:pPr>
        <w:jc w:val="both"/>
        <w:ind w:right="40"/>
        <w:spacing w:after="0" w:line="232" w:lineRule="auto"/>
        <w:rPr>
          <w:rFonts w:ascii="Times New Roman" w:cs="Times New Roman" w:eastAsia="Times New Roman" w:hAnsi="Times New Roman"/>
          <w:sz w:val="16"/>
          <w:szCs w:val="16"/>
          <w:u w:val="single" w:color="auto"/>
          <w:color w:val="0000FF"/>
        </w:rPr>
      </w:pPr>
      <w:hyperlink r:id="rId210">
        <w:r>
          <w:rPr>
            <w:rFonts w:ascii="Times New Roman" w:cs="Times New Roman" w:eastAsia="Times New Roman" w:hAnsi="Times New Roman"/>
            <w:sz w:val="16"/>
            <w:szCs w:val="16"/>
            <w:u w:val="single" w:color="auto"/>
            <w:color w:val="0000FF"/>
          </w:rPr>
          <w:t>Third Supplemental Indenture, dated as of July 17, 2018, among NRG Yield</w:t>
        </w:r>
      </w:hyperlink>
      <w:r>
        <w:rPr>
          <w:rFonts w:ascii="Times New Roman" w:cs="Times New Roman" w:eastAsia="Times New Roman" w:hAnsi="Times New Roman"/>
          <w:sz w:val="16"/>
          <w:szCs w:val="16"/>
          <w:u w:val="single" w:color="auto"/>
          <w:color w:val="0000FF"/>
        </w:rPr>
        <w:t xml:space="preserve"> </w:t>
      </w:r>
      <w:hyperlink r:id="rId210">
        <w:r>
          <w:rPr>
            <w:rFonts w:ascii="Times New Roman" w:cs="Times New Roman" w:eastAsia="Times New Roman" w:hAnsi="Times New Roman"/>
            <w:sz w:val="16"/>
            <w:szCs w:val="16"/>
            <w:u w:val="single" w:color="auto"/>
            <w:color w:val="0000FF"/>
          </w:rPr>
          <w:t>Operating LLC, the guarantors named therein and Delaware Trust Company</w:t>
        </w:r>
      </w:hyperlink>
      <w:r>
        <w:rPr>
          <w:rFonts w:ascii="Times New Roman" w:cs="Times New Roman" w:eastAsia="Times New Roman" w:hAnsi="Times New Roman"/>
          <w:sz w:val="16"/>
          <w:szCs w:val="16"/>
          <w:u w:val="single" w:color="auto"/>
          <w:color w:val="0000FF"/>
        </w:rPr>
        <w:t xml:space="preserve"> </w:t>
      </w:r>
      <w:hyperlink r:id="rId210">
        <w:r>
          <w:rPr>
            <w:rFonts w:ascii="Times New Roman" w:cs="Times New Roman" w:eastAsia="Times New Roman" w:hAnsi="Times New Roman"/>
            <w:sz w:val="16"/>
            <w:szCs w:val="16"/>
            <w:u w:val="single" w:color="auto"/>
            <w:color w:val="0000FF"/>
          </w:rPr>
          <w:t>(as successor in interest to Law Debenture Trust Company of New York).</w:t>
        </w:r>
      </w:hyperlink>
    </w:p>
    <w:p>
      <w:pPr>
        <w:spacing w:after="0" w:line="182" w:lineRule="exact"/>
        <w:rPr>
          <w:rFonts w:ascii="Times New Roman" w:cs="Times New Roman" w:eastAsia="Times New Roman" w:hAnsi="Times New Roman"/>
          <w:sz w:val="16"/>
          <w:szCs w:val="16"/>
          <w:u w:val="single" w:color="auto"/>
          <w:color w:val="0000FF"/>
        </w:rPr>
      </w:pPr>
    </w:p>
    <w:p>
      <w:pPr>
        <w:spacing w:after="0" w:line="227" w:lineRule="auto"/>
        <w:rPr>
          <w:rFonts w:ascii="Times New Roman" w:cs="Times New Roman" w:eastAsia="Times New Roman" w:hAnsi="Times New Roman"/>
          <w:sz w:val="16"/>
          <w:szCs w:val="16"/>
          <w:u w:val="single" w:color="auto"/>
          <w:color w:val="0000FF"/>
        </w:rPr>
      </w:pPr>
      <w:hyperlink r:id="rId211">
        <w:r>
          <w:rPr>
            <w:rFonts w:ascii="Times New Roman" w:cs="Times New Roman" w:eastAsia="Times New Roman" w:hAnsi="Times New Roman"/>
            <w:sz w:val="16"/>
            <w:szCs w:val="16"/>
            <w:u w:val="single" w:color="auto"/>
            <w:color w:val="0000FF"/>
          </w:rPr>
          <w:t>Eighth Supplemental Indenture, dated as of August 30, 2018, among NRG</w:t>
        </w:r>
      </w:hyperlink>
      <w:r>
        <w:rPr>
          <w:rFonts w:ascii="Times New Roman" w:cs="Times New Roman" w:eastAsia="Times New Roman" w:hAnsi="Times New Roman"/>
          <w:sz w:val="16"/>
          <w:szCs w:val="16"/>
          <w:u w:val="single" w:color="auto"/>
          <w:color w:val="0000FF"/>
        </w:rPr>
        <w:t xml:space="preserve"> </w:t>
      </w:r>
      <w:hyperlink r:id="rId211">
        <w:r>
          <w:rPr>
            <w:rFonts w:ascii="Times New Roman" w:cs="Times New Roman" w:eastAsia="Times New Roman" w:hAnsi="Times New Roman"/>
            <w:sz w:val="16"/>
            <w:szCs w:val="16"/>
            <w:u w:val="single" w:color="auto"/>
            <w:color w:val="0000FF"/>
          </w:rPr>
          <w:t>Yield Operating LLC, the guarantors named therein and Delaware Trust</w:t>
        </w:r>
      </w:hyperlink>
      <w:r>
        <w:rPr>
          <w:rFonts w:ascii="Times New Roman" w:cs="Times New Roman" w:eastAsia="Times New Roman" w:hAnsi="Times New Roman"/>
          <w:sz w:val="16"/>
          <w:szCs w:val="16"/>
          <w:u w:val="single" w:color="auto"/>
          <w:color w:val="0000FF"/>
        </w:rPr>
        <w:t xml:space="preserve"> </w:t>
      </w:r>
      <w:hyperlink r:id="rId211">
        <w:r>
          <w:rPr>
            <w:rFonts w:ascii="Times New Roman" w:cs="Times New Roman" w:eastAsia="Times New Roman" w:hAnsi="Times New Roman"/>
            <w:sz w:val="16"/>
            <w:szCs w:val="16"/>
            <w:u w:val="single" w:color="auto"/>
            <w:color w:val="0000FF"/>
          </w:rPr>
          <w:t>Company (as successor in interest to Law Debenture Trust Company of New</w:t>
        </w:r>
      </w:hyperlink>
      <w:r>
        <w:rPr>
          <w:rFonts w:ascii="Times New Roman" w:cs="Times New Roman" w:eastAsia="Times New Roman" w:hAnsi="Times New Roman"/>
          <w:sz w:val="16"/>
          <w:szCs w:val="16"/>
          <w:u w:val="single" w:color="auto"/>
          <w:color w:val="0000FF"/>
        </w:rPr>
        <w:t xml:space="preserve"> </w:t>
      </w:r>
      <w:hyperlink r:id="rId211">
        <w:r>
          <w:rPr>
            <w:rFonts w:ascii="Times New Roman" w:cs="Times New Roman" w:eastAsia="Times New Roman" w:hAnsi="Times New Roman"/>
            <w:sz w:val="16"/>
            <w:szCs w:val="16"/>
            <w:u w:val="single" w:color="auto"/>
            <w:color w:val="0000FF"/>
          </w:rPr>
          <w:t>York).</w:t>
        </w:r>
      </w:hyperlink>
    </w:p>
    <w:p>
      <w:pPr>
        <w:spacing w:after="0" w:line="181" w:lineRule="exact"/>
        <w:rPr>
          <w:rFonts w:ascii="Times New Roman" w:cs="Times New Roman" w:eastAsia="Times New Roman" w:hAnsi="Times New Roman"/>
          <w:sz w:val="16"/>
          <w:szCs w:val="16"/>
          <w:u w:val="single" w:color="auto"/>
          <w:color w:val="0000FF"/>
        </w:rPr>
      </w:pPr>
    </w:p>
    <w:p>
      <w:pPr>
        <w:spacing w:after="0" w:line="227" w:lineRule="auto"/>
        <w:rPr>
          <w:rFonts w:ascii="Times New Roman" w:cs="Times New Roman" w:eastAsia="Times New Roman" w:hAnsi="Times New Roman"/>
          <w:sz w:val="16"/>
          <w:szCs w:val="16"/>
          <w:u w:val="single" w:color="auto"/>
          <w:color w:val="0000FF"/>
        </w:rPr>
      </w:pPr>
      <w:hyperlink r:id="rId212">
        <w:r>
          <w:rPr>
            <w:rFonts w:ascii="Times New Roman" w:cs="Times New Roman" w:eastAsia="Times New Roman" w:hAnsi="Times New Roman"/>
            <w:sz w:val="16"/>
            <w:szCs w:val="16"/>
            <w:u w:val="single" w:color="auto"/>
            <w:color w:val="0000FF"/>
          </w:rPr>
          <w:t>Fourth Supplemental Indenture, dated as of August 30, 2018, among NRG</w:t>
        </w:r>
      </w:hyperlink>
      <w:r>
        <w:rPr>
          <w:rFonts w:ascii="Times New Roman" w:cs="Times New Roman" w:eastAsia="Times New Roman" w:hAnsi="Times New Roman"/>
          <w:sz w:val="16"/>
          <w:szCs w:val="16"/>
          <w:u w:val="single" w:color="auto"/>
          <w:color w:val="0000FF"/>
        </w:rPr>
        <w:t xml:space="preserve"> </w:t>
      </w:r>
      <w:hyperlink r:id="rId212">
        <w:r>
          <w:rPr>
            <w:rFonts w:ascii="Times New Roman" w:cs="Times New Roman" w:eastAsia="Times New Roman" w:hAnsi="Times New Roman"/>
            <w:sz w:val="16"/>
            <w:szCs w:val="16"/>
            <w:u w:val="single" w:color="auto"/>
            <w:color w:val="0000FF"/>
          </w:rPr>
          <w:t>Yield Operating LLC, the guarantors named therein and Delaware Trust</w:t>
        </w:r>
      </w:hyperlink>
      <w:r>
        <w:rPr>
          <w:rFonts w:ascii="Times New Roman" w:cs="Times New Roman" w:eastAsia="Times New Roman" w:hAnsi="Times New Roman"/>
          <w:sz w:val="16"/>
          <w:szCs w:val="16"/>
          <w:u w:val="single" w:color="auto"/>
          <w:color w:val="0000FF"/>
        </w:rPr>
        <w:t xml:space="preserve"> </w:t>
      </w:r>
      <w:hyperlink r:id="rId212">
        <w:r>
          <w:rPr>
            <w:rFonts w:ascii="Times New Roman" w:cs="Times New Roman" w:eastAsia="Times New Roman" w:hAnsi="Times New Roman"/>
            <w:sz w:val="16"/>
            <w:szCs w:val="16"/>
            <w:u w:val="single" w:color="auto"/>
            <w:color w:val="0000FF"/>
          </w:rPr>
          <w:t>Company (as successor in interest to Law Debenture Trust Company of New</w:t>
        </w:r>
      </w:hyperlink>
      <w:r>
        <w:rPr>
          <w:rFonts w:ascii="Times New Roman" w:cs="Times New Roman" w:eastAsia="Times New Roman" w:hAnsi="Times New Roman"/>
          <w:sz w:val="16"/>
          <w:szCs w:val="16"/>
          <w:u w:val="single" w:color="auto"/>
          <w:color w:val="0000FF"/>
        </w:rPr>
        <w:t xml:space="preserve"> </w:t>
      </w:r>
      <w:hyperlink r:id="rId212">
        <w:r>
          <w:rPr>
            <w:rFonts w:ascii="Times New Roman" w:cs="Times New Roman" w:eastAsia="Times New Roman" w:hAnsi="Times New Roman"/>
            <w:sz w:val="16"/>
            <w:szCs w:val="16"/>
            <w:u w:val="single" w:color="auto"/>
            <w:color w:val="0000FF"/>
          </w:rPr>
          <w:t>York).</w:t>
        </w:r>
      </w:hyperlink>
    </w:p>
    <w:p>
      <w:pPr>
        <w:spacing w:after="0" w:line="181" w:lineRule="exact"/>
        <w:rPr>
          <w:rFonts w:ascii="Times New Roman" w:cs="Times New Roman" w:eastAsia="Times New Roman" w:hAnsi="Times New Roman"/>
          <w:sz w:val="16"/>
          <w:szCs w:val="16"/>
          <w:u w:val="single" w:color="auto"/>
          <w:color w:val="0000FF"/>
        </w:rPr>
      </w:pPr>
    </w:p>
    <w:p>
      <w:pPr>
        <w:ind w:right="80"/>
        <w:spacing w:after="0" w:line="245" w:lineRule="auto"/>
        <w:rPr>
          <w:rFonts w:ascii="Times New Roman" w:cs="Times New Roman" w:eastAsia="Times New Roman" w:hAnsi="Times New Roman"/>
          <w:sz w:val="16"/>
          <w:szCs w:val="16"/>
          <w:u w:val="single" w:color="auto"/>
          <w:color w:val="0000FF"/>
        </w:rPr>
      </w:pPr>
      <w:hyperlink r:id="rId213">
        <w:r>
          <w:rPr>
            <w:rFonts w:ascii="Times New Roman" w:cs="Times New Roman" w:eastAsia="Times New Roman" w:hAnsi="Times New Roman"/>
            <w:sz w:val="16"/>
            <w:szCs w:val="16"/>
            <w:u w:val="single" w:color="auto"/>
            <w:color w:val="0000FF"/>
          </w:rPr>
          <w:t>Indenture, dated October 1, 2018, among Clearway Energy Operating LLC,</w:t>
        </w:r>
      </w:hyperlink>
      <w:r>
        <w:rPr>
          <w:rFonts w:ascii="Times New Roman" w:cs="Times New Roman" w:eastAsia="Times New Roman" w:hAnsi="Times New Roman"/>
          <w:sz w:val="16"/>
          <w:szCs w:val="16"/>
          <w:u w:val="single" w:color="auto"/>
          <w:color w:val="0000FF"/>
        </w:rPr>
        <w:t xml:space="preserve"> </w:t>
      </w:r>
      <w:hyperlink r:id="rId213">
        <w:r>
          <w:rPr>
            <w:rFonts w:ascii="Times New Roman" w:cs="Times New Roman" w:eastAsia="Times New Roman" w:hAnsi="Times New Roman"/>
            <w:sz w:val="16"/>
            <w:szCs w:val="16"/>
            <w:u w:val="single" w:color="auto"/>
            <w:color w:val="0000FF"/>
          </w:rPr>
          <w:t>the guarantors named therein and Delaware Trust Company, as trustee.</w:t>
        </w:r>
      </w:hyperlink>
    </w:p>
    <w:p>
      <w:pPr>
        <w:spacing w:after="0" w:line="340"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214">
        <w:r>
          <w:rPr>
            <w:rFonts w:ascii="Times New Roman" w:cs="Times New Roman" w:eastAsia="Times New Roman" w:hAnsi="Times New Roman"/>
            <w:sz w:val="16"/>
            <w:szCs w:val="16"/>
            <w:u w:val="single" w:color="auto"/>
            <w:color w:val="0000FF"/>
          </w:rPr>
          <w:t>Form of 5.750% Senior Notes due 2025.</w:t>
        </w:r>
      </w:hyperlink>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Registrant's Current Report on Form 8-K, filed on August 18, 2016.</w:t>
      </w:r>
    </w:p>
    <w:p>
      <w:pPr>
        <w:spacing w:after="0" w:line="182" w:lineRule="exact"/>
        <w:rPr>
          <w:sz w:val="20"/>
          <w:szCs w:val="20"/>
          <w:color w:val="auto"/>
        </w:rPr>
      </w:pPr>
    </w:p>
    <w:p>
      <w:pPr>
        <w:ind w:right="5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Clearway Energy LLC's Current Report on Form 8-K, filed on January 31, 2018.</w:t>
      </w:r>
    </w:p>
    <w:p>
      <w:pPr>
        <w:spacing w:after="0" w:line="344" w:lineRule="exact"/>
        <w:rPr>
          <w:sz w:val="20"/>
          <w:szCs w:val="20"/>
          <w:color w:val="auto"/>
        </w:rPr>
      </w:pPr>
    </w:p>
    <w:p>
      <w:pPr>
        <w:ind w:right="5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Clearway Energy LLC's Current Report on Form 8-K, filed on January 31, 2018.</w:t>
      </w:r>
    </w:p>
    <w:p>
      <w:pPr>
        <w:spacing w:after="0" w:line="344" w:lineRule="exact"/>
        <w:rPr>
          <w:sz w:val="20"/>
          <w:szCs w:val="20"/>
          <w:color w:val="auto"/>
        </w:rPr>
      </w:pPr>
    </w:p>
    <w:p>
      <w:pPr>
        <w:jc w:val="both"/>
        <w:ind w:right="59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June 12, 2018.</w:t>
      </w:r>
    </w:p>
    <w:p>
      <w:pPr>
        <w:spacing w:after="0" w:line="182" w:lineRule="exact"/>
        <w:rPr>
          <w:sz w:val="20"/>
          <w:szCs w:val="20"/>
          <w:color w:val="auto"/>
        </w:rPr>
      </w:pPr>
    </w:p>
    <w:p>
      <w:pPr>
        <w:jc w:val="both"/>
        <w:ind w:right="59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June 12, 2018.</w:t>
      </w:r>
    </w:p>
    <w:p>
      <w:pPr>
        <w:spacing w:after="0" w:line="182" w:lineRule="exact"/>
        <w:rPr>
          <w:sz w:val="20"/>
          <w:szCs w:val="20"/>
          <w:color w:val="auto"/>
        </w:rPr>
      </w:pPr>
    </w:p>
    <w:p>
      <w:pPr>
        <w:jc w:val="both"/>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Quarterly Report on Form 10-Q filed on August 2, 2018.</w:t>
      </w:r>
    </w:p>
    <w:p>
      <w:pPr>
        <w:spacing w:after="0" w:line="344" w:lineRule="exact"/>
        <w:rPr>
          <w:sz w:val="20"/>
          <w:szCs w:val="20"/>
          <w:color w:val="auto"/>
        </w:rPr>
      </w:pPr>
    </w:p>
    <w:p>
      <w:pPr>
        <w:jc w:val="both"/>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4.4 to the Company's Quarterly Report on Form 10-Q filed on August 2, 2018.</w:t>
      </w:r>
    </w:p>
    <w:p>
      <w:pPr>
        <w:spacing w:after="0" w:line="182"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September 6, 2018.</w:t>
      </w:r>
    </w:p>
    <w:p>
      <w:pPr>
        <w:spacing w:after="0" w:line="344"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September 6, 2018.</w:t>
      </w:r>
    </w:p>
    <w:p>
      <w:pPr>
        <w:spacing w:after="0" w:line="344" w:lineRule="exact"/>
        <w:rPr>
          <w:sz w:val="20"/>
          <w:szCs w:val="20"/>
          <w:color w:val="auto"/>
        </w:rPr>
      </w:pPr>
    </w:p>
    <w:p>
      <w:pPr>
        <w:ind w:right="3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October 2, 2018.</w:t>
      </w:r>
    </w:p>
    <w:p>
      <w:pPr>
        <w:spacing w:after="0" w:line="182" w:lineRule="exact"/>
        <w:rPr>
          <w:sz w:val="20"/>
          <w:szCs w:val="20"/>
          <w:color w:val="auto"/>
        </w:rPr>
      </w:pPr>
    </w:p>
    <w:p>
      <w:pPr>
        <w:ind w:right="3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October 2, 2018.</w:t>
      </w:r>
    </w:p>
    <w:p>
      <w:pPr>
        <w:spacing w:after="0" w:line="66" w:lineRule="exact"/>
        <w:rPr>
          <w:sz w:val="20"/>
          <w:szCs w:val="20"/>
          <w:color w:val="auto"/>
        </w:rPr>
      </w:pPr>
    </w:p>
    <w:p>
      <w:pPr>
        <w:sectPr>
          <w:pgSz w:w="11900" w:h="16838" w:orient="portrait"/>
          <w:cols w:equalWidth="0" w:num="3">
            <w:col w:w="280" w:space="620"/>
            <w:col w:w="4980" w:space="140"/>
            <w:col w:w="4099"/>
          </w:cols>
          <w:pgMar w:left="340" w:top="936" w:right="1440" w:bottom="474"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4.28</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4.29</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720" w:type="dxa"/>
            <w:vAlign w:val="bottom"/>
            <w:gridSpan w:val="9"/>
            <w:vMerge w:val="restart"/>
          </w:tcPr>
          <w:p>
            <w:pPr>
              <w:spacing w:after="0"/>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Registration Rights Agreement, dated October 1, 2018, among Clearway</w:t>
              </w:r>
            </w:hyperlink>
          </w:p>
        </w:tc>
        <w:tc>
          <w:tcPr>
            <w:tcW w:w="260" w:type="dxa"/>
            <w:vAlign w:val="bottom"/>
            <w:gridSpan w:val="2"/>
            <w:vMerge w:val="restart"/>
          </w:tcPr>
          <w:p>
            <w:pPr>
              <w:spacing w:after="0"/>
              <w:rPr>
                <w:sz w:val="16"/>
                <w:szCs w:val="16"/>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Incorporated herein by reference to Exhibit 4.3 to the</w:t>
            </w:r>
          </w:p>
        </w:tc>
        <w:tc>
          <w:tcPr>
            <w:tcW w:w="0" w:type="dxa"/>
            <w:vAlign w:val="bottom"/>
          </w:tcPr>
          <w:p>
            <w:pPr>
              <w:spacing w:after="0"/>
              <w:rPr>
                <w:sz w:val="1"/>
                <w:szCs w:val="1"/>
                <w:color w:val="auto"/>
              </w:rPr>
            </w:pPr>
          </w:p>
        </w:tc>
      </w:tr>
      <w:tr>
        <w:trPr>
          <w:trHeight w:val="113"/>
        </w:trPr>
        <w:tc>
          <w:tcPr>
            <w:tcW w:w="4720" w:type="dxa"/>
            <w:vAlign w:val="bottom"/>
            <w:tcBorders>
              <w:bottom w:val="single" w:sz="8" w:color="0000FF"/>
            </w:tcBorders>
            <w:gridSpan w:val="9"/>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3880" w:type="dxa"/>
            <w:vAlign w:val="bottom"/>
            <w:vMerge w:val="restart"/>
          </w:tcPr>
          <w:p>
            <w:pPr>
              <w:ind w:left="140"/>
              <w:spacing w:after="0" w:line="162" w:lineRule="exact"/>
              <w:rPr>
                <w:sz w:val="20"/>
                <w:szCs w:val="20"/>
                <w:color w:val="auto"/>
              </w:rPr>
            </w:pPr>
            <w:r>
              <w:rPr>
                <w:rFonts w:ascii="Times New Roman" w:cs="Times New Roman" w:eastAsia="Times New Roman" w:hAnsi="Times New Roman"/>
                <w:sz w:val="16"/>
                <w:szCs w:val="16"/>
                <w:color w:val="auto"/>
              </w:rPr>
              <w:t>Company's Current Report on Form 8-K filed on October</w:t>
            </w:r>
          </w:p>
        </w:tc>
        <w:tc>
          <w:tcPr>
            <w:tcW w:w="0" w:type="dxa"/>
            <w:vAlign w:val="bottom"/>
          </w:tcPr>
          <w:p>
            <w:pPr>
              <w:spacing w:after="0"/>
              <w:rPr>
                <w:sz w:val="1"/>
                <w:szCs w:val="1"/>
                <w:color w:val="auto"/>
              </w:rPr>
            </w:pPr>
          </w:p>
        </w:tc>
      </w:tr>
      <w:tr>
        <w:trPr>
          <w:trHeight w:val="34"/>
        </w:trPr>
        <w:tc>
          <w:tcPr>
            <w:tcW w:w="4980" w:type="dxa"/>
            <w:vAlign w:val="bottom"/>
            <w:gridSpan w:val="11"/>
            <w:vMerge w:val="restart"/>
          </w:tcPr>
          <w:p>
            <w:pPr>
              <w:spacing w:after="0" w:line="142"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Energy Operating LLC, the guarantors named therein and RBC Capital</w:t>
              </w:r>
            </w:hyperlink>
          </w:p>
        </w:tc>
        <w:tc>
          <w:tcPr>
            <w:tcW w:w="3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980" w:type="dxa"/>
            <w:vAlign w:val="bottom"/>
            <w:gridSpan w:val="11"/>
            <w:vMerge w:val="continue"/>
          </w:tcPr>
          <w:p>
            <w:pPr>
              <w:spacing w:after="0"/>
              <w:rPr>
                <w:sz w:val="9"/>
                <w:szCs w:val="9"/>
                <w:color w:val="auto"/>
              </w:rPr>
            </w:pPr>
          </w:p>
        </w:tc>
        <w:tc>
          <w:tcPr>
            <w:tcW w:w="38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2, 2018.</w:t>
            </w:r>
          </w:p>
        </w:tc>
        <w:tc>
          <w:tcPr>
            <w:tcW w:w="0" w:type="dxa"/>
            <w:vAlign w:val="bottom"/>
          </w:tcPr>
          <w:p>
            <w:pPr>
              <w:spacing w:after="0"/>
              <w:rPr>
                <w:sz w:val="1"/>
                <w:szCs w:val="1"/>
                <w:color w:val="auto"/>
              </w:rPr>
            </w:pPr>
          </w:p>
        </w:tc>
      </w:tr>
      <w:tr>
        <w:trPr>
          <w:trHeight w:val="82"/>
        </w:trPr>
        <w:tc>
          <w:tcPr>
            <w:tcW w:w="4600" w:type="dxa"/>
            <w:vAlign w:val="bottom"/>
            <w:tcBorders>
              <w:top w:val="single" w:sz="8" w:color="0000FF"/>
            </w:tcBorders>
            <w:gridSpan w:val="8"/>
            <w:vMerge w:val="restart"/>
          </w:tcPr>
          <w:p>
            <w:pPr>
              <w:spacing w:after="0" w:line="142"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Markets, LLC, as representative of the initial purchasers.</w:t>
              </w:r>
            </w:hyperlink>
          </w:p>
        </w:tc>
        <w:tc>
          <w:tcPr>
            <w:tcW w:w="380" w:type="dxa"/>
            <w:vAlign w:val="bottom"/>
            <w:gridSpan w:val="3"/>
            <w:vMerge w:val="restart"/>
          </w:tcPr>
          <w:p>
            <w:pPr>
              <w:spacing w:after="0"/>
              <w:rPr>
                <w:sz w:val="7"/>
                <w:szCs w:val="7"/>
                <w:color w:val="auto"/>
              </w:rPr>
            </w:pPr>
          </w:p>
        </w:tc>
        <w:tc>
          <w:tcPr>
            <w:tcW w:w="3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600" w:type="dxa"/>
            <w:vAlign w:val="bottom"/>
            <w:gridSpan w:val="8"/>
            <w:vMerge w:val="continue"/>
          </w:tcPr>
          <w:p>
            <w:pPr>
              <w:spacing w:after="0"/>
              <w:rPr>
                <w:sz w:val="5"/>
                <w:szCs w:val="5"/>
                <w:color w:val="auto"/>
              </w:rPr>
            </w:pPr>
          </w:p>
        </w:tc>
        <w:tc>
          <w:tcPr>
            <w:tcW w:w="380" w:type="dxa"/>
            <w:vAlign w:val="bottom"/>
            <w:gridSpan w:val="3"/>
            <w:vMerge w:val="continue"/>
          </w:tcPr>
          <w:p>
            <w:pPr>
              <w:spacing w:after="0"/>
              <w:rPr>
                <w:sz w:val="5"/>
                <w:szCs w:val="5"/>
                <w:color w:val="auto"/>
              </w:rPr>
            </w:pPr>
          </w:p>
        </w:tc>
        <w:tc>
          <w:tcPr>
            <w:tcW w:w="3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Incorporated herein by reference to Exhibit 4.1 to the</w:t>
            </w:r>
          </w:p>
        </w:tc>
        <w:tc>
          <w:tcPr>
            <w:tcW w:w="0" w:type="dxa"/>
            <w:vAlign w:val="bottom"/>
          </w:tcPr>
          <w:p>
            <w:pPr>
              <w:spacing w:after="0" w:line="20" w:lineRule="exact"/>
              <w:rPr>
                <w:sz w:val="1"/>
                <w:szCs w:val="1"/>
                <w:color w:val="auto"/>
              </w:rPr>
            </w:pPr>
          </w:p>
        </w:tc>
      </w:tr>
      <w:tr>
        <w:trPr>
          <w:trHeight w:val="263"/>
        </w:trPr>
        <w:tc>
          <w:tcPr>
            <w:tcW w:w="4440" w:type="dxa"/>
            <w:vAlign w:val="bottom"/>
            <w:gridSpan w:val="7"/>
            <w:vMerge w:val="restart"/>
          </w:tcPr>
          <w:p>
            <w:pPr>
              <w:spacing w:after="0"/>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Ninth Supplemental Indenture, dated as of October 25, 2018, among</w:t>
              </w:r>
            </w:hyperlink>
          </w:p>
        </w:tc>
        <w:tc>
          <w:tcPr>
            <w:tcW w:w="540" w:type="dxa"/>
            <w:vAlign w:val="bottom"/>
            <w:gridSpan w:val="4"/>
            <w:vMerge w:val="restart"/>
          </w:tcPr>
          <w:p>
            <w:pPr>
              <w:spacing w:after="0"/>
              <w:rPr>
                <w:sz w:val="22"/>
                <w:szCs w:val="22"/>
                <w:color w:val="auto"/>
              </w:rPr>
            </w:pPr>
          </w:p>
        </w:tc>
        <w:tc>
          <w:tcPr>
            <w:tcW w:w="3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13"/>
        </w:trPr>
        <w:tc>
          <w:tcPr>
            <w:tcW w:w="4440" w:type="dxa"/>
            <w:vAlign w:val="bottom"/>
            <w:tcBorders>
              <w:bottom w:val="single" w:sz="8" w:color="0000FF"/>
            </w:tcBorders>
            <w:gridSpan w:val="7"/>
            <w:vMerge w:val="continue"/>
          </w:tcPr>
          <w:p>
            <w:pPr>
              <w:spacing w:after="0"/>
              <w:rPr>
                <w:sz w:val="9"/>
                <w:szCs w:val="9"/>
                <w:color w:val="auto"/>
              </w:rPr>
            </w:pPr>
          </w:p>
        </w:tc>
        <w:tc>
          <w:tcPr>
            <w:tcW w:w="540" w:type="dxa"/>
            <w:vAlign w:val="bottom"/>
            <w:gridSpan w:val="4"/>
            <w:vMerge w:val="continue"/>
          </w:tcPr>
          <w:p>
            <w:pPr>
              <w:spacing w:after="0"/>
              <w:rPr>
                <w:sz w:val="9"/>
                <w:szCs w:val="9"/>
                <w:color w:val="auto"/>
              </w:rPr>
            </w:pPr>
          </w:p>
        </w:tc>
        <w:tc>
          <w:tcPr>
            <w:tcW w:w="3880" w:type="dxa"/>
            <w:vAlign w:val="bottom"/>
            <w:vMerge w:val="restart"/>
          </w:tcPr>
          <w:p>
            <w:pPr>
              <w:ind w:left="140"/>
              <w:spacing w:after="0" w:line="162" w:lineRule="exact"/>
              <w:rPr>
                <w:sz w:val="20"/>
                <w:szCs w:val="20"/>
                <w:color w:val="auto"/>
              </w:rPr>
            </w:pPr>
            <w:r>
              <w:rPr>
                <w:rFonts w:ascii="Times New Roman" w:cs="Times New Roman" w:eastAsia="Times New Roman" w:hAnsi="Times New Roman"/>
                <w:sz w:val="16"/>
                <w:szCs w:val="16"/>
                <w:color w:val="auto"/>
              </w:rPr>
              <w:t>Company's Current Report on Form 8-K filed on October</w:t>
            </w:r>
          </w:p>
        </w:tc>
        <w:tc>
          <w:tcPr>
            <w:tcW w:w="0" w:type="dxa"/>
            <w:vAlign w:val="bottom"/>
          </w:tcPr>
          <w:p>
            <w:pPr>
              <w:spacing w:after="0"/>
              <w:rPr>
                <w:sz w:val="1"/>
                <w:szCs w:val="1"/>
                <w:color w:val="auto"/>
              </w:rPr>
            </w:pPr>
          </w:p>
        </w:tc>
      </w:tr>
      <w:tr>
        <w:trPr>
          <w:trHeight w:val="34"/>
        </w:trPr>
        <w:tc>
          <w:tcPr>
            <w:tcW w:w="4400" w:type="dxa"/>
            <w:vAlign w:val="bottom"/>
            <w:gridSpan w:val="6"/>
            <w:vMerge w:val="restart"/>
          </w:tcPr>
          <w:p>
            <w:pPr>
              <w:spacing w:after="0" w:line="142" w:lineRule="exact"/>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Clearway Energy Operating LLC, the guarantors named therein and</w:t>
              </w:r>
            </w:hyperlink>
          </w:p>
        </w:tc>
        <w:tc>
          <w:tcPr>
            <w:tcW w:w="580" w:type="dxa"/>
            <w:vAlign w:val="bottom"/>
            <w:gridSpan w:val="5"/>
            <w:vMerge w:val="restart"/>
          </w:tcPr>
          <w:p>
            <w:pPr>
              <w:spacing w:after="0"/>
              <w:rPr>
                <w:sz w:val="2"/>
                <w:szCs w:val="2"/>
                <w:color w:val="auto"/>
              </w:rPr>
            </w:pPr>
          </w:p>
        </w:tc>
        <w:tc>
          <w:tcPr>
            <w:tcW w:w="3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4400" w:type="dxa"/>
            <w:vAlign w:val="bottom"/>
            <w:tcBorders>
              <w:bottom w:val="single" w:sz="8" w:color="0000FF"/>
            </w:tcBorders>
            <w:gridSpan w:val="6"/>
            <w:vMerge w:val="continue"/>
          </w:tcPr>
          <w:p>
            <w:pPr>
              <w:spacing w:after="0"/>
              <w:rPr>
                <w:sz w:val="9"/>
                <w:szCs w:val="9"/>
                <w:color w:val="auto"/>
              </w:rPr>
            </w:pPr>
          </w:p>
        </w:tc>
        <w:tc>
          <w:tcPr>
            <w:tcW w:w="580" w:type="dxa"/>
            <w:vAlign w:val="bottom"/>
            <w:gridSpan w:val="5"/>
            <w:vMerge w:val="continue"/>
          </w:tcPr>
          <w:p>
            <w:pPr>
              <w:spacing w:after="0"/>
              <w:rPr>
                <w:sz w:val="9"/>
                <w:szCs w:val="9"/>
                <w:color w:val="auto"/>
              </w:rPr>
            </w:pPr>
          </w:p>
        </w:tc>
        <w:tc>
          <w:tcPr>
            <w:tcW w:w="38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31, 2018.</w:t>
            </w:r>
          </w:p>
        </w:tc>
        <w:tc>
          <w:tcPr>
            <w:tcW w:w="0" w:type="dxa"/>
            <w:vAlign w:val="bottom"/>
          </w:tcPr>
          <w:p>
            <w:pPr>
              <w:spacing w:after="0"/>
              <w:rPr>
                <w:sz w:val="1"/>
                <w:szCs w:val="1"/>
                <w:color w:val="auto"/>
              </w:rPr>
            </w:pPr>
          </w:p>
        </w:tc>
      </w:tr>
      <w:tr>
        <w:trPr>
          <w:trHeight w:val="82"/>
        </w:trPr>
        <w:tc>
          <w:tcPr>
            <w:tcW w:w="4980" w:type="dxa"/>
            <w:vAlign w:val="bottom"/>
            <w:gridSpan w:val="11"/>
            <w:vMerge w:val="restart"/>
          </w:tcPr>
          <w:p>
            <w:pPr>
              <w:spacing w:after="0" w:line="142" w:lineRule="exact"/>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Delaware Trust Company (as successor in interest to Law Debenture Trust</w:t>
              </w:r>
            </w:hyperlink>
          </w:p>
        </w:tc>
        <w:tc>
          <w:tcPr>
            <w:tcW w:w="3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980" w:type="dxa"/>
            <w:vAlign w:val="bottom"/>
            <w:gridSpan w:val="11"/>
            <w:vMerge w:val="continue"/>
          </w:tcPr>
          <w:p>
            <w:pPr>
              <w:spacing w:after="0"/>
              <w:rPr>
                <w:sz w:val="5"/>
                <w:szCs w:val="5"/>
                <w:color w:val="auto"/>
              </w:rPr>
            </w:pPr>
          </w:p>
        </w:tc>
        <w:tc>
          <w:tcPr>
            <w:tcW w:w="3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Company of New York).</w:t>
              </w:r>
            </w:hyperlink>
          </w:p>
        </w:tc>
        <w:tc>
          <w:tcPr>
            <w:tcW w:w="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Incorporated herein by reference to Exhibit 4.2 to the</w:t>
            </w:r>
          </w:p>
        </w:tc>
        <w:tc>
          <w:tcPr>
            <w:tcW w:w="0" w:type="dxa"/>
            <w:vAlign w:val="bottom"/>
          </w:tcPr>
          <w:p>
            <w:pPr>
              <w:spacing w:after="0" w:line="20" w:lineRule="exact"/>
              <w:rPr>
                <w:sz w:val="1"/>
                <w:szCs w:val="1"/>
                <w:color w:val="auto"/>
              </w:rPr>
            </w:pPr>
          </w:p>
        </w:tc>
      </w:tr>
      <w:tr>
        <w:trPr>
          <w:trHeight w:val="264"/>
        </w:trPr>
        <w:tc>
          <w:tcPr>
            <w:tcW w:w="4380" w:type="dxa"/>
            <w:vAlign w:val="bottom"/>
            <w:gridSpan w:val="5"/>
            <w:vMerge w:val="restart"/>
          </w:tcPr>
          <w:p>
            <w:pPr>
              <w:spacing w:after="0"/>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Fifth Supplemental Indenture, dated as of October 25, 2018, among</w:t>
              </w:r>
            </w:hyperlink>
          </w:p>
        </w:tc>
        <w:tc>
          <w:tcPr>
            <w:tcW w:w="600" w:type="dxa"/>
            <w:vAlign w:val="bottom"/>
            <w:gridSpan w:val="6"/>
            <w:vMerge w:val="restart"/>
          </w:tcPr>
          <w:p>
            <w:pPr>
              <w:spacing w:after="0"/>
              <w:rPr>
                <w:sz w:val="22"/>
                <w:szCs w:val="22"/>
                <w:color w:val="auto"/>
              </w:rPr>
            </w:pPr>
          </w:p>
        </w:tc>
        <w:tc>
          <w:tcPr>
            <w:tcW w:w="3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13"/>
        </w:trPr>
        <w:tc>
          <w:tcPr>
            <w:tcW w:w="4380" w:type="dxa"/>
            <w:vAlign w:val="bottom"/>
            <w:tcBorders>
              <w:bottom w:val="single" w:sz="8" w:color="0000FF"/>
            </w:tcBorders>
            <w:gridSpan w:val="5"/>
            <w:vMerge w:val="continue"/>
          </w:tcPr>
          <w:p>
            <w:pPr>
              <w:spacing w:after="0"/>
              <w:rPr>
                <w:sz w:val="9"/>
                <w:szCs w:val="9"/>
                <w:color w:val="auto"/>
              </w:rPr>
            </w:pPr>
          </w:p>
        </w:tc>
        <w:tc>
          <w:tcPr>
            <w:tcW w:w="600" w:type="dxa"/>
            <w:vAlign w:val="bottom"/>
            <w:gridSpan w:val="6"/>
            <w:vMerge w:val="continue"/>
          </w:tcPr>
          <w:p>
            <w:pPr>
              <w:spacing w:after="0"/>
              <w:rPr>
                <w:sz w:val="9"/>
                <w:szCs w:val="9"/>
                <w:color w:val="auto"/>
              </w:rPr>
            </w:pPr>
          </w:p>
        </w:tc>
        <w:tc>
          <w:tcPr>
            <w:tcW w:w="3880" w:type="dxa"/>
            <w:vAlign w:val="bottom"/>
            <w:vMerge w:val="restart"/>
          </w:tcPr>
          <w:p>
            <w:pPr>
              <w:ind w:left="140"/>
              <w:spacing w:after="0" w:line="162" w:lineRule="exact"/>
              <w:rPr>
                <w:sz w:val="20"/>
                <w:szCs w:val="20"/>
                <w:color w:val="auto"/>
              </w:rPr>
            </w:pPr>
            <w:r>
              <w:rPr>
                <w:rFonts w:ascii="Times New Roman" w:cs="Times New Roman" w:eastAsia="Times New Roman" w:hAnsi="Times New Roman"/>
                <w:sz w:val="16"/>
                <w:szCs w:val="16"/>
                <w:color w:val="auto"/>
              </w:rPr>
              <w:t>Company's Current Report on Form 8-K filed on October</w:t>
            </w:r>
          </w:p>
        </w:tc>
        <w:tc>
          <w:tcPr>
            <w:tcW w:w="0" w:type="dxa"/>
            <w:vAlign w:val="bottom"/>
          </w:tcPr>
          <w:p>
            <w:pPr>
              <w:spacing w:after="0"/>
              <w:rPr>
                <w:sz w:val="1"/>
                <w:szCs w:val="1"/>
                <w:color w:val="auto"/>
              </w:rPr>
            </w:pPr>
          </w:p>
        </w:tc>
      </w:tr>
      <w:tr>
        <w:trPr>
          <w:trHeight w:val="34"/>
        </w:trPr>
        <w:tc>
          <w:tcPr>
            <w:tcW w:w="4400" w:type="dxa"/>
            <w:vAlign w:val="bottom"/>
            <w:gridSpan w:val="6"/>
            <w:vMerge w:val="restart"/>
          </w:tcPr>
          <w:p>
            <w:pPr>
              <w:spacing w:after="0" w:line="142"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Clearway Energy Operating LLC, the guarantors named therein and</w:t>
              </w:r>
            </w:hyperlink>
          </w:p>
        </w:tc>
        <w:tc>
          <w:tcPr>
            <w:tcW w:w="580" w:type="dxa"/>
            <w:vAlign w:val="bottom"/>
            <w:gridSpan w:val="5"/>
            <w:vMerge w:val="restart"/>
          </w:tcPr>
          <w:p>
            <w:pPr>
              <w:spacing w:after="0"/>
              <w:rPr>
                <w:sz w:val="2"/>
                <w:szCs w:val="2"/>
                <w:color w:val="auto"/>
              </w:rPr>
            </w:pPr>
          </w:p>
        </w:tc>
        <w:tc>
          <w:tcPr>
            <w:tcW w:w="3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4400" w:type="dxa"/>
            <w:vAlign w:val="bottom"/>
            <w:tcBorders>
              <w:bottom w:val="single" w:sz="8" w:color="0000FF"/>
            </w:tcBorders>
            <w:gridSpan w:val="6"/>
            <w:vMerge w:val="continue"/>
          </w:tcPr>
          <w:p>
            <w:pPr>
              <w:spacing w:after="0"/>
              <w:rPr>
                <w:sz w:val="9"/>
                <w:szCs w:val="9"/>
                <w:color w:val="auto"/>
              </w:rPr>
            </w:pPr>
          </w:p>
        </w:tc>
        <w:tc>
          <w:tcPr>
            <w:tcW w:w="580" w:type="dxa"/>
            <w:vAlign w:val="bottom"/>
            <w:gridSpan w:val="5"/>
            <w:vMerge w:val="continue"/>
          </w:tcPr>
          <w:p>
            <w:pPr>
              <w:spacing w:after="0"/>
              <w:rPr>
                <w:sz w:val="9"/>
                <w:szCs w:val="9"/>
                <w:color w:val="auto"/>
              </w:rPr>
            </w:pPr>
          </w:p>
        </w:tc>
        <w:tc>
          <w:tcPr>
            <w:tcW w:w="38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31, 2018.</w:t>
            </w:r>
          </w:p>
        </w:tc>
        <w:tc>
          <w:tcPr>
            <w:tcW w:w="0" w:type="dxa"/>
            <w:vAlign w:val="bottom"/>
          </w:tcPr>
          <w:p>
            <w:pPr>
              <w:spacing w:after="0"/>
              <w:rPr>
                <w:sz w:val="1"/>
                <w:szCs w:val="1"/>
                <w:color w:val="auto"/>
              </w:rPr>
            </w:pPr>
          </w:p>
        </w:tc>
      </w:tr>
      <w:tr>
        <w:trPr>
          <w:trHeight w:val="82"/>
        </w:trPr>
        <w:tc>
          <w:tcPr>
            <w:tcW w:w="4980" w:type="dxa"/>
            <w:vAlign w:val="bottom"/>
            <w:gridSpan w:val="11"/>
            <w:vMerge w:val="restart"/>
          </w:tcPr>
          <w:p>
            <w:pPr>
              <w:spacing w:after="0" w:line="142"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Delaware Trust Company (as successor in interest to Law Debenture Trust</w:t>
              </w:r>
            </w:hyperlink>
          </w:p>
        </w:tc>
        <w:tc>
          <w:tcPr>
            <w:tcW w:w="3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980" w:type="dxa"/>
            <w:vAlign w:val="bottom"/>
            <w:gridSpan w:val="11"/>
            <w:vMerge w:val="continue"/>
          </w:tcPr>
          <w:p>
            <w:pPr>
              <w:spacing w:after="0"/>
              <w:rPr>
                <w:sz w:val="5"/>
                <w:szCs w:val="5"/>
                <w:color w:val="auto"/>
              </w:rPr>
            </w:pPr>
          </w:p>
        </w:tc>
        <w:tc>
          <w:tcPr>
            <w:tcW w:w="3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Company of New York).</w:t>
              </w:r>
            </w:hyperlink>
          </w:p>
        </w:tc>
        <w:tc>
          <w:tcPr>
            <w:tcW w:w="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Incorporated herein by reference to Exhibit 4.3 to the</w:t>
            </w:r>
          </w:p>
        </w:tc>
        <w:tc>
          <w:tcPr>
            <w:tcW w:w="0" w:type="dxa"/>
            <w:vAlign w:val="bottom"/>
          </w:tcPr>
          <w:p>
            <w:pPr>
              <w:spacing w:after="0" w:line="20" w:lineRule="exact"/>
              <w:rPr>
                <w:sz w:val="1"/>
                <w:szCs w:val="1"/>
                <w:color w:val="auto"/>
              </w:rPr>
            </w:pPr>
          </w:p>
        </w:tc>
      </w:tr>
      <w:tr>
        <w:trPr>
          <w:trHeight w:val="263"/>
        </w:trPr>
        <w:tc>
          <w:tcPr>
            <w:tcW w:w="4980" w:type="dxa"/>
            <w:vAlign w:val="bottom"/>
            <w:gridSpan w:val="11"/>
            <w:vMerge w:val="restart"/>
          </w:tcPr>
          <w:p>
            <w:pPr>
              <w:spacing w:after="0"/>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First Supplemental Indenture, dated as of October 25, 2018, among</w:t>
              </w:r>
            </w:hyperlink>
          </w:p>
        </w:tc>
        <w:tc>
          <w:tcPr>
            <w:tcW w:w="3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980" w:type="dxa"/>
            <w:vAlign w:val="bottom"/>
            <w:gridSpan w:val="11"/>
            <w:vMerge w:val="continue"/>
          </w:tcPr>
          <w:p>
            <w:pPr>
              <w:spacing w:after="0"/>
              <w:rPr>
                <w:sz w:val="9"/>
                <w:szCs w:val="9"/>
                <w:color w:val="auto"/>
              </w:rPr>
            </w:pPr>
          </w:p>
        </w:tc>
        <w:tc>
          <w:tcPr>
            <w:tcW w:w="3880" w:type="dxa"/>
            <w:vAlign w:val="bottom"/>
            <w:vMerge w:val="restart"/>
          </w:tcPr>
          <w:p>
            <w:pPr>
              <w:ind w:left="140"/>
              <w:spacing w:after="0" w:line="162" w:lineRule="exact"/>
              <w:rPr>
                <w:sz w:val="20"/>
                <w:szCs w:val="20"/>
                <w:color w:val="auto"/>
              </w:rPr>
            </w:pPr>
            <w:r>
              <w:rPr>
                <w:rFonts w:ascii="Times New Roman" w:cs="Times New Roman" w:eastAsia="Times New Roman" w:hAnsi="Times New Roman"/>
                <w:sz w:val="16"/>
                <w:szCs w:val="16"/>
                <w:color w:val="auto"/>
              </w:rPr>
              <w:t>Company's Current Report on Form 8-K filed on October</w:t>
            </w:r>
          </w:p>
        </w:tc>
        <w:tc>
          <w:tcPr>
            <w:tcW w:w="0" w:type="dxa"/>
            <w:vAlign w:val="bottom"/>
          </w:tcPr>
          <w:p>
            <w:pPr>
              <w:spacing w:after="0"/>
              <w:rPr>
                <w:sz w:val="1"/>
                <w:szCs w:val="1"/>
                <w:color w:val="auto"/>
              </w:rPr>
            </w:pPr>
          </w:p>
        </w:tc>
      </w:tr>
      <w:tr>
        <w:trPr>
          <w:trHeight w:val="20"/>
        </w:trPr>
        <w:tc>
          <w:tcPr>
            <w:tcW w:w="1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400" w:type="dxa"/>
            <w:vAlign w:val="bottom"/>
            <w:gridSpan w:val="6"/>
            <w:vMerge w:val="restart"/>
          </w:tcPr>
          <w:p>
            <w:pPr>
              <w:spacing w:after="0" w:line="142" w:lineRule="exact"/>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Clearway Energy Operating LLC, the guarantors named therein and</w:t>
              </w:r>
            </w:hyperlink>
          </w:p>
        </w:tc>
        <w:tc>
          <w:tcPr>
            <w:tcW w:w="580" w:type="dxa"/>
            <w:vAlign w:val="bottom"/>
            <w:gridSpan w:val="5"/>
            <w:vMerge w:val="restart"/>
          </w:tcPr>
          <w:p>
            <w:pPr>
              <w:spacing w:after="0"/>
              <w:rPr>
                <w:sz w:val="2"/>
                <w:szCs w:val="2"/>
                <w:color w:val="auto"/>
              </w:rPr>
            </w:pPr>
          </w:p>
        </w:tc>
        <w:tc>
          <w:tcPr>
            <w:tcW w:w="3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4400" w:type="dxa"/>
            <w:vAlign w:val="bottom"/>
            <w:tcBorders>
              <w:bottom w:val="single" w:sz="8" w:color="0000FF"/>
            </w:tcBorders>
            <w:gridSpan w:val="6"/>
            <w:vMerge w:val="continue"/>
          </w:tcPr>
          <w:p>
            <w:pPr>
              <w:spacing w:after="0"/>
              <w:rPr>
                <w:sz w:val="9"/>
                <w:szCs w:val="9"/>
                <w:color w:val="auto"/>
              </w:rPr>
            </w:pPr>
          </w:p>
        </w:tc>
        <w:tc>
          <w:tcPr>
            <w:tcW w:w="580" w:type="dxa"/>
            <w:vAlign w:val="bottom"/>
            <w:gridSpan w:val="5"/>
            <w:vMerge w:val="continue"/>
          </w:tcPr>
          <w:p>
            <w:pPr>
              <w:spacing w:after="0"/>
              <w:rPr>
                <w:sz w:val="9"/>
                <w:szCs w:val="9"/>
                <w:color w:val="auto"/>
              </w:rPr>
            </w:pPr>
          </w:p>
        </w:tc>
        <w:tc>
          <w:tcPr>
            <w:tcW w:w="38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31, 2018.</w:t>
            </w:r>
          </w:p>
        </w:tc>
        <w:tc>
          <w:tcPr>
            <w:tcW w:w="0" w:type="dxa"/>
            <w:vAlign w:val="bottom"/>
          </w:tcPr>
          <w:p>
            <w:pPr>
              <w:spacing w:after="0"/>
              <w:rPr>
                <w:sz w:val="1"/>
                <w:szCs w:val="1"/>
                <w:color w:val="auto"/>
              </w:rPr>
            </w:pPr>
          </w:p>
        </w:tc>
      </w:tr>
      <w:tr>
        <w:trPr>
          <w:trHeight w:val="82"/>
        </w:trPr>
        <w:tc>
          <w:tcPr>
            <w:tcW w:w="1700" w:type="dxa"/>
            <w:vAlign w:val="bottom"/>
            <w:gridSpan w:val="2"/>
            <w:vMerge w:val="restart"/>
          </w:tcPr>
          <w:p>
            <w:pPr>
              <w:spacing w:after="0" w:line="142" w:lineRule="exact"/>
              <w:rPr>
                <w:rFonts w:ascii="Times New Roman" w:cs="Times New Roman" w:eastAsia="Times New Roman" w:hAnsi="Times New Roman"/>
                <w:sz w:val="16"/>
                <w:szCs w:val="16"/>
                <w:color w:val="0000FF"/>
                <w:w w:val="99"/>
              </w:rPr>
            </w:pPr>
            <w:hyperlink r:id="rId218">
              <w:r>
                <w:rPr>
                  <w:rFonts w:ascii="Times New Roman" w:cs="Times New Roman" w:eastAsia="Times New Roman" w:hAnsi="Times New Roman"/>
                  <w:sz w:val="16"/>
                  <w:szCs w:val="16"/>
                  <w:color w:val="0000FF"/>
                  <w:w w:val="99"/>
                </w:rPr>
                <w:t>Delaware Trust Company.</w:t>
              </w:r>
            </w:hyperlink>
          </w:p>
        </w:tc>
        <w:tc>
          <w:tcPr>
            <w:tcW w:w="3280" w:type="dxa"/>
            <w:vAlign w:val="bottom"/>
            <w:gridSpan w:val="9"/>
            <w:vMerge w:val="restart"/>
          </w:tcPr>
          <w:p>
            <w:pPr>
              <w:spacing w:after="0"/>
              <w:rPr>
                <w:sz w:val="7"/>
                <w:szCs w:val="7"/>
                <w:color w:val="auto"/>
              </w:rPr>
            </w:pPr>
          </w:p>
        </w:tc>
        <w:tc>
          <w:tcPr>
            <w:tcW w:w="3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700" w:type="dxa"/>
            <w:vAlign w:val="bottom"/>
            <w:tcBorders>
              <w:bottom w:val="single" w:sz="8" w:color="0000FF"/>
            </w:tcBorders>
            <w:gridSpan w:val="2"/>
            <w:vMerge w:val="continue"/>
          </w:tcPr>
          <w:p>
            <w:pPr>
              <w:spacing w:after="0"/>
              <w:rPr>
                <w:sz w:val="5"/>
                <w:szCs w:val="5"/>
                <w:color w:val="auto"/>
              </w:rPr>
            </w:pPr>
          </w:p>
        </w:tc>
        <w:tc>
          <w:tcPr>
            <w:tcW w:w="3280" w:type="dxa"/>
            <w:vAlign w:val="bottom"/>
            <w:gridSpan w:val="9"/>
            <w:vMerge w:val="continue"/>
          </w:tcPr>
          <w:p>
            <w:pPr>
              <w:spacing w:after="0"/>
              <w:rPr>
                <w:sz w:val="5"/>
                <w:szCs w:val="5"/>
                <w:color w:val="auto"/>
              </w:rPr>
            </w:pPr>
          </w:p>
        </w:tc>
        <w:tc>
          <w:tcPr>
            <w:tcW w:w="3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85725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0" w:space="620"/>
            <w:col w:w="9219"/>
          </w:cols>
          <w:pgMar w:left="340" w:top="936" w:right="1440" w:bottom="474"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184"/>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4.32</w:t>
            </w:r>
          </w:p>
        </w:tc>
        <w:tc>
          <w:tcPr>
            <w:tcW w:w="4520" w:type="dxa"/>
            <w:vAlign w:val="bottom"/>
            <w:gridSpan w:val="2"/>
          </w:tcPr>
          <w:p>
            <w:pPr>
              <w:spacing w:after="0"/>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Tenth Supplemental Indenture, dated as of December 7, 2018, among</w:t>
              </w:r>
            </w:hyperlink>
          </w:p>
        </w:tc>
      </w:tr>
      <w:tr>
        <w:trPr>
          <w:trHeight w:val="146"/>
        </w:trPr>
        <w:tc>
          <w:tcPr>
            <w:tcW w:w="900" w:type="dxa"/>
            <w:vAlign w:val="bottom"/>
          </w:tcPr>
          <w:p>
            <w:pPr>
              <w:spacing w:after="0"/>
              <w:rPr>
                <w:sz w:val="12"/>
                <w:szCs w:val="12"/>
                <w:color w:val="auto"/>
              </w:rPr>
            </w:pPr>
          </w:p>
        </w:tc>
        <w:tc>
          <w:tcPr>
            <w:tcW w:w="4500" w:type="dxa"/>
            <w:vAlign w:val="bottom"/>
            <w:tcBorders>
              <w:top w:val="single" w:sz="8" w:color="0000FF"/>
            </w:tcBorders>
          </w:tcPr>
          <w:p>
            <w:pPr>
              <w:spacing w:after="0" w:line="146" w:lineRule="exact"/>
              <w:rPr>
                <w:rFonts w:ascii="Times New Roman" w:cs="Times New Roman" w:eastAsia="Times New Roman" w:hAnsi="Times New Roman"/>
                <w:sz w:val="16"/>
                <w:szCs w:val="16"/>
                <w:u w:val="single" w:color="auto"/>
                <w:color w:val="0000FF"/>
              </w:rPr>
            </w:pPr>
            <w:hyperlink r:id="rId220">
              <w:r>
                <w:rPr>
                  <w:rFonts w:ascii="Times New Roman" w:cs="Times New Roman" w:eastAsia="Times New Roman" w:hAnsi="Times New Roman"/>
                  <w:sz w:val="16"/>
                  <w:szCs w:val="16"/>
                  <w:u w:val="single" w:color="auto"/>
                  <w:color w:val="0000FF"/>
                </w:rPr>
                <w:t>Clearway Energy Operating LLC, the guarantors named therein and</w:t>
              </w:r>
            </w:hyperlink>
          </w:p>
        </w:tc>
        <w:tc>
          <w:tcPr>
            <w:tcW w:w="20" w:type="dxa"/>
            <w:vAlign w:val="bottom"/>
          </w:tcPr>
          <w:p>
            <w:pPr>
              <w:spacing w:after="0"/>
              <w:rPr>
                <w:sz w:val="12"/>
                <w:szCs w:val="12"/>
                <w:color w:val="auto"/>
              </w:rPr>
            </w:pPr>
          </w:p>
        </w:tc>
      </w:tr>
    </w:tbl>
    <w:p>
      <w:pPr>
        <w:ind w:left="900"/>
        <w:spacing w:after="0" w:line="231" w:lineRule="auto"/>
        <w:rPr>
          <w:rFonts w:ascii="Times New Roman" w:cs="Times New Roman" w:eastAsia="Times New Roman" w:hAnsi="Times New Roman"/>
          <w:sz w:val="16"/>
          <w:szCs w:val="16"/>
          <w:u w:val="single" w:color="auto"/>
          <w:color w:val="0000FF"/>
        </w:rPr>
      </w:pPr>
      <w:hyperlink r:id="rId220">
        <w:r>
          <w:rPr>
            <w:rFonts w:ascii="Times New Roman" w:cs="Times New Roman" w:eastAsia="Times New Roman" w:hAnsi="Times New Roman"/>
            <w:sz w:val="16"/>
            <w:szCs w:val="16"/>
            <w:u w:val="single" w:color="auto"/>
            <w:color w:val="0000FF"/>
          </w:rPr>
          <w:t>Delaware Trust Company (as successor in interest to Law Debenture Trust</w:t>
        </w:r>
      </w:hyperlink>
      <w:r>
        <w:rPr>
          <w:rFonts w:ascii="Times New Roman" w:cs="Times New Roman" w:eastAsia="Times New Roman" w:hAnsi="Times New Roman"/>
          <w:sz w:val="16"/>
          <w:szCs w:val="16"/>
          <w:u w:val="single" w:color="auto"/>
          <w:color w:val="0000FF"/>
        </w:rPr>
        <w:t xml:space="preserve"> </w:t>
      </w:r>
      <w:hyperlink r:id="rId220">
        <w:r>
          <w:rPr>
            <w:rFonts w:ascii="Times New Roman" w:cs="Times New Roman" w:eastAsia="Times New Roman" w:hAnsi="Times New Roman"/>
            <w:sz w:val="16"/>
            <w:szCs w:val="16"/>
            <w:u w:val="single" w:color="auto"/>
            <w:color w:val="0000FF"/>
          </w:rPr>
          <w:t>Company of New York).</w:t>
        </w:r>
      </w:hyperlink>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4.33</w:t>
            </w:r>
          </w:p>
        </w:tc>
        <w:tc>
          <w:tcPr>
            <w:tcW w:w="4840" w:type="dxa"/>
            <w:vAlign w:val="bottom"/>
            <w:gridSpan w:val="9"/>
            <w:vMerge w:val="restart"/>
          </w:tcPr>
          <w:p>
            <w:pPr>
              <w:spacing w:after="0"/>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Sixth Supplemental Indenture, dated as of December 7, 2018, among</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8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6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Clearway Energy Operating LLC, the guarantors named therein and</w:t>
              </w:r>
            </w:hyperlink>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21">
              <w:r>
                <w:rPr>
                  <w:rFonts w:ascii="Times New Roman" w:cs="Times New Roman" w:eastAsia="Times New Roman" w:hAnsi="Times New Roman"/>
                  <w:sz w:val="16"/>
                  <w:szCs w:val="16"/>
                  <w:color w:val="0000FF"/>
                  <w:w w:val="99"/>
                </w:rPr>
                <w:t>Delaware Trust Company (as successor in interest to Law Debenture</w:t>
              </w:r>
            </w:hyperlink>
          </w:p>
        </w:tc>
        <w:tc>
          <w:tcPr>
            <w:tcW w:w="420" w:type="dxa"/>
            <w:vAlign w:val="bottom"/>
            <w:gridSpan w:val="5"/>
          </w:tcPr>
          <w:p>
            <w:pPr>
              <w:ind w:left="80"/>
              <w:spacing w:after="0" w:line="142" w:lineRule="exact"/>
              <w:rPr>
                <w:rFonts w:ascii="Times New Roman" w:cs="Times New Roman" w:eastAsia="Times New Roman" w:hAnsi="Times New Roman"/>
                <w:sz w:val="16"/>
                <w:szCs w:val="16"/>
                <w:color w:val="0000FF"/>
                <w:w w:val="94"/>
              </w:rPr>
            </w:pPr>
            <w:hyperlink r:id="rId221">
              <w:r>
                <w:rPr>
                  <w:rFonts w:ascii="Times New Roman" w:cs="Times New Roman" w:eastAsia="Times New Roman" w:hAnsi="Times New Roman"/>
                  <w:sz w:val="16"/>
                  <w:szCs w:val="16"/>
                  <w:color w:val="0000FF"/>
                  <w:w w:val="94"/>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Company of New York).</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color w:val="auto"/>
                <w:w w:val="92"/>
              </w:rPr>
              <w:t>4.34</w:t>
            </w:r>
          </w:p>
        </w:tc>
        <w:tc>
          <w:tcPr>
            <w:tcW w:w="1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00" w:type="dxa"/>
            <w:vAlign w:val="bottom"/>
            <w:vMerge w:val="continue"/>
          </w:tcPr>
          <w:p>
            <w:pPr>
              <w:spacing w:after="0"/>
              <w:rPr>
                <w:sz w:val="24"/>
                <w:szCs w:val="24"/>
                <w:color w:val="auto"/>
              </w:rPr>
            </w:pPr>
          </w:p>
        </w:tc>
        <w:tc>
          <w:tcPr>
            <w:tcW w:w="4840" w:type="dxa"/>
            <w:vAlign w:val="bottom"/>
            <w:gridSpan w:val="9"/>
            <w:vMerge w:val="restart"/>
          </w:tcPr>
          <w:p>
            <w:pPr>
              <w:spacing w:after="0"/>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Second Supplemental Indenture, dated as of December 7, 2018, among</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8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0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Clearway Energy Operating LLC, the guarantors named therein and</w:t>
              </w:r>
            </w:hyperlink>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222">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tcPr>
          <w:p>
            <w:pPr>
              <w:spacing w:after="0"/>
              <w:rPr>
                <w:sz w:val="12"/>
                <w:szCs w:val="12"/>
                <w:color w:val="auto"/>
              </w:rPr>
            </w:pPr>
          </w:p>
        </w:tc>
        <w:tc>
          <w:tcPr>
            <w:tcW w:w="220" w:type="dxa"/>
            <w:vAlign w:val="bottom"/>
            <w:gridSpan w:val="4"/>
          </w:tcPr>
          <w:p>
            <w:pPr>
              <w:spacing w:after="0"/>
              <w:rPr>
                <w:sz w:val="12"/>
                <w:szCs w:val="12"/>
                <w:color w:val="auto"/>
              </w:rPr>
            </w:pP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649"/>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4.35</w:t>
            </w:r>
          </w:p>
        </w:tc>
        <w:tc>
          <w:tcPr>
            <w:tcW w:w="4840" w:type="dxa"/>
            <w:vAlign w:val="bottom"/>
            <w:gridSpan w:val="9"/>
            <w:vMerge w:val="restart"/>
          </w:tcPr>
          <w:p>
            <w:pPr>
              <w:spacing w:after="0"/>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Eleventh Supplement Indenture, dated as of September 6, 2019, among</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8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Clearway Energy Operating LLC, the guarantors named therein and</w:t>
              </w:r>
            </w:hyperlink>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23">
              <w:r>
                <w:rPr>
                  <w:rFonts w:ascii="Times New Roman" w:cs="Times New Roman" w:eastAsia="Times New Roman" w:hAnsi="Times New Roman"/>
                  <w:sz w:val="16"/>
                  <w:szCs w:val="16"/>
                  <w:color w:val="0000FF"/>
                  <w:w w:val="99"/>
                </w:rPr>
                <w:t>Delaware Trust Company (as successor in interest to Law Debenture</w:t>
              </w:r>
            </w:hyperlink>
          </w:p>
        </w:tc>
        <w:tc>
          <w:tcPr>
            <w:tcW w:w="420" w:type="dxa"/>
            <w:vAlign w:val="bottom"/>
            <w:gridSpan w:val="5"/>
          </w:tcPr>
          <w:p>
            <w:pPr>
              <w:ind w:left="80"/>
              <w:spacing w:after="0" w:line="142" w:lineRule="exact"/>
              <w:rPr>
                <w:rFonts w:ascii="Times New Roman" w:cs="Times New Roman" w:eastAsia="Times New Roman" w:hAnsi="Times New Roman"/>
                <w:sz w:val="16"/>
                <w:szCs w:val="16"/>
                <w:color w:val="0000FF"/>
                <w:w w:val="94"/>
              </w:rPr>
            </w:pPr>
            <w:hyperlink r:id="rId223">
              <w:r>
                <w:rPr>
                  <w:rFonts w:ascii="Times New Roman" w:cs="Times New Roman" w:eastAsia="Times New Roman" w:hAnsi="Times New Roman"/>
                  <w:sz w:val="16"/>
                  <w:szCs w:val="16"/>
                  <w:color w:val="0000FF"/>
                  <w:w w:val="94"/>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Company of New York).</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December 12, 2018.</w:t>
      </w:r>
    </w:p>
    <w:p>
      <w:pPr>
        <w:spacing w:after="0" w:line="182"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December 12, 2018.</w:t>
      </w:r>
    </w:p>
    <w:p>
      <w:pPr>
        <w:spacing w:after="0" w:line="344"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December 12, 2018.</w:t>
      </w:r>
    </w:p>
    <w:p>
      <w:pPr>
        <w:spacing w:after="0" w:line="200" w:lineRule="exact"/>
        <w:rPr>
          <w:sz w:val="20"/>
          <w:szCs w:val="20"/>
          <w:color w:val="auto"/>
        </w:rPr>
      </w:pPr>
    </w:p>
    <w:p>
      <w:pPr>
        <w:spacing w:after="0" w:line="319"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September 12, 2019.</w:t>
      </w:r>
    </w:p>
    <w:p>
      <w:pPr>
        <w:spacing w:after="0" w:line="241" w:lineRule="exact"/>
        <w:rPr>
          <w:sz w:val="20"/>
          <w:szCs w:val="20"/>
          <w:color w:val="auto"/>
        </w:rPr>
      </w:pPr>
    </w:p>
    <w:p>
      <w:pPr>
        <w:sectPr>
          <w:pgSz w:w="11900" w:h="16838" w:orient="portrait"/>
          <w:cols w:equalWidth="0" w:num="2">
            <w:col w:w="5720" w:space="300"/>
            <w:col w:w="4099"/>
          </w:cols>
          <w:pgMar w:left="340" w:top="927" w:right="1440" w:bottom="1440" w:gutter="0" w:footer="0" w:header="0"/>
        </w:sectPr>
      </w:pPr>
    </w:p>
    <w:tbl>
      <w:tblPr>
        <w:tblLayout w:type="fixed"/>
        <w:tblInd w:w="0" w:type="dxa"/>
        <w:tblCellMar>
          <w:top w:w="0" w:type="dxa"/>
          <w:left w:w="0" w:type="dxa"/>
          <w:bottom w:w="0" w:type="dxa"/>
          <w:right w:w="0" w:type="dxa"/>
        </w:tblCellMar>
      </w:tblPr>
      <w:tr>
        <w:trPr>
          <w:trHeight w:val="184"/>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4.36</w:t>
            </w:r>
          </w:p>
        </w:tc>
        <w:tc>
          <w:tcPr>
            <w:tcW w:w="4960" w:type="dxa"/>
            <w:vAlign w:val="bottom"/>
            <w:gridSpan w:val="11"/>
          </w:tcPr>
          <w:p>
            <w:pPr>
              <w:spacing w:after="0"/>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Seventh Supplemental Indenture, dated as of September 6, 2019, among</w:t>
              </w:r>
            </w:hyperlink>
          </w:p>
        </w:tc>
      </w:tr>
      <w:tr>
        <w:trPr>
          <w:trHeight w:val="142"/>
        </w:trPr>
        <w:tc>
          <w:tcPr>
            <w:tcW w:w="900" w:type="dxa"/>
            <w:vAlign w:val="bottom"/>
          </w:tcPr>
          <w:p>
            <w:pPr>
              <w:spacing w:after="0"/>
              <w:rPr>
                <w:sz w:val="12"/>
                <w:szCs w:val="12"/>
                <w:color w:val="auto"/>
              </w:rPr>
            </w:pPr>
          </w:p>
        </w:tc>
        <w:tc>
          <w:tcPr>
            <w:tcW w:w="468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Clearway Energy Operating LLC, the guarantors named therein and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24">
              <w:r>
                <w:rPr>
                  <w:rFonts w:ascii="Times New Roman" w:cs="Times New Roman" w:eastAsia="Times New Roman" w:hAnsi="Times New Roman"/>
                  <w:sz w:val="16"/>
                  <w:szCs w:val="16"/>
                  <w:color w:val="0000FF"/>
                  <w:w w:val="99"/>
                </w:rPr>
                <w:t>Delaware Trust Company (as successor in interest to Law Debenture</w:t>
              </w:r>
            </w:hyperlink>
          </w:p>
        </w:tc>
        <w:tc>
          <w:tcPr>
            <w:tcW w:w="540" w:type="dxa"/>
            <w:vAlign w:val="bottom"/>
            <w:gridSpan w:val="7"/>
          </w:tcPr>
          <w:p>
            <w:pPr>
              <w:ind w:left="80"/>
              <w:spacing w:after="0" w:line="142"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Trust</w:t>
              </w:r>
            </w:hyperlink>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Company of New York).</w:t>
              </w:r>
            </w:hyperlink>
          </w:p>
        </w:tc>
        <w:tc>
          <w:tcPr>
            <w:tcW w:w="14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10"/>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4.37</w:t>
            </w:r>
          </w:p>
        </w:tc>
        <w:tc>
          <w:tcPr>
            <w:tcW w:w="4960" w:type="dxa"/>
            <w:vAlign w:val="bottom"/>
            <w:gridSpan w:val="11"/>
          </w:tcPr>
          <w:p>
            <w:pPr>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Third Supplemental Indenture, dated as of September 6, 2019, among</w:t>
              </w:r>
            </w:hyperlink>
          </w:p>
        </w:tc>
      </w:tr>
      <w:tr>
        <w:trPr>
          <w:trHeight w:val="142"/>
        </w:trPr>
        <w:tc>
          <w:tcPr>
            <w:tcW w:w="900" w:type="dxa"/>
            <w:vAlign w:val="bottom"/>
          </w:tcPr>
          <w:p>
            <w:pPr>
              <w:spacing w:after="0"/>
              <w:rPr>
                <w:sz w:val="12"/>
                <w:szCs w:val="12"/>
                <w:color w:val="auto"/>
              </w:rPr>
            </w:pPr>
          </w:p>
        </w:tc>
        <w:tc>
          <w:tcPr>
            <w:tcW w:w="452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Clearway Energy Operating LLC, the guarantors named therein and</w:t>
              </w:r>
            </w:hyperlink>
          </w:p>
        </w:tc>
        <w:tc>
          <w:tcPr>
            <w:tcW w:w="1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225">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tcPr>
          <w:p>
            <w:pPr>
              <w:spacing w:after="0"/>
              <w:rPr>
                <w:sz w:val="12"/>
                <w:szCs w:val="12"/>
                <w:color w:val="auto"/>
              </w:rPr>
            </w:pPr>
          </w:p>
        </w:tc>
        <w:tc>
          <w:tcPr>
            <w:tcW w:w="2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r>
      <w:tr>
        <w:trPr>
          <w:trHeight w:val="709"/>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4.38</w:t>
            </w:r>
          </w:p>
        </w:tc>
        <w:tc>
          <w:tcPr>
            <w:tcW w:w="4960" w:type="dxa"/>
            <w:vAlign w:val="bottom"/>
            <w:gridSpan w:val="11"/>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Twelfth Supplemental Indenture, dated as of November 21, 2019, among</w:t>
              </w:r>
            </w:hyperlink>
          </w:p>
        </w:tc>
      </w:tr>
      <w:tr>
        <w:trPr>
          <w:trHeight w:val="142"/>
        </w:trPr>
        <w:tc>
          <w:tcPr>
            <w:tcW w:w="900" w:type="dxa"/>
            <w:vAlign w:val="bottom"/>
          </w:tcPr>
          <w:p>
            <w:pPr>
              <w:spacing w:after="0"/>
              <w:rPr>
                <w:sz w:val="12"/>
                <w:szCs w:val="12"/>
                <w:color w:val="auto"/>
              </w:rPr>
            </w:pPr>
          </w:p>
        </w:tc>
        <w:tc>
          <w:tcPr>
            <w:tcW w:w="472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Clearway Energy Operating LLC, the guarantors named therein and</w:t>
              </w:r>
            </w:hyperlink>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26">
              <w:r>
                <w:rPr>
                  <w:rFonts w:ascii="Times New Roman" w:cs="Times New Roman" w:eastAsia="Times New Roman" w:hAnsi="Times New Roman"/>
                  <w:sz w:val="16"/>
                  <w:szCs w:val="16"/>
                  <w:color w:val="0000FF"/>
                  <w:w w:val="99"/>
                </w:rPr>
                <w:t>Delaware Trust Company (as successor in interest to Law Debenture</w:t>
              </w:r>
            </w:hyperlink>
          </w:p>
        </w:tc>
        <w:tc>
          <w:tcPr>
            <w:tcW w:w="540" w:type="dxa"/>
            <w:vAlign w:val="bottom"/>
            <w:gridSpan w:val="7"/>
          </w:tcPr>
          <w:p>
            <w:pPr>
              <w:ind w:left="80"/>
              <w:spacing w:after="0" w:line="142"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Trust</w:t>
              </w:r>
            </w:hyperlink>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Company of New York).</w:t>
              </w:r>
            </w:hyperlink>
          </w:p>
        </w:tc>
        <w:tc>
          <w:tcPr>
            <w:tcW w:w="14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09"/>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4.39</w:t>
            </w:r>
          </w:p>
        </w:tc>
        <w:tc>
          <w:tcPr>
            <w:tcW w:w="4960" w:type="dxa"/>
            <w:vAlign w:val="bottom"/>
            <w:gridSpan w:val="11"/>
          </w:tcPr>
          <w:p>
            <w:pPr>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Eighth Supplemental Indenture, dated as of November 21, 2019, among</w:t>
              </w:r>
            </w:hyperlink>
          </w:p>
        </w:tc>
      </w:tr>
      <w:tr>
        <w:trPr>
          <w:trHeight w:val="142"/>
        </w:trPr>
        <w:tc>
          <w:tcPr>
            <w:tcW w:w="900" w:type="dxa"/>
            <w:vAlign w:val="bottom"/>
          </w:tcPr>
          <w:p>
            <w:pPr>
              <w:spacing w:after="0"/>
              <w:rPr>
                <w:sz w:val="12"/>
                <w:szCs w:val="12"/>
                <w:color w:val="auto"/>
              </w:rPr>
            </w:pPr>
          </w:p>
        </w:tc>
        <w:tc>
          <w:tcPr>
            <w:tcW w:w="466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Clearway Energy Operating LLC, the guarantors named therein and</w:t>
              </w:r>
            </w:hyperlink>
          </w:p>
        </w:tc>
        <w:tc>
          <w:tcPr>
            <w:tcW w:w="80" w:type="dxa"/>
            <w:vAlign w:val="bottom"/>
            <w:gridSpan w:val="3"/>
          </w:tcPr>
          <w:p>
            <w:pPr>
              <w:spacing w:after="0"/>
              <w:rPr>
                <w:sz w:val="12"/>
                <w:szCs w:val="12"/>
                <w:color w:val="auto"/>
              </w:rPr>
            </w:pPr>
          </w:p>
        </w:tc>
        <w:tc>
          <w:tcPr>
            <w:tcW w:w="220" w:type="dxa"/>
            <w:vAlign w:val="bottom"/>
            <w:gridSpan w:val="2"/>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27">
              <w:r>
                <w:rPr>
                  <w:rFonts w:ascii="Times New Roman" w:cs="Times New Roman" w:eastAsia="Times New Roman" w:hAnsi="Times New Roman"/>
                  <w:sz w:val="16"/>
                  <w:szCs w:val="16"/>
                  <w:color w:val="0000FF"/>
                  <w:w w:val="99"/>
                </w:rPr>
                <w:t>Delaware Trust Company (as successor in interest to Law Debenture</w:t>
              </w:r>
            </w:hyperlink>
          </w:p>
        </w:tc>
        <w:tc>
          <w:tcPr>
            <w:tcW w:w="540" w:type="dxa"/>
            <w:vAlign w:val="bottom"/>
            <w:gridSpan w:val="7"/>
          </w:tcPr>
          <w:p>
            <w:pPr>
              <w:ind w:left="80"/>
              <w:spacing w:after="0" w:line="142"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Trust</w:t>
              </w:r>
            </w:hyperlink>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Company of New York).</w:t>
              </w:r>
            </w:hyperlink>
          </w:p>
        </w:tc>
        <w:tc>
          <w:tcPr>
            <w:tcW w:w="14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10"/>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4.40</w:t>
            </w:r>
          </w:p>
        </w:tc>
        <w:tc>
          <w:tcPr>
            <w:tcW w:w="4960" w:type="dxa"/>
            <w:vAlign w:val="bottom"/>
            <w:gridSpan w:val="11"/>
          </w:tcPr>
          <w:p>
            <w:pPr>
              <w:spacing w:after="0"/>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Fourth Supplemental Indenture, dated as of November 21, 2019, among</w:t>
              </w:r>
            </w:hyperlink>
          </w:p>
        </w:tc>
      </w:tr>
      <w:tr>
        <w:trPr>
          <w:trHeight w:val="142"/>
        </w:trPr>
        <w:tc>
          <w:tcPr>
            <w:tcW w:w="900" w:type="dxa"/>
            <w:vAlign w:val="bottom"/>
          </w:tcPr>
          <w:p>
            <w:pPr>
              <w:spacing w:after="0"/>
              <w:rPr>
                <w:sz w:val="12"/>
                <w:szCs w:val="12"/>
                <w:color w:val="auto"/>
              </w:rPr>
            </w:pPr>
          </w:p>
        </w:tc>
        <w:tc>
          <w:tcPr>
            <w:tcW w:w="466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Clearway Energy Operating LLC, the guarantors named therein and</w:t>
              </w:r>
            </w:hyperlink>
          </w:p>
        </w:tc>
        <w:tc>
          <w:tcPr>
            <w:tcW w:w="80" w:type="dxa"/>
            <w:vAlign w:val="bottom"/>
            <w:gridSpan w:val="3"/>
          </w:tcPr>
          <w:p>
            <w:pPr>
              <w:spacing w:after="0"/>
              <w:rPr>
                <w:sz w:val="12"/>
                <w:szCs w:val="12"/>
                <w:color w:val="auto"/>
              </w:rPr>
            </w:pPr>
          </w:p>
        </w:tc>
        <w:tc>
          <w:tcPr>
            <w:tcW w:w="220" w:type="dxa"/>
            <w:vAlign w:val="bottom"/>
            <w:gridSpan w:val="2"/>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228">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tcPr>
          <w:p>
            <w:pPr>
              <w:spacing w:after="0"/>
              <w:rPr>
                <w:sz w:val="12"/>
                <w:szCs w:val="12"/>
                <w:color w:val="auto"/>
              </w:rPr>
            </w:pPr>
          </w:p>
        </w:tc>
        <w:tc>
          <w:tcPr>
            <w:tcW w:w="340" w:type="dxa"/>
            <w:vAlign w:val="bottom"/>
            <w:gridSpan w:val="6"/>
          </w:tcPr>
          <w:p>
            <w:pPr>
              <w:spacing w:after="0"/>
              <w:rPr>
                <w:sz w:val="12"/>
                <w:szCs w:val="12"/>
                <w:color w:val="auto"/>
              </w:rPr>
            </w:pPr>
          </w:p>
        </w:tc>
        <w:tc>
          <w:tcPr>
            <w:tcW w:w="220" w:type="dxa"/>
            <w:vAlign w:val="bottom"/>
            <w:gridSpan w:val="2"/>
          </w:tcPr>
          <w:p>
            <w:pPr>
              <w:spacing w:after="0"/>
              <w:rPr>
                <w:sz w:val="12"/>
                <w:szCs w:val="12"/>
                <w:color w:val="auto"/>
              </w:rPr>
            </w:pPr>
          </w:p>
        </w:tc>
      </w:tr>
      <w:tr>
        <w:trPr>
          <w:trHeight w:val="709"/>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4.41</w:t>
            </w:r>
          </w:p>
        </w:tc>
        <w:tc>
          <w:tcPr>
            <w:tcW w:w="474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Indenture, dated December 11, 2019, among Clearway Energy Operating</w:t>
              </w:r>
            </w:hyperlink>
          </w:p>
        </w:tc>
        <w:tc>
          <w:tcPr>
            <w:tcW w:w="220" w:type="dxa"/>
            <w:vAlign w:val="bottom"/>
            <w:gridSpan w:val="2"/>
          </w:tcPr>
          <w:p>
            <w:pPr>
              <w:spacing w:after="0"/>
              <w:rPr>
                <w:sz w:val="24"/>
                <w:szCs w:val="24"/>
                <w:color w:val="auto"/>
              </w:rPr>
            </w:pPr>
          </w:p>
        </w:tc>
      </w:tr>
      <w:tr>
        <w:trPr>
          <w:trHeight w:val="204"/>
        </w:trPr>
        <w:tc>
          <w:tcPr>
            <w:tcW w:w="900" w:type="dxa"/>
            <w:vAlign w:val="bottom"/>
          </w:tcPr>
          <w:p>
            <w:pPr>
              <w:spacing w:after="0"/>
              <w:rPr>
                <w:sz w:val="17"/>
                <w:szCs w:val="17"/>
                <w:color w:val="auto"/>
              </w:rPr>
            </w:pPr>
          </w:p>
        </w:tc>
        <w:tc>
          <w:tcPr>
            <w:tcW w:w="4960" w:type="dxa"/>
            <w:vAlign w:val="bottom"/>
            <w:gridSpan w:val="11"/>
          </w:tcPr>
          <w:p>
            <w:pPr>
              <w:spacing w:after="0"/>
              <w:rPr>
                <w:rFonts w:ascii="Times New Roman" w:cs="Times New Roman" w:eastAsia="Times New Roman" w:hAnsi="Times New Roman"/>
                <w:sz w:val="16"/>
                <w:szCs w:val="16"/>
                <w:u w:val="single" w:color="auto"/>
                <w:color w:val="0000FF"/>
              </w:rPr>
            </w:pPr>
            <w:hyperlink r:id="rId229">
              <w:r>
                <w:rPr>
                  <w:rFonts w:ascii="Times New Roman" w:cs="Times New Roman" w:eastAsia="Times New Roman" w:hAnsi="Times New Roman"/>
                  <w:sz w:val="16"/>
                  <w:szCs w:val="16"/>
                  <w:u w:val="single" w:color="auto"/>
                  <w:color w:val="0000FF"/>
                </w:rPr>
                <w:t>LLC, the guarantors named therein and Delaware Trust Company, as trustee.</w:t>
              </w:r>
            </w:hyperlink>
          </w:p>
        </w:tc>
      </w:tr>
    </w:tbl>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September 12, 2019.</w:t>
      </w:r>
    </w:p>
    <w:p>
      <w:pPr>
        <w:spacing w:after="0" w:line="182"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September 12, 2019.</w:t>
      </w:r>
    </w:p>
    <w:p>
      <w:pPr>
        <w:spacing w:after="0" w:line="200" w:lineRule="exact"/>
        <w:rPr>
          <w:sz w:val="20"/>
          <w:szCs w:val="20"/>
          <w:color w:val="auto"/>
        </w:rPr>
      </w:pPr>
    </w:p>
    <w:p>
      <w:pPr>
        <w:spacing w:after="0" w:line="319"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November 22, 2019.</w:t>
      </w:r>
    </w:p>
    <w:p>
      <w:pPr>
        <w:spacing w:after="0" w:line="182"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November 22, 2019.</w:t>
      </w:r>
    </w:p>
    <w:p>
      <w:pPr>
        <w:spacing w:after="0" w:line="182"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November 22, 2019.</w:t>
      </w:r>
    </w:p>
    <w:p>
      <w:pPr>
        <w:spacing w:after="0" w:line="200" w:lineRule="exact"/>
        <w:rPr>
          <w:sz w:val="20"/>
          <w:szCs w:val="20"/>
          <w:color w:val="auto"/>
        </w:rPr>
      </w:pPr>
    </w:p>
    <w:p>
      <w:pPr>
        <w:spacing w:after="0" w:line="319"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December 12, 2019.</w:t>
      </w:r>
    </w:p>
    <w:p>
      <w:pPr>
        <w:spacing w:after="0" w:line="87" w:lineRule="exact"/>
        <w:rPr>
          <w:sz w:val="20"/>
          <w:szCs w:val="20"/>
          <w:color w:val="auto"/>
        </w:rPr>
      </w:pPr>
    </w:p>
    <w:p>
      <w:pPr>
        <w:sectPr>
          <w:pgSz w:w="11900" w:h="16838" w:orient="portrait"/>
          <w:cols w:equalWidth="0" w:num="2">
            <w:col w:w="5860" w:space="160"/>
            <w:col w:w="4099"/>
          </w:cols>
          <w:pgMar w:left="340" w:top="927" w:right="1440" w:bottom="1440" w:gutter="0" w:footer="0" w:header="0"/>
          <w:type w:val="continuous"/>
        </w:sectPr>
      </w:pPr>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4.42</w:t>
      </w:r>
      <w:r>
        <w:rPr>
          <w:sz w:val="20"/>
          <w:szCs w:val="20"/>
          <w:color w:val="auto"/>
        </w:rPr>
        <w:tab/>
      </w:r>
      <w:hyperlink r:id="rId229">
        <w:r>
          <w:rPr>
            <w:rFonts w:ascii="Times New Roman" w:cs="Times New Roman" w:eastAsia="Times New Roman" w:hAnsi="Times New Roman"/>
            <w:sz w:val="16"/>
            <w:szCs w:val="16"/>
            <w:u w:val="single" w:color="auto"/>
            <w:color w:val="0000FF"/>
          </w:rPr>
          <w:t>Form of 4.750% Senior Notes due 2028.</w:t>
        </w:r>
      </w:hyperlink>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December 12, 2019.</w:t>
      </w:r>
    </w:p>
    <w:p>
      <w:pPr>
        <w:spacing w:after="0" w:line="200" w:lineRule="exact"/>
        <w:rPr>
          <w:sz w:val="20"/>
          <w:szCs w:val="20"/>
          <w:color w:val="auto"/>
        </w:rPr>
      </w:pPr>
    </w:p>
    <w:p>
      <w:pPr>
        <w:sectPr>
          <w:pgSz w:w="11900" w:h="16838" w:orient="portrait"/>
          <w:cols w:equalWidth="0" w:num="2">
            <w:col w:w="5300" w:space="720"/>
            <w:col w:w="4099"/>
          </w:cols>
          <w:pgMar w:left="340" w:top="927" w:right="1440" w:bottom="1440" w:gutter="0" w:footer="0" w:header="0"/>
          <w:type w:val="continuous"/>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4.43</w:t>
            </w:r>
          </w:p>
        </w:tc>
        <w:tc>
          <w:tcPr>
            <w:tcW w:w="5020" w:type="dxa"/>
            <w:vAlign w:val="bottom"/>
            <w:gridSpan w:val="9"/>
          </w:tcPr>
          <w:p>
            <w:pPr>
              <w:spacing w:after="0"/>
              <w:rPr>
                <w:rFonts w:ascii="Times New Roman" w:cs="Times New Roman" w:eastAsia="Times New Roman" w:hAnsi="Times New Roman"/>
                <w:sz w:val="16"/>
                <w:szCs w:val="16"/>
                <w:u w:val="single" w:color="auto"/>
                <w:color w:val="0000FF"/>
              </w:rPr>
            </w:pPr>
            <w:hyperlink w:anchor="page157">
              <w:r>
                <w:rPr>
                  <w:rFonts w:ascii="Times New Roman" w:cs="Times New Roman" w:eastAsia="Times New Roman" w:hAnsi="Times New Roman"/>
                  <w:sz w:val="16"/>
                  <w:szCs w:val="16"/>
                  <w:u w:val="single" w:color="auto"/>
                  <w:color w:val="0000FF"/>
                </w:rPr>
                <w:t>Description of Securities.</w:t>
              </w:r>
            </w:hyperlink>
          </w:p>
        </w:tc>
      </w:tr>
      <w:tr>
        <w:trPr>
          <w:trHeight w:val="357"/>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4.44</w:t>
            </w:r>
          </w:p>
        </w:tc>
        <w:tc>
          <w:tcPr>
            <w:tcW w:w="5020" w:type="dxa"/>
            <w:vAlign w:val="bottom"/>
            <w:gridSpan w:val="9"/>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Ninth Supplemental Indenture, dated as of January 6, 2020, among Clearway</w:t>
              </w:r>
            </w:hyperlink>
          </w:p>
        </w:tc>
      </w:tr>
      <w:tr>
        <w:trPr>
          <w:trHeight w:val="142"/>
        </w:trPr>
        <w:tc>
          <w:tcPr>
            <w:tcW w:w="900" w:type="dxa"/>
            <w:vAlign w:val="bottom"/>
          </w:tcPr>
          <w:p>
            <w:pPr>
              <w:spacing w:after="0"/>
              <w:rPr>
                <w:sz w:val="12"/>
                <w:szCs w:val="12"/>
                <w:color w:val="auto"/>
              </w:rPr>
            </w:pPr>
          </w:p>
        </w:tc>
        <w:tc>
          <w:tcPr>
            <w:tcW w:w="48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Energy Operating LLC, the guarantors named therein and Delaware Trust</w:t>
              </w:r>
            </w:hyperlink>
          </w:p>
        </w:tc>
        <w:tc>
          <w:tcPr>
            <w:tcW w:w="20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5020" w:type="dxa"/>
            <w:vAlign w:val="bottom"/>
            <w:gridSpan w:val="9"/>
          </w:tcPr>
          <w:p>
            <w:pPr>
              <w:spacing w:after="0" w:line="142"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Company (as successor in interest to Law Debenture Trust Company of New</w:t>
              </w:r>
            </w:hyperlink>
          </w:p>
        </w:tc>
      </w:tr>
      <w:tr>
        <w:trPr>
          <w:trHeight w:val="142"/>
        </w:trPr>
        <w:tc>
          <w:tcPr>
            <w:tcW w:w="900" w:type="dxa"/>
            <w:vAlign w:val="bottom"/>
          </w:tcPr>
          <w:p>
            <w:pPr>
              <w:spacing w:after="0"/>
              <w:rPr>
                <w:sz w:val="12"/>
                <w:szCs w:val="12"/>
                <w:color w:val="auto"/>
              </w:rPr>
            </w:pPr>
          </w:p>
        </w:tc>
        <w:tc>
          <w:tcPr>
            <w:tcW w:w="498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York).</w:t>
              </w:r>
            </w:hyperlink>
          </w:p>
        </w:tc>
        <w:tc>
          <w:tcPr>
            <w:tcW w:w="40" w:type="dxa"/>
            <w:vAlign w:val="bottom"/>
            <w:gridSpan w:val="2"/>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4.45</w:t>
            </w:r>
          </w:p>
        </w:tc>
        <w:tc>
          <w:tcPr>
            <w:tcW w:w="5020" w:type="dxa"/>
            <w:vAlign w:val="bottom"/>
            <w:gridSpan w:val="9"/>
          </w:tcPr>
          <w:p>
            <w:pPr>
              <w:spacing w:after="0"/>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Fifth Supplemental Indenture, dated as of January 6, 2020, among Clearway</w:t>
              </w:r>
            </w:hyperlink>
          </w:p>
        </w:tc>
      </w:tr>
      <w:tr>
        <w:trPr>
          <w:trHeight w:val="142"/>
        </w:trPr>
        <w:tc>
          <w:tcPr>
            <w:tcW w:w="900" w:type="dxa"/>
            <w:vAlign w:val="bottom"/>
          </w:tcPr>
          <w:p>
            <w:pPr>
              <w:spacing w:after="0"/>
              <w:rPr>
                <w:sz w:val="12"/>
                <w:szCs w:val="12"/>
                <w:color w:val="auto"/>
              </w:rPr>
            </w:pPr>
          </w:p>
        </w:tc>
        <w:tc>
          <w:tcPr>
            <w:tcW w:w="494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Energy Operating LLC, the guarantors named therein and Delaware Trust</w:t>
              </w:r>
            </w:hyperlink>
          </w:p>
        </w:tc>
        <w:tc>
          <w:tcPr>
            <w:tcW w:w="80" w:type="dxa"/>
            <w:vAlign w:val="bottom"/>
            <w:gridSpan w:val="3"/>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6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6"/>
              </w:rPr>
            </w:pPr>
            <w:hyperlink r:id="rId231">
              <w:r>
                <w:rPr>
                  <w:rFonts w:ascii="Times New Roman" w:cs="Times New Roman" w:eastAsia="Times New Roman" w:hAnsi="Times New Roman"/>
                  <w:sz w:val="16"/>
                  <w:szCs w:val="16"/>
                  <w:color w:val="0000FF"/>
                  <w:w w:val="96"/>
                </w:rPr>
                <w:t>Company.</w:t>
              </w:r>
            </w:hyperlink>
          </w:p>
        </w:tc>
        <w:tc>
          <w:tcPr>
            <w:tcW w:w="4120" w:type="dxa"/>
            <w:vAlign w:val="bottom"/>
            <w:tcBorders>
              <w:top w:val="single" w:sz="8" w:color="0000FF"/>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4.46</w:t>
            </w:r>
          </w:p>
        </w:tc>
        <w:tc>
          <w:tcPr>
            <w:tcW w:w="5020" w:type="dxa"/>
            <w:vAlign w:val="bottom"/>
            <w:gridSpan w:val="9"/>
          </w:tcPr>
          <w:p>
            <w:pPr>
              <w:spacing w:after="0"/>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First Supplemental Indenture, dated as of January 6, 2020, among Clearway</w:t>
              </w:r>
            </w:hyperlink>
          </w:p>
        </w:tc>
      </w:tr>
      <w:tr>
        <w:trPr>
          <w:trHeight w:val="142"/>
        </w:trPr>
        <w:tc>
          <w:tcPr>
            <w:tcW w:w="900" w:type="dxa"/>
            <w:vAlign w:val="bottom"/>
          </w:tcPr>
          <w:p>
            <w:pPr>
              <w:spacing w:after="0"/>
              <w:rPr>
                <w:sz w:val="12"/>
                <w:szCs w:val="12"/>
                <w:color w:val="auto"/>
              </w:rPr>
            </w:pPr>
          </w:p>
        </w:tc>
        <w:tc>
          <w:tcPr>
            <w:tcW w:w="492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Energy Operating LLC, the guarantors named therein and Delaware Trust</w:t>
              </w:r>
            </w:hyperlink>
          </w:p>
        </w:tc>
        <w:tc>
          <w:tcPr>
            <w:tcW w:w="100" w:type="dxa"/>
            <w:vAlign w:val="bottom"/>
            <w:gridSpan w:val="4"/>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6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6"/>
              </w:rPr>
            </w:pPr>
            <w:hyperlink r:id="rId232">
              <w:r>
                <w:rPr>
                  <w:rFonts w:ascii="Times New Roman" w:cs="Times New Roman" w:eastAsia="Times New Roman" w:hAnsi="Times New Roman"/>
                  <w:sz w:val="16"/>
                  <w:szCs w:val="16"/>
                  <w:color w:val="0000FF"/>
                  <w:w w:val="96"/>
                </w:rPr>
                <w:t>Company.</w:t>
              </w:r>
            </w:hyperlink>
          </w:p>
        </w:tc>
        <w:tc>
          <w:tcPr>
            <w:tcW w:w="4120" w:type="dxa"/>
            <w:vAlign w:val="bottom"/>
            <w:tcBorders>
              <w:top w:val="single" w:sz="8" w:color="0000FF"/>
            </w:tcBorders>
          </w:tcPr>
          <w:p>
            <w:pPr>
              <w:spacing w:after="0"/>
              <w:rPr>
                <w:sz w:val="12"/>
                <w:szCs w:val="12"/>
                <w:color w:val="auto"/>
              </w:rPr>
            </w:pPr>
          </w:p>
        </w:tc>
        <w:tc>
          <w:tcPr>
            <w:tcW w:w="240" w:type="dxa"/>
            <w:vAlign w:val="bottom"/>
            <w:gridSpan w:val="6"/>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ind w:right="3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January 8, 2020.</w:t>
      </w:r>
    </w:p>
    <w:p>
      <w:pPr>
        <w:spacing w:after="0" w:line="168" w:lineRule="exact"/>
        <w:rPr>
          <w:sz w:val="20"/>
          <w:szCs w:val="20"/>
          <w:color w:val="auto"/>
        </w:rPr>
      </w:pPr>
    </w:p>
    <w:p>
      <w:pPr>
        <w:ind w:right="3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January 8, 2020.</w:t>
      </w:r>
    </w:p>
    <w:p>
      <w:pPr>
        <w:spacing w:after="0" w:line="6" w:lineRule="exact"/>
        <w:rPr>
          <w:sz w:val="20"/>
          <w:szCs w:val="20"/>
          <w:color w:val="auto"/>
        </w:rPr>
      </w:pPr>
    </w:p>
    <w:p>
      <w:pPr>
        <w:ind w:right="3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January 8, 2020.</w:t>
      </w:r>
    </w:p>
    <w:p>
      <w:pPr>
        <w:spacing w:after="0" w:line="200" w:lineRule="exact"/>
        <w:rPr>
          <w:sz w:val="20"/>
          <w:szCs w:val="20"/>
          <w:color w:val="auto"/>
        </w:rPr>
      </w:pPr>
    </w:p>
    <w:p>
      <w:pPr>
        <w:sectPr>
          <w:pgSz w:w="11900" w:h="16838" w:orient="portrait"/>
          <w:cols w:equalWidth="0" w:num="2">
            <w:col w:w="5900" w:space="120"/>
            <w:col w:w="4099"/>
          </w:cols>
          <w:pgMar w:left="340" w:top="927" w:right="1440"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27" w:right="1440" w:bottom="144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184"/>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4.47</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Tenth Supplemental Indenture, dated as of February 26,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2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Clearway Energy Operating LLC, the guarantors named therein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w w:val="99"/>
              </w:rPr>
            </w:pPr>
            <w:hyperlink r:id="rId234">
              <w:r>
                <w:rPr>
                  <w:rFonts w:ascii="Times New Roman" w:cs="Times New Roman" w:eastAsia="Times New Roman" w:hAnsi="Times New Roman"/>
                  <w:sz w:val="16"/>
                  <w:szCs w:val="16"/>
                  <w:color w:val="0000FF"/>
                  <w:w w:val="99"/>
                </w:rPr>
                <w:t>Delaware Trust Company (as successor in interest to Law Debenture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13"/>
          </w:tcPr>
          <w:p>
            <w:pPr>
              <w:ind w:left="40"/>
              <w:spacing w:after="0" w:line="142"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Company of New York).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4.48</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Sixth Supplemental Indenture, dated as of February 26,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6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Clearway Energy Operating LLC, the guarantors named therein and</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35">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4.49</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Second Supplemental Indenture, dated as of February 26,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2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Clearway Energy Operating LLC, the guarantors named therein and</w:t>
              </w:r>
            </w:hyperlink>
          </w:p>
        </w:tc>
        <w:tc>
          <w:tcPr>
            <w:tcW w:w="1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36">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4.50</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Eleventh Supplemental Indenture, dated as of July 17,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38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Clearway Energy Operating LLC, the guarantors named therein and</w:t>
              </w:r>
            </w:hyperlink>
          </w:p>
        </w:tc>
        <w:tc>
          <w:tcPr>
            <w:tcW w:w="60" w:type="dxa"/>
            <w:vAlign w:val="bottom"/>
            <w:gridSpan w:val="3"/>
          </w:tcPr>
          <w:p>
            <w:pPr>
              <w:spacing w:after="0"/>
              <w:rPr>
                <w:sz w:val="12"/>
                <w:szCs w:val="12"/>
                <w:color w:val="auto"/>
              </w:rPr>
            </w:pPr>
          </w:p>
        </w:tc>
        <w:tc>
          <w:tcPr>
            <w:tcW w:w="580" w:type="dxa"/>
            <w:vAlign w:val="bottom"/>
            <w:gridSpan w:val="14"/>
            <w:vMerge w:val="restart"/>
          </w:tcPr>
          <w:p>
            <w:pPr>
              <w:ind w:left="60"/>
              <w:spacing w:after="0"/>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w w:val="99"/>
              </w:rPr>
            </w:pPr>
            <w:hyperlink r:id="rId237">
              <w:r>
                <w:rPr>
                  <w:rFonts w:ascii="Times New Roman" w:cs="Times New Roman" w:eastAsia="Times New Roman" w:hAnsi="Times New Roman"/>
                  <w:sz w:val="16"/>
                  <w:szCs w:val="16"/>
                  <w:color w:val="0000FF"/>
                  <w:w w:val="99"/>
                </w:rPr>
                <w:t>Delaware Trust Company (as successor in interest to Law Debenture</w:t>
              </w:r>
            </w:hyperlink>
          </w:p>
        </w:tc>
        <w:tc>
          <w:tcPr>
            <w:tcW w:w="20" w:type="dxa"/>
            <w:vAlign w:val="bottom"/>
          </w:tcPr>
          <w:p>
            <w:pPr>
              <w:spacing w:after="0"/>
              <w:rPr>
                <w:sz w:val="12"/>
                <w:szCs w:val="12"/>
                <w:color w:val="auto"/>
              </w:rPr>
            </w:pPr>
          </w:p>
        </w:tc>
        <w:tc>
          <w:tcPr>
            <w:tcW w:w="58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Company of New York).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4.51</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Seventh Supplemental Indenture, dated as of July 17, 2020, among Clearway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Energy Operating LLC, the guarantors named therein and Delaware Trust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8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Company.</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4.52</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Third Supplemental Indenture, dated as of July 17, 2020, among Clearway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6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Energy Operating LLC, the guarantors named therein and Delaware Trust</w:t>
              </w:r>
            </w:hyperlink>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6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6"/>
              </w:rPr>
            </w:pPr>
            <w:hyperlink r:id="rId239">
              <w:r>
                <w:rPr>
                  <w:rFonts w:ascii="Times New Roman" w:cs="Times New Roman" w:eastAsia="Times New Roman" w:hAnsi="Times New Roman"/>
                  <w:sz w:val="16"/>
                  <w:szCs w:val="16"/>
                  <w:color w:val="0000FF"/>
                  <w:w w:val="96"/>
                </w:rPr>
                <w:t>Company.</w:t>
              </w:r>
            </w:hyperlink>
          </w:p>
        </w:tc>
        <w:tc>
          <w:tcPr>
            <w:tcW w:w="4120" w:type="dxa"/>
            <w:vAlign w:val="bottom"/>
            <w:tcBorders>
              <w:top w:val="single" w:sz="8" w:color="0000FF"/>
            </w:tcBorders>
            <w:gridSpan w:val="14"/>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4.53</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Twelfth Supplemental Indenture, dated as of August 17,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4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Clearway Energy Operating LLC, the guarantors named therein and</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w w:val="99"/>
              </w:rPr>
            </w:pPr>
            <w:hyperlink r:id="rId240">
              <w:r>
                <w:rPr>
                  <w:rFonts w:ascii="Times New Roman" w:cs="Times New Roman" w:eastAsia="Times New Roman" w:hAnsi="Times New Roman"/>
                  <w:sz w:val="16"/>
                  <w:szCs w:val="16"/>
                  <w:color w:val="0000FF"/>
                  <w:w w:val="99"/>
                </w:rPr>
                <w:t>Delaware Trust Company (as successor in interest to Law Debenture</w:t>
              </w:r>
            </w:hyperlink>
          </w:p>
        </w:tc>
        <w:tc>
          <w:tcPr>
            <w:tcW w:w="20" w:type="dxa"/>
            <w:vAlign w:val="bottom"/>
          </w:tcPr>
          <w:p>
            <w:pPr>
              <w:spacing w:after="0"/>
              <w:rPr>
                <w:sz w:val="12"/>
                <w:szCs w:val="12"/>
                <w:color w:val="auto"/>
              </w:rPr>
            </w:pPr>
          </w:p>
        </w:tc>
        <w:tc>
          <w:tcPr>
            <w:tcW w:w="580" w:type="dxa"/>
            <w:vAlign w:val="bottom"/>
            <w:gridSpan w:val="14"/>
          </w:tcPr>
          <w:p>
            <w:pPr>
              <w:ind w:left="60"/>
              <w:spacing w:after="0" w:line="14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Company of New York).</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4.54</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Eighth Supplemental Indenture, dated as of August 17,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4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Clearway Energy Operating LLC, the guarantors named therein and</w:t>
              </w:r>
            </w:hyperlink>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41">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4.55</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Fourth Supplemental Indenture, dated as of August 17,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4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Clearway Energy Operating LLC, the guarantors named therein and</w:t>
              </w:r>
            </w:hyperlink>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42">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4.56</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Thirteenth Supplemental Indenture, dated as of November 18,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0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Clearway Energy Operating LLC, the guarantors named therein and</w:t>
              </w:r>
            </w:hyperlink>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w w:val="99"/>
              </w:rPr>
            </w:pPr>
            <w:hyperlink r:id="rId243">
              <w:r>
                <w:rPr>
                  <w:rFonts w:ascii="Times New Roman" w:cs="Times New Roman" w:eastAsia="Times New Roman" w:hAnsi="Times New Roman"/>
                  <w:sz w:val="16"/>
                  <w:szCs w:val="16"/>
                  <w:color w:val="0000FF"/>
                  <w:w w:val="99"/>
                </w:rPr>
                <w:t>Delaware Trust Company (as successor in interest to Law Debenture</w:t>
              </w:r>
            </w:hyperlink>
          </w:p>
        </w:tc>
        <w:tc>
          <w:tcPr>
            <w:tcW w:w="600" w:type="dxa"/>
            <w:vAlign w:val="bottom"/>
            <w:gridSpan w:val="15"/>
          </w:tcPr>
          <w:p>
            <w:pPr>
              <w:ind w:left="80"/>
              <w:spacing w:after="0" w:line="14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Company of New York).</w:t>
              </w:r>
            </w:hyperlink>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4.57</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Ninth Supplemental Indenture, dated as of November 18,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0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Clearway Energy Operating LLC, the guarantors named therein and</w:t>
              </w:r>
            </w:hyperlink>
          </w:p>
        </w:tc>
        <w:tc>
          <w:tcPr>
            <w:tcW w:w="240" w:type="dxa"/>
            <w:vAlign w:val="bottom"/>
            <w:gridSpan w:val="4"/>
          </w:tcPr>
          <w:p>
            <w:pPr>
              <w:spacing w:after="0"/>
              <w:rPr>
                <w:sz w:val="12"/>
                <w:szCs w:val="12"/>
                <w:color w:val="auto"/>
              </w:rPr>
            </w:pPr>
          </w:p>
        </w:tc>
        <w:tc>
          <w:tcPr>
            <w:tcW w:w="1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44">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80" w:type="dxa"/>
            <w:vAlign w:val="bottom"/>
            <w:gridSpan w:val="5"/>
          </w:tcPr>
          <w:p>
            <w:pPr>
              <w:spacing w:after="0"/>
              <w:rPr>
                <w:sz w:val="12"/>
                <w:szCs w:val="12"/>
                <w:color w:val="auto"/>
              </w:rPr>
            </w:pPr>
          </w:p>
        </w:tc>
        <w:tc>
          <w:tcPr>
            <w:tcW w:w="1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4.58</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Fifth Supplemental Indenture, dated as of November 18,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6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Clearway Energy Operating LLC, the guarantors named therein and</w:t>
              </w:r>
            </w:hyperlink>
          </w:p>
        </w:tc>
        <w:tc>
          <w:tcPr>
            <w:tcW w:w="280" w:type="dxa"/>
            <w:vAlign w:val="bottom"/>
            <w:gridSpan w:val="5"/>
          </w:tcPr>
          <w:p>
            <w:pPr>
              <w:spacing w:after="0"/>
              <w:rPr>
                <w:sz w:val="12"/>
                <w:szCs w:val="12"/>
                <w:color w:val="auto"/>
              </w:rPr>
            </w:pPr>
          </w:p>
        </w:tc>
        <w:tc>
          <w:tcPr>
            <w:tcW w:w="1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45">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340" w:type="dxa"/>
            <w:vAlign w:val="bottom"/>
            <w:gridSpan w:val="8"/>
          </w:tcPr>
          <w:p>
            <w:pPr>
              <w:spacing w:after="0"/>
              <w:rPr>
                <w:sz w:val="12"/>
                <w:szCs w:val="12"/>
                <w:color w:val="auto"/>
              </w:rPr>
            </w:pPr>
          </w:p>
        </w:tc>
        <w:tc>
          <w:tcPr>
            <w:tcW w:w="1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4.59</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Fourteenth Supplemental Indenture, dated as of December 1,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Clearway Energy Operating LLC, the guarantors named therein and</w:t>
              </w:r>
            </w:hyperlink>
          </w:p>
        </w:tc>
        <w:tc>
          <w:tcPr>
            <w:tcW w:w="1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w w:val="99"/>
              </w:rPr>
            </w:pPr>
            <w:hyperlink r:id="rId246">
              <w:r>
                <w:rPr>
                  <w:rFonts w:ascii="Times New Roman" w:cs="Times New Roman" w:eastAsia="Times New Roman" w:hAnsi="Times New Roman"/>
                  <w:sz w:val="16"/>
                  <w:szCs w:val="16"/>
                  <w:color w:val="0000FF"/>
                  <w:w w:val="99"/>
                </w:rPr>
                <w:t>Delaware Trust Company (as successor in interest to Law Debenture</w:t>
              </w:r>
            </w:hyperlink>
          </w:p>
        </w:tc>
        <w:tc>
          <w:tcPr>
            <w:tcW w:w="600" w:type="dxa"/>
            <w:vAlign w:val="bottom"/>
            <w:gridSpan w:val="15"/>
          </w:tcPr>
          <w:p>
            <w:pPr>
              <w:ind w:left="80"/>
              <w:spacing w:after="0" w:line="142" w:lineRule="exact"/>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Company of New York).</w:t>
              </w:r>
            </w:hyperlink>
          </w:p>
        </w:tc>
        <w:tc>
          <w:tcPr>
            <w:tcW w:w="2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2"/>
              </w:rPr>
              <w:t>4.60</w:t>
            </w:r>
          </w:p>
        </w:tc>
        <w:tc>
          <w:tcPr>
            <w:tcW w:w="5020" w:type="dxa"/>
            <w:vAlign w:val="bottom"/>
            <w:gridSpan w:val="22"/>
          </w:tcPr>
          <w:p>
            <w:pPr>
              <w:spacing w:after="0"/>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Tenth Supplemental Indenture, dated as of December 1,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0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Clearway Energy Operating LLC, the guarantors named therein and</w:t>
              </w:r>
            </w:hyperlink>
          </w:p>
        </w:tc>
        <w:tc>
          <w:tcPr>
            <w:tcW w:w="52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247">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2"/>
          </w:tcPr>
          <w:p>
            <w:pPr>
              <w:spacing w:after="0"/>
              <w:rPr>
                <w:sz w:val="12"/>
                <w:szCs w:val="12"/>
                <w:color w:val="auto"/>
              </w:rPr>
            </w:pPr>
          </w:p>
        </w:tc>
        <w:tc>
          <w:tcPr>
            <w:tcW w:w="62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March 3, 2020.</w:t>
      </w:r>
    </w:p>
    <w:p>
      <w:pPr>
        <w:spacing w:after="0" w:line="168" w:lineRule="exact"/>
        <w:rPr>
          <w:sz w:val="20"/>
          <w:szCs w:val="20"/>
          <w:color w:val="auto"/>
        </w:rPr>
      </w:pPr>
    </w:p>
    <w:p>
      <w:pPr>
        <w:ind w:right="4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March 3, 2020.</w:t>
      </w:r>
    </w:p>
    <w:p>
      <w:pPr>
        <w:spacing w:after="0" w:line="6" w:lineRule="exact"/>
        <w:rPr>
          <w:sz w:val="20"/>
          <w:szCs w:val="20"/>
          <w:color w:val="auto"/>
        </w:rPr>
      </w:pPr>
    </w:p>
    <w:p>
      <w:pPr>
        <w:ind w:right="4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March 3, 2020.</w:t>
      </w:r>
    </w:p>
    <w:p>
      <w:pPr>
        <w:spacing w:after="0" w:line="6" w:lineRule="exact"/>
        <w:rPr>
          <w:sz w:val="20"/>
          <w:szCs w:val="20"/>
          <w:color w:val="auto"/>
        </w:rPr>
      </w:pPr>
    </w:p>
    <w:p>
      <w:pPr>
        <w:ind w:right="3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July 21, 2020.</w:t>
      </w:r>
    </w:p>
    <w:p>
      <w:pPr>
        <w:spacing w:after="0" w:line="168" w:lineRule="exact"/>
        <w:rPr>
          <w:sz w:val="20"/>
          <w:szCs w:val="20"/>
          <w:color w:val="auto"/>
        </w:rPr>
      </w:pPr>
    </w:p>
    <w:p>
      <w:pPr>
        <w:ind w:right="3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July 21, 2020.</w:t>
      </w:r>
    </w:p>
    <w:p>
      <w:pPr>
        <w:spacing w:after="0" w:line="6" w:lineRule="exact"/>
        <w:rPr>
          <w:sz w:val="20"/>
          <w:szCs w:val="20"/>
          <w:color w:val="auto"/>
        </w:rPr>
      </w:pPr>
    </w:p>
    <w:p>
      <w:pPr>
        <w:ind w:right="3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July 21, 2020.</w:t>
      </w:r>
    </w:p>
    <w:p>
      <w:pPr>
        <w:spacing w:after="0" w:line="6" w:lineRule="exact"/>
        <w:rPr>
          <w:sz w:val="20"/>
          <w:szCs w:val="20"/>
          <w:color w:val="auto"/>
        </w:rPr>
      </w:pPr>
    </w:p>
    <w:p>
      <w:pPr>
        <w:ind w:right="41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August 20, 2020.</w:t>
      </w:r>
    </w:p>
    <w:p>
      <w:pPr>
        <w:spacing w:after="0" w:line="168" w:lineRule="exact"/>
        <w:rPr>
          <w:sz w:val="20"/>
          <w:szCs w:val="20"/>
          <w:color w:val="auto"/>
        </w:rPr>
      </w:pPr>
    </w:p>
    <w:p>
      <w:pPr>
        <w:ind w:right="41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August 20, 2020.</w:t>
      </w:r>
    </w:p>
    <w:p>
      <w:pPr>
        <w:spacing w:after="0" w:line="6" w:lineRule="exact"/>
        <w:rPr>
          <w:sz w:val="20"/>
          <w:szCs w:val="20"/>
          <w:color w:val="auto"/>
        </w:rPr>
      </w:pPr>
    </w:p>
    <w:p>
      <w:pPr>
        <w:ind w:right="41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August 20, 2020.</w:t>
      </w:r>
    </w:p>
    <w:p>
      <w:pPr>
        <w:spacing w:after="0" w:line="6"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November 19, 2020.</w:t>
      </w:r>
    </w:p>
    <w:p>
      <w:pPr>
        <w:spacing w:after="0" w:line="168"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November 19, 2020.</w:t>
      </w:r>
    </w:p>
    <w:p>
      <w:pPr>
        <w:spacing w:after="0" w:line="6"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November 19, 2020.</w:t>
      </w:r>
    </w:p>
    <w:p>
      <w:pPr>
        <w:spacing w:after="0" w:line="6"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December 4, 2020.</w:t>
      </w:r>
    </w:p>
    <w:p>
      <w:pPr>
        <w:spacing w:after="0" w:line="168"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December 4, 2020.</w:t>
      </w:r>
    </w:p>
    <w:p>
      <w:pPr>
        <w:spacing w:after="0" w:line="200" w:lineRule="exact"/>
        <w:rPr>
          <w:sz w:val="20"/>
          <w:szCs w:val="20"/>
          <w:color w:val="auto"/>
        </w:rPr>
      </w:pPr>
    </w:p>
    <w:p>
      <w:pPr>
        <w:sectPr>
          <w:pgSz w:w="11900" w:h="16838" w:orient="portrait"/>
          <w:cols w:equalWidth="0" w:num="2">
            <w:col w:w="5900" w:space="120"/>
            <w:col w:w="4099"/>
          </w:cols>
          <w:pgMar w:left="340" w:top="92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27" w:right="1440"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4.61</w:t>
            </w:r>
          </w:p>
        </w:tc>
        <w:tc>
          <w:tcPr>
            <w:tcW w:w="4980" w:type="dxa"/>
            <w:vAlign w:val="bottom"/>
            <w:gridSpan w:val="34"/>
          </w:tcPr>
          <w:p>
            <w:pPr>
              <w:spacing w:after="0"/>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color w:val="0000FF"/>
                </w:rPr>
                <w:t>Sixth Supplemental Indenture, dated as of December 1,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6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color w:val="0000FF"/>
                </w:rPr>
                <w:t>Clearway Energy Operating LLC, the guarantors named therein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249">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4.62</w:t>
            </w:r>
          </w:p>
        </w:tc>
        <w:tc>
          <w:tcPr>
            <w:tcW w:w="4980" w:type="dxa"/>
            <w:vAlign w:val="bottom"/>
            <w:gridSpan w:val="34"/>
          </w:tcPr>
          <w:p>
            <w:pPr>
              <w:spacing w:after="0"/>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Fifteenth Supplemental Indenture, dated as of December 23,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Clearway Energy Operating LLC, the guarantors named therein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w w:val="99"/>
              </w:rPr>
            </w:pPr>
            <w:hyperlink r:id="rId250">
              <w:r>
                <w:rPr>
                  <w:rFonts w:ascii="Times New Roman" w:cs="Times New Roman" w:eastAsia="Times New Roman" w:hAnsi="Times New Roman"/>
                  <w:sz w:val="16"/>
                  <w:szCs w:val="16"/>
                  <w:color w:val="0000FF"/>
                  <w:w w:val="99"/>
                </w:rPr>
                <w:t>Delaware Trust Company (as successor in interest to Law Debenture</w:t>
              </w:r>
            </w:hyperlink>
          </w:p>
        </w:tc>
        <w:tc>
          <w:tcPr>
            <w:tcW w:w="60" w:type="dxa"/>
            <w:vAlign w:val="bottom"/>
            <w:gridSpan w:val="2"/>
          </w:tcPr>
          <w:p>
            <w:pPr>
              <w:spacing w:after="0"/>
              <w:rPr>
                <w:sz w:val="12"/>
                <w:szCs w:val="12"/>
                <w:color w:val="auto"/>
              </w:rPr>
            </w:pPr>
          </w:p>
        </w:tc>
        <w:tc>
          <w:tcPr>
            <w:tcW w:w="500" w:type="dxa"/>
            <w:vAlign w:val="bottom"/>
            <w:gridSpan w:val="20"/>
          </w:tcPr>
          <w:p>
            <w:pPr>
              <w:ind w:left="20"/>
              <w:spacing w:after="0" w:line="142" w:lineRule="exact"/>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Company of New York).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4.63</w:t>
            </w:r>
          </w:p>
        </w:tc>
        <w:tc>
          <w:tcPr>
            <w:tcW w:w="4980" w:type="dxa"/>
            <w:vAlign w:val="bottom"/>
            <w:gridSpan w:val="34"/>
          </w:tcPr>
          <w:p>
            <w:pPr>
              <w:spacing w:after="0"/>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Eleventh Supplemental Indenture, dated as of December 23,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8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Clearway Energy Operating LLC, the guarantors named therein and</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251">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6"/>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4.64</w:t>
            </w:r>
          </w:p>
        </w:tc>
        <w:tc>
          <w:tcPr>
            <w:tcW w:w="4980" w:type="dxa"/>
            <w:vAlign w:val="bottom"/>
            <w:gridSpan w:val="34"/>
          </w:tcPr>
          <w:p>
            <w:pPr>
              <w:spacing w:after="0"/>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Seventh Supplemental Indenture, dated as of December 23, 2020,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2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Clearway Energy Operating LLC, the guarantors named therein and</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252">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6"/>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4.65</w:t>
            </w:r>
          </w:p>
        </w:tc>
        <w:tc>
          <w:tcPr>
            <w:tcW w:w="4980" w:type="dxa"/>
            <w:vAlign w:val="bottom"/>
            <w:gridSpan w:val="34"/>
          </w:tcPr>
          <w:p>
            <w:pPr>
              <w:spacing w:after="0"/>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Sixteenth Supplemental Indenture, dated as of February 3, 2021,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Clearway Energy Operating LLC, the guarantors named therein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2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w w:val="99"/>
              </w:rPr>
            </w:pPr>
            <w:hyperlink r:id="rId253">
              <w:r>
                <w:rPr>
                  <w:rFonts w:ascii="Times New Roman" w:cs="Times New Roman" w:eastAsia="Times New Roman" w:hAnsi="Times New Roman"/>
                  <w:sz w:val="16"/>
                  <w:szCs w:val="16"/>
                  <w:color w:val="0000FF"/>
                  <w:w w:val="99"/>
                </w:rPr>
                <w:t>Delaware Trust Company (as successor in interest to Law Debenture</w:t>
              </w:r>
            </w:hyperlink>
          </w:p>
        </w:tc>
        <w:tc>
          <w:tcPr>
            <w:tcW w:w="60" w:type="dxa"/>
            <w:vAlign w:val="bottom"/>
            <w:gridSpan w:val="2"/>
          </w:tcPr>
          <w:p>
            <w:pPr>
              <w:spacing w:after="0"/>
              <w:rPr>
                <w:sz w:val="12"/>
                <w:szCs w:val="12"/>
                <w:color w:val="auto"/>
              </w:rPr>
            </w:pPr>
          </w:p>
        </w:tc>
        <w:tc>
          <w:tcPr>
            <w:tcW w:w="500" w:type="dxa"/>
            <w:vAlign w:val="bottom"/>
            <w:gridSpan w:val="20"/>
          </w:tcPr>
          <w:p>
            <w:pPr>
              <w:ind w:left="20"/>
              <w:spacing w:after="0" w:line="142" w:lineRule="exact"/>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Trust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Company of New York).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4.66</w:t>
            </w:r>
          </w:p>
        </w:tc>
        <w:tc>
          <w:tcPr>
            <w:tcW w:w="4980" w:type="dxa"/>
            <w:vAlign w:val="bottom"/>
            <w:gridSpan w:val="34"/>
          </w:tcPr>
          <w:p>
            <w:pPr>
              <w:spacing w:after="0"/>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Twelfth Supplemental Indenture, dated as of February 3, 2021,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Clearway Energy Operating LLC, the guarantors named therein and</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254">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6"/>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4.67</w:t>
            </w:r>
          </w:p>
        </w:tc>
        <w:tc>
          <w:tcPr>
            <w:tcW w:w="4980" w:type="dxa"/>
            <w:vAlign w:val="bottom"/>
            <w:gridSpan w:val="34"/>
          </w:tcPr>
          <w:p>
            <w:pPr>
              <w:spacing w:after="0"/>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Eighth Supplemental Indenture, dated as of February 3, 2021, among</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8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Clearway Energy Operating LLC, the guarantors named therein and</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255">
              <w:r>
                <w:rPr>
                  <w:rFonts w:ascii="Times New Roman" w:cs="Times New Roman" w:eastAsia="Times New Roman" w:hAnsi="Times New Roman"/>
                  <w:sz w:val="16"/>
                  <w:szCs w:val="16"/>
                  <w:color w:val="0000FF"/>
                  <w:w w:val="99"/>
                </w:rPr>
                <w:t>Delaware Trust Company.</w:t>
              </w:r>
            </w:hyperlink>
          </w:p>
        </w:tc>
        <w:tc>
          <w:tcPr>
            <w:tcW w:w="2700" w:type="dxa"/>
            <w:vAlign w:val="bottom"/>
            <w:tcBorders>
              <w:top w:val="single" w:sz="8" w:color="0000FF"/>
            </w:tcBorders>
            <w:gridSpan w:val="6"/>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4720" w:type="dxa"/>
            <w:vAlign w:val="bottom"/>
            <w:gridSpan w:val="23"/>
            <w:vMerge w:val="restart"/>
          </w:tcPr>
          <w:p>
            <w:pPr>
              <w:spacing w:after="0"/>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Master Services Agreement, dated as of August 31, 2018, by and among</w:t>
              </w:r>
            </w:hyperlink>
          </w:p>
        </w:tc>
        <w:tc>
          <w:tcPr>
            <w:tcW w:w="260" w:type="dxa"/>
            <w:vAlign w:val="bottom"/>
            <w:gridSpan w:val="11"/>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900" w:type="dxa"/>
            <w:vAlign w:val="bottom"/>
          </w:tcPr>
          <w:p>
            <w:pPr>
              <w:spacing w:after="0"/>
              <w:rPr>
                <w:sz w:val="5"/>
                <w:szCs w:val="5"/>
                <w:color w:val="auto"/>
              </w:rPr>
            </w:pPr>
          </w:p>
        </w:tc>
        <w:tc>
          <w:tcPr>
            <w:tcW w:w="4720" w:type="dxa"/>
            <w:vAlign w:val="bottom"/>
            <w:tcBorders>
              <w:bottom w:val="single" w:sz="8" w:color="0000FF"/>
            </w:tcBorders>
            <w:gridSpan w:val="23"/>
            <w:vMerge w:val="continue"/>
          </w:tcPr>
          <w:p>
            <w:pPr>
              <w:spacing w:after="0"/>
              <w:rPr>
                <w:sz w:val="5"/>
                <w:szCs w:val="5"/>
                <w:color w:val="auto"/>
              </w:rPr>
            </w:pPr>
          </w:p>
        </w:tc>
        <w:tc>
          <w:tcPr>
            <w:tcW w:w="2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gridSpan w:val="34"/>
          </w:tcPr>
          <w:p>
            <w:pPr>
              <w:spacing w:after="0" w:line="142" w:lineRule="exact"/>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NRG Yield, Inc., NRG Yield LLC, NRG Yield Operating LLC and Zephyr</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6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Renewables LLC.</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00" w:type="dxa"/>
            <w:vAlign w:val="bottom"/>
            <w:vMerge w:val="continue"/>
          </w:tcPr>
          <w:p>
            <w:pPr>
              <w:spacing w:after="0"/>
              <w:rPr>
                <w:sz w:val="24"/>
                <w:szCs w:val="24"/>
                <w:color w:val="auto"/>
              </w:rPr>
            </w:pPr>
          </w:p>
        </w:tc>
        <w:tc>
          <w:tcPr>
            <w:tcW w:w="4980" w:type="dxa"/>
            <w:vAlign w:val="bottom"/>
            <w:gridSpan w:val="34"/>
            <w:vMerge w:val="restart"/>
          </w:tcPr>
          <w:p>
            <w:pPr>
              <w:spacing w:after="0"/>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Master Services Agreement, dated as of August 31, 2018, by and among</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98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Zephyr Renewables LLC, NRG Yield, Inc., NRG Yield LLC, and NRG</w:t>
              </w:r>
            </w:hyperlink>
          </w:p>
        </w:tc>
        <w:tc>
          <w:tcPr>
            <w:tcW w:w="2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4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Yield Operating LLC.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10.3.1</w:t>
            </w: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00" w:type="dxa"/>
            <w:vAlign w:val="bottom"/>
            <w:vMerge w:val="continue"/>
          </w:tcPr>
          <w:p>
            <w:pPr>
              <w:spacing w:after="0"/>
              <w:rPr>
                <w:sz w:val="24"/>
                <w:szCs w:val="24"/>
                <w:color w:val="auto"/>
              </w:rPr>
            </w:pPr>
          </w:p>
        </w:tc>
        <w:tc>
          <w:tcPr>
            <w:tcW w:w="4980" w:type="dxa"/>
            <w:vAlign w:val="bottom"/>
            <w:gridSpan w:val="34"/>
            <w:vMerge w:val="restart"/>
          </w:tcPr>
          <w:p>
            <w:pPr>
              <w:spacing w:after="0"/>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Right of First Offer Agreement, dated as of August 31, 2018, by and among</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98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4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NRG Yield, Inc., Zephyr Renewables LLC and solely for purposes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Section 2.4, GIP III Zephyr Acquisition Partners, L.P.</w:t>
              </w:r>
            </w:hyperlink>
          </w:p>
        </w:tc>
        <w:tc>
          <w:tcPr>
            <w:tcW w:w="102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470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First Amendment to Right of First Offer Agreement, dated February 14,</w:t>
              </w:r>
            </w:hyperlink>
          </w:p>
        </w:tc>
        <w:tc>
          <w:tcPr>
            <w:tcW w:w="2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gridSpan w:val="34"/>
          </w:tcPr>
          <w:p>
            <w:pPr>
              <w:spacing w:after="0" w:line="142"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2019, by and between Clearway Energy Group LLC and Clearway Energy,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8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Inc.</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10.3.3</w:t>
            </w:r>
          </w:p>
        </w:tc>
        <w:tc>
          <w:tcPr>
            <w:tcW w:w="466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Second Amendment to Right of First Offer Agreement, dated August 1,</w:t>
              </w:r>
            </w:hyperlink>
          </w:p>
        </w:tc>
        <w:tc>
          <w:tcPr>
            <w:tcW w:w="3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gridSpan w:val="34"/>
          </w:tcPr>
          <w:p>
            <w:pPr>
              <w:spacing w:after="0" w:line="142"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2019, by and between Clearway Energy Group LLC and Clearway Energy,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8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Inc.</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10.3.4</w:t>
            </w:r>
          </w:p>
        </w:tc>
        <w:tc>
          <w:tcPr>
            <w:tcW w:w="4980" w:type="dxa"/>
            <w:vAlign w:val="bottom"/>
            <w:gridSpan w:val="34"/>
          </w:tcPr>
          <w:p>
            <w:pPr>
              <w:spacing w:after="0"/>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Third Amendment to Right of First Offer Agreement, dated as of December</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2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6, 2019, by and between Clearway Energy Group LLC, Clearway Energy,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Inc. and GIP III Zephyr Acquisition Partners, L.P.</w:t>
              </w:r>
            </w:hyperlink>
          </w:p>
        </w:tc>
        <w:tc>
          <w:tcPr>
            <w:tcW w:w="1560" w:type="dxa"/>
            <w:vAlign w:val="bottom"/>
            <w:tcBorders>
              <w:top w:val="single" w:sz="8" w:color="0000FF"/>
            </w:tcBorders>
            <w:gridSpan w:val="19"/>
          </w:tcPr>
          <w:p>
            <w:pPr>
              <w:spacing w:after="0"/>
              <w:rPr>
                <w:sz w:val="12"/>
                <w:szCs w:val="12"/>
                <w:color w:val="auto"/>
              </w:rPr>
            </w:pPr>
          </w:p>
        </w:tc>
        <w:tc>
          <w:tcPr>
            <w:tcW w:w="16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10.3.5</w:t>
            </w:r>
          </w:p>
        </w:tc>
        <w:tc>
          <w:tcPr>
            <w:tcW w:w="4980" w:type="dxa"/>
            <w:vAlign w:val="bottom"/>
            <w:gridSpan w:val="34"/>
          </w:tcPr>
          <w:p>
            <w:pPr>
              <w:spacing w:after="0"/>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Fourth Amendment to Right of First Offer Agreement, dated as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28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November 2, 2020, by and between Clearway Energy Group LLC</w:t>
              </w:r>
            </w:hyperlink>
          </w:p>
        </w:tc>
        <w:tc>
          <w:tcPr>
            <w:tcW w:w="700" w:type="dxa"/>
            <w:vAlign w:val="bottom"/>
            <w:gridSpan w:val="24"/>
          </w:tcPr>
          <w:p>
            <w:pPr>
              <w:ind w:left="40"/>
              <w:spacing w:after="0" w:line="142"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4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Clearway Energy, Inc.</w:t>
              </w:r>
            </w:hyperlink>
          </w:p>
        </w:tc>
        <w:tc>
          <w:tcPr>
            <w:tcW w:w="120" w:type="dxa"/>
            <w:vAlign w:val="bottom"/>
            <w:gridSpan w:val="3"/>
          </w:tcPr>
          <w:p>
            <w:pPr>
              <w:spacing w:after="0"/>
              <w:rPr>
                <w:sz w:val="12"/>
                <w:szCs w:val="12"/>
                <w:color w:val="auto"/>
              </w:rPr>
            </w:pPr>
          </w:p>
        </w:tc>
        <w:tc>
          <w:tcPr>
            <w:tcW w:w="80" w:type="dxa"/>
            <w:vAlign w:val="bottom"/>
            <w:gridSpan w:val="5"/>
          </w:tcPr>
          <w:p>
            <w:pPr>
              <w:spacing w:after="0"/>
              <w:rPr>
                <w:sz w:val="12"/>
                <w:szCs w:val="12"/>
                <w:color w:val="auto"/>
              </w:rPr>
            </w:pPr>
          </w:p>
        </w:tc>
        <w:tc>
          <w:tcPr>
            <w:tcW w:w="22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900" w:type="dxa"/>
            <w:vAlign w:val="bottom"/>
            <w:vMerge w:val="continue"/>
          </w:tcPr>
          <w:p>
            <w:pPr>
              <w:spacing w:after="0"/>
              <w:rPr>
                <w:sz w:val="20"/>
                <w:szCs w:val="20"/>
                <w:color w:val="auto"/>
              </w:rPr>
            </w:pPr>
          </w:p>
        </w:tc>
        <w:tc>
          <w:tcPr>
            <w:tcW w:w="4980" w:type="dxa"/>
            <w:vAlign w:val="bottom"/>
            <w:gridSpan w:val="34"/>
            <w:vMerge w:val="restart"/>
          </w:tcPr>
          <w:p>
            <w:pPr>
              <w:spacing w:after="0"/>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Zephyr Voting and Governance Agreement, dated as of August 31, 2018, by</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98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6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and between NRG Yield, Inc. and Zephyr Renewables LLC.</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900" w:type="dxa"/>
            <w:vAlign w:val="bottom"/>
            <w:vMerge w:val="continue"/>
          </w:tcPr>
          <w:p>
            <w:pPr>
              <w:spacing w:after="0"/>
              <w:rPr>
                <w:sz w:val="24"/>
                <w:szCs w:val="24"/>
                <w:color w:val="auto"/>
              </w:rPr>
            </w:pPr>
          </w:p>
        </w:tc>
        <w:tc>
          <w:tcPr>
            <w:tcW w:w="4980" w:type="dxa"/>
            <w:vAlign w:val="bottom"/>
            <w:gridSpan w:val="34"/>
            <w:vMerge w:val="restart"/>
          </w:tcPr>
          <w:p>
            <w:pPr>
              <w:spacing w:after="0"/>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Third Amended and Restated Right of First Offer Agreement, dated as of</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98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4740" w:type="dxa"/>
            <w:vAlign w:val="bottom"/>
            <w:tcBorders>
              <w:top w:val="single" w:sz="8" w:color="0000FF"/>
            </w:tcBorders>
            <w:gridSpan w:val="24"/>
          </w:tcPr>
          <w:p>
            <w:pPr>
              <w:spacing w:after="0"/>
              <w:rPr>
                <w:rFonts w:ascii="Times New Roman" w:cs="Times New Roman" w:eastAsia="Times New Roman" w:hAnsi="Times New Roman"/>
                <w:sz w:val="16"/>
                <w:szCs w:val="16"/>
                <w:u w:val="single" w:color="auto"/>
                <w:color w:val="0000FF"/>
              </w:rPr>
            </w:pPr>
            <w:hyperlink r:id="rId264">
              <w:r>
                <w:rPr>
                  <w:rFonts w:ascii="Times New Roman" w:cs="Times New Roman" w:eastAsia="Times New Roman" w:hAnsi="Times New Roman"/>
                  <w:sz w:val="16"/>
                  <w:szCs w:val="16"/>
                  <w:u w:val="single" w:color="auto"/>
                  <w:color w:val="0000FF"/>
                </w:rPr>
                <w:t>August 31, 2018, by and between NRG Yield, Inc. and NRG Energy, Inc.</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4980" w:type="dxa"/>
            <w:vAlign w:val="bottom"/>
            <w:gridSpan w:val="34"/>
          </w:tcPr>
          <w:p>
            <w:pPr>
              <w:spacing w:after="0"/>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Transition Services Agreement, dated August 31, 2018, by and between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w w:val="99"/>
              </w:rPr>
            </w:pPr>
            <w:hyperlink r:id="rId265">
              <w:r>
                <w:rPr>
                  <w:rFonts w:ascii="Times New Roman" w:cs="Times New Roman" w:eastAsia="Times New Roman" w:hAnsi="Times New Roman"/>
                  <w:sz w:val="16"/>
                  <w:szCs w:val="16"/>
                  <w:color w:val="0000FF"/>
                  <w:w w:val="99"/>
                </w:rPr>
                <w:t>NRG Yield, Inc. and NRG Energy, Inc.</w:t>
              </w:r>
            </w:hyperlink>
          </w:p>
        </w:tc>
        <w:tc>
          <w:tcPr>
            <w:tcW w:w="2120" w:type="dxa"/>
            <w:vAlign w:val="bottom"/>
            <w:tcBorders>
              <w:top w:val="single" w:sz="8" w:color="0000FF"/>
            </w:tcBorders>
            <w:gridSpan w:val="13"/>
          </w:tcPr>
          <w:p>
            <w:pPr>
              <w:spacing w:after="0"/>
              <w:rPr>
                <w:sz w:val="12"/>
                <w:szCs w:val="12"/>
                <w:color w:val="auto"/>
              </w:rPr>
            </w:pPr>
          </w:p>
        </w:tc>
        <w:tc>
          <w:tcPr>
            <w:tcW w:w="32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December 4, 2020.</w:t>
      </w:r>
    </w:p>
    <w:p>
      <w:pPr>
        <w:spacing w:after="0" w:line="6"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December 29, 2020.</w:t>
      </w:r>
    </w:p>
    <w:p>
      <w:pPr>
        <w:spacing w:after="0" w:line="168"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December 29, 2020.</w:t>
      </w:r>
    </w:p>
    <w:p>
      <w:pPr>
        <w:spacing w:after="0" w:line="6"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December 29, 2020.</w:t>
      </w:r>
    </w:p>
    <w:p>
      <w:pPr>
        <w:spacing w:after="0" w:line="6"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February 5, 2021.</w:t>
      </w:r>
    </w:p>
    <w:p>
      <w:pPr>
        <w:spacing w:after="0" w:line="168"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February 5, 2021.</w:t>
      </w:r>
    </w:p>
    <w:p>
      <w:pPr>
        <w:spacing w:after="0" w:line="6" w:lineRule="exact"/>
        <w:rPr>
          <w:sz w:val="20"/>
          <w:szCs w:val="20"/>
          <w:color w:val="auto"/>
        </w:rPr>
      </w:pPr>
    </w:p>
    <w:p>
      <w:pPr>
        <w:ind w:right="6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February 5, 2021.</w:t>
      </w:r>
    </w:p>
    <w:p>
      <w:pPr>
        <w:spacing w:after="0" w:line="101"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September 5, 2018.</w:t>
      </w:r>
    </w:p>
    <w:p>
      <w:pPr>
        <w:spacing w:after="0" w:line="182"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10.2 to the Company's Current Report on Form 8-K filed on September 5, 2018.</w:t>
      </w:r>
    </w:p>
    <w:p>
      <w:pPr>
        <w:spacing w:after="0" w:line="182"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10.3 to the Company's Current Report on Form 8-K filed on September 5, 2018.</w:t>
      </w:r>
    </w:p>
    <w:p>
      <w:pPr>
        <w:spacing w:after="0" w:line="182"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February 14, 2019.</w:t>
      </w:r>
    </w:p>
    <w:p>
      <w:pPr>
        <w:spacing w:after="0" w:line="182"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Quarterly Report on Form 10-Q filed on August 6, 2019.</w:t>
      </w:r>
    </w:p>
    <w:p>
      <w:pPr>
        <w:spacing w:after="0" w:line="182"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December 9, 2019.</w:t>
      </w:r>
    </w:p>
    <w:p>
      <w:pPr>
        <w:spacing w:after="0" w:line="87"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Quarterly Report on Form 10-Q filed on November 5, 2020.</w:t>
      </w:r>
    </w:p>
    <w:p>
      <w:pPr>
        <w:spacing w:after="0" w:line="101"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10.4 to the Company's Current Report on Form 8-K filed on September 5, 2018.</w:t>
      </w:r>
    </w:p>
    <w:p>
      <w:pPr>
        <w:spacing w:after="0" w:line="87"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10.5 to the Company's Current Report on Form 8-K filed on September 5, 2018.</w:t>
      </w:r>
    </w:p>
    <w:p>
      <w:pPr>
        <w:spacing w:after="0" w:line="114"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10.7 to the Company's Current Report on Form 8-K filed on September 5, 2018.</w:t>
      </w:r>
    </w:p>
    <w:p>
      <w:pPr>
        <w:spacing w:after="0" w:line="200" w:lineRule="exact"/>
        <w:rPr>
          <w:sz w:val="20"/>
          <w:szCs w:val="20"/>
          <w:color w:val="auto"/>
        </w:rPr>
      </w:pPr>
    </w:p>
    <w:p>
      <w:pPr>
        <w:sectPr>
          <w:pgSz w:w="11900" w:h="16838" w:orient="portrait"/>
          <w:cols w:equalWidth="0" w:num="2">
            <w:col w:w="5840" w:space="180"/>
            <w:col w:w="4099"/>
          </w:cols>
          <w:pgMar w:left="340" w:top="927"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27" w:right="1440"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5060" w:type="dxa"/>
            <w:vAlign w:val="bottom"/>
            <w:gridSpan w:val="25"/>
            <w:vMerge w:val="restart"/>
          </w:tcPr>
          <w:p>
            <w:pPr>
              <w:spacing w:after="0"/>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Termination Agreement, dated as of August 31, 2018, by and among NRG</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06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w w:val="99"/>
              </w:rPr>
            </w:pPr>
            <w:hyperlink r:id="rId267">
              <w:r>
                <w:rPr>
                  <w:rFonts w:ascii="Times New Roman" w:cs="Times New Roman" w:eastAsia="Times New Roman" w:hAnsi="Times New Roman"/>
                  <w:sz w:val="16"/>
                  <w:szCs w:val="16"/>
                  <w:color w:val="0000FF"/>
                  <w:w w:val="99"/>
                </w:rPr>
                <w:t>Yield, Inc., NRG Yield LLC, NRG Yield Operating LLC and NRG Energy,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80" w:type="dxa"/>
            <w:vAlign w:val="bottom"/>
            <w:gridSpan w:val="18"/>
          </w:tcPr>
          <w:p>
            <w:pPr>
              <w:spacing w:after="0" w:line="142" w:lineRule="exact"/>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Inc.</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5060" w:type="dxa"/>
            <w:vAlign w:val="bottom"/>
            <w:gridSpan w:val="25"/>
          </w:tcPr>
          <w:p>
            <w:pPr>
              <w:spacing w:after="0"/>
              <w:rPr>
                <w:rFonts w:ascii="Times New Roman" w:cs="Times New Roman" w:eastAsia="Times New Roman" w:hAnsi="Times New Roman"/>
                <w:sz w:val="16"/>
                <w:szCs w:val="16"/>
                <w:u w:val="single" w:color="auto"/>
                <w:color w:val="0000FF"/>
              </w:rPr>
            </w:pPr>
            <w:hyperlink r:id="rId268">
              <w:r>
                <w:rPr>
                  <w:rFonts w:ascii="Times New Roman" w:cs="Times New Roman" w:eastAsia="Times New Roman" w:hAnsi="Times New Roman"/>
                  <w:sz w:val="16"/>
                  <w:szCs w:val="16"/>
                  <w:u w:val="single" w:color="auto"/>
                  <w:color w:val="0000FF"/>
                </w:rPr>
                <w:t>Clearway Energy, Inc. Amended and Restated 2013 Equity Incentive Plan.</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5060" w:type="dxa"/>
            <w:vAlign w:val="bottom"/>
            <w:gridSpan w:val="25"/>
          </w:tcPr>
          <w:p>
            <w:pPr>
              <w:spacing w:after="0"/>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u w:val="single" w:color="auto"/>
                  <w:color w:val="0000FF"/>
                </w:rPr>
                <w:t>Form of Indemnification Agreement</w:t>
              </w:r>
              <w:r>
                <w:rPr>
                  <w:rFonts w:ascii="Times New Roman" w:cs="Times New Roman" w:eastAsia="Times New Roman" w:hAnsi="Times New Roman"/>
                  <w:sz w:val="16"/>
                  <w:szCs w:val="16"/>
                  <w:color w:val="0000FF"/>
                </w:rPr>
                <w:t>.</w:t>
              </w:r>
            </w:hyperlink>
          </w:p>
        </w:tc>
        <w:tc>
          <w:tcPr>
            <w:tcW w:w="0" w:type="dxa"/>
            <w:vAlign w:val="bottom"/>
          </w:tcPr>
          <w:p>
            <w:pPr>
              <w:spacing w:after="0"/>
              <w:rPr>
                <w:sz w:val="1"/>
                <w:szCs w:val="1"/>
                <w:color w:val="auto"/>
              </w:rPr>
            </w:pPr>
          </w:p>
        </w:tc>
      </w:tr>
      <w:tr>
        <w:trPr>
          <w:trHeight w:val="505"/>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10.11.1</w:t>
            </w:r>
          </w:p>
        </w:tc>
        <w:tc>
          <w:tcPr>
            <w:tcW w:w="5060" w:type="dxa"/>
            <w:vAlign w:val="bottom"/>
            <w:gridSpan w:val="25"/>
          </w:tcPr>
          <w:p>
            <w:pPr>
              <w:spacing w:after="0"/>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Amended and Restated Credit Agreement, dated April 25, 2014, by 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among NRG Yield Operating LLC, NRG Yield LLC, Royal Bank of</w:t>
              </w:r>
            </w:hyperlink>
          </w:p>
        </w:tc>
        <w:tc>
          <w:tcPr>
            <w:tcW w:w="20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60" w:type="dxa"/>
            <w:vAlign w:val="bottom"/>
            <w:gridSpan w:val="25"/>
          </w:tcPr>
          <w:p>
            <w:pPr>
              <w:spacing w:after="0" w:line="142" w:lineRule="exact"/>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Canada, as Administrative Agent, the lenders party thereto, Royal Bank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2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Canada, Goldman Sachs Bank USA and Bank of America, N.A., as L/C</w:t>
              </w:r>
            </w:hyperlink>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466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u w:val="single" w:color="auto"/>
                <w:color w:val="0000FF"/>
              </w:rPr>
            </w:pPr>
            <w:hyperlink r:id="rId270">
              <w:r>
                <w:rPr>
                  <w:rFonts w:ascii="Times New Roman" w:cs="Times New Roman" w:eastAsia="Times New Roman" w:hAnsi="Times New Roman"/>
                  <w:sz w:val="14"/>
                  <w:szCs w:val="14"/>
                  <w:u w:val="single" w:color="auto"/>
                  <w:color w:val="0000FF"/>
                </w:rPr>
                <w:t>Issuers and RBC Capital Markets as Sole Left Lead Arranger and Sole</w:t>
              </w:r>
            </w:hyperlink>
          </w:p>
        </w:tc>
        <w:tc>
          <w:tcPr>
            <w:tcW w:w="400" w:type="dxa"/>
            <w:vAlign w:val="bottom"/>
            <w:gridSpan w:val="13"/>
          </w:tcPr>
          <w:p>
            <w:pPr>
              <w:spacing w:after="0" w:line="129" w:lineRule="exact"/>
              <w:rPr>
                <w:rFonts w:ascii="Times New Roman" w:cs="Times New Roman" w:eastAsia="Times New Roman" w:hAnsi="Times New Roman"/>
                <w:sz w:val="14"/>
                <w:szCs w:val="14"/>
                <w:u w:val="single" w:color="auto"/>
                <w:color w:val="0000FF"/>
              </w:rPr>
            </w:pPr>
            <w:hyperlink r:id="rId270">
              <w:r>
                <w:rPr>
                  <w:rFonts w:ascii="Times New Roman" w:cs="Times New Roman" w:eastAsia="Times New Roman" w:hAnsi="Times New Roman"/>
                  <w:sz w:val="14"/>
                  <w:szCs w:val="14"/>
                  <w:u w:val="single" w:color="auto"/>
                  <w:color w:val="0000FF"/>
                </w:rPr>
                <w:t>Left</w:t>
              </w:r>
            </w:hyperlink>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060" w:type="dxa"/>
            <w:vAlign w:val="bottom"/>
            <w:gridSpan w:val="25"/>
          </w:tcPr>
          <w:p>
            <w:pPr>
              <w:spacing w:after="0"/>
              <w:rPr>
                <w:rFonts w:ascii="Times New Roman" w:cs="Times New Roman" w:eastAsia="Times New Roman" w:hAnsi="Times New Roman"/>
                <w:sz w:val="16"/>
                <w:szCs w:val="16"/>
                <w:u w:val="single" w:color="auto"/>
                <w:color w:val="0000FF"/>
              </w:rPr>
            </w:pPr>
            <w:hyperlink r:id="rId270">
              <w:r>
                <w:rPr>
                  <w:rFonts w:ascii="Times New Roman" w:cs="Times New Roman" w:eastAsia="Times New Roman" w:hAnsi="Times New Roman"/>
                  <w:sz w:val="16"/>
                  <w:szCs w:val="16"/>
                  <w:u w:val="single" w:color="auto"/>
                  <w:color w:val="0000FF"/>
                </w:rPr>
                <w:t>Lead Book Runner.</w:t>
              </w:r>
            </w:hyperlink>
          </w:p>
        </w:tc>
        <w:tc>
          <w:tcPr>
            <w:tcW w:w="0" w:type="dxa"/>
            <w:vAlign w:val="bottom"/>
          </w:tcPr>
          <w:p>
            <w:pPr>
              <w:spacing w:after="0"/>
              <w:rPr>
                <w:sz w:val="1"/>
                <w:szCs w:val="1"/>
                <w:color w:val="auto"/>
              </w:rPr>
            </w:pPr>
          </w:p>
        </w:tc>
      </w:tr>
      <w:tr>
        <w:trPr>
          <w:trHeight w:val="181"/>
        </w:trPr>
        <w:tc>
          <w:tcPr>
            <w:tcW w:w="9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10.11.2</w:t>
            </w:r>
          </w:p>
        </w:tc>
        <w:tc>
          <w:tcPr>
            <w:tcW w:w="5060" w:type="dxa"/>
            <w:vAlign w:val="bottom"/>
            <w:gridSpan w:val="25"/>
          </w:tcPr>
          <w:p>
            <w:pPr>
              <w:spacing w:after="0" w:line="181" w:lineRule="exact"/>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First Amendment to Amended &amp; Restated Credit Agreement, dated June 26,</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0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2015, by and among NRG Yield Operating LLC, NRG Yield LLC, Royal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6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Bank of Canada and the Lenders party thereto.</w:t>
              </w:r>
            </w:hyperlink>
          </w:p>
        </w:tc>
        <w:tc>
          <w:tcPr>
            <w:tcW w:w="10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10.11.3</w:t>
            </w:r>
          </w:p>
        </w:tc>
        <w:tc>
          <w:tcPr>
            <w:tcW w:w="456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color w:val="0000FF"/>
                </w:rPr>
                <w:t>Second Amendment to Amended &amp; Restated Credit Agreement, dated</w:t>
              </w:r>
            </w:hyperlink>
          </w:p>
        </w:tc>
        <w:tc>
          <w:tcPr>
            <w:tcW w:w="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60" w:type="dxa"/>
            <w:vAlign w:val="bottom"/>
            <w:gridSpan w:val="25"/>
          </w:tcPr>
          <w:p>
            <w:pPr>
              <w:spacing w:after="0" w:line="142" w:lineRule="exact"/>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color w:val="0000FF"/>
                </w:rPr>
                <w:t>February 6, 2018, by and among NRG Yield Operating LLC, NRG Yield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4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w w:val="96"/>
              </w:rPr>
            </w:pPr>
            <w:hyperlink r:id="rId272">
              <w:r>
                <w:rPr>
                  <w:rFonts w:ascii="Times New Roman" w:cs="Times New Roman" w:eastAsia="Times New Roman" w:hAnsi="Times New Roman"/>
                  <w:sz w:val="16"/>
                  <w:szCs w:val="16"/>
                  <w:color w:val="0000FF"/>
                  <w:w w:val="96"/>
                </w:rPr>
                <w:t>LLC, the guarantors party thereto, Royal Bank of Canada, as Administrative</w:t>
              </w:r>
            </w:hyperlink>
          </w:p>
        </w:tc>
        <w:tc>
          <w:tcPr>
            <w:tcW w:w="120" w:type="dxa"/>
            <w:vAlign w:val="bottom"/>
            <w:tcBorders>
              <w:bottom w:val="single" w:sz="8" w:color="0000FF"/>
            </w:tcBorders>
            <w:gridSpan w:val="4"/>
          </w:tcPr>
          <w:p>
            <w:pPr>
              <w:spacing w:after="0"/>
              <w:rPr>
                <w:sz w:val="12"/>
                <w:szCs w:val="12"/>
                <w:color w:val="auto"/>
              </w:rPr>
            </w:pPr>
          </w:p>
        </w:tc>
        <w:tc>
          <w:tcPr>
            <w:tcW w:w="8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360" w:type="dxa"/>
            <w:vAlign w:val="bottom"/>
            <w:tcBorders>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color w:val="0000FF"/>
                </w:rPr>
                <w:t>Agent, and the lenders party thereto.</w:t>
              </w:r>
            </w:hyperlink>
          </w:p>
        </w:tc>
        <w:tc>
          <w:tcPr>
            <w:tcW w:w="2620" w:type="dxa"/>
            <w:vAlign w:val="bottom"/>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10.11.4</w:t>
            </w:r>
          </w:p>
        </w:tc>
        <w:tc>
          <w:tcPr>
            <w:tcW w:w="5060" w:type="dxa"/>
            <w:vAlign w:val="bottom"/>
            <w:gridSpan w:val="25"/>
          </w:tcPr>
          <w:p>
            <w:pPr>
              <w:spacing w:after="0"/>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color w:val="0000FF"/>
                </w:rPr>
                <w:t>Third Amendment to Amended and Restated Credit Agreement and</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tcPr>
          <w:p>
            <w:pPr>
              <w:spacing w:after="0"/>
              <w:rPr>
                <w:sz w:val="12"/>
                <w:szCs w:val="12"/>
                <w:color w:val="auto"/>
              </w:rPr>
            </w:pPr>
          </w:p>
        </w:tc>
        <w:tc>
          <w:tcPr>
            <w:tcW w:w="5060" w:type="dxa"/>
            <w:vAlign w:val="bottom"/>
            <w:gridSpan w:val="25"/>
          </w:tcPr>
          <w:p>
            <w:pPr>
              <w:spacing w:after="0" w:line="142" w:lineRule="exact"/>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color w:val="0000FF"/>
                </w:rPr>
                <w:t>Administrative Agent Resignation and Appointment Agreement, dated as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4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color w:val="0000FF"/>
                </w:rPr>
                <w:t>April 30, 2018, by and among NRG Yield Operating LLC, NRG Yield LLC,</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20" w:type="dxa"/>
            <w:vAlign w:val="bottom"/>
            <w:gridSpan w:val="23"/>
          </w:tcPr>
          <w:p>
            <w:pPr>
              <w:spacing w:after="0" w:line="142" w:lineRule="exact"/>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color w:val="0000FF"/>
                </w:rPr>
                <w:t>the guarantors party thereto, Royal Bank of Canada, as Resigning</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240" w:type="dxa"/>
            <w:vAlign w:val="bottom"/>
            <w:tcBorders>
              <w:top w:val="single" w:sz="8" w:color="0000FF"/>
            </w:tcBorders>
            <w:gridSpan w:val="5"/>
          </w:tcPr>
          <w:p>
            <w:pPr>
              <w:spacing w:after="0" w:line="129" w:lineRule="exact"/>
              <w:rPr>
                <w:rFonts w:ascii="Times New Roman" w:cs="Times New Roman" w:eastAsia="Times New Roman" w:hAnsi="Times New Roman"/>
                <w:sz w:val="14"/>
                <w:szCs w:val="14"/>
                <w:u w:val="single" w:color="auto"/>
                <w:color w:val="0000FF"/>
              </w:rPr>
            </w:pPr>
            <w:hyperlink r:id="rId273">
              <w:r>
                <w:rPr>
                  <w:rFonts w:ascii="Times New Roman" w:cs="Times New Roman" w:eastAsia="Times New Roman" w:hAnsi="Times New Roman"/>
                  <w:sz w:val="14"/>
                  <w:szCs w:val="14"/>
                  <w:u w:val="single" w:color="auto"/>
                  <w:color w:val="0000FF"/>
                </w:rPr>
                <w:t>Administrative Agent, JPMorgan Chase Bank, N.A., as Successor</w:t>
              </w:r>
            </w:hyperlink>
          </w:p>
        </w:tc>
        <w:tc>
          <w:tcPr>
            <w:tcW w:w="2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8"/>
          </w:tcPr>
          <w:p>
            <w:pPr>
              <w:spacing w:after="0"/>
              <w:rPr>
                <w:sz w:val="11"/>
                <w:szCs w:val="11"/>
                <w:color w:val="auto"/>
              </w:rPr>
            </w:pPr>
          </w:p>
        </w:tc>
        <w:tc>
          <w:tcPr>
            <w:tcW w:w="10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060" w:type="dxa"/>
            <w:vAlign w:val="bottom"/>
            <w:gridSpan w:val="25"/>
          </w:tcPr>
          <w:p>
            <w:pPr>
              <w:spacing w:after="0"/>
              <w:rPr>
                <w:rFonts w:ascii="Times New Roman" w:cs="Times New Roman" w:eastAsia="Times New Roman" w:hAnsi="Times New Roman"/>
                <w:sz w:val="16"/>
                <w:szCs w:val="16"/>
                <w:u w:val="single" w:color="auto"/>
                <w:color w:val="0000FF"/>
              </w:rPr>
            </w:pPr>
            <w:hyperlink r:id="rId273">
              <w:r>
                <w:rPr>
                  <w:rFonts w:ascii="Times New Roman" w:cs="Times New Roman" w:eastAsia="Times New Roman" w:hAnsi="Times New Roman"/>
                  <w:sz w:val="16"/>
                  <w:szCs w:val="16"/>
                  <w:u w:val="single" w:color="auto"/>
                  <w:color w:val="0000FF"/>
                </w:rPr>
                <w:t>Administrative Agent, and the lenders party thereto.</w:t>
              </w:r>
            </w:hyperlink>
          </w:p>
        </w:tc>
        <w:tc>
          <w:tcPr>
            <w:tcW w:w="0" w:type="dxa"/>
            <w:vAlign w:val="bottom"/>
          </w:tcPr>
          <w:p>
            <w:pPr>
              <w:spacing w:after="0"/>
              <w:rPr>
                <w:sz w:val="1"/>
                <w:szCs w:val="1"/>
                <w:color w:val="auto"/>
              </w:rPr>
            </w:pPr>
          </w:p>
        </w:tc>
      </w:tr>
      <w:tr>
        <w:trPr>
          <w:trHeight w:val="181"/>
        </w:trPr>
        <w:tc>
          <w:tcPr>
            <w:tcW w:w="9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10.11.5</w:t>
            </w:r>
          </w:p>
        </w:tc>
        <w:tc>
          <w:tcPr>
            <w:tcW w:w="5060" w:type="dxa"/>
            <w:vAlign w:val="bottom"/>
            <w:gridSpan w:val="25"/>
          </w:tcPr>
          <w:p>
            <w:pPr>
              <w:spacing w:after="0" w:line="181" w:lineRule="exact"/>
              <w:rPr>
                <w:rFonts w:ascii="Times New Roman" w:cs="Times New Roman" w:eastAsia="Times New Roman" w:hAnsi="Times New Roman"/>
                <w:sz w:val="16"/>
                <w:szCs w:val="16"/>
                <w:color w:val="0000FF"/>
              </w:rPr>
            </w:pPr>
            <w:hyperlink r:id="rId274">
              <w:r>
                <w:rPr>
                  <w:rFonts w:ascii="Times New Roman" w:cs="Times New Roman" w:eastAsia="Times New Roman" w:hAnsi="Times New Roman"/>
                  <w:sz w:val="16"/>
                  <w:szCs w:val="16"/>
                  <w:color w:val="0000FF"/>
                </w:rPr>
                <w:t>Fourth Amendment to Amended and Restated Credit Agreement, dated as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4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274">
              <w:r>
                <w:rPr>
                  <w:rFonts w:ascii="Times New Roman" w:cs="Times New Roman" w:eastAsia="Times New Roman" w:hAnsi="Times New Roman"/>
                  <w:sz w:val="16"/>
                  <w:szCs w:val="16"/>
                  <w:color w:val="0000FF"/>
                </w:rPr>
                <w:t>November 30, 2018, by and among Clearway Energy Operating LLC,</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4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274">
              <w:r>
                <w:rPr>
                  <w:rFonts w:ascii="Times New Roman" w:cs="Times New Roman" w:eastAsia="Times New Roman" w:hAnsi="Times New Roman"/>
                  <w:sz w:val="16"/>
                  <w:szCs w:val="16"/>
                  <w:color w:val="0000FF"/>
                </w:rPr>
                <w:t>Clearway Energy LLC, the guarantors party thereto, JPMorgan Chase</w:t>
              </w:r>
            </w:hyperlink>
          </w:p>
        </w:tc>
        <w:tc>
          <w:tcPr>
            <w:tcW w:w="520" w:type="dxa"/>
            <w:vAlign w:val="bottom"/>
            <w:gridSpan w:val="16"/>
          </w:tcPr>
          <w:p>
            <w:pPr>
              <w:ind w:left="20"/>
              <w:spacing w:after="0" w:line="142" w:lineRule="exact"/>
              <w:rPr>
                <w:rFonts w:ascii="Times New Roman" w:cs="Times New Roman" w:eastAsia="Times New Roman" w:hAnsi="Times New Roman"/>
                <w:sz w:val="16"/>
                <w:szCs w:val="16"/>
                <w:color w:val="0000FF"/>
              </w:rPr>
            </w:pPr>
            <w:hyperlink r:id="rId274">
              <w:r>
                <w:rPr>
                  <w:rFonts w:ascii="Times New Roman" w:cs="Times New Roman" w:eastAsia="Times New Roman" w:hAnsi="Times New Roman"/>
                  <w:sz w:val="16"/>
                  <w:szCs w:val="16"/>
                  <w:color w:val="0000FF"/>
                </w:rPr>
                <w:t>Bank,</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274">
              <w:r>
                <w:rPr>
                  <w:rFonts w:ascii="Times New Roman" w:cs="Times New Roman" w:eastAsia="Times New Roman" w:hAnsi="Times New Roman"/>
                  <w:sz w:val="16"/>
                  <w:szCs w:val="16"/>
                  <w:color w:val="0000FF"/>
                </w:rPr>
                <w:t>N.A., as administrative agent, and the lenders party thereto.</w:t>
              </w:r>
            </w:hyperlink>
          </w:p>
        </w:tc>
        <w:tc>
          <w:tcPr>
            <w:tcW w:w="1100" w:type="dxa"/>
            <w:vAlign w:val="bottom"/>
            <w:tcBorders>
              <w:top w:val="single" w:sz="8" w:color="0000FF"/>
            </w:tcBorders>
            <w:gridSpan w:val="16"/>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10.11.6</w:t>
            </w:r>
          </w:p>
        </w:tc>
        <w:tc>
          <w:tcPr>
            <w:tcW w:w="5060" w:type="dxa"/>
            <w:vAlign w:val="bottom"/>
            <w:gridSpan w:val="25"/>
          </w:tcPr>
          <w:p>
            <w:pPr>
              <w:spacing w:after="0"/>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Fifth Amendment to Amended and Restated Credit Agreement, dated as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December 20, 2019, by and among Clearway Energy Operating LLC,</w:t>
              </w:r>
            </w:hyperlink>
          </w:p>
        </w:tc>
        <w:tc>
          <w:tcPr>
            <w:tcW w:w="20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52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Clearway Energy LLC, the guarantors party thereto, JPMorgan Chase</w:t>
              </w:r>
            </w:hyperlink>
          </w:p>
        </w:tc>
        <w:tc>
          <w:tcPr>
            <w:tcW w:w="540" w:type="dxa"/>
            <w:vAlign w:val="bottom"/>
            <w:gridSpan w:val="17"/>
          </w:tcPr>
          <w:p>
            <w:pPr>
              <w:ind w:left="40"/>
              <w:spacing w:after="0" w:line="142" w:lineRule="exact"/>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Bank,</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N.A., as administrative agent, and the lenders party thereto.</w:t>
              </w:r>
            </w:hyperlink>
          </w:p>
        </w:tc>
        <w:tc>
          <w:tcPr>
            <w:tcW w:w="1100" w:type="dxa"/>
            <w:vAlign w:val="bottom"/>
            <w:tcBorders>
              <w:top w:val="single" w:sz="8" w:color="0000FF"/>
            </w:tcBorders>
            <w:gridSpan w:val="16"/>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980" w:type="dxa"/>
            <w:vAlign w:val="bottom"/>
            <w:gridSpan w:val="10"/>
            <w:vMerge w:val="restart"/>
          </w:tcPr>
          <w:p>
            <w:pPr>
              <w:spacing w:after="0"/>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Employment Agreement, dated as of May 6, 2016, between NRG Yield, Inc.</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9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6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and Christopher S. Sotos.</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10.13†</w:t>
            </w:r>
          </w:p>
        </w:tc>
        <w:tc>
          <w:tcPr>
            <w:tcW w:w="16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900" w:type="dxa"/>
            <w:vAlign w:val="bottom"/>
            <w:vMerge w:val="continue"/>
          </w:tcPr>
          <w:p>
            <w:pPr>
              <w:spacing w:after="0"/>
              <w:rPr>
                <w:sz w:val="24"/>
                <w:szCs w:val="24"/>
                <w:color w:val="auto"/>
              </w:rPr>
            </w:pPr>
          </w:p>
        </w:tc>
        <w:tc>
          <w:tcPr>
            <w:tcW w:w="4980" w:type="dxa"/>
            <w:vAlign w:val="bottom"/>
            <w:gridSpan w:val="10"/>
            <w:vMerge w:val="restart"/>
          </w:tcPr>
          <w:p>
            <w:pPr>
              <w:spacing w:after="0"/>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Amendment, dated January 1, 2018 to Employment Agreement between</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9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277">
              <w:r>
                <w:rPr>
                  <w:rFonts w:ascii="Times New Roman" w:cs="Times New Roman" w:eastAsia="Times New Roman" w:hAnsi="Times New Roman"/>
                  <w:sz w:val="16"/>
                  <w:szCs w:val="16"/>
                  <w:color w:val="0000FF"/>
                  <w:w w:val="99"/>
                </w:rPr>
                <w:t>NRG Yield, Inc. and Christopher Sotos.</w:t>
              </w:r>
            </w:hyperlink>
          </w:p>
        </w:tc>
        <w:tc>
          <w:tcPr>
            <w:tcW w:w="2100" w:type="dxa"/>
            <w:vAlign w:val="bottom"/>
            <w:tcBorders>
              <w:top w:val="single" w:sz="8" w:color="0000FF"/>
            </w:tcBorders>
            <w:gridSpan w:val="2"/>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980" w:type="dxa"/>
            <w:vAlign w:val="bottom"/>
            <w:gridSpan w:val="10"/>
            <w:vMerge w:val="restart"/>
          </w:tcPr>
          <w:p>
            <w:pPr>
              <w:spacing w:after="0"/>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Form of Clearway Energy, Inc. 2013 Equity Incentive Plan Restricted Stock</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9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2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Unit Agreement for Officers.</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10.15†</w:t>
            </w:r>
          </w:p>
        </w:tc>
        <w:tc>
          <w:tcPr>
            <w:tcW w:w="1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00" w:type="dxa"/>
            <w:vAlign w:val="bottom"/>
            <w:vMerge w:val="continue"/>
          </w:tcPr>
          <w:p>
            <w:pPr>
              <w:spacing w:after="0"/>
              <w:rPr>
                <w:sz w:val="24"/>
                <w:szCs w:val="24"/>
                <w:color w:val="auto"/>
              </w:rPr>
            </w:pPr>
          </w:p>
        </w:tc>
        <w:tc>
          <w:tcPr>
            <w:tcW w:w="4980" w:type="dxa"/>
            <w:vAlign w:val="bottom"/>
            <w:gridSpan w:val="10"/>
            <w:vMerge w:val="restart"/>
          </w:tcPr>
          <w:p>
            <w:pPr>
              <w:spacing w:after="0"/>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Form of Clearway Energy, Inc. 2013 Equity Incentive Plan Restricted Stock</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9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2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Unit Agreement for Non-officers.</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10.16†</w:t>
            </w:r>
          </w:p>
        </w:tc>
        <w:tc>
          <w:tcPr>
            <w:tcW w:w="1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00" w:type="dxa"/>
            <w:vAlign w:val="bottom"/>
            <w:vMerge w:val="continue"/>
          </w:tcPr>
          <w:p>
            <w:pPr>
              <w:spacing w:after="0"/>
              <w:rPr>
                <w:sz w:val="24"/>
                <w:szCs w:val="24"/>
                <w:color w:val="auto"/>
              </w:rPr>
            </w:pPr>
          </w:p>
        </w:tc>
        <w:tc>
          <w:tcPr>
            <w:tcW w:w="4980" w:type="dxa"/>
            <w:vAlign w:val="bottom"/>
            <w:gridSpan w:val="10"/>
            <w:vMerge w:val="restart"/>
          </w:tcPr>
          <w:p>
            <w:pPr>
              <w:spacing w:after="0"/>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Form of Clearway Energy, Inc. 2013 Equity Incentive Plan Relative</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49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0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Performance Stock Unit Agreement.</w:t>
              </w:r>
            </w:hyperlink>
          </w:p>
        </w:tc>
        <w:tc>
          <w:tcPr>
            <w:tcW w:w="5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10.17†</w:t>
            </w:r>
          </w:p>
        </w:tc>
        <w:tc>
          <w:tcPr>
            <w:tcW w:w="1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00" w:type="dxa"/>
            <w:vAlign w:val="bottom"/>
            <w:vMerge w:val="continue"/>
          </w:tcPr>
          <w:p>
            <w:pPr>
              <w:spacing w:after="0"/>
              <w:rPr>
                <w:sz w:val="24"/>
                <w:szCs w:val="24"/>
                <w:color w:val="auto"/>
              </w:rPr>
            </w:pPr>
          </w:p>
        </w:tc>
        <w:tc>
          <w:tcPr>
            <w:tcW w:w="4980" w:type="dxa"/>
            <w:vAlign w:val="bottom"/>
            <w:gridSpan w:val="10"/>
            <w:vMerge w:val="restart"/>
          </w:tcPr>
          <w:p>
            <w:pPr>
              <w:spacing w:after="0"/>
              <w:rPr>
                <w:rFonts w:ascii="Times New Roman" w:cs="Times New Roman" w:eastAsia="Times New Roman" w:hAnsi="Times New Roman"/>
                <w:sz w:val="16"/>
                <w:szCs w:val="16"/>
                <w:u w:val="single" w:color="auto"/>
                <w:color w:val="0000FF"/>
              </w:rPr>
            </w:pPr>
            <w:hyperlink r:id="rId281">
              <w:r>
                <w:rPr>
                  <w:rFonts w:ascii="Times New Roman" w:cs="Times New Roman" w:eastAsia="Times New Roman" w:hAnsi="Times New Roman"/>
                  <w:sz w:val="16"/>
                  <w:szCs w:val="16"/>
                  <w:u w:val="single" w:color="auto"/>
                  <w:color w:val="0000FF"/>
                </w:rPr>
                <w:t>Clearway Energy, Inc. Annual Incentive Plan.</w:t>
              </w:r>
            </w:hyperlink>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49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1"/>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980" w:type="dxa"/>
            <w:vAlign w:val="bottom"/>
            <w:gridSpan w:val="10"/>
            <w:vMerge w:val="restart"/>
          </w:tcPr>
          <w:p>
            <w:pPr>
              <w:spacing w:after="0"/>
              <w:rPr>
                <w:rFonts w:ascii="Times New Roman" w:cs="Times New Roman" w:eastAsia="Times New Roman" w:hAnsi="Times New Roman"/>
                <w:sz w:val="16"/>
                <w:szCs w:val="16"/>
                <w:u w:val="single" w:color="auto"/>
                <w:color w:val="0000FF"/>
              </w:rPr>
            </w:pPr>
            <w:hyperlink r:id="rId282">
              <w:r>
                <w:rPr>
                  <w:rFonts w:ascii="Times New Roman" w:cs="Times New Roman" w:eastAsia="Times New Roman" w:hAnsi="Times New Roman"/>
                  <w:sz w:val="16"/>
                  <w:szCs w:val="16"/>
                  <w:u w:val="single" w:color="auto"/>
                  <w:color w:val="0000FF"/>
                </w:rPr>
                <w:t>Clearway Energy, Inc. Involuntary Severance Plan.</w:t>
              </w:r>
            </w:hyperlink>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49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10.9 to the Company's Current Report on Form 8-K filed on September 5, 2018.</w:t>
      </w:r>
    </w:p>
    <w:p>
      <w:pPr>
        <w:spacing w:after="0" w:line="87"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10.9 to the Company's Annual Report on Form 10-K filed on February 28, 2019.</w:t>
      </w:r>
    </w:p>
    <w:p>
      <w:pPr>
        <w:spacing w:after="0" w:line="6" w:lineRule="exact"/>
        <w:rPr>
          <w:sz w:val="20"/>
          <w:szCs w:val="20"/>
          <w:color w:val="auto"/>
        </w:rPr>
      </w:pPr>
    </w:p>
    <w:p>
      <w:pPr>
        <w:ind w:right="4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10.10 to the Company's Annual Report on Form 10-K filed on February 28, 2019.</w:t>
      </w:r>
    </w:p>
    <w:p>
      <w:pPr>
        <w:spacing w:after="0" w:line="6" w:lineRule="exact"/>
        <w:rPr>
          <w:sz w:val="20"/>
          <w:szCs w:val="20"/>
          <w:color w:val="auto"/>
        </w:rPr>
      </w:pPr>
    </w:p>
    <w:p>
      <w:pPr>
        <w:jc w:val="both"/>
        <w:ind w:right="51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April 28, 2014.</w:t>
      </w:r>
    </w:p>
    <w:p>
      <w:pPr>
        <w:spacing w:after="0" w:line="200" w:lineRule="exact"/>
        <w:rPr>
          <w:sz w:val="20"/>
          <w:szCs w:val="20"/>
          <w:color w:val="auto"/>
        </w:rPr>
      </w:pPr>
    </w:p>
    <w:p>
      <w:pPr>
        <w:spacing w:after="0" w:line="292"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10.9 to the Company's Quarterly Report on Form 10-Q filed on August 4, 2015.</w:t>
      </w:r>
    </w:p>
    <w:p>
      <w:pPr>
        <w:spacing w:after="0" w:line="6"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February 12, 2018.</w:t>
      </w:r>
    </w:p>
    <w:p>
      <w:pPr>
        <w:spacing w:after="0" w:line="168" w:lineRule="exact"/>
        <w:rPr>
          <w:sz w:val="20"/>
          <w:szCs w:val="20"/>
          <w:color w:val="auto"/>
        </w:rPr>
      </w:pPr>
    </w:p>
    <w:p>
      <w:pPr>
        <w:ind w:right="3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Quarterly Report on Form 10-Q filed on May 3, 2018.</w:t>
      </w:r>
    </w:p>
    <w:p>
      <w:pPr>
        <w:spacing w:after="0" w:line="200" w:lineRule="exact"/>
        <w:rPr>
          <w:sz w:val="20"/>
          <w:szCs w:val="20"/>
          <w:color w:val="auto"/>
        </w:rPr>
      </w:pPr>
    </w:p>
    <w:p>
      <w:pPr>
        <w:spacing w:after="0" w:line="292"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December 6, 2018.</w:t>
      </w:r>
    </w:p>
    <w:p>
      <w:pPr>
        <w:spacing w:after="0" w:line="168"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December 23, 2019.</w:t>
      </w:r>
    </w:p>
    <w:p>
      <w:pPr>
        <w:spacing w:after="0" w:line="263"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8-K/A, filed on August 9, 2016.</w:t>
      </w:r>
    </w:p>
    <w:p>
      <w:pPr>
        <w:spacing w:after="0" w:line="87" w:lineRule="exact"/>
        <w:rPr>
          <w:sz w:val="20"/>
          <w:szCs w:val="20"/>
          <w:color w:val="auto"/>
        </w:rPr>
      </w:pPr>
    </w:p>
    <w:p>
      <w:pPr>
        <w:jc w:val="both"/>
        <w:ind w:right="39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10.28 to the Company's Annual Report on Form 10-K filed on March 1, 2018.</w:t>
      </w:r>
    </w:p>
    <w:p>
      <w:pPr>
        <w:spacing w:after="0" w:line="20" w:lineRule="exact"/>
        <w:rPr>
          <w:sz w:val="20"/>
          <w:szCs w:val="20"/>
          <w:color w:val="auto"/>
        </w:rPr>
      </w:pPr>
    </w:p>
    <w:p>
      <w:pPr>
        <w:ind w:right="4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10.22 to the Company's Annual Report on Form 10-K filed on February 28, 2019.</w:t>
      </w:r>
    </w:p>
    <w:p>
      <w:pPr>
        <w:spacing w:after="0" w:line="20" w:lineRule="exact"/>
        <w:rPr>
          <w:sz w:val="20"/>
          <w:szCs w:val="20"/>
          <w:color w:val="auto"/>
        </w:rPr>
      </w:pPr>
    </w:p>
    <w:p>
      <w:pPr>
        <w:ind w:right="4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10.23 to the Company's Annual Report on Form 10-K filed on February 28, 2019.</w:t>
      </w:r>
    </w:p>
    <w:p>
      <w:pPr>
        <w:spacing w:after="0" w:line="20" w:lineRule="exact"/>
        <w:rPr>
          <w:sz w:val="20"/>
          <w:szCs w:val="20"/>
          <w:color w:val="auto"/>
        </w:rPr>
      </w:pPr>
    </w:p>
    <w:p>
      <w:pPr>
        <w:ind w:right="4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10.24 to the Company's Annual Report on Form 10-K filed on February 28, 2019.</w:t>
      </w:r>
    </w:p>
    <w:p>
      <w:pPr>
        <w:spacing w:after="0" w:line="114" w:lineRule="exact"/>
        <w:rPr>
          <w:sz w:val="20"/>
          <w:szCs w:val="20"/>
          <w:color w:val="auto"/>
        </w:rPr>
      </w:pPr>
    </w:p>
    <w:p>
      <w:pPr>
        <w:ind w:right="4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10.25 to the Company's Annual Report on Form 10-K filed on February 28, 2019.</w:t>
      </w:r>
    </w:p>
    <w:p>
      <w:pPr>
        <w:spacing w:after="0" w:line="182" w:lineRule="exact"/>
        <w:rPr>
          <w:sz w:val="20"/>
          <w:szCs w:val="20"/>
          <w:color w:val="auto"/>
        </w:rPr>
      </w:pPr>
    </w:p>
    <w:p>
      <w:pPr>
        <w:jc w:val="both"/>
        <w:ind w:right="39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10.26 to the Company's Annual Report on Form 10-K filed on March 2, 2020.</w:t>
      </w:r>
    </w:p>
    <w:p>
      <w:pPr>
        <w:spacing w:after="0" w:line="200" w:lineRule="exact"/>
        <w:rPr>
          <w:sz w:val="20"/>
          <w:szCs w:val="20"/>
          <w:color w:val="auto"/>
        </w:rPr>
      </w:pPr>
    </w:p>
    <w:p>
      <w:pPr>
        <w:sectPr>
          <w:pgSz w:w="11900" w:h="16838" w:orient="portrait"/>
          <w:cols w:equalWidth="0" w:num="2">
            <w:col w:w="5860" w:space="160"/>
            <w:col w:w="4099"/>
          </w:cols>
          <w:pgMar w:left="340" w:top="936"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36" w:right="1440"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5040" w:type="dxa"/>
            <w:vAlign w:val="bottom"/>
            <w:gridSpan w:val="28"/>
            <w:vMerge w:val="restart"/>
          </w:tcPr>
          <w:p>
            <w:pPr>
              <w:spacing w:after="0"/>
              <w:rPr>
                <w:rFonts w:ascii="Times New Roman" w:cs="Times New Roman" w:eastAsia="Times New Roman" w:hAnsi="Times New Roman"/>
                <w:sz w:val="16"/>
                <w:szCs w:val="16"/>
                <w:color w:val="0000FF"/>
              </w:rPr>
            </w:pPr>
            <w:hyperlink w:anchor="page168">
              <w:r>
                <w:rPr>
                  <w:rFonts w:ascii="Times New Roman" w:cs="Times New Roman" w:eastAsia="Times New Roman" w:hAnsi="Times New Roman"/>
                  <w:sz w:val="16"/>
                  <w:szCs w:val="16"/>
                  <w:color w:val="0000FF"/>
                </w:rPr>
                <w:t>Clearway Energy, Inc. Executive Change-in-Control and General Severance</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04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w:anchor="page168">
              <w:r>
                <w:rPr>
                  <w:rFonts w:ascii="Times New Roman" w:cs="Times New Roman" w:eastAsia="Times New Roman" w:hAnsi="Times New Roman"/>
                  <w:sz w:val="16"/>
                  <w:szCs w:val="16"/>
                  <w:color w:val="0000FF"/>
                </w:rPr>
                <w:t>Plan.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10.20†</w:t>
            </w: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00" w:type="dxa"/>
            <w:vAlign w:val="bottom"/>
            <w:vMerge w:val="continue"/>
          </w:tcPr>
          <w:p>
            <w:pPr>
              <w:spacing w:after="0"/>
              <w:rPr>
                <w:sz w:val="24"/>
                <w:szCs w:val="24"/>
                <w:color w:val="auto"/>
              </w:rPr>
            </w:pPr>
          </w:p>
        </w:tc>
        <w:tc>
          <w:tcPr>
            <w:tcW w:w="5040" w:type="dxa"/>
            <w:vAlign w:val="bottom"/>
            <w:gridSpan w:val="28"/>
            <w:vMerge w:val="restart"/>
          </w:tcPr>
          <w:p>
            <w:pPr>
              <w:spacing w:after="0"/>
              <w:rPr>
                <w:rFonts w:ascii="Times New Roman" w:cs="Times New Roman" w:eastAsia="Times New Roman" w:hAnsi="Times New Roman"/>
                <w:sz w:val="16"/>
                <w:szCs w:val="16"/>
                <w:color w:val="0000FF"/>
              </w:rPr>
            </w:pPr>
            <w:hyperlink w:anchor="page190">
              <w:r>
                <w:rPr>
                  <w:rFonts w:ascii="Times New Roman" w:cs="Times New Roman" w:eastAsia="Times New Roman" w:hAnsi="Times New Roman"/>
                  <w:sz w:val="16"/>
                  <w:szCs w:val="16"/>
                  <w:color w:val="0000FF"/>
                </w:rPr>
                <w:t>Clearway Energy, Inc. Key Management Change-in-Control and General</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04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4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w:anchor="page190">
              <w:r>
                <w:rPr>
                  <w:rFonts w:ascii="Times New Roman" w:cs="Times New Roman" w:eastAsia="Times New Roman" w:hAnsi="Times New Roman"/>
                  <w:sz w:val="16"/>
                  <w:szCs w:val="16"/>
                  <w:color w:val="0000FF"/>
                  <w:w w:val="99"/>
                </w:rPr>
                <w:t>Severance Plan.</w:t>
              </w:r>
            </w:hyperlink>
          </w:p>
        </w:tc>
        <w:tc>
          <w:tcPr>
            <w:tcW w:w="370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87"/>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5040" w:type="dxa"/>
            <w:vAlign w:val="bottom"/>
            <w:gridSpan w:val="28"/>
            <w:vMerge w:val="restart"/>
          </w:tcPr>
          <w:p>
            <w:pPr>
              <w:spacing w:after="0"/>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Consent and Indemnity Agreement, dated as of February 6, 2018, by and</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04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2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w w:val="99"/>
              </w:rPr>
            </w:pPr>
            <w:hyperlink r:id="rId284">
              <w:r>
                <w:rPr>
                  <w:rFonts w:ascii="Times New Roman" w:cs="Times New Roman" w:eastAsia="Times New Roman" w:hAnsi="Times New Roman"/>
                  <w:sz w:val="16"/>
                  <w:szCs w:val="16"/>
                  <w:color w:val="0000FF"/>
                  <w:w w:val="99"/>
                </w:rPr>
                <w:t>among NRG Energy, Inc., NRG Repowering Holdings LLC, NRG Yield,</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60" w:type="dxa"/>
            <w:vAlign w:val="bottom"/>
            <w:gridSpan w:val="14"/>
          </w:tcPr>
          <w:p>
            <w:pPr>
              <w:spacing w:after="0" w:line="142" w:lineRule="exact"/>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Inc., and GIP III Zephyr Acquisition Partners, L.P., and NRG Yield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4360" w:type="dxa"/>
            <w:vAlign w:val="bottom"/>
            <w:tcBorders>
              <w:top w:val="single" w:sz="8" w:color="0000FF"/>
            </w:tcBorders>
            <w:gridSpan w:val="9"/>
          </w:tcPr>
          <w:p>
            <w:pPr>
              <w:spacing w:after="0"/>
              <w:rPr>
                <w:rFonts w:ascii="Times New Roman" w:cs="Times New Roman" w:eastAsia="Times New Roman" w:hAnsi="Times New Roman"/>
                <w:sz w:val="16"/>
                <w:szCs w:val="16"/>
                <w:u w:val="single" w:color="auto"/>
                <w:color w:val="0000FF"/>
              </w:rPr>
            </w:pPr>
            <w:hyperlink r:id="rId284">
              <w:r>
                <w:rPr>
                  <w:rFonts w:ascii="Times New Roman" w:cs="Times New Roman" w:eastAsia="Times New Roman" w:hAnsi="Times New Roman"/>
                  <w:sz w:val="16"/>
                  <w:szCs w:val="16"/>
                  <w:u w:val="single" w:color="auto"/>
                  <w:color w:val="0000FF"/>
                </w:rPr>
                <w:t>Operating LLC (solely with respect to Sections E.5, E.6 and G.12).</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5040" w:type="dxa"/>
            <w:vAlign w:val="bottom"/>
            <w:gridSpan w:val="28"/>
            <w:vMerge w:val="restart"/>
          </w:tcPr>
          <w:p>
            <w:pPr>
              <w:spacing w:after="0"/>
              <w:rPr>
                <w:rFonts w:ascii="Times New Roman" w:cs="Times New Roman" w:eastAsia="Times New Roman" w:hAnsi="Times New Roman"/>
                <w:sz w:val="16"/>
                <w:szCs w:val="16"/>
                <w:color w:val="0000FF"/>
              </w:rPr>
            </w:pPr>
            <w:hyperlink r:id="rId285">
              <w:r>
                <w:rPr>
                  <w:rFonts w:ascii="Times New Roman" w:cs="Times New Roman" w:eastAsia="Times New Roman" w:hAnsi="Times New Roman"/>
                  <w:sz w:val="16"/>
                  <w:szCs w:val="16"/>
                  <w:color w:val="0000FF"/>
                </w:rPr>
                <w:t>Assignment and Assumption Agreement, effective as of February 26, 2019,</w:t>
              </w:r>
            </w:hyperlink>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504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4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285">
              <w:r>
                <w:rPr>
                  <w:rFonts w:ascii="Times New Roman" w:cs="Times New Roman" w:eastAsia="Times New Roman" w:hAnsi="Times New Roman"/>
                  <w:sz w:val="16"/>
                  <w:szCs w:val="16"/>
                  <w:color w:val="0000FF"/>
                </w:rPr>
                <w:t>among Clearway Energy Operating LLC and GIP III Zephyr Carlsbad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9"/>
              </w:rPr>
            </w:pPr>
            <w:hyperlink r:id="rId285">
              <w:r>
                <w:rPr>
                  <w:rFonts w:ascii="Times New Roman" w:cs="Times New Roman" w:eastAsia="Times New Roman" w:hAnsi="Times New Roman"/>
                  <w:sz w:val="16"/>
                  <w:szCs w:val="16"/>
                  <w:color w:val="0000FF"/>
                  <w:w w:val="99"/>
                </w:rPr>
                <w:t>Holdings, LLC.</w:t>
              </w:r>
            </w:hyperlink>
          </w:p>
        </w:tc>
        <w:tc>
          <w:tcPr>
            <w:tcW w:w="3520" w:type="dxa"/>
            <w:vAlign w:val="bottom"/>
            <w:tcBorders>
              <w:top w:val="single" w:sz="8" w:color="0000FF"/>
            </w:tcBorders>
            <w:gridSpan w:val="7"/>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5040" w:type="dxa"/>
            <w:vAlign w:val="bottom"/>
            <w:gridSpan w:val="28"/>
          </w:tcPr>
          <w:p>
            <w:pPr>
              <w:spacing w:after="0"/>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Amended and Restated Exchange Agreement, dated as of May 14, 2015,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6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and among NRG Energy, Inc., NRG Yield, Inc., and NRG Yield LLC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4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pursuant to a joinder thereto, dated as of August 31, 2018, Zephyr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28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Renewables LLC.</w:t>
              </w:r>
            </w:hyperlink>
          </w:p>
        </w:tc>
        <w:tc>
          <w:tcPr>
            <w:tcW w:w="42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00" w:type="dxa"/>
            <w:vAlign w:val="bottom"/>
            <w:tcBorders>
              <w:left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5040" w:type="dxa"/>
            <w:vAlign w:val="bottom"/>
            <w:gridSpan w:val="28"/>
          </w:tcPr>
          <w:p>
            <w:pPr>
              <w:spacing w:after="0"/>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Amended and Restated Registration Rights Agreement, dated as of May 14,</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00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2015, by and between NRG Energy, Inc. and NRG Yield, Inc. and, pursuant</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4980" w:type="dxa"/>
            <w:vAlign w:val="bottom"/>
            <w:tcBorders>
              <w:top w:val="single" w:sz="8" w:color="0000FF"/>
            </w:tcBorders>
            <w:gridSpan w:val="25"/>
          </w:tcPr>
          <w:p>
            <w:pPr>
              <w:spacing w:after="0" w:line="182" w:lineRule="exact"/>
              <w:rPr>
                <w:rFonts w:ascii="Times New Roman" w:cs="Times New Roman" w:eastAsia="Times New Roman" w:hAnsi="Times New Roman"/>
                <w:sz w:val="16"/>
                <w:szCs w:val="16"/>
                <w:u w:val="single" w:color="auto"/>
                <w:color w:val="0000FF"/>
              </w:rPr>
            </w:pPr>
            <w:hyperlink r:id="rId287">
              <w:r>
                <w:rPr>
                  <w:rFonts w:ascii="Times New Roman" w:cs="Times New Roman" w:eastAsia="Times New Roman" w:hAnsi="Times New Roman"/>
                  <w:sz w:val="16"/>
                  <w:szCs w:val="16"/>
                  <w:u w:val="single" w:color="auto"/>
                  <w:color w:val="0000FF"/>
                </w:rPr>
                <w:t>to a joinder thereto, dated as of August 31, 2018, Zephyr Renewables LLC.</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10.25*^</w:t>
            </w:r>
          </w:p>
        </w:tc>
        <w:tc>
          <w:tcPr>
            <w:tcW w:w="5040" w:type="dxa"/>
            <w:vAlign w:val="bottom"/>
            <w:gridSpan w:val="28"/>
          </w:tcPr>
          <w:p>
            <w:pPr>
              <w:spacing w:after="0" w:line="176" w:lineRule="exact"/>
              <w:rPr>
                <w:rFonts w:ascii="Times New Roman" w:cs="Times New Roman" w:eastAsia="Times New Roman" w:hAnsi="Times New Roman"/>
                <w:sz w:val="16"/>
                <w:szCs w:val="16"/>
                <w:color w:val="0000FF"/>
              </w:rPr>
            </w:pPr>
            <w:hyperlink r:id="rId288">
              <w:r>
                <w:rPr>
                  <w:rFonts w:ascii="Times New Roman" w:cs="Times New Roman" w:eastAsia="Times New Roman" w:hAnsi="Times New Roman"/>
                  <w:sz w:val="16"/>
                  <w:szCs w:val="16"/>
                  <w:color w:val="0000FF"/>
                </w:rPr>
                <w:t>Purchase and Sale Agreement, dated as of April 17, 2020, by and between</w:t>
              </w:r>
            </w:hyperlink>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4820" w:type="dxa"/>
            <w:vAlign w:val="bottom"/>
            <w:tcBorders>
              <w:top w:val="single" w:sz="8" w:color="0000FF"/>
            </w:tcBorders>
            <w:gridSpan w:val="17"/>
          </w:tcPr>
          <w:p>
            <w:pPr>
              <w:spacing w:after="0"/>
              <w:rPr>
                <w:rFonts w:ascii="Times New Roman" w:cs="Times New Roman" w:eastAsia="Times New Roman" w:hAnsi="Times New Roman"/>
                <w:sz w:val="16"/>
                <w:szCs w:val="16"/>
                <w:u w:val="single" w:color="auto"/>
                <w:color w:val="0000FF"/>
              </w:rPr>
            </w:pPr>
            <w:hyperlink r:id="rId288">
              <w:r>
                <w:rPr>
                  <w:rFonts w:ascii="Times New Roman" w:cs="Times New Roman" w:eastAsia="Times New Roman" w:hAnsi="Times New Roman"/>
                  <w:sz w:val="16"/>
                  <w:szCs w:val="16"/>
                  <w:u w:val="single" w:color="auto"/>
                  <w:color w:val="0000FF"/>
                </w:rPr>
                <w:t>Clearway Energy Operating LLC and Clearway Renew LLC.</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478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289">
              <w:r>
                <w:rPr>
                  <w:rFonts w:ascii="Times New Roman" w:cs="Times New Roman" w:eastAsia="Times New Roman" w:hAnsi="Times New Roman"/>
                  <w:sz w:val="16"/>
                  <w:szCs w:val="16"/>
                  <w:color w:val="0000FF"/>
                </w:rPr>
                <w:t>Membership Interest Purchase Agreement, dated as of April 17, 2020, by</w:t>
              </w:r>
            </w:hyperlink>
          </w:p>
        </w:tc>
        <w:tc>
          <w:tcPr>
            <w:tcW w:w="2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5040" w:type="dxa"/>
            <w:vAlign w:val="bottom"/>
            <w:gridSpan w:val="28"/>
          </w:tcPr>
          <w:p>
            <w:pPr>
              <w:spacing w:after="0"/>
              <w:rPr>
                <w:rFonts w:ascii="Times New Roman" w:cs="Times New Roman" w:eastAsia="Times New Roman" w:hAnsi="Times New Roman"/>
                <w:sz w:val="16"/>
                <w:szCs w:val="16"/>
                <w:u w:val="single" w:color="auto"/>
                <w:color w:val="0000FF"/>
              </w:rPr>
            </w:pPr>
            <w:hyperlink r:id="rId289">
              <w:r>
                <w:rPr>
                  <w:rFonts w:ascii="Times New Roman" w:cs="Times New Roman" w:eastAsia="Times New Roman" w:hAnsi="Times New Roman"/>
                  <w:sz w:val="16"/>
                  <w:szCs w:val="16"/>
                  <w:u w:val="single" w:color="auto"/>
                  <w:color w:val="0000FF"/>
                </w:rPr>
                <w:t>and between Clearway Energy Operating LLC and SP Wind Holdings, LLC.</w:t>
              </w:r>
            </w:hyperlink>
          </w:p>
        </w:tc>
        <w:tc>
          <w:tcPr>
            <w:tcW w:w="0" w:type="dxa"/>
            <w:vAlign w:val="bottom"/>
          </w:tcPr>
          <w:p>
            <w:pPr>
              <w:spacing w:after="0"/>
              <w:rPr>
                <w:sz w:val="1"/>
                <w:szCs w:val="1"/>
                <w:color w:val="auto"/>
              </w:rPr>
            </w:pPr>
          </w:p>
        </w:tc>
      </w:tr>
      <w:tr>
        <w:trPr>
          <w:trHeight w:val="31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5040" w:type="dxa"/>
            <w:vAlign w:val="bottom"/>
            <w:gridSpan w:val="28"/>
          </w:tcPr>
          <w:p>
            <w:pPr>
              <w:spacing w:after="0"/>
              <w:rPr>
                <w:rFonts w:ascii="Times New Roman" w:cs="Times New Roman" w:eastAsia="Times New Roman" w:hAnsi="Times New Roman"/>
                <w:sz w:val="16"/>
                <w:szCs w:val="16"/>
                <w:color w:val="0000FF"/>
              </w:rPr>
            </w:pPr>
            <w:hyperlink r:id="rId290">
              <w:r>
                <w:rPr>
                  <w:rFonts w:ascii="Times New Roman" w:cs="Times New Roman" w:eastAsia="Times New Roman" w:hAnsi="Times New Roman"/>
                  <w:sz w:val="16"/>
                  <w:szCs w:val="16"/>
                  <w:color w:val="0000FF"/>
                </w:rPr>
                <w:t>Membership Interest Purchase Agreement, dated as of April 17, 2020,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8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w w:val="99"/>
              </w:rPr>
            </w:pPr>
            <w:hyperlink r:id="rId290">
              <w:r>
                <w:rPr>
                  <w:rFonts w:ascii="Times New Roman" w:cs="Times New Roman" w:eastAsia="Times New Roman" w:hAnsi="Times New Roman"/>
                  <w:sz w:val="16"/>
                  <w:szCs w:val="16"/>
                  <w:color w:val="0000FF"/>
                  <w:w w:val="99"/>
                </w:rPr>
                <w:t>and between CWSP Wildorado Elbow Holding LLC and Wind TE Holdco</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60" w:type="dxa"/>
            <w:vAlign w:val="bottom"/>
            <w:gridSpan w:val="19"/>
          </w:tcPr>
          <w:p>
            <w:pPr>
              <w:spacing w:after="0" w:line="142" w:lineRule="exact"/>
              <w:rPr>
                <w:rFonts w:ascii="Times New Roman" w:cs="Times New Roman" w:eastAsia="Times New Roman" w:hAnsi="Times New Roman"/>
                <w:sz w:val="16"/>
                <w:szCs w:val="16"/>
                <w:color w:val="0000FF"/>
              </w:rPr>
            </w:pPr>
            <w:hyperlink r:id="rId290">
              <w:r>
                <w:rPr>
                  <w:rFonts w:ascii="Times New Roman" w:cs="Times New Roman" w:eastAsia="Times New Roman" w:hAnsi="Times New Roman"/>
                  <w:sz w:val="16"/>
                  <w:szCs w:val="16"/>
                  <w:color w:val="0000FF"/>
                </w:rPr>
                <w:t>LLC.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5040" w:type="dxa"/>
            <w:vAlign w:val="bottom"/>
            <w:gridSpan w:val="28"/>
          </w:tcPr>
          <w:p>
            <w:pPr>
              <w:spacing w:after="0"/>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Membership Interest Purchase Agreement, dated as of December 21, 2020,</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by and between Renew Development HoldCo LLC and Rosamond Solar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0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Investment LLC.</w:t>
              </w:r>
            </w:hyperlink>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5040" w:type="dxa"/>
            <w:vAlign w:val="bottom"/>
            <w:gridSpan w:val="28"/>
          </w:tcPr>
          <w:p>
            <w:pPr>
              <w:spacing w:after="0"/>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Membership Interest Purchase Agreement, dated as of December 21, 2020,</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by and between Clearway Renew LLC and Lighthouse Renewable Class A</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LLC.</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5040" w:type="dxa"/>
            <w:vAlign w:val="bottom"/>
            <w:gridSpan w:val="28"/>
          </w:tcPr>
          <w:p>
            <w:pPr>
              <w:spacing w:after="0"/>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Membership Interest Purchase Agreement, dated as of December 21, 2020,</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by and between Clearway Renew LLC and Lighthouse Renewable Class A</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LLC.</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5040" w:type="dxa"/>
            <w:vAlign w:val="bottom"/>
            <w:gridSpan w:val="28"/>
          </w:tcPr>
          <w:p>
            <w:pPr>
              <w:spacing w:after="0"/>
              <w:rPr>
                <w:rFonts w:ascii="Times New Roman" w:cs="Times New Roman" w:eastAsia="Times New Roman" w:hAnsi="Times New Roman"/>
                <w:sz w:val="16"/>
                <w:szCs w:val="16"/>
                <w:color w:val="0000FF"/>
              </w:rPr>
            </w:pPr>
            <w:hyperlink w:anchor="page211">
              <w:r>
                <w:rPr>
                  <w:rFonts w:ascii="Times New Roman" w:cs="Times New Roman" w:eastAsia="Times New Roman" w:hAnsi="Times New Roman"/>
                  <w:sz w:val="16"/>
                  <w:szCs w:val="16"/>
                  <w:color w:val="0000FF"/>
                </w:rPr>
                <w:t>Second Amended and Restated Limited Liability Company Agreement of</w:t>
              </w:r>
            </w:hyperlink>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4800" w:type="dxa"/>
            <w:vAlign w:val="bottom"/>
            <w:tcBorders>
              <w:top w:val="single" w:sz="8" w:color="0000FF"/>
            </w:tcBorders>
            <w:gridSpan w:val="16"/>
          </w:tcPr>
          <w:p>
            <w:pPr>
              <w:spacing w:after="0" w:line="182" w:lineRule="exact"/>
              <w:rPr>
                <w:rFonts w:ascii="Times New Roman" w:cs="Times New Roman" w:eastAsia="Times New Roman" w:hAnsi="Times New Roman"/>
                <w:sz w:val="16"/>
                <w:szCs w:val="16"/>
                <w:u w:val="single" w:color="auto"/>
                <w:color w:val="0000FF"/>
              </w:rPr>
            </w:pPr>
            <w:hyperlink w:anchor="page211">
              <w:r>
                <w:rPr>
                  <w:rFonts w:ascii="Times New Roman" w:cs="Times New Roman" w:eastAsia="Times New Roman" w:hAnsi="Times New Roman"/>
                  <w:sz w:val="16"/>
                  <w:szCs w:val="16"/>
                  <w:u w:val="single" w:color="auto"/>
                  <w:color w:val="0000FF"/>
                </w:rPr>
                <w:t>Pinnacle Repowering Partnership LLC, dated as of February 26, 2021.</w:t>
              </w:r>
            </w:hyperlink>
          </w:p>
        </w:tc>
        <w:tc>
          <w:tcPr>
            <w:tcW w:w="2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5040" w:type="dxa"/>
            <w:vAlign w:val="bottom"/>
            <w:gridSpan w:val="28"/>
          </w:tcPr>
          <w:p>
            <w:pPr>
              <w:spacing w:after="0"/>
              <w:rPr>
                <w:rFonts w:ascii="Times New Roman" w:cs="Times New Roman" w:eastAsia="Times New Roman" w:hAnsi="Times New Roman"/>
                <w:sz w:val="16"/>
                <w:szCs w:val="16"/>
                <w:u w:val="single" w:color="auto"/>
                <w:color w:val="0000FF"/>
              </w:rPr>
            </w:pPr>
            <w:hyperlink w:anchor="page292">
              <w:r>
                <w:rPr>
                  <w:rFonts w:ascii="Times New Roman" w:cs="Times New Roman" w:eastAsia="Times New Roman" w:hAnsi="Times New Roman"/>
                  <w:sz w:val="16"/>
                  <w:szCs w:val="16"/>
                  <w:u w:val="single" w:color="auto"/>
                  <w:color w:val="0000FF"/>
                </w:rPr>
                <w:t>Subsidiaries of Clearway Energy, Inc.</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5040" w:type="dxa"/>
            <w:vAlign w:val="bottom"/>
            <w:gridSpan w:val="28"/>
          </w:tcPr>
          <w:p>
            <w:pPr>
              <w:spacing w:after="0"/>
              <w:rPr>
                <w:rFonts w:ascii="Times New Roman" w:cs="Times New Roman" w:eastAsia="Times New Roman" w:hAnsi="Times New Roman"/>
                <w:sz w:val="16"/>
                <w:szCs w:val="16"/>
                <w:color w:val="0000FF"/>
              </w:rPr>
            </w:pPr>
            <w:hyperlink w:anchor="page303">
              <w:r>
                <w:rPr>
                  <w:rFonts w:ascii="Times New Roman" w:cs="Times New Roman" w:eastAsia="Times New Roman" w:hAnsi="Times New Roman"/>
                  <w:sz w:val="16"/>
                  <w:szCs w:val="16"/>
                  <w:u w:val="single" w:color="auto"/>
                  <w:color w:val="0000FF"/>
                </w:rPr>
                <w:t>Consent of KPMG LLP</w:t>
              </w:r>
              <w:r>
                <w:rPr>
                  <w:rFonts w:ascii="Times New Roman" w:cs="Times New Roman" w:eastAsia="Times New Roman" w:hAnsi="Times New Roman"/>
                  <w:sz w:val="16"/>
                  <w:szCs w:val="16"/>
                  <w:color w:val="0000FF"/>
                </w:rPr>
                <w:t>.</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5040" w:type="dxa"/>
            <w:vAlign w:val="bottom"/>
            <w:gridSpan w:val="28"/>
          </w:tcPr>
          <w:p>
            <w:pPr>
              <w:spacing w:after="0"/>
              <w:rPr>
                <w:rFonts w:ascii="Times New Roman" w:cs="Times New Roman" w:eastAsia="Times New Roman" w:hAnsi="Times New Roman"/>
                <w:sz w:val="16"/>
                <w:szCs w:val="16"/>
                <w:u w:val="single" w:color="auto"/>
                <w:color w:val="0000FF"/>
              </w:rPr>
            </w:pPr>
            <w:hyperlink w:anchor="page155">
              <w:r>
                <w:rPr>
                  <w:rFonts w:ascii="Times New Roman" w:cs="Times New Roman" w:eastAsia="Times New Roman" w:hAnsi="Times New Roman"/>
                  <w:sz w:val="16"/>
                  <w:szCs w:val="16"/>
                  <w:u w:val="single" w:color="auto"/>
                  <w:color w:val="0000FF"/>
                </w:rPr>
                <w:t>Power of Attorney</w:t>
              </w:r>
            </w:hyperlink>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040" w:type="dxa"/>
            <w:vAlign w:val="bottom"/>
            <w:gridSpan w:val="28"/>
          </w:tcPr>
          <w:p>
            <w:pPr>
              <w:spacing w:after="0"/>
              <w:rPr>
                <w:rFonts w:ascii="Times New Roman" w:cs="Times New Roman" w:eastAsia="Times New Roman" w:hAnsi="Times New Roman"/>
                <w:sz w:val="16"/>
                <w:szCs w:val="16"/>
                <w:u w:val="single" w:color="auto"/>
                <w:color w:val="0000FF"/>
              </w:rPr>
            </w:pPr>
            <w:hyperlink w:anchor="page304">
              <w:r>
                <w:rPr>
                  <w:rFonts w:ascii="Times New Roman" w:cs="Times New Roman" w:eastAsia="Times New Roman" w:hAnsi="Times New Roman"/>
                  <w:sz w:val="16"/>
                  <w:szCs w:val="16"/>
                  <w:u w:val="single" w:color="auto"/>
                  <w:color w:val="0000FF"/>
                </w:rPr>
                <w:t>Rule 13a-14(a)/15d-14(a) certification of Christopher S. Sotos.</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040" w:type="dxa"/>
            <w:vAlign w:val="bottom"/>
            <w:gridSpan w:val="28"/>
          </w:tcPr>
          <w:p>
            <w:pPr>
              <w:spacing w:after="0"/>
              <w:rPr>
                <w:rFonts w:ascii="Times New Roman" w:cs="Times New Roman" w:eastAsia="Times New Roman" w:hAnsi="Times New Roman"/>
                <w:sz w:val="16"/>
                <w:szCs w:val="16"/>
                <w:u w:val="single" w:color="auto"/>
                <w:color w:val="0000FF"/>
              </w:rPr>
            </w:pPr>
            <w:hyperlink w:anchor="page305">
              <w:r>
                <w:rPr>
                  <w:rFonts w:ascii="Times New Roman" w:cs="Times New Roman" w:eastAsia="Times New Roman" w:hAnsi="Times New Roman"/>
                  <w:sz w:val="16"/>
                  <w:szCs w:val="16"/>
                  <w:u w:val="single" w:color="auto"/>
                  <w:color w:val="0000FF"/>
                </w:rPr>
                <w:t>Rule 13a-14(a)/15d-14(a) certification of Chad Plotkin.</w:t>
              </w:r>
            </w:hyperlink>
          </w:p>
        </w:tc>
        <w:tc>
          <w:tcPr>
            <w:tcW w:w="0" w:type="dxa"/>
            <w:vAlign w:val="bottom"/>
          </w:tcPr>
          <w:p>
            <w:pPr>
              <w:spacing w:after="0"/>
              <w:rPr>
                <w:sz w:val="1"/>
                <w:szCs w:val="1"/>
                <w:color w:val="auto"/>
              </w:rPr>
            </w:pPr>
          </w:p>
        </w:tc>
      </w:tr>
      <w:tr>
        <w:trPr>
          <w:trHeight w:val="182"/>
        </w:trPr>
        <w:tc>
          <w:tcPr>
            <w:tcW w:w="9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31.3</w:t>
            </w:r>
          </w:p>
        </w:tc>
        <w:tc>
          <w:tcPr>
            <w:tcW w:w="5040" w:type="dxa"/>
            <w:vAlign w:val="bottom"/>
            <w:gridSpan w:val="28"/>
          </w:tcPr>
          <w:p>
            <w:pPr>
              <w:spacing w:after="0" w:line="181" w:lineRule="exact"/>
              <w:rPr>
                <w:rFonts w:ascii="Times New Roman" w:cs="Times New Roman" w:eastAsia="Times New Roman" w:hAnsi="Times New Roman"/>
                <w:sz w:val="16"/>
                <w:szCs w:val="16"/>
                <w:color w:val="0000FF"/>
              </w:rPr>
            </w:pPr>
            <w:hyperlink w:anchor="page306">
              <w:r>
                <w:rPr>
                  <w:rFonts w:ascii="Times New Roman" w:cs="Times New Roman" w:eastAsia="Times New Roman" w:hAnsi="Times New Roman"/>
                  <w:sz w:val="16"/>
                  <w:szCs w:val="16"/>
                  <w:u w:val="single" w:color="auto"/>
                  <w:color w:val="0000FF"/>
                </w:rPr>
                <w:t>Rule 13a-14(a)/15d-14(a) certification of</w:t>
              </w:r>
              <w:r>
                <w:rPr>
                  <w:rFonts w:ascii="Times New Roman" w:cs="Times New Roman" w:eastAsia="Times New Roman" w:hAnsi="Times New Roman"/>
                  <w:sz w:val="16"/>
                  <w:szCs w:val="16"/>
                  <w:color w:val="0000FF"/>
                </w:rPr>
                <w:t xml:space="preserve"> Sarah </w:t>
              </w:r>
            </w:hyperlink>
            <w:r>
              <w:rPr>
                <w:rFonts w:ascii="Times New Roman" w:cs="Times New Roman" w:eastAsia="Times New Roman" w:hAnsi="Times New Roman"/>
                <w:sz w:val="16"/>
                <w:szCs w:val="16"/>
                <w:color w:val="0000FF"/>
              </w:rPr>
              <w:t>Rubenstein.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900" w:hanging="894"/>
        <w:spacing w:after="0"/>
        <w:tabs>
          <w:tab w:leader="none" w:pos="900" w:val="left"/>
        </w:tabs>
        <w:numPr>
          <w:ilvl w:val="0"/>
          <w:numId w:val="59"/>
        </w:numPr>
        <w:rPr>
          <w:rFonts w:ascii="Times New Roman" w:cs="Times New Roman" w:eastAsia="Times New Roman" w:hAnsi="Times New Roman"/>
          <w:sz w:val="16"/>
          <w:szCs w:val="16"/>
          <w:u w:val="single" w:color="auto"/>
          <w:color w:val="0000FF"/>
        </w:rPr>
      </w:pPr>
      <w:hyperlink w:anchor="page307">
        <w:r>
          <w:rPr>
            <w:rFonts w:ascii="Times New Roman" w:cs="Times New Roman" w:eastAsia="Times New Roman" w:hAnsi="Times New Roman"/>
            <w:sz w:val="16"/>
            <w:szCs w:val="16"/>
            <w:u w:val="single" w:color="auto"/>
            <w:color w:val="0000FF"/>
          </w:rPr>
          <w:t>Section 1350 Certification.</w:t>
        </w:r>
      </w:hyperlink>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w:t>
            </w:r>
          </w:p>
        </w:tc>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SCH</w:t>
            </w:r>
          </w:p>
        </w:tc>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w:t>
            </w:r>
          </w:p>
        </w:tc>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w:t>
            </w:r>
          </w:p>
        </w:tc>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w:t>
            </w:r>
          </w:p>
        </w:tc>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bl>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pacing w:after="0" w:line="345" w:lineRule="exact"/>
        <w:rPr>
          <w:sz w:val="20"/>
          <w:szCs w:val="20"/>
          <w:color w:val="auto"/>
        </w:rPr>
      </w:pPr>
    </w:p>
    <w:p>
      <w:pPr>
        <w:ind w:right="819"/>
        <w:spacing w:after="0" w:line="232" w:lineRule="auto"/>
        <w:rPr>
          <w:sz w:val="20"/>
          <w:szCs w:val="20"/>
          <w:color w:val="auto"/>
        </w:rPr>
      </w:pPr>
      <w:r>
        <w:rPr>
          <w:rFonts w:ascii="Times New Roman" w:cs="Times New Roman" w:eastAsia="Times New Roman" w:hAnsi="Times New Roman"/>
          <w:sz w:val="16"/>
          <w:szCs w:val="16"/>
          <w:color w:val="auto"/>
        </w:rPr>
        <w:t>Incorporated by reference to Exhibit 10.34 to the Company's Annual Report on Form 10-K, filed on March 1, 2018.</w:t>
      </w:r>
    </w:p>
    <w:p>
      <w:pPr>
        <w:spacing w:after="0" w:line="344" w:lineRule="exact"/>
        <w:rPr>
          <w:sz w:val="20"/>
          <w:szCs w:val="20"/>
          <w:color w:val="auto"/>
        </w:rPr>
      </w:pPr>
    </w:p>
    <w:p>
      <w:pPr>
        <w:ind w:right="47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10.30 to the Company's Annual Report on Form 10-K filed on February 28, 2019.</w:t>
      </w:r>
    </w:p>
    <w:p>
      <w:pPr>
        <w:spacing w:after="0" w:line="87" w:lineRule="exact"/>
        <w:rPr>
          <w:sz w:val="20"/>
          <w:szCs w:val="20"/>
          <w:color w:val="auto"/>
        </w:rPr>
      </w:pPr>
    </w:p>
    <w:p>
      <w:pPr>
        <w:jc w:val="both"/>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May 15, 2015.</w:t>
      </w:r>
    </w:p>
    <w:p>
      <w:pPr>
        <w:spacing w:after="0" w:line="168" w:lineRule="exact"/>
        <w:rPr>
          <w:sz w:val="20"/>
          <w:szCs w:val="20"/>
          <w:color w:val="auto"/>
        </w:rPr>
      </w:pPr>
    </w:p>
    <w:p>
      <w:pPr>
        <w:jc w:val="both"/>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10.2 to the Company's Current Report on Form 8-K filed on May 15, 2015.</w:t>
      </w:r>
    </w:p>
    <w:p>
      <w:pPr>
        <w:spacing w:after="0" w:line="6" w:lineRule="exact"/>
        <w:rPr>
          <w:sz w:val="20"/>
          <w:szCs w:val="20"/>
          <w:color w:val="auto"/>
        </w:rPr>
      </w:pPr>
    </w:p>
    <w:p>
      <w:pPr>
        <w:jc w:val="both"/>
        <w:ind w:right="5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April 20, 2020.</w:t>
      </w:r>
    </w:p>
    <w:p>
      <w:pPr>
        <w:spacing w:after="0" w:line="6" w:lineRule="exact"/>
        <w:rPr>
          <w:sz w:val="20"/>
          <w:szCs w:val="20"/>
          <w:color w:val="auto"/>
        </w:rPr>
      </w:pPr>
    </w:p>
    <w:p>
      <w:pPr>
        <w:jc w:val="both"/>
        <w:ind w:right="5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10.2 to the Company's Current Report on Form 8-K filed on April 20, 2020.</w:t>
      </w:r>
    </w:p>
    <w:p>
      <w:pPr>
        <w:spacing w:after="0" w:line="6" w:lineRule="exact"/>
        <w:rPr>
          <w:sz w:val="20"/>
          <w:szCs w:val="20"/>
          <w:color w:val="auto"/>
        </w:rPr>
      </w:pPr>
    </w:p>
    <w:p>
      <w:pPr>
        <w:jc w:val="both"/>
        <w:ind w:right="53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10.3 to the Company's Current Report on Form 8-K filed on April 20, 2020.</w:t>
      </w:r>
    </w:p>
    <w:p>
      <w:pPr>
        <w:spacing w:after="0" w:line="6"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December 22, 2020.</w:t>
      </w:r>
    </w:p>
    <w:p>
      <w:pPr>
        <w:spacing w:after="0" w:line="6"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10.2 to the Company's Current Report on Form 8-K filed on December 22, 2020.</w:t>
      </w:r>
    </w:p>
    <w:p>
      <w:pPr>
        <w:spacing w:after="0" w:line="6"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10.3 to the Company's Current Report on Form 8-K filed on December 22, 2020.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right="459"/>
        <w:spacing w:after="0" w:line="245" w:lineRule="auto"/>
        <w:rPr>
          <w:sz w:val="20"/>
          <w:szCs w:val="20"/>
          <w:color w:val="auto"/>
        </w:rPr>
      </w:pPr>
      <w:r>
        <w:rPr>
          <w:rFonts w:ascii="Times New Roman" w:cs="Times New Roman" w:eastAsia="Times New Roman" w:hAnsi="Times New Roman"/>
          <w:sz w:val="16"/>
          <w:szCs w:val="16"/>
          <w:color w:val="auto"/>
        </w:rPr>
        <w:t>Included on the signature page of this Annual Report on Form 10-K.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26" w:lineRule="exact"/>
        <w:rPr>
          <w:sz w:val="20"/>
          <w:szCs w:val="20"/>
          <w:color w:val="auto"/>
        </w:rPr>
      </w:pPr>
    </w:p>
    <w:p>
      <w:pPr>
        <w:sectPr>
          <w:pgSz w:w="11900" w:h="16838" w:orient="portrait"/>
          <w:cols w:equalWidth="0" w:num="2">
            <w:col w:w="5860" w:space="160"/>
            <w:col w:w="4099"/>
          </w:cols>
          <w:pgMar w:left="340" w:top="936"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936" w:right="1440" w:bottom="1440" w:gutter="0" w:footer="0" w:header="0"/>
          <w:type w:val="continuous"/>
        </w:sectPr>
      </w:pPr>
    </w:p>
    <w:bookmarkStart w:id="152" w:name="page153"/>
    <w:bookmarkEnd w:id="152"/>
    <w:p>
      <w:pPr>
        <w:spacing w:after="0"/>
        <w:tabs>
          <w:tab w:leader="none" w:pos="880" w:val="left"/>
          <w:tab w:leader="none" w:pos="6000" w:val="left"/>
        </w:tabs>
        <w:rPr>
          <w:sz w:val="20"/>
          <w:szCs w:val="20"/>
          <w:color w:val="auto"/>
        </w:rPr>
      </w:pPr>
      <w:r>
        <w:rPr>
          <w:rFonts w:ascii="Times New Roman" w:cs="Times New Roman" w:eastAsia="Times New Roman" w:hAnsi="Times New Roman"/>
          <w:sz w:val="16"/>
          <w:szCs w:val="16"/>
          <w:color w:val="auto"/>
        </w:rPr>
        <w:t>101 PRE</w:t>
      </w:r>
      <w:r>
        <w:rPr>
          <w:sz w:val="20"/>
          <w:szCs w:val="20"/>
          <w:color w:val="auto"/>
        </w:rPr>
        <w:tab/>
      </w:r>
      <w:r>
        <w:rPr>
          <w:rFonts w:ascii="Times New Roman" w:cs="Times New Roman" w:eastAsia="Times New Roman" w:hAnsi="Times New Roman"/>
          <w:sz w:val="16"/>
          <w:szCs w:val="16"/>
          <w:color w:val="auto"/>
        </w:rPr>
        <w:t>Inline XBRL Taxonomy Extension Presentation Linkbase.</w:t>
      </w:r>
      <w:r>
        <w:rPr>
          <w:sz w:val="20"/>
          <w:szCs w:val="20"/>
          <w:color w:val="auto"/>
        </w:rPr>
        <w:tab/>
      </w: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900" w:right="5280" w:hanging="894"/>
        <w:spacing w:after="0" w:line="232" w:lineRule="auto"/>
        <w:tabs>
          <w:tab w:leader="none" w:pos="9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interactive date file does not appear in Exhibit 104 because its Inline XBRL tags are embedded within the Inline XBRL document)</w:t>
      </w:r>
    </w:p>
    <w:p>
      <w:pPr>
        <w:spacing w:after="0" w:line="384" w:lineRule="exact"/>
        <w:rPr>
          <w:sz w:val="20"/>
          <w:szCs w:val="20"/>
          <w:color w:val="auto"/>
        </w:rPr>
      </w:pPr>
    </w:p>
    <w:p>
      <w:pPr>
        <w:ind w:left="680" w:hanging="674"/>
        <w:spacing w:after="0"/>
        <w:tabs>
          <w:tab w:leader="none" w:pos="6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exhibits that constitute compensatory plans or arrangements.</w:t>
      </w:r>
    </w:p>
    <w:p>
      <w:pPr>
        <w:spacing w:after="0" w:line="32" w:lineRule="exact"/>
        <w:rPr>
          <w:sz w:val="20"/>
          <w:szCs w:val="20"/>
          <w:color w:val="auto"/>
        </w:rPr>
      </w:pPr>
    </w:p>
    <w:p>
      <w:pPr>
        <w:ind w:left="680" w:hanging="674"/>
        <w:spacing w:after="0" w:line="245" w:lineRule="auto"/>
        <w:tabs>
          <w:tab w:leader="none" w:pos="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2" w:lineRule="exact"/>
        <w:rPr>
          <w:sz w:val="20"/>
          <w:szCs w:val="20"/>
          <w:color w:val="auto"/>
        </w:rPr>
      </w:pPr>
    </w:p>
    <w:p>
      <w:pPr>
        <w:ind w:left="680" w:right="120" w:hanging="674"/>
        <w:spacing w:after="0" w:line="245" w:lineRule="auto"/>
        <w:tabs>
          <w:tab w:leader="none" w:pos="6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in this exhibit identified by the mark “[***]” is confidential and has been excluded pursuant to Item 601(b)(10)(iv) of Regulation S-K because it (i) is not material and (ii) would likely cause competitive harm to the Registrant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936" w:right="3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Item 16 —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2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CLEARWAY ENERGY, INC.</w:t>
      </w:r>
    </w:p>
    <w:p>
      <w:pPr>
        <w:ind w:left="6700"/>
        <w:spacing w:after="0"/>
        <w:rPr>
          <w:sz w:val="20"/>
          <w:szCs w:val="20"/>
          <w:color w:val="auto"/>
        </w:rPr>
      </w:pPr>
      <w:r>
        <w:rPr>
          <w:rFonts w:ascii="Times New Roman" w:cs="Times New Roman" w:eastAsia="Times New Roman" w:hAnsi="Times New Roman"/>
          <w:sz w:val="18"/>
          <w:szCs w:val="18"/>
          <w:color w:val="auto"/>
        </w:rPr>
        <w:t>(Registrant)</w:t>
      </w:r>
    </w:p>
    <w:p>
      <w:pPr>
        <w:spacing w:after="0" w:line="25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1170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ind w:left="6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Christopher S. Sotos, Kevin P. Malcarney and Michael A. Brown,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3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887" w:right="339" w:bottom="1440" w:gutter="0" w:footer="0" w:header="0"/>
        </w:sectPr>
      </w:pPr>
    </w:p>
    <w:p>
      <w:pPr>
        <w:spacing w:after="0" w:line="1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22288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9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2288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2288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0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Chad Plotkin</w:t>
      </w:r>
    </w:p>
    <w:p>
      <w:pPr>
        <w:spacing w:after="0" w:line="17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2288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0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7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2288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0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Jonathan Bram</w:t>
      </w:r>
    </w:p>
    <w:p>
      <w:pPr>
        <w:spacing w:after="0" w:line="17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22288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4">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Nathaniel Anschuetz</w:t>
      </w:r>
    </w:p>
    <w:p>
      <w:pPr>
        <w:spacing w:after="0" w:line="17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 BRIAN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2288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Brian Ford</w:t>
      </w:r>
    </w:p>
    <w:p>
      <w:pPr>
        <w:spacing w:after="0" w:line="15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2288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6">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Bruce MacLennan</w:t>
      </w:r>
    </w:p>
    <w:p>
      <w:pPr>
        <w:spacing w:after="0" w:line="17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FERRELL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2288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Ferrell McClean</w:t>
      </w:r>
    </w:p>
    <w:p>
      <w:pPr>
        <w:spacing w:after="0" w:line="11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2288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8">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Daniel B. More</w:t>
      </w:r>
    </w:p>
    <w:p>
      <w:pPr>
        <w:spacing w:after="0" w:line="15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2288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9">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E. Stanley O'Neal</w:t>
      </w:r>
    </w:p>
    <w:p>
      <w:pPr>
        <w:spacing w:after="0" w:line="17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SCOTT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2288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Scott Stanley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19685</wp:posOffset>
            </wp:positionV>
            <wp:extent cx="33515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50"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7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Vice President, Accounting &amp; Controller</w:t>
      </w:r>
    </w:p>
    <w:p>
      <w:pPr>
        <w:spacing w:after="0" w:line="50"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2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22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19685</wp:posOffset>
            </wp:positionV>
            <wp:extent cx="13887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402" w:lineRule="exact"/>
        <w:rPr>
          <w:sz w:val="20"/>
          <w:szCs w:val="20"/>
          <w:color w:val="auto"/>
        </w:rPr>
      </w:pPr>
    </w:p>
    <w:p>
      <w:pPr>
        <w:sectPr>
          <w:pgSz w:w="11900" w:h="16838" w:orient="portrait"/>
          <w:cols w:equalWidth="0" w:num="3">
            <w:col w:w="3840" w:space="720"/>
            <w:col w:w="4320" w:space="720"/>
            <w:col w:w="164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887" w:right="339" w:bottom="1440" w:gutter="0" w:footer="0" w:header="0"/>
          <w:type w:val="continuous"/>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4.43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2020, Clearway Energy, Inc. (the “</w:t>
      </w: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Clearway Inc</w:t>
      </w:r>
      <w:r>
        <w:rPr>
          <w:rFonts w:ascii="Times New Roman" w:cs="Times New Roman" w:eastAsia="Times New Roman" w:hAnsi="Times New Roman"/>
          <w:sz w:val="18"/>
          <w:szCs w:val="18"/>
          <w:color w:val="auto"/>
        </w:rPr>
        <w:t>.”) had two classes of securities registered under Section 12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(i) Common Stock, Class A, par value $0.01 per share, and (ii) Common Stock, Class C, par value $0.01 per share. In addition, Clearway Energy Operating LLC (“</w:t>
      </w:r>
      <w:r>
        <w:rPr>
          <w:rFonts w:ascii="Times New Roman" w:cs="Times New Roman" w:eastAsia="Times New Roman" w:hAnsi="Times New Roman"/>
          <w:sz w:val="18"/>
          <w:szCs w:val="18"/>
          <w:i w:val="1"/>
          <w:iCs w:val="1"/>
          <w:color w:val="auto"/>
        </w:rPr>
        <w:t>Clearway Operating LLC</w:t>
      </w:r>
      <w:r>
        <w:rPr>
          <w:rFonts w:ascii="Times New Roman" w:cs="Times New Roman" w:eastAsia="Times New Roman" w:hAnsi="Times New Roman"/>
          <w:sz w:val="18"/>
          <w:szCs w:val="18"/>
          <w:color w:val="auto"/>
        </w:rPr>
        <w:t>”), a wholly owned subsidiary of Clearway Energy LLC (“</w:t>
      </w:r>
      <w:r>
        <w:rPr>
          <w:rFonts w:ascii="Times New Roman" w:cs="Times New Roman" w:eastAsia="Times New Roman" w:hAnsi="Times New Roman"/>
          <w:sz w:val="18"/>
          <w:szCs w:val="18"/>
          <w:i w:val="1"/>
          <w:iCs w:val="1"/>
          <w:color w:val="auto"/>
        </w:rPr>
        <w:t>Clearway LLC</w:t>
      </w:r>
      <w:r>
        <w:rPr>
          <w:rFonts w:ascii="Times New Roman" w:cs="Times New Roman" w:eastAsia="Times New Roman" w:hAnsi="Times New Roman"/>
          <w:sz w:val="18"/>
          <w:szCs w:val="18"/>
          <w:color w:val="auto"/>
        </w:rPr>
        <w:t>”), which is a direct subsidiary of Clearway Inc., had two classes of securities registered under Section 12 of the Exchange Act as of December 31, 2020: (i) 5.750% unsecured senior notes due 2025 and (ii) 5.00% unsecured senior notes due 2026 (collectively, the “</w:t>
      </w:r>
      <w:r>
        <w:rPr>
          <w:rFonts w:ascii="Times New Roman" w:cs="Times New Roman" w:eastAsia="Times New Roman" w:hAnsi="Times New Roman"/>
          <w:sz w:val="18"/>
          <w:szCs w:val="18"/>
          <w:i w:val="1"/>
          <w:iCs w:val="1"/>
          <w:color w:val="auto"/>
        </w:rPr>
        <w:t>Clearway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LLC Senior Notes</w:t>
      </w:r>
      <w:r>
        <w:rPr>
          <w:rFonts w:ascii="Times New Roman" w:cs="Times New Roman" w:eastAsia="Times New Roman" w:hAnsi="Times New Roman"/>
          <w:sz w:val="18"/>
          <w:szCs w:val="18"/>
          <w:color w:val="auto"/>
        </w:rPr>
        <w:t>”). A description of the Clearway Operating LLC Senior Notes is incorporated herein by reference to Exhibit 4.37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of Clearway LLC.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Clearway Inc.’s Capital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of Clearway Inc.’s common stock is a summary and does not purport to be complete. It is subject to and qualified in its entirety by reference to Clearway Inc.’s amended and restated certificate of incorporation, and Clearway Inc.’s fourth amended and restated bylaws, which are exhibits to this Annual Report on Form 10-K and are incorporated by reference herein. The following description may not contain all of the information that is important to you. To understand them fully, you should read Clearway Inc.’s amended and restated certificate of incorporation, and Clearway Inc.’s fourth amended and restated bylaws and the applicable provisions of the Delaware General Corporation Law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authorized capital stock consists, as of December 31, 2020, of:</w:t>
      </w:r>
    </w:p>
    <w:p>
      <w:pPr>
        <w:spacing w:after="0" w:line="223" w:lineRule="exact"/>
        <w:rPr>
          <w:sz w:val="20"/>
          <w:szCs w:val="20"/>
          <w:color w:val="auto"/>
        </w:rPr>
      </w:pPr>
    </w:p>
    <w:p>
      <w:pPr>
        <w:ind w:left="1300" w:hanging="644"/>
        <w:spacing w:after="0" w:line="284" w:lineRule="auto"/>
        <w:tabs>
          <w:tab w:leader="none" w:pos="129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A common stock, par value $0.01 per share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of which 34,599,645 shares are issued and outstanding;</w:t>
      </w:r>
    </w:p>
    <w:p>
      <w:pPr>
        <w:spacing w:after="0" w:line="158" w:lineRule="exact"/>
        <w:rPr>
          <w:rFonts w:ascii="Times New Roman" w:cs="Times New Roman" w:eastAsia="Times New Roman" w:hAnsi="Times New Roman"/>
          <w:sz w:val="18"/>
          <w:szCs w:val="18"/>
          <w:color w:val="auto"/>
        </w:rPr>
      </w:pPr>
    </w:p>
    <w:p>
      <w:pPr>
        <w:ind w:left="1300" w:hanging="644"/>
        <w:spacing w:after="0" w:line="284" w:lineRule="auto"/>
        <w:tabs>
          <w:tab w:leader="none" w:pos="108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B common stock, par value $0.01 per share (“</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 of which 42,738,750 shares are issued and outstanding;</w:t>
      </w:r>
    </w:p>
    <w:p>
      <w:pPr>
        <w:spacing w:after="0" w:line="158" w:lineRule="exact"/>
        <w:rPr>
          <w:rFonts w:ascii="Times New Roman" w:cs="Times New Roman" w:eastAsia="Times New Roman" w:hAnsi="Times New Roman"/>
          <w:sz w:val="18"/>
          <w:szCs w:val="18"/>
          <w:color w:val="auto"/>
        </w:rPr>
      </w:pPr>
    </w:p>
    <w:p>
      <w:pPr>
        <w:ind w:left="1300" w:hanging="644"/>
        <w:spacing w:after="0" w:line="284" w:lineRule="auto"/>
        <w:tabs>
          <w:tab w:leader="none" w:pos="11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C common stock, par value $0.01 per share (“</w:t>
      </w:r>
      <w:r>
        <w:rPr>
          <w:rFonts w:ascii="Times New Roman" w:cs="Times New Roman" w:eastAsia="Times New Roman" w:hAnsi="Times New Roman"/>
          <w:sz w:val="18"/>
          <w:szCs w:val="18"/>
          <w:i w:val="1"/>
          <w:iCs w:val="1"/>
          <w:color w:val="auto"/>
        </w:rPr>
        <w:t>Class C common stock</w:t>
      </w:r>
      <w:r>
        <w:rPr>
          <w:rFonts w:ascii="Times New Roman" w:cs="Times New Roman" w:eastAsia="Times New Roman" w:hAnsi="Times New Roman"/>
          <w:sz w:val="18"/>
          <w:szCs w:val="18"/>
          <w:color w:val="auto"/>
        </w:rPr>
        <w:t>”), of which 78,742,854 shares are issued and outstanding;</w:t>
      </w:r>
    </w:p>
    <w:p>
      <w:pPr>
        <w:spacing w:after="0" w:line="158" w:lineRule="exact"/>
        <w:rPr>
          <w:rFonts w:ascii="Times New Roman" w:cs="Times New Roman" w:eastAsia="Times New Roman" w:hAnsi="Times New Roman"/>
          <w:sz w:val="18"/>
          <w:szCs w:val="18"/>
          <w:color w:val="auto"/>
        </w:rPr>
      </w:pPr>
    </w:p>
    <w:p>
      <w:pPr>
        <w:ind w:left="1300" w:hanging="644"/>
        <w:spacing w:after="0" w:line="284" w:lineRule="auto"/>
        <w:tabs>
          <w:tab w:leader="none" w:pos="10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D common stock, par value $0.01 per share (“</w:t>
      </w:r>
      <w:r>
        <w:rPr>
          <w:rFonts w:ascii="Times New Roman" w:cs="Times New Roman" w:eastAsia="Times New Roman" w:hAnsi="Times New Roman"/>
          <w:sz w:val="18"/>
          <w:szCs w:val="18"/>
          <w:i w:val="1"/>
          <w:iCs w:val="1"/>
          <w:color w:val="auto"/>
        </w:rPr>
        <w:t>Class D common stock</w:t>
      </w:r>
      <w:r>
        <w:rPr>
          <w:rFonts w:ascii="Times New Roman" w:cs="Times New Roman" w:eastAsia="Times New Roman" w:hAnsi="Times New Roman"/>
          <w:sz w:val="18"/>
          <w:szCs w:val="18"/>
          <w:color w:val="auto"/>
        </w:rPr>
        <w:t>”), of which 42,738,750 shares are issued and outstanding; and</w:t>
      </w:r>
    </w:p>
    <w:p>
      <w:pPr>
        <w:spacing w:after="0" w:line="16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$0.01 per share, none of which are issued and outstanding.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2020, (i) an aggregate of 908,335 shares of Class A common stock and Class C common stock are reserved for issuance under Clearway Inc.’s equity- based compensation plans, (ii) an aggregate of 42,738,750 shares of Class A common stock are reserved for issuance upon the exchange of Class B units of Clearway LLC and (iii) an aggregate of 42,738,750 shares of Class C common stock are reserved for issuance upon the exchange of Class D units of Clearway LLC. Unless Clearway Inc.’s Board of Directors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determines otherwise, Clearway Inc. will issue all shares of its capital stock in uncertificated form.</w:t>
      </w:r>
    </w:p>
    <w:p>
      <w:pPr>
        <w:sectPr>
          <w:pgSz w:w="11900" w:h="16838" w:orient="portrait"/>
          <w:cols w:equalWidth="0" w:num="1">
            <w:col w:w="11240"/>
          </w:cols>
          <w:pgMar w:left="320" w:top="11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share of Class A common stock entitles the holder to one vote with respect to each matter presented to Clearway Inc.’s stockholders on which the holders of Class A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Class A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Clearway Inc.’s outstanding shares of Class A common stock are entitled to receive dividends, if any, as may be declared from time to time by the Board of Directors out of legally available funds. Dividends upon shares of the Class A common stock may be declared by the Board of Directors at any regular or special meeting, and may be paid in cash, in property or in shares of capital stock. The holders of shares of Class A common stock and Class C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the Class A common stock is limited by restrictions on the ability of its subsidiaries to pay dividends or make other distributions to Clearway Inc., including restrictions under the terms of the agreements governing its indebtedness.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Clearway Inc.’s affairs, holders of shares of Class A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shares of Clearway Inc.’s Class A common stock have no preemptive, conversion or other rights to subscribe for additional shares. All outstanding shares are, when sold, validly issued, fully paid and nonassessable. The rights, preferences and privileges of the holders of shares of Class A common stock are subject to, and may be adversely affected by, the rights of the holders of shares of any series of preferred stock that Clearway Inc. may designate and issue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 A common stock is listed on the NYSE under the symbol “CWEN.A.”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the Class A common stock is Computershare Shareowner Services,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share of Class B common stock entitles the holder to one vote with respect to each matter presented to Clearway Inc.’s stockholders on which the holders of Class B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B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shares of Class B common stock do not have any right to receive dividends, other than dividends payable solely in shares of Class B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B common stock in connection with Clearway Inc.’s liquidation.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Class B common stock are subject to redemption at a price per share equal to par value upon the conversion of Class B units of Clearway LLC to Class A units of Clearway LLC. Shares of Class B common stock so redeemed are automatically cancelled and are not available to be reissued.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share of Class C common stock entitles the holder to 1/100th of one vote with respect to each matter presented to Clearway Inc.’s stockholders on which the holders of Class C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shares of Class C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Clearway Inc.’s outstanding shares of Class C common stock are entitled to receive dividends, if any, as may be declared from time to time by the Board of Directors out of legally available funds. Dividends upon shares of Class C common stock may be declared by the Board of Directors at any regular or special meeting, and may be paid in cash, in property or in shares of capital stock. The holders of shares of Class C common stock and Class A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shares of Class C common stock is limited by restrictions on the ability of its subsidiaries to pay dividends or make other distributions to Clearway Inc., including restrictions under the terms of the agreements governing its indebtedness.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Clearway Inc.’s affairs, holders of shares of Class C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shares of Clearway Inc.’s Class C common stock have no preemptive, conversion or other rights to subscribe for additional shares. All outstanding shares are, when issued, validly issued, fully paid and nonassessable. The rights, preferences and privileges of the holders of shares of Class C common stock are subject to, and may be adversely affected by, the rights of the holders of shares of any series of preferred stock that Clearway Inc. may designate and issue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Equal Status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Except as expressly provided in Clearway Inc.’s amended and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Clearway Inc.’s stockholders entitled to vote thereon (whether or not Clearway Inc. is the surviving entity), the holders of shares of Class C common stock shall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shall receive in any such merger, consolidation or combination with respect to their shares of Class A common stock, then the holders of shares of Class C common stock shall be entitled to make the same election as to their shares of Class C common stock). In the event of any (i) tender or exchange offer to acquire any shares of Class A common stock or Class B common stock by any third party pursuant to an agreement to which Clearway Inc. is a party; or (ii) any tender or exchange offer or any other redemption or repurchase by Clearway Inc. to acquire any shares of Class A common stock or Class B common stock, the holders of shares of Class C common stock shall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shall receive in any such tender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160" w:name="page161"/>
    <w:bookmarkEnd w:id="160"/>
    <w:p>
      <w:pPr>
        <w:jc w:val="both"/>
        <w:spacing w:after="0" w:line="282" w:lineRule="auto"/>
        <w:rPr>
          <w:sz w:val="20"/>
          <w:szCs w:val="20"/>
          <w:color w:val="auto"/>
        </w:rPr>
      </w:pPr>
      <w:r>
        <w:rPr>
          <w:rFonts w:ascii="Times New Roman" w:cs="Times New Roman" w:eastAsia="Times New Roman" w:hAnsi="Times New Roman"/>
          <w:sz w:val="18"/>
          <w:szCs w:val="18"/>
          <w:color w:val="auto"/>
        </w:rPr>
        <w:t>offer or other repurchase with respect to their shares of Class A common stock, then the holders of shares of Class C common stock shall be entitled to make the same election as to their shares of Class C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 C common stock is listed on the NYSE under the symbol “CWEN.”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the Class C common stock is Computershare Shareowner Services,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D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share of Class D common stock entitles the holder to 1/100th of one vote with respect to each matter presented to Clearway Inc.’s stockholders on which the holders of Class D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amended and common stock are listed. Holders of shares of Class D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shares of Class D common stock do not have any right to receive dividends, other than dividends payable solely in shares of Class D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D common stock in connection with Clearway Inc.’s liquidation.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Shares of Class D common stock are subject to redemption at a price per share equal to par value upon the conversion of Class D units of Clearway LLC. Shares of Class D common stock so redeemed are automatically cancelled and are not available to be reissued.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161" w:name="page162"/>
    <w:bookmarkEnd w:id="1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the Board of Directors to issue shares to persons friendly to current management, which issuance could render more difficult or discourage an attempt to obtain control of Clearway Inc. by means of a merger, tender offer, proxy contest or otherwise, and thereby protect the continuity of Clearway Inc.’s management and possibly deprive the stockholders of opportunities to sell their shares at prices higher than prevailing market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Clearway Inc.’s amended and restated certificate of incorporation, Clearway Inc. will continue to be authorized to issue up to 10,000,000 shares of preferred stock, par value $0.01 per share, none of which is issued and outstanding.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Clearway Inc.’s stockholders. Any preferred stock so issued may rank senior to Clearway Inc.’s common stock with respect to the payment of dividends or amounts upon liquidation, dissolution or winding up, or both. The issuance of preferred stock may have the effect of delaying, deferring or preventing a change in control of Clearway Inc.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Clearway Inc. has no plans to issue any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Clearway Inc.’s Certificate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disproportionate voting rights that Global Infrastructure Investors III, LLC (“GIP”) has as a result of its indirect ownership of Class B common stock and Class D common stock, some provisions of Delaware law contain, and Clearway Inc.’s amended and restated certificate of incorporation and Clearway Inc.’s fourth amended and restated bylaws described below contain, a number of provisions which may have the effect of encouraging persons considering unsolicited tender offers or other unilateral takeover proposals to negotiate with the Board of Directors rather than pursue non-negotiated takeover attempts, which Clearway Inc. believes may result in an improvement of the terms of any such acquisition in favor of Clearway Inc.’s stockholders. However, they also give the Board of Directors the power to discourage acquisitions that some stockholders may favor.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ability to authorize undesignated preferred stock will make it possible for the Board of Directors to issue preferred stock with superior voting, special approval, dividend or other rights or preferences on a discriminatory basis that could impede the success of any attempt to acquire Clearway Inc.. These and other provisions may have the effect of deferring, delaying or discouraging hostile takeovers, or changes in control or management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and Elections of Directors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Clearway Inc.’s amended and restated certificate of incorporation provides that a special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be called only by the Board of Directors by a resolution adopted by the affirmative vote of a majority of the total number of directors then in office.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Elimination of Stockholder Action by Written Consent. </w:t>
      </w:r>
      <w:r>
        <w:rPr>
          <w:rFonts w:ascii="Times New Roman" w:cs="Times New Roman" w:eastAsia="Times New Roman" w:hAnsi="Times New Roman"/>
          <w:sz w:val="18"/>
          <w:szCs w:val="18"/>
          <w:color w:val="auto"/>
        </w:rPr>
        <w:t>Clearway Inc.’s amended and restated certificate of incorporation and its fourth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bylaws provide that holders of Clearway Inc.’s common stock cannot act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162" w:name="page163"/>
    <w:bookmarkEnd w:id="162"/>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Vacancies. </w:t>
      </w:r>
      <w:r>
        <w:rPr>
          <w:rFonts w:ascii="Times New Roman" w:cs="Times New Roman" w:eastAsia="Times New Roman" w:hAnsi="Times New Roman"/>
          <w:sz w:val="18"/>
          <w:szCs w:val="18"/>
          <w:color w:val="auto"/>
        </w:rPr>
        <w:t>Any vacancy occurring on the Board of Directors and any newly created directorship may be filled only by a majority of the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in office (even if less than a quorum), subject to the rights of holders of any series of preferred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Amendments of Certificate of Incorporation. </w:t>
      </w:r>
      <w:r>
        <w:rPr>
          <w:rFonts w:ascii="Times New Roman" w:cs="Times New Roman" w:eastAsia="Times New Roman" w:hAnsi="Times New Roman"/>
          <w:sz w:val="18"/>
          <w:szCs w:val="18"/>
          <w:color w:val="auto"/>
        </w:rPr>
        <w:t>The provisions described above under “—Special Meetings of Stockholders,” “—Elimination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Action by Written Consent” and “—Vacancies” may be amended only by the affirmative vote of holders of at least two-thirds of the combined voting power of outstanding shares of Clearway Inc.’s capital stock entitled to vote in the election of directors, voting together as a single class.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 of Bylaws. </w:t>
      </w:r>
      <w:r>
        <w:rPr>
          <w:rFonts w:ascii="Times New Roman" w:cs="Times New Roman" w:eastAsia="Times New Roman" w:hAnsi="Times New Roman"/>
          <w:sz w:val="18"/>
          <w:szCs w:val="18"/>
          <w:color w:val="auto"/>
        </w:rPr>
        <w:t>The Board of Directors has the power to make, alter, amend, change or repeal Clearway Inc.’s bylaws or adopt new bylaws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affirmative vote of a majority of the total number of directors then in office.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Provisions Relating to Stockholder Proposals and Nominees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Clearway Inc.’s fourth amended and restated bylaws also impose some procedural requirements on stockholders who wish to make nominations in the election of directors or propose any other business to be brought before an annual or special meeting of stockholders.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a stockholder may (i) bring a proposal before an annual meeting of stockholders, (ii) nominate a candidate for election to the Board of Directors at an annual meeting of stockholders, or (iii) nominate a candidate for election to the Board of Directors at a special meeting of stockholders that has been called for the purpose of electing directors, only if such stockholder delivers timely notice to Clearway Inc.’s corporate secretary. The notice must be in writing and must include certain information and comply with the delivery requirements as set forth in the bylaws.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timely, a stockholder’s notice must be received at Clearway Inc.’s principal executive offices:</w:t>
      </w:r>
    </w:p>
    <w:p>
      <w:pPr>
        <w:spacing w:after="0" w:line="225" w:lineRule="exact"/>
        <w:rPr>
          <w:sz w:val="20"/>
          <w:szCs w:val="20"/>
          <w:color w:val="auto"/>
        </w:rPr>
      </w:pPr>
    </w:p>
    <w:p>
      <w:pPr>
        <w:jc w:val="both"/>
        <w:ind w:left="660" w:hanging="328"/>
        <w:spacing w:after="0" w:line="25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advanced more than 30 days before or delayed more than 70 days after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Clearway Inc.;</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Clearway Inc..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special meetings of stockholders, Clearway Inc.’s fourth amended and restated bylaws provide that only such business shall be conducted as shall have been stated in the notice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Clearway Inc. is presently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5" w:right="339" w:bottom="1440" w:gutter="0" w:footer="0" w:header="0"/>
        </w:sectPr>
      </w:pPr>
    </w:p>
    <w:bookmarkStart w:id="163" w:name="page164"/>
    <w:bookmarkEnd w:id="163"/>
    <w:p>
      <w:pPr>
        <w:ind w:left="660" w:right="2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the Board of Directors and by the affirmative vote of holders of at least 66 2/3% of the outstanding voting stock that is not owned by the interested stockholder.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Clearway Inc.’s voting stock.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Clearway Inc. to negotiate in advance with the Board of Directors because the stockholder approval requirement would be avoided if the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amendments to Clearway Inc.’s amended and restated certificate of incorporation, subject to the rights of holders of Clearway Inc.’s preferred stock, regarding the provisions thereof summarized under “—Antitakeover Effects of Delaware Law and Clearway Inc.’s Certificate of Incorporation and Bylaws” will require the affirmative vote of at least 66 2/3% of the voting power of all shares of common stock then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Amended and Restated Limited Liability Company Agreement of Clearway Energy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material terms of the fourth amended and restated limited liability company agreement of Clearway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Clearway Inc. serves as the sole managing member of Clearway LLC. As such, Clearway Inc., and effectively the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Clearway Inc.’s independent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and Economic Rights of Members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Clearway LLC has issued four classes of units: Class A units and Class C units, which may only be issued to Clearway Inc., as the sole managing member, and Class B units and Class D units, which may only be issued to GIP and held by GIP or its permitted transferees.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subject to equitable adjustments for stock splits, dividends and reclassifications in accordance with the terms of the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164" w:name="page165"/>
    <w:bookmarkEnd w:id="164"/>
    <w:p>
      <w:pPr>
        <w:jc w:val="both"/>
        <w:spacing w:after="0" w:line="255" w:lineRule="auto"/>
        <w:rPr>
          <w:sz w:val="20"/>
          <w:szCs w:val="20"/>
          <w:color w:val="auto"/>
        </w:rPr>
      </w:pPr>
      <w:r>
        <w:rPr>
          <w:rFonts w:ascii="Times New Roman" w:cs="Times New Roman" w:eastAsia="Times New Roman" w:hAnsi="Times New Roman"/>
          <w:sz w:val="18"/>
          <w:szCs w:val="18"/>
          <w:color w:val="auto"/>
        </w:rPr>
        <w:t>and Restated Exchange Agreement (as described below), and each Class D unit is exchangeable for a share of Clearway Inc.’s Class C common stock, subject to equitable adjustments for stock splits, dividends and reclassifications in accordance with the terms of the Amended and Restated Exchange Agreement. When GIP or its permitted transferee exchanges a Class B unit of Clearway LLC for a share of Clearway Inc.’s Class A common stock, Clearway Inc. will automatically redeem and cancel a corresponding share of Class B common stock, and the Class B unit will automatically convert into a Class A unit of Clearway LLC issued to Clearway Inc. When GIP or its permitted transferee exchanges a Class D unit of Clearway LLC for a share of Clearway Inc.’s Class C common stock, Clearway Inc. will automatically redeem and cancel a corresponding share of Clearway Inc.’s Class D common stock, and the Class D unit will automatically convert into a Class C unit of Clearway LLC issued to us. None of the units have any voting rights.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profits and net losses and distributions by Clearway LLC are allocated and made to holders of units in accordance with the respective number of membership units of Clearway LLC held. Clearway LLC will make distributions to Clearway Inc. and GIP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Clearway Inc.’s operations are conducted through Clearway Operating LLC, and Clearway Operating LLC’s Amended and Restated Credit Agreement restricts the ability of Clearway Operating LLC to make distributions to Clearway LLC, Clearway LLC may not have any funds available to make distributions to Clearway Inc. and GIP (including with respect to tax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Coordination of Clearway Inc. and Clearway LLC</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At any time Clearway Inc. issues a share of its Class A common stock or Class C common stock for cash, the net proceeds therefrom will promptly be transferred to Clearway LLC and Clearway LLC will either:</w:t>
      </w:r>
    </w:p>
    <w:p>
      <w:pPr>
        <w:spacing w:after="0" w:line="162" w:lineRule="exact"/>
        <w:rPr>
          <w:sz w:val="20"/>
          <w:szCs w:val="20"/>
          <w:color w:val="auto"/>
        </w:rPr>
      </w:pPr>
    </w:p>
    <w:p>
      <w:pPr>
        <w:ind w:left="6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 newly issued Class A unit of Clearway LLC to Clearway Inc. in the case of the issuance of a share of Class A common stock, or transfer a newly issued Class C unit of Clearway LLC to Clearway Inc. in the case of the issuance of a share of Class C common stock;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net proceeds to purchase a Class B unit of Clearway LLC from GIP in the case of the issuance of a share of Class A common stock, which Class B unit will automatically convert into a Class A unit of Clearway LLC when transferred to Clearway Inc. or use the net proceeds to purchase a Class D unit of Clearway LLC from GIP in the case of the issuance of a share of Class C common stock, which Class D unit will automatically convert into a Class C unit of Clearway LLC when transferred to Clearway Inc.</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Clearway LLC purchases a Class B unit or a Class D unit of Clearway LLC from GIP, Clearway Inc. will concurrently redeem and cancel the corresponding share of its Class B common stock or Class D common stock, as applicable.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 its units of the corresponding classes or series) held by Clearway Inc. upon the same terms and for the same price, as the shares of Class A common stock or Class C common stock (or equity securities of such other classes or series) so redeemed.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and Transfer of Units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Class A units and Class C units may only be issued to Clearway Inc., as the sole managing member of Clearway LLC, and are non-transferable except upon redemption by Clearway LLC. Class B units and Class 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7" w:right="339" w:bottom="1440" w:gutter="0" w:footer="0" w:header="0"/>
        </w:sectPr>
      </w:pPr>
    </w:p>
    <w:bookmarkStart w:id="165" w:name="page166"/>
    <w:bookmarkEnd w:id="165"/>
    <w:p>
      <w:pPr>
        <w:jc w:val="both"/>
        <w:spacing w:after="0" w:line="258" w:lineRule="auto"/>
        <w:rPr>
          <w:sz w:val="20"/>
          <w:szCs w:val="20"/>
          <w:color w:val="auto"/>
        </w:rPr>
      </w:pPr>
      <w:r>
        <w:rPr>
          <w:rFonts w:ascii="Times New Roman" w:cs="Times New Roman" w:eastAsia="Times New Roman" w:hAnsi="Times New Roman"/>
          <w:sz w:val="18"/>
          <w:szCs w:val="18"/>
          <w:color w:val="auto"/>
        </w:rPr>
        <w:t>may only be issued to GIP. Class B units and Class D units may not be transferred without Clearway Inc.’s consent, which may not be unreasonably withheld, conditioned or delayed, except GIP may transfer Class B units or Class D units to any of its direct or indirect limited partners or other equityholders and to permitted transferee (including an affiliate) without Clearway Inc.’s consent. GIP may not transfer any Class B units or Class D units to any person unless GIP transfers an equal number of shares of Clearway Inc.’s Class B common stock or Class D common stock, as applicable, to the same transferee.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Exchange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Clearway Inc. entered into an amended and restated exchange agreement pursuant to which GIP (as successor-in-interest to NRG Energy, Inc.) (and certain permitted assignees and permitted transferees who acquire Class B units or Class D units of Clearway LLC) may from time to time cause Clearway LLC to exchange its Class B units for shares of Clearway Inc.’s Class A common stock on a one-for-one basis, subject to adjustments for stock splits, stock dividends and reclassifications, or to exchange its Class D units for shares of Clearway Inc.’s Class C common stock on a one-for-one basis, subject to adjustments for stock splits, stock dividends, and reclassifications (the “</w:t>
      </w:r>
      <w:r>
        <w:rPr>
          <w:rFonts w:ascii="Times New Roman" w:cs="Times New Roman" w:eastAsia="Times New Roman" w:hAnsi="Times New Roman"/>
          <w:sz w:val="18"/>
          <w:szCs w:val="18"/>
          <w:i w:val="1"/>
          <w:iCs w:val="1"/>
          <w:color w:val="auto"/>
        </w:rPr>
        <w:t>Amended and Restated Exchange Agreement</w:t>
      </w:r>
      <w:r>
        <w:rPr>
          <w:rFonts w:ascii="Times New Roman" w:cs="Times New Roman" w:eastAsia="Times New Roman" w:hAnsi="Times New Roman"/>
          <w:sz w:val="18"/>
          <w:szCs w:val="18"/>
          <w:color w:val="auto"/>
        </w:rPr>
        <w:t>”). The Amended and Restated Exchange Agreement also provides that, subject to certain exceptions, holders do not have the right to cause Clearway LLC to exchange Class B or Class D units if Clearway LLC determines that such exchange would be prohibited by law or regulation or would violate other agreements to which Clearway Inc. may be subject, and Clearway Inc. may impose additional restrictions on exchange that it determines necessary or advisable so that Clearway LLC is not treated as a “publicly traded partnership” for U.S. federal income tax purposes.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GIP or its permitted transferee exchanges a Class B unit of Clearway LLC for a share of Clearway Inc.’s Class A common stock, Clearway Inc. will automatically redeem and cancel a corresponding share of Clearway Inc.’s Class B common stock and the Class B unit will automatically convert into a Class A unit when issued to Clearway Inc. Similarly, when GIP or its permitted transferee exchanges a Class D unit of Clearway LLC for a share of Clearway Inc.’s Class C common stock, Clearway Inc. will automatically redeem and cancel a corresponding share of Clearway Inc.’s Class D common stock and the Class D unit will automatically convert into a Class C unit when issued to Clearway Inc. As a result, when a holder exchanges its Class B units for shares of Clearway Inc.’s Class A common stock, or its Class D units for shares of Clearway Inc.’s Class C common stock, Clearway Inc.’s interest in Clearway LLC will be correspondingly increased. Clearway Inc. has reserved for issuance 42,738,750 shares of Clearway Inc.’s Class A common stock, which is the aggregate number of shares of Class A common stock expected to be issued over time upon the exchange of all Class B units of Clearway LLC currently outstanding, and 42,738,750 shares of Clearway Inc.’s Class C common stock, which is the aggregate number of shares of Class C common stock expected to be issued over time upon the exchange of all Class D units of Clearway LLC currently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Exculpation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permitted by applicable law, Clearway LLC will indemnify its managing member, Clearway Inc.’s authorized officers and Clearway Inc.’s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166" w:name="page167"/>
    <w:bookmarkEnd w:id="16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Clearway Inc. entered into an amended and restated registration rights agreement with GIP (as successor-in-interest to NRG) pursuant to which GIP and its affiliates will be entitled to demand registration rights, including the right to demand that a shelf registration statement be filed, and “piggyback” registration rights, for shares of Clearway Inc.’s Class A common stock that are issuable upon exchange of Class B units of Clearway LLC that it owns, and for shares of Clearway Inc.’s Class C common stock that are issuable upon exchange of Class D units of Clearway LLC that it 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Change-in-Control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and General Severance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as of January 1, 2021)</w:t>
      </w:r>
    </w:p>
    <w:p>
      <w:pPr>
        <w:sectPr>
          <w:pgSz w:w="11900" w:h="16838" w:orient="portrait"/>
          <w:cols w:equalWidth="0" w:num="1">
            <w:col w:w="11240"/>
          </w:cols>
          <w:pgMar w:left="320" w:top="94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698627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3">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716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1.  </w:t>
            </w:r>
            <w:r>
              <w:rPr>
                <w:rFonts w:ascii="Times New Roman" w:cs="Times New Roman" w:eastAsia="Times New Roman" w:hAnsi="Times New Roman"/>
                <w:sz w:val="22"/>
                <w:szCs w:val="22"/>
                <w:color w:val="000000"/>
              </w:rPr>
              <w:t>Establishment and Term of the Plan</w:t>
            </w:r>
          </w:p>
        </w:tc>
        <w:tc>
          <w:tcPr>
            <w:tcW w:w="3180" w:type="dxa"/>
            <w:vAlign w:val="bottom"/>
          </w:tcPr>
          <w:p>
            <w:pPr>
              <w:ind w:left="2960"/>
              <w:spacing w:after="0"/>
              <w:rPr>
                <w:rFonts w:ascii="Times New Roman" w:cs="Times New Roman" w:eastAsia="Times New Roman" w:hAnsi="Times New Roman"/>
                <w:sz w:val="22"/>
                <w:szCs w:val="22"/>
                <w:u w:val="single" w:color="auto"/>
                <w:color w:val="auto"/>
              </w:rPr>
            </w:pPr>
            <w:hyperlink w:anchor="page169">
              <w:r>
                <w:rPr>
                  <w:rFonts w:ascii="Times New Roman" w:cs="Times New Roman" w:eastAsia="Times New Roman" w:hAnsi="Times New Roman"/>
                  <w:sz w:val="22"/>
                  <w:szCs w:val="22"/>
                  <w:u w:val="single" w:color="auto"/>
                  <w:color w:val="auto"/>
                </w:rPr>
                <w:t>1</w:t>
              </w:r>
            </w:hyperlink>
          </w:p>
        </w:tc>
      </w:tr>
      <w:tr>
        <w:trPr>
          <w:trHeight w:val="310"/>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010000"/>
              </w:rPr>
              <w:t>Article 2.</w:t>
            </w:r>
          </w:p>
        </w:tc>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3180" w:type="dxa"/>
            <w:vAlign w:val="bottom"/>
          </w:tcPr>
          <w:p>
            <w:pPr>
              <w:ind w:left="2960"/>
              <w:spacing w:after="0"/>
              <w:rPr>
                <w:rFonts w:ascii="Times New Roman" w:cs="Times New Roman" w:eastAsia="Times New Roman" w:hAnsi="Times New Roman"/>
                <w:sz w:val="22"/>
                <w:szCs w:val="22"/>
                <w:u w:val="single" w:color="auto"/>
                <w:color w:val="auto"/>
              </w:rPr>
            </w:pPr>
            <w:hyperlink w:anchor="page169">
              <w:r>
                <w:rPr>
                  <w:rFonts w:ascii="Times New Roman" w:cs="Times New Roman" w:eastAsia="Times New Roman" w:hAnsi="Times New Roman"/>
                  <w:sz w:val="22"/>
                  <w:szCs w:val="22"/>
                  <w:u w:val="single" w:color="auto"/>
                  <w:color w:val="auto"/>
                </w:rPr>
                <w:t>2</w:t>
              </w:r>
            </w:hyperlink>
          </w:p>
        </w:tc>
      </w:tr>
      <w:tr>
        <w:trPr>
          <w:trHeight w:val="311"/>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010000"/>
              </w:rPr>
              <w:t>Article 3.</w:t>
            </w:r>
          </w:p>
        </w:tc>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Severance Benefits</w:t>
            </w:r>
          </w:p>
        </w:tc>
        <w:tc>
          <w:tcPr>
            <w:tcW w:w="3180" w:type="dxa"/>
            <w:vAlign w:val="bottom"/>
          </w:tcPr>
          <w:p>
            <w:pPr>
              <w:ind w:left="2960"/>
              <w:spacing w:after="0"/>
              <w:rPr>
                <w:rFonts w:ascii="Times New Roman" w:cs="Times New Roman" w:eastAsia="Times New Roman" w:hAnsi="Times New Roman"/>
                <w:sz w:val="22"/>
                <w:szCs w:val="22"/>
                <w:u w:val="single" w:color="auto"/>
                <w:color w:val="auto"/>
              </w:rPr>
            </w:pPr>
            <w:hyperlink w:anchor="page169">
              <w:r>
                <w:rPr>
                  <w:rFonts w:ascii="Times New Roman" w:cs="Times New Roman" w:eastAsia="Times New Roman" w:hAnsi="Times New Roman"/>
                  <w:sz w:val="22"/>
                  <w:szCs w:val="22"/>
                  <w:u w:val="single" w:color="auto"/>
                  <w:color w:val="auto"/>
                </w:rPr>
                <w:t>7</w:t>
              </w:r>
            </w:hyperlink>
          </w:p>
        </w:tc>
      </w:tr>
      <w:tr>
        <w:trPr>
          <w:trHeight w:val="310"/>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010000"/>
              </w:rPr>
              <w:t>Article 4.</w:t>
            </w:r>
          </w:p>
        </w:tc>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Ineligibility</w:t>
            </w:r>
          </w:p>
        </w:tc>
        <w:tc>
          <w:tcPr>
            <w:tcW w:w="3180" w:type="dxa"/>
            <w:vAlign w:val="bottom"/>
          </w:tcPr>
          <w:p>
            <w:pPr>
              <w:ind w:left="2960"/>
              <w:spacing w:after="0"/>
              <w:rPr>
                <w:rFonts w:ascii="Times New Roman" w:cs="Times New Roman" w:eastAsia="Times New Roman" w:hAnsi="Times New Roman"/>
                <w:sz w:val="22"/>
                <w:szCs w:val="22"/>
                <w:u w:val="single" w:color="auto"/>
                <w:color w:val="auto"/>
                <w:w w:val="90"/>
              </w:rPr>
            </w:pPr>
            <w:hyperlink w:anchor="page169">
              <w:r>
                <w:rPr>
                  <w:rFonts w:ascii="Times New Roman" w:cs="Times New Roman" w:eastAsia="Times New Roman" w:hAnsi="Times New Roman"/>
                  <w:sz w:val="22"/>
                  <w:szCs w:val="22"/>
                  <w:u w:val="single" w:color="auto"/>
                  <w:color w:val="auto"/>
                  <w:w w:val="90"/>
                </w:rPr>
                <w:t>11</w:t>
              </w:r>
            </w:hyperlink>
          </w:p>
        </w:tc>
      </w:tr>
      <w:tr>
        <w:trPr>
          <w:trHeight w:val="311"/>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010000"/>
              </w:rPr>
              <w:t>Article 5.</w:t>
            </w:r>
          </w:p>
        </w:tc>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Restrictive Covenants</w:t>
            </w:r>
          </w:p>
        </w:tc>
        <w:tc>
          <w:tcPr>
            <w:tcW w:w="3180" w:type="dxa"/>
            <w:vAlign w:val="bottom"/>
          </w:tcPr>
          <w:p>
            <w:pPr>
              <w:ind w:left="2960"/>
              <w:spacing w:after="0"/>
              <w:rPr>
                <w:rFonts w:ascii="Times New Roman" w:cs="Times New Roman" w:eastAsia="Times New Roman" w:hAnsi="Times New Roman"/>
                <w:sz w:val="22"/>
                <w:szCs w:val="22"/>
                <w:u w:val="single" w:color="auto"/>
                <w:color w:val="auto"/>
                <w:w w:val="90"/>
              </w:rPr>
            </w:pPr>
            <w:hyperlink w:anchor="page169">
              <w:r>
                <w:rPr>
                  <w:rFonts w:ascii="Times New Roman" w:cs="Times New Roman" w:eastAsia="Times New Roman" w:hAnsi="Times New Roman"/>
                  <w:sz w:val="22"/>
                  <w:szCs w:val="22"/>
                  <w:u w:val="single" w:color="auto"/>
                  <w:color w:val="auto"/>
                  <w:w w:val="90"/>
                </w:rPr>
                <w:t>11</w:t>
              </w:r>
            </w:hyperlink>
          </w:p>
        </w:tc>
      </w:tr>
      <w:tr>
        <w:trPr>
          <w:trHeight w:val="311"/>
        </w:trPr>
        <w:tc>
          <w:tcPr>
            <w:tcW w:w="716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6.  </w:t>
            </w:r>
            <w:r>
              <w:rPr>
                <w:rFonts w:ascii="Times New Roman" w:cs="Times New Roman" w:eastAsia="Times New Roman" w:hAnsi="Times New Roman"/>
                <w:sz w:val="22"/>
                <w:szCs w:val="22"/>
                <w:color w:val="000000"/>
              </w:rPr>
              <w:t>Certain Change in Control Payments</w:t>
            </w:r>
          </w:p>
        </w:tc>
        <w:tc>
          <w:tcPr>
            <w:tcW w:w="3180" w:type="dxa"/>
            <w:vAlign w:val="bottom"/>
          </w:tcPr>
          <w:p>
            <w:pPr>
              <w:ind w:left="2960"/>
              <w:spacing w:after="0"/>
              <w:rPr>
                <w:rFonts w:ascii="Times New Roman" w:cs="Times New Roman" w:eastAsia="Times New Roman" w:hAnsi="Times New Roman"/>
                <w:sz w:val="22"/>
                <w:szCs w:val="22"/>
                <w:u w:val="single" w:color="auto"/>
                <w:color w:val="auto"/>
                <w:w w:val="90"/>
              </w:rPr>
            </w:pPr>
            <w:hyperlink w:anchor="page169">
              <w:r>
                <w:rPr>
                  <w:rFonts w:ascii="Times New Roman" w:cs="Times New Roman" w:eastAsia="Times New Roman" w:hAnsi="Times New Roman"/>
                  <w:sz w:val="22"/>
                  <w:szCs w:val="22"/>
                  <w:u w:val="single" w:color="auto"/>
                  <w:color w:val="auto"/>
                  <w:w w:val="90"/>
                </w:rPr>
                <w:t>14</w:t>
              </w:r>
            </w:hyperlink>
          </w:p>
        </w:tc>
      </w:tr>
      <w:tr>
        <w:trPr>
          <w:trHeight w:val="310"/>
        </w:trPr>
        <w:tc>
          <w:tcPr>
            <w:tcW w:w="716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7.  </w:t>
            </w:r>
            <w:r>
              <w:rPr>
                <w:rFonts w:ascii="Times New Roman" w:cs="Times New Roman" w:eastAsia="Times New Roman" w:hAnsi="Times New Roman"/>
                <w:sz w:val="22"/>
                <w:szCs w:val="22"/>
                <w:color w:val="000000"/>
              </w:rPr>
              <w:t>Legal Fees and Notice</w:t>
            </w:r>
          </w:p>
        </w:tc>
        <w:tc>
          <w:tcPr>
            <w:tcW w:w="3180" w:type="dxa"/>
            <w:vAlign w:val="bottom"/>
          </w:tcPr>
          <w:p>
            <w:pPr>
              <w:ind w:left="2960"/>
              <w:spacing w:after="0"/>
              <w:rPr>
                <w:rFonts w:ascii="Times New Roman" w:cs="Times New Roman" w:eastAsia="Times New Roman" w:hAnsi="Times New Roman"/>
                <w:sz w:val="22"/>
                <w:szCs w:val="22"/>
                <w:u w:val="single" w:color="auto"/>
                <w:color w:val="auto"/>
                <w:w w:val="90"/>
              </w:rPr>
            </w:pPr>
            <w:hyperlink w:anchor="page169">
              <w:r>
                <w:rPr>
                  <w:rFonts w:ascii="Times New Roman" w:cs="Times New Roman" w:eastAsia="Times New Roman" w:hAnsi="Times New Roman"/>
                  <w:sz w:val="22"/>
                  <w:szCs w:val="22"/>
                  <w:u w:val="single" w:color="auto"/>
                  <w:color w:val="auto"/>
                  <w:w w:val="90"/>
                </w:rPr>
                <w:t>15</w:t>
              </w:r>
            </w:hyperlink>
          </w:p>
        </w:tc>
      </w:tr>
      <w:tr>
        <w:trPr>
          <w:trHeight w:val="311"/>
        </w:trPr>
        <w:tc>
          <w:tcPr>
            <w:tcW w:w="716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8.  </w:t>
            </w:r>
            <w:r>
              <w:rPr>
                <w:rFonts w:ascii="Times New Roman" w:cs="Times New Roman" w:eastAsia="Times New Roman" w:hAnsi="Times New Roman"/>
                <w:sz w:val="22"/>
                <w:szCs w:val="22"/>
                <w:color w:val="000000"/>
              </w:rPr>
              <w:t>Successors and Assignment</w:t>
            </w:r>
          </w:p>
        </w:tc>
        <w:tc>
          <w:tcPr>
            <w:tcW w:w="3180" w:type="dxa"/>
            <w:vAlign w:val="bottom"/>
          </w:tcPr>
          <w:p>
            <w:pPr>
              <w:ind w:left="2960"/>
              <w:spacing w:after="0"/>
              <w:rPr>
                <w:rFonts w:ascii="Times New Roman" w:cs="Times New Roman" w:eastAsia="Times New Roman" w:hAnsi="Times New Roman"/>
                <w:sz w:val="22"/>
                <w:szCs w:val="22"/>
                <w:u w:val="single" w:color="auto"/>
                <w:color w:val="auto"/>
                <w:w w:val="90"/>
              </w:rPr>
            </w:pPr>
            <w:hyperlink w:anchor="page169">
              <w:r>
                <w:rPr>
                  <w:rFonts w:ascii="Times New Roman" w:cs="Times New Roman" w:eastAsia="Times New Roman" w:hAnsi="Times New Roman"/>
                  <w:sz w:val="22"/>
                  <w:szCs w:val="22"/>
                  <w:u w:val="single" w:color="auto"/>
                  <w:color w:val="auto"/>
                  <w:w w:val="90"/>
                </w:rPr>
                <w:t>15</w:t>
              </w:r>
            </w:hyperlink>
          </w:p>
        </w:tc>
      </w:tr>
      <w:tr>
        <w:trPr>
          <w:trHeight w:val="310"/>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010000"/>
              </w:rPr>
              <w:t>Article 9.</w:t>
            </w:r>
          </w:p>
        </w:tc>
        <w:tc>
          <w:tcPr>
            <w:tcW w:w="6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Miscellaneous</w:t>
            </w:r>
          </w:p>
        </w:tc>
        <w:tc>
          <w:tcPr>
            <w:tcW w:w="3180" w:type="dxa"/>
            <w:vAlign w:val="bottom"/>
          </w:tcPr>
          <w:p>
            <w:pPr>
              <w:ind w:left="2960"/>
              <w:spacing w:after="0"/>
              <w:rPr>
                <w:rFonts w:ascii="Times New Roman" w:cs="Times New Roman" w:eastAsia="Times New Roman" w:hAnsi="Times New Roman"/>
                <w:sz w:val="22"/>
                <w:szCs w:val="22"/>
                <w:u w:val="single" w:color="auto"/>
                <w:color w:val="auto"/>
                <w:w w:val="90"/>
              </w:rPr>
            </w:pPr>
            <w:hyperlink w:anchor="page169">
              <w:r>
                <w:rPr>
                  <w:rFonts w:ascii="Times New Roman" w:cs="Times New Roman" w:eastAsia="Times New Roman" w:hAnsi="Times New Roman"/>
                  <w:sz w:val="22"/>
                  <w:szCs w:val="22"/>
                  <w:u w:val="single" w:color="auto"/>
                  <w:color w:val="auto"/>
                  <w:w w:val="90"/>
                </w:rPr>
                <w:t>16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360"/>
          </w:cols>
          <w:pgMar w:left="320" w:top="1418" w:right="12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b w:val="1"/>
          <w:bCs w:val="1"/>
          <w:color w:val="auto"/>
        </w:rPr>
        <w:t>Clearway Energy,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Change-in-Control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and General Severance Plan</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1.</w:t>
      </w:r>
      <w:r>
        <w:rPr>
          <w:sz w:val="20"/>
          <w:szCs w:val="20"/>
          <w:color w:val="auto"/>
        </w:rPr>
        <w:tab/>
      </w:r>
      <w:r>
        <w:rPr>
          <w:rFonts w:ascii="Times New Roman" w:cs="Times New Roman" w:eastAsia="Times New Roman" w:hAnsi="Times New Roman"/>
          <w:sz w:val="21"/>
          <w:szCs w:val="21"/>
          <w:b w:val="1"/>
          <w:bCs w:val="1"/>
          <w:color w:val="auto"/>
        </w:rPr>
        <w:t>Establishment and Term of the Plan</w:t>
      </w:r>
    </w:p>
    <w:p>
      <w:pPr>
        <w:spacing w:after="0" w:line="192"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Establishment of the Plan</w:t>
      </w:r>
    </w:p>
    <w:p>
      <w:pPr>
        <w:spacing w:after="0" w:line="224" w:lineRule="exact"/>
        <w:rPr>
          <w:sz w:val="20"/>
          <w:szCs w:val="20"/>
          <w:color w:val="auto"/>
        </w:rPr>
      </w:pPr>
    </w:p>
    <w:p>
      <w:pPr>
        <w:jc w:val="both"/>
        <w:ind w:firstLine="656"/>
        <w:spacing w:after="0" w:line="248" w:lineRule="auto"/>
        <w:tabs>
          <w:tab w:leader="none" w:pos="7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Clearway Energy, Inc. (hereinafter referred to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originally adopted this plan known as the “Executive Change-in-Control and General Severance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effective January 1, 2017. The Plan was amended and restated by the Company as of January 1, 2018, again as of January 1, 2019 and February 18, 2020, and is hereby further amended and restated as of January 1, 2021. The Plan provides Severance Benefits to Senior Vice Presidents and Executive Vice Presidents of the Company (each an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Executives</w:t>
      </w:r>
      <w:r>
        <w:rPr>
          <w:rFonts w:ascii="Times New Roman" w:cs="Times New Roman" w:eastAsia="Times New Roman" w:hAnsi="Times New Roman"/>
          <w:sz w:val="22"/>
          <w:szCs w:val="22"/>
          <w:color w:val="auto"/>
        </w:rPr>
        <w:t>”) upon certain terminations of employment from the Company.</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considers the establishment and maintenance of a sound and vital management to be essential to protecting and enhancing the best interests of the Company and its stockholders. In this connection, the Company recognizes that, as is the case with many publicly held corporations, the possibility of a Change in Control may arise and that such possibility, and the uncertainty and questions which it may raise among management, may result in the departure or distraction of management personnel to the detriment of the Company and its stockholders.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Accordingly, the Board has determined that appropriate steps should be taken to reinforce and encourage the continued attention and dedication of members of the Company’s management to their assigned duties without distraction in circumstances arising from the possibility of a Change in Control of the Company.</w:t>
      </w:r>
    </w:p>
    <w:p>
      <w:pPr>
        <w:spacing w:after="0" w:line="169"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Initial Term</w:t>
      </w:r>
    </w:p>
    <w:p>
      <w:pPr>
        <w:spacing w:after="0" w:line="224" w:lineRule="exact"/>
        <w:rPr>
          <w:sz w:val="20"/>
          <w:szCs w:val="20"/>
          <w:color w:val="auto"/>
        </w:rPr>
      </w:pPr>
    </w:p>
    <w:p>
      <w:pPr>
        <w:ind w:firstLine="656"/>
        <w:spacing w:after="0" w:line="271" w:lineRule="auto"/>
        <w:tabs>
          <w:tab w:leader="none" w:pos="76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commenced on January 1, 2017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shall continue for a period of three (3) years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Successive Periods</w:t>
      </w:r>
    </w:p>
    <w:p>
      <w:pPr>
        <w:spacing w:after="0" w:line="224" w:lineRule="exact"/>
        <w:rPr>
          <w:sz w:val="20"/>
          <w:szCs w:val="20"/>
          <w:color w:val="auto"/>
        </w:rPr>
      </w:pPr>
    </w:p>
    <w:p>
      <w:pPr>
        <w:jc w:val="both"/>
        <w:ind w:firstLine="656"/>
        <w:spacing w:after="0" w:line="248" w:lineRule="auto"/>
        <w:tabs>
          <w:tab w:leader="none" w:pos="7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this Plan shall automatically be extended for one (1) additional year at the end of the Initial Term, and then again after each successive one (1) year period thereafter (each such one (1) year period following the Initial Term is referred to as a “</w:t>
      </w:r>
      <w:r>
        <w:rPr>
          <w:rFonts w:ascii="Times New Roman" w:cs="Times New Roman" w:eastAsia="Times New Roman" w:hAnsi="Times New Roman"/>
          <w:sz w:val="22"/>
          <w:szCs w:val="22"/>
          <w:u w:val="single" w:color="auto"/>
          <w:color w:val="auto"/>
        </w:rPr>
        <w:t>Successive Period</w:t>
      </w:r>
      <w:r>
        <w:rPr>
          <w:rFonts w:ascii="Times New Roman" w:cs="Times New Roman" w:eastAsia="Times New Roman" w:hAnsi="Times New Roman"/>
          <w:sz w:val="22"/>
          <w:szCs w:val="22"/>
          <w:color w:val="auto"/>
        </w:rPr>
        <w:t>”). However, the Committee may terminate this Plan at the end of the Initial Term, or at the end of any Successive Period thereafter, by giving the Executives written notice of intent to terminate the Plan, delivered at least six (6) months prior to the end of such Initial Term or Successive Period. If such notice is properly delivered by the Company, this Plan, along with all corresponding rights, duties, and covenants, shall automatically expire at the end of the Initial Term or Successive Period then in progress.</w:t>
      </w:r>
    </w:p>
    <w:p>
      <w:pPr>
        <w:spacing w:after="0" w:line="178"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Change-in-Control Renewal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70" w:name="page171"/>
    <w:bookmarkEnd w:id="170"/>
    <w:p>
      <w:pPr>
        <w:jc w:val="both"/>
        <w:ind w:firstLine="656"/>
        <w:spacing w:after="0" w:line="248" w:lineRule="auto"/>
        <w:tabs>
          <w:tab w:leader="none" w:pos="78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provisions of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above, in the event that a Change in Control of the Company occurs during the Initial Term or any Successive Period, upon the effective date of such Change in Control, the term of this Plan shall automatically and irrevocably be renewed for a period of two (2) years from the effective date of such Change in Control. Further, this Plan may be assigned to the successor in such Change in Control, as further provided in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herein. This Plan shall thereafter automatically terminate following such two (2) year Change-in-Control renewal period; provided that such termination shall not affect or diminish the rights of Executives who become entitled to benefits or payments under this Plan.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2.</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Whenever used in this Plan, the following terms shall have the meanings set forth below and, when the meaning is intended, the initial letter of the word is capitalized.</w:t>
      </w:r>
    </w:p>
    <w:p>
      <w:pPr>
        <w:spacing w:after="0" w:line="154"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Accountants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1300" w:hanging="644"/>
        <w:spacing w:after="0" w:line="251" w:lineRule="auto"/>
        <w:tabs>
          <w:tab w:leader="none" w:pos="1300"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“Affiliate” </w:t>
      </w:r>
      <w:r>
        <w:rPr>
          <w:rFonts w:ascii="Times New Roman" w:cs="Times New Roman" w:eastAsia="Times New Roman" w:hAnsi="Times New Roman"/>
          <w:sz w:val="22"/>
          <w:szCs w:val="22"/>
          <w:color w:val="auto"/>
        </w:rPr>
        <w:t>means (i) any subsidiary corporation of the Company (or its successors), (ii) any corporation, trade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(including, without limitation, a partnership or limited liability company) which is directly or indirectly controlled fifty percent (50%) or more (whether by ownership of stock, assets or an equivalent ownership interest or voting interest) by the Company (or its successors), or (iii) any other entity (including its successors) which is designated as an Affiliate by the Board.</w:t>
      </w:r>
    </w:p>
    <w:p>
      <w:pPr>
        <w:spacing w:after="0" w:line="175" w:lineRule="exact"/>
        <w:rPr>
          <w:rFonts w:ascii="Times New Roman" w:cs="Times New Roman" w:eastAsia="Times New Roman" w:hAnsi="Times New Roman"/>
          <w:sz w:val="22"/>
          <w:szCs w:val="22"/>
          <w:color w:val="010000"/>
        </w:rPr>
      </w:pPr>
    </w:p>
    <w:p>
      <w:pPr>
        <w:ind w:left="1300" w:hanging="644"/>
        <w:spacing w:after="0" w:line="275" w:lineRule="auto"/>
        <w:tabs>
          <w:tab w:leader="none" w:pos="1381"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means the greater of the Executive’s annual rate of salary, whether or not deferred, at: (i) the Effective Date of Termination or (ii) at the date of the Change in Control.</w:t>
      </w:r>
    </w:p>
    <w:p>
      <w:pPr>
        <w:spacing w:after="0" w:line="149" w:lineRule="exact"/>
        <w:rPr>
          <w:rFonts w:ascii="Times New Roman" w:cs="Times New Roman" w:eastAsia="Times New Roman" w:hAnsi="Times New Roman"/>
          <w:sz w:val="22"/>
          <w:szCs w:val="22"/>
          <w:color w:val="010000"/>
        </w:rPr>
      </w:pPr>
    </w:p>
    <w:p>
      <w:pPr>
        <w:ind w:left="1300" w:right="20" w:hanging="644"/>
        <w:spacing w:after="0" w:line="275" w:lineRule="auto"/>
        <w:tabs>
          <w:tab w:leader="none" w:pos="1300"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Beneficiary</w:t>
      </w:r>
      <w:r>
        <w:rPr>
          <w:rFonts w:ascii="Times New Roman" w:cs="Times New Roman" w:eastAsia="Times New Roman" w:hAnsi="Times New Roman"/>
          <w:sz w:val="22"/>
          <w:szCs w:val="22"/>
          <w:color w:val="auto"/>
        </w:rPr>
        <w:t xml:space="preserve">” means the persons or entities designated or deemed designated by the Executive pursuant to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herein.</w:t>
      </w:r>
    </w:p>
    <w:p>
      <w:pPr>
        <w:spacing w:after="0" w:line="14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010000"/>
        </w:rPr>
      </w:pPr>
    </w:p>
    <w:p>
      <w:pPr>
        <w:jc w:val="both"/>
        <w:ind w:left="1300" w:hanging="644"/>
        <w:spacing w:after="0" w:line="253" w:lineRule="auto"/>
        <w:tabs>
          <w:tab w:leader="none" w:pos="1300"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as to any Executive (i) “Cause”, as defined in any employment, consulting or similar agreement between the Executive and the Company or an Affiliate in effect at the time of the Executive’s separation, or (ii) in the absence of any such employment, consulting or similar agreement (or the absence of any definition of “Cause” contained therein), the occurrence of any of the following:</w:t>
      </w:r>
    </w:p>
    <w:p>
      <w:pPr>
        <w:spacing w:after="0" w:line="179" w:lineRule="exact"/>
        <w:rPr>
          <w:rFonts w:ascii="Times New Roman" w:cs="Times New Roman" w:eastAsia="Times New Roman" w:hAnsi="Times New Roman"/>
          <w:sz w:val="22"/>
          <w:szCs w:val="22"/>
          <w:color w:val="010000"/>
        </w:rPr>
      </w:pPr>
    </w:p>
    <w:p>
      <w:pPr>
        <w:jc w:val="both"/>
        <w:ind w:left="1960" w:hanging="770"/>
        <w:spacing w:after="0" w:line="257" w:lineRule="auto"/>
        <w:tabs>
          <w:tab w:leader="none" w:pos="1960" w:val="left"/>
        </w:tabs>
        <w:numPr>
          <w:ilvl w:val="1"/>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willful misconduct or gross negligence in the performance of the Executive’s duties to the Company or an Affiliate that has or could reasonably be expected to have an adverse effect on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71" w:name="page172"/>
    <w:bookmarkEnd w:id="171"/>
    <w:p>
      <w:pPr>
        <w:ind w:left="1304" w:hanging="830"/>
        <w:spacing w:after="0" w:line="271" w:lineRule="auto"/>
        <w:tabs>
          <w:tab w:leader="none" w:pos="1304" w:val="left"/>
        </w:tabs>
        <w:numPr>
          <w:ilvl w:val="2"/>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willful failure to perform the Executive’s duties to the Company or an Affiliate (other than as a result of death or a physical or mental incapacity);</w:t>
      </w:r>
    </w:p>
    <w:p>
      <w:pPr>
        <w:spacing w:after="0" w:line="157" w:lineRule="exact"/>
        <w:rPr>
          <w:rFonts w:ascii="Times New Roman" w:cs="Times New Roman" w:eastAsia="Times New Roman" w:hAnsi="Times New Roman"/>
          <w:sz w:val="22"/>
          <w:szCs w:val="22"/>
          <w:color w:val="010000"/>
        </w:rPr>
      </w:pPr>
    </w:p>
    <w:p>
      <w:pPr>
        <w:ind w:left="1304" w:hanging="890"/>
        <w:spacing w:after="0" w:line="271" w:lineRule="auto"/>
        <w:tabs>
          <w:tab w:leader="none" w:pos="1304" w:val="left"/>
        </w:tabs>
        <w:numPr>
          <w:ilvl w:val="2"/>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indictment for, conviction of, or pleading of guilty or nolo contendere to, a felony or any crime involving moral turpitude;</w:t>
      </w:r>
    </w:p>
    <w:p>
      <w:pPr>
        <w:spacing w:after="0" w:line="157" w:lineRule="exact"/>
        <w:rPr>
          <w:rFonts w:ascii="Times New Roman" w:cs="Times New Roman" w:eastAsia="Times New Roman" w:hAnsi="Times New Roman"/>
          <w:sz w:val="22"/>
          <w:szCs w:val="22"/>
          <w:color w:val="010000"/>
        </w:rPr>
      </w:pPr>
    </w:p>
    <w:p>
      <w:pPr>
        <w:ind w:left="1304" w:hanging="878"/>
        <w:spacing w:after="0" w:line="271" w:lineRule="auto"/>
        <w:tabs>
          <w:tab w:leader="none" w:pos="1290" w:val="left"/>
        </w:tabs>
        <w:numPr>
          <w:ilvl w:val="1"/>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performance of any material act of theft, fraud, malfeasance or dishonesty in connection with the performance of the Executive’s duties to the Company or an Affiliate;</w:t>
      </w:r>
    </w:p>
    <w:p>
      <w:pPr>
        <w:spacing w:after="0" w:line="157" w:lineRule="exact"/>
        <w:rPr>
          <w:rFonts w:ascii="Times New Roman" w:cs="Times New Roman" w:eastAsia="Times New Roman" w:hAnsi="Times New Roman"/>
          <w:sz w:val="22"/>
          <w:szCs w:val="22"/>
          <w:color w:val="010000"/>
        </w:rPr>
      </w:pPr>
    </w:p>
    <w:p>
      <w:pPr>
        <w:ind w:left="1304" w:hanging="818"/>
        <w:spacing w:after="0" w:line="271" w:lineRule="auto"/>
        <w:tabs>
          <w:tab w:leader="none" w:pos="1290" w:val="left"/>
        </w:tabs>
        <w:numPr>
          <w:ilvl w:val="1"/>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breach of any written agreement between the Executive and the Company or an Affiliate, or a violation of the Company’s code of conduct or other written policy; or</w:t>
      </w:r>
    </w:p>
    <w:p>
      <w:pPr>
        <w:spacing w:after="0" w:line="157" w:lineRule="exact"/>
        <w:rPr>
          <w:rFonts w:ascii="Times New Roman" w:cs="Times New Roman" w:eastAsia="Times New Roman" w:hAnsi="Times New Roman"/>
          <w:sz w:val="22"/>
          <w:szCs w:val="22"/>
          <w:color w:val="010000"/>
        </w:rPr>
      </w:pPr>
    </w:p>
    <w:p>
      <w:pPr>
        <w:ind w:left="1304" w:hanging="878"/>
        <w:spacing w:after="0"/>
        <w:tabs>
          <w:tab w:leader="none" w:pos="1304" w:val="left"/>
        </w:tabs>
        <w:numPr>
          <w:ilvl w:val="2"/>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other material breach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this Plan.</w:t>
      </w:r>
    </w:p>
    <w:p>
      <w:pPr>
        <w:spacing w:after="0" w:line="219" w:lineRule="exact"/>
        <w:rPr>
          <w:rFonts w:ascii="Times New Roman" w:cs="Times New Roman" w:eastAsia="Times New Roman" w:hAnsi="Times New Roman"/>
          <w:sz w:val="22"/>
          <w:szCs w:val="22"/>
          <w:color w:val="010000"/>
        </w:rPr>
      </w:pPr>
    </w:p>
    <w:p>
      <w:pPr>
        <w:jc w:val="both"/>
        <w:ind w:left="1304"/>
        <w:spacing w:after="0" w:line="24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Plan, there shall be no termination for Cause pursuant to subsections (i) through (vi) above, unless a written notice, containing a detailed description of the grounds constituting Cause hereunder, is delivered to the Executive stating the basis for the termination. Upon receipt of such notice, the Executive shall be given thirty (30) days to fully cure and remedy the neglect or conduct that is the basis of such claim, provided that the Executive’s right to cure shall not apply if there are egregious, habitual or repeated breaches by the Executive.</w:t>
      </w:r>
    </w:p>
    <w:p>
      <w:pPr>
        <w:spacing w:after="0" w:line="182"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Change-in-Control Severance Benefits</w:t>
      </w:r>
      <w:r>
        <w:rPr>
          <w:rFonts w:ascii="Times New Roman" w:cs="Times New Roman" w:eastAsia="Times New Roman" w:hAnsi="Times New Roman"/>
          <w:sz w:val="22"/>
          <w:szCs w:val="22"/>
          <w:color w:val="auto"/>
        </w:rPr>
        <w:t xml:space="preserve">” means the Severance Benefit described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 the first to occur of any of the following events:</w:t>
      </w:r>
    </w:p>
    <w:p>
      <w:pPr>
        <w:spacing w:after="0" w:line="223" w:lineRule="exact"/>
        <w:rPr>
          <w:rFonts w:ascii="Times New Roman" w:cs="Times New Roman" w:eastAsia="Times New Roman" w:hAnsi="Times New Roman"/>
          <w:sz w:val="22"/>
          <w:szCs w:val="22"/>
          <w:color w:val="010000"/>
        </w:rPr>
      </w:pPr>
    </w:p>
    <w:p>
      <w:pPr>
        <w:jc w:val="both"/>
        <w:ind w:left="1304" w:hanging="938"/>
        <w:spacing w:after="0" w:line="246" w:lineRule="auto"/>
        <w:tabs>
          <w:tab w:leader="none" w:pos="1304" w:val="left"/>
        </w:tabs>
        <w:numPr>
          <w:ilvl w:val="2"/>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“person” (as that term is used in Sections 13 and 14(d)(2) of the Securities Exchange Act of 1934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other than Clearway Energy Group LLC or one of its subsidiaries or affiliates (A) becomes the “beneficial owner” (as that term is used in Section 13(d) of the Exchange Act), directly or indirectly, of fifty percent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 or</w:t>
      </w:r>
    </w:p>
    <w:p>
      <w:pPr>
        <w:spacing w:after="0" w:line="190" w:lineRule="exact"/>
        <w:rPr>
          <w:rFonts w:ascii="Times New Roman" w:cs="Times New Roman" w:eastAsia="Times New Roman" w:hAnsi="Times New Roman"/>
          <w:sz w:val="22"/>
          <w:szCs w:val="22"/>
          <w:color w:val="010000"/>
        </w:rPr>
      </w:pPr>
    </w:p>
    <w:p>
      <w:pPr>
        <w:ind w:left="1304" w:hanging="998"/>
        <w:spacing w:after="0" w:line="295" w:lineRule="auto"/>
        <w:tabs>
          <w:tab w:leader="none" w:pos="1304" w:val="left"/>
        </w:tabs>
        <w:numPr>
          <w:ilvl w:val="2"/>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Persons who on the Effective Date constitute the Board (the “</w:t>
      </w:r>
      <w:r>
        <w:rPr>
          <w:rFonts w:ascii="Times New Roman" w:cs="Times New Roman" w:eastAsia="Times New Roman" w:hAnsi="Times New Roman"/>
          <w:sz w:val="21"/>
          <w:szCs w:val="21"/>
          <w:u w:val="single" w:color="auto"/>
          <w:color w:val="auto"/>
        </w:rPr>
        <w:t>Incumbent Directors</w:t>
      </w:r>
      <w:r>
        <w:rPr>
          <w:rFonts w:ascii="Times New Roman" w:cs="Times New Roman" w:eastAsia="Times New Roman" w:hAnsi="Times New Roman"/>
          <w:sz w:val="21"/>
          <w:szCs w:val="21"/>
          <w:color w:val="auto"/>
        </w:rPr>
        <w:t>”) cease for any reason, including without limitation, as a result of a tender offer, proxy contest, merger, or similar transaction, to</w:t>
      </w:r>
    </w:p>
    <w:p>
      <w:pPr>
        <w:spacing w:after="0" w:line="200" w:lineRule="exact"/>
        <w:rPr>
          <w:sz w:val="20"/>
          <w:szCs w:val="20"/>
          <w:color w:val="auto"/>
        </w:rPr>
      </w:pPr>
    </w:p>
    <w:p>
      <w:pPr>
        <w:spacing w:after="0" w:line="381"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4"/>
          </w:cols>
          <w:pgMar w:left="976" w:top="1422" w:right="339" w:bottom="1440" w:gutter="0" w:footer="0" w:header="0"/>
        </w:sectPr>
      </w:pPr>
    </w:p>
    <w:bookmarkStart w:id="172" w:name="page173"/>
    <w:bookmarkEnd w:id="172"/>
    <w:p>
      <w:pPr>
        <w:jc w:val="both"/>
        <w:ind w:left="1304"/>
        <w:spacing w:after="0" w:line="260" w:lineRule="auto"/>
        <w:rPr>
          <w:sz w:val="20"/>
          <w:szCs w:val="20"/>
          <w:color w:val="auto"/>
        </w:rPr>
      </w:pPr>
      <w:r>
        <w:rPr>
          <w:rFonts w:ascii="Times New Roman" w:cs="Times New Roman" w:eastAsia="Times New Roman" w:hAnsi="Times New Roman"/>
          <w:sz w:val="21"/>
          <w:szCs w:val="21"/>
          <w:color w:val="auto"/>
        </w:rPr>
        <w:t>constitute at least a majority thereof, provided that any person becoming a director of the Company subsequent to the Effective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75" w:lineRule="exact"/>
        <w:rPr>
          <w:sz w:val="20"/>
          <w:szCs w:val="20"/>
          <w:color w:val="auto"/>
        </w:rPr>
      </w:pPr>
    </w:p>
    <w:p>
      <w:pPr>
        <w:jc w:val="both"/>
        <w:ind w:left="1304" w:hanging="878"/>
        <w:spacing w:after="0" w:line="259" w:lineRule="auto"/>
        <w:tabs>
          <w:tab w:leader="none" w:pos="1304" w:val="left"/>
        </w:tabs>
        <w:numPr>
          <w:ilvl w:val="1"/>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Consummation of a reorganization, merger, consolidation, or sale or other disposition of all or substantially all of the assets of the Company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fifty percent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75" w:lineRule="exact"/>
        <w:rPr>
          <w:rFonts w:ascii="Times New Roman" w:cs="Times New Roman" w:eastAsia="Times New Roman" w:hAnsi="Times New Roman"/>
          <w:sz w:val="21"/>
          <w:szCs w:val="21"/>
          <w:color w:val="010000"/>
        </w:rPr>
      </w:pPr>
    </w:p>
    <w:p>
      <w:pPr>
        <w:ind w:left="1304" w:hanging="818"/>
        <w:spacing w:after="0" w:line="271" w:lineRule="auto"/>
        <w:tabs>
          <w:tab w:leader="none" w:pos="1304" w:val="left"/>
        </w:tabs>
        <w:numPr>
          <w:ilvl w:val="1"/>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stockholders of the Company approve any plan or proposal for the liquidation or dissolution of the Company.</w:t>
      </w:r>
    </w:p>
    <w:p>
      <w:pPr>
        <w:spacing w:after="0" w:line="153" w:lineRule="exact"/>
        <w:rPr>
          <w:rFonts w:ascii="Times New Roman" w:cs="Times New Roman" w:eastAsia="Times New Roman" w:hAnsi="Times New Roman"/>
          <w:sz w:val="22"/>
          <w:szCs w:val="22"/>
          <w:color w:val="010000"/>
        </w:rPr>
      </w:pPr>
    </w:p>
    <w:p>
      <w:pPr>
        <w:ind w:left="644" w:right="20" w:hanging="644"/>
        <w:spacing w:after="0" w:line="275" w:lineRule="auto"/>
        <w:tabs>
          <w:tab w:leader="none" w:pos="644"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and the treasury regulations and other official guidance promulgated thereunder.</w:t>
      </w:r>
    </w:p>
    <w:p>
      <w:pPr>
        <w:spacing w:after="0" w:line="149" w:lineRule="exact"/>
        <w:rPr>
          <w:rFonts w:ascii="Times New Roman" w:cs="Times New Roman" w:eastAsia="Times New Roman" w:hAnsi="Times New Roman"/>
          <w:sz w:val="22"/>
          <w:szCs w:val="22"/>
          <w:color w:val="010000"/>
        </w:rPr>
      </w:pPr>
    </w:p>
    <w:p>
      <w:pPr>
        <w:ind w:left="644" w:right="20" w:hanging="644"/>
        <w:spacing w:after="0" w:line="275" w:lineRule="auto"/>
        <w:tabs>
          <w:tab w:leader="none" w:pos="644"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Compensation Committee of the Board or any other committee appointed by the Board to perform the functions of the Compensation Committee.</w:t>
      </w:r>
    </w:p>
    <w:p>
      <w:pPr>
        <w:spacing w:after="0" w:line="149" w:lineRule="exact"/>
        <w:rPr>
          <w:rFonts w:ascii="Times New Roman" w:cs="Times New Roman" w:eastAsia="Times New Roman" w:hAnsi="Times New Roman"/>
          <w:sz w:val="22"/>
          <w:szCs w:val="22"/>
          <w:color w:val="010000"/>
        </w:rPr>
      </w:pPr>
    </w:p>
    <w:p>
      <w:pPr>
        <w:ind w:left="644" w:right="20" w:hanging="644"/>
        <w:spacing w:after="0" w:line="275" w:lineRule="auto"/>
        <w:tabs>
          <w:tab w:leader="none" w:pos="636"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means Clearway Energy, Inc., a Delaware corporation, or any successor thereto as provided in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herein.</w:t>
      </w:r>
    </w:p>
    <w:p>
      <w:pPr>
        <w:spacing w:after="0" w:line="14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5(a)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Delay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3.4(b)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4"/>
          </w:cols>
          <w:pgMar w:left="976" w:top="1422" w:right="339" w:bottom="1440" w:gutter="0" w:footer="0" w:header="0"/>
        </w:sectPr>
      </w:pPr>
    </w:p>
    <w:bookmarkStart w:id="173" w:name="page174"/>
    <w:bookmarkEnd w:id="173"/>
    <w:p>
      <w:pPr>
        <w:ind w:left="644" w:hanging="644"/>
        <w:spacing w:after="0" w:line="275" w:lineRule="auto"/>
        <w:tabs>
          <w:tab w:leader="none" w:pos="6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 disability that would entitle Executive to payment of monthly disability payments under any Company long-term disability plan.</w:t>
      </w:r>
    </w:p>
    <w:p>
      <w:pPr>
        <w:spacing w:after="0" w:line="14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means the commencement date of this Plan as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this Plan.</w:t>
      </w:r>
    </w:p>
    <w:p>
      <w:pPr>
        <w:spacing w:after="0" w:line="219" w:lineRule="exact"/>
        <w:rPr>
          <w:rFonts w:ascii="Times New Roman" w:cs="Times New Roman" w:eastAsia="Times New Roman" w:hAnsi="Times New Roman"/>
          <w:sz w:val="22"/>
          <w:szCs w:val="22"/>
          <w:color w:val="010000"/>
        </w:rPr>
      </w:pPr>
    </w:p>
    <w:p>
      <w:pPr>
        <w:ind w:left="644" w:hanging="644"/>
        <w:spacing w:after="0" w:line="275" w:lineRule="auto"/>
        <w:tabs>
          <w:tab w:leader="none" w:pos="6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 of Termination</w:t>
      </w:r>
      <w:r>
        <w:rPr>
          <w:rFonts w:ascii="Times New Roman" w:cs="Times New Roman" w:eastAsia="Times New Roman" w:hAnsi="Times New Roman"/>
          <w:sz w:val="22"/>
          <w:szCs w:val="22"/>
          <w:color w:val="auto"/>
        </w:rPr>
        <w:t>” means the date on which a Qualifying Termination occurs, as defined hereunder, which triggers the payment of Severance Benefits hereunder.</w:t>
      </w:r>
    </w:p>
    <w:p>
      <w:pPr>
        <w:spacing w:after="0" w:line="14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644" w:hanging="644"/>
        <w:spacing w:after="0" w:line="277" w:lineRule="auto"/>
        <w:tabs>
          <w:tab w:leader="none" w:pos="644" w:val="left"/>
        </w:tabs>
        <w:numPr>
          <w:ilvl w:val="0"/>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Executive Vice President</w:t>
      </w:r>
      <w:r>
        <w:rPr>
          <w:rFonts w:ascii="Times New Roman" w:cs="Times New Roman" w:eastAsia="Times New Roman" w:hAnsi="Times New Roman"/>
          <w:sz w:val="21"/>
          <w:szCs w:val="21"/>
          <w:color w:val="auto"/>
        </w:rPr>
        <w:t>” shall include those employees of the Company with the Job Level of EVP immediately prior to the Change in Control, or such other employee who is designated as an EVP in the Company’s human resources information system immediately prior to the Change in Control other than the CEO.</w:t>
      </w:r>
    </w:p>
    <w:p>
      <w:pPr>
        <w:spacing w:after="0" w:line="149" w:lineRule="exact"/>
        <w:rPr>
          <w:rFonts w:ascii="Times New Roman" w:cs="Times New Roman" w:eastAsia="Times New Roman" w:hAnsi="Times New Roman"/>
          <w:sz w:val="21"/>
          <w:szCs w:val="21"/>
          <w:color w:val="010000"/>
        </w:rPr>
      </w:pPr>
    </w:p>
    <w:p>
      <w:pPr>
        <w:ind w:left="644" w:hanging="644"/>
        <w:spacing w:after="0" w:line="275" w:lineRule="auto"/>
        <w:tabs>
          <w:tab w:leader="none" w:pos="698"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Former Parent Company</w:t>
      </w:r>
      <w:r>
        <w:rPr>
          <w:rFonts w:ascii="Times New Roman" w:cs="Times New Roman" w:eastAsia="Times New Roman" w:hAnsi="Times New Roman"/>
          <w:sz w:val="22"/>
          <w:szCs w:val="22"/>
          <w:color w:val="auto"/>
        </w:rPr>
        <w:t>” means, collectively NRG Energy, Inc., a Delaware corporation, Xcel Energy, Inc., a Minnesota corporation, and their affiliates and any successors thereto.</w:t>
      </w:r>
    </w:p>
    <w:p>
      <w:pPr>
        <w:spacing w:after="0" w:line="14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 Severance Benefits</w:t>
      </w:r>
      <w:r>
        <w:rPr>
          <w:rFonts w:ascii="Times New Roman" w:cs="Times New Roman" w:eastAsia="Times New Roman" w:hAnsi="Times New Roman"/>
          <w:sz w:val="22"/>
          <w:szCs w:val="22"/>
          <w:color w:val="auto"/>
        </w:rPr>
        <w:t xml:space="preserve">” means the Severance Benefit described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644" w:right="20" w:hanging="644"/>
        <w:spacing w:after="0" w:line="275" w:lineRule="auto"/>
        <w:tabs>
          <w:tab w:leader="none" w:pos="6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the Executive’s express written consent the occurrence of any one or more of the following:</w:t>
      </w:r>
    </w:p>
    <w:p>
      <w:pPr>
        <w:spacing w:after="0" w:line="153" w:lineRule="exact"/>
        <w:rPr>
          <w:rFonts w:ascii="Times New Roman" w:cs="Times New Roman" w:eastAsia="Times New Roman" w:hAnsi="Times New Roman"/>
          <w:sz w:val="22"/>
          <w:szCs w:val="22"/>
          <w:color w:val="010000"/>
        </w:rPr>
      </w:pPr>
    </w:p>
    <w:p>
      <w:pPr>
        <w:jc w:val="both"/>
        <w:ind w:left="1304" w:hanging="878"/>
        <w:spacing w:after="0" w:line="261" w:lineRule="auto"/>
        <w:tabs>
          <w:tab w:leader="none" w:pos="1304" w:val="left"/>
        </w:tabs>
        <w:numPr>
          <w:ilvl w:val="1"/>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reduces the amount of the Executive’s then current Base Salary or target total compensation by more than fifteen percent (15%), excluding across-the-board reductions to the Executive’s then current Base Salary or annual bonus target pursuant to a compensation reduction program that applies to substantially all similarly situated executives of the Company; provided that, if any reduction of Base Salary or target total compensation occurs during the eighteen (18)-month period described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2(aa)(i)</w:t>
      </w:r>
      <w:r>
        <w:rPr>
          <w:rFonts w:ascii="Times New Roman" w:cs="Times New Roman" w:eastAsia="Times New Roman" w:hAnsi="Times New Roman"/>
          <w:sz w:val="21"/>
          <w:szCs w:val="21"/>
          <w:color w:val="auto"/>
        </w:rPr>
        <w:t xml:space="preserve"> (without regard to whether the reduction applies on an across-the-board basis as described above), then such reduction shall be deemed to constitute Good Reason for purposes of the Plan; or</w:t>
      </w:r>
    </w:p>
    <w:p>
      <w:pPr>
        <w:spacing w:after="0" w:line="173" w:lineRule="exact"/>
        <w:rPr>
          <w:rFonts w:ascii="Times New Roman" w:cs="Times New Roman" w:eastAsia="Times New Roman" w:hAnsi="Times New Roman"/>
          <w:sz w:val="21"/>
          <w:szCs w:val="21"/>
          <w:color w:val="010000"/>
        </w:rPr>
      </w:pPr>
    </w:p>
    <w:p>
      <w:pPr>
        <w:jc w:val="both"/>
        <w:ind w:left="1304" w:hanging="938"/>
        <w:spacing w:after="0" w:line="252" w:lineRule="auto"/>
        <w:tabs>
          <w:tab w:leader="none" w:pos="1304"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in the Executive’s benefits under or relative level of participation in the Company’s employee benefit or retirement plans, policies, practices, or arrangements in which the Executive participates as of the Effective Date of this Plan, or as of the commencement of Executive’s participation in this Plan, as applicable; 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4"/>
          </w:cols>
          <w:pgMar w:left="976" w:top="1418" w:right="339" w:bottom="1440" w:gutter="0" w:footer="0" w:header="0"/>
        </w:sectPr>
      </w:pPr>
    </w:p>
    <w:bookmarkStart w:id="174" w:name="page175"/>
    <w:bookmarkEnd w:id="174"/>
    <w:p>
      <w:pPr>
        <w:ind w:left="1304" w:right="20" w:hanging="998"/>
        <w:spacing w:after="0" w:line="271" w:lineRule="auto"/>
        <w:tabs>
          <w:tab w:leader="none" w:pos="1304"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diminution in the Executive’s title, authority, duties, or responsibilities or the assignment of duties to the Executive which are materially inconsistent with his position; or</w:t>
      </w:r>
    </w:p>
    <w:p>
      <w:pPr>
        <w:spacing w:after="0" w:line="158" w:lineRule="exact"/>
        <w:rPr>
          <w:sz w:val="20"/>
          <w:szCs w:val="20"/>
          <w:color w:val="auto"/>
        </w:rPr>
      </w:pPr>
    </w:p>
    <w:p>
      <w:pPr>
        <w:jc w:val="both"/>
        <w:ind w:left="1304" w:hanging="986"/>
        <w:spacing w:after="0" w:line="252" w:lineRule="auto"/>
        <w:tabs>
          <w:tab w:leader="none" w:pos="1290"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relocation of the Executive’s principal place of employment to a location that is more than fifty (50) miles from the Executive’s place of employment as of the Effective Date of this Plan, or as of the commencement of Executive’s participation in this Plan, as applicable, but only if such new location is not closer to the Executive’s primary residence; or</w:t>
      </w:r>
    </w:p>
    <w:p>
      <w:pPr>
        <w:spacing w:after="0" w:line="179" w:lineRule="exact"/>
        <w:rPr>
          <w:rFonts w:ascii="Times New Roman" w:cs="Times New Roman" w:eastAsia="Times New Roman" w:hAnsi="Times New Roman"/>
          <w:sz w:val="22"/>
          <w:szCs w:val="22"/>
          <w:color w:val="010000"/>
        </w:rPr>
      </w:pPr>
    </w:p>
    <w:p>
      <w:pPr>
        <w:jc w:val="both"/>
        <w:ind w:left="1304" w:hanging="926"/>
        <w:spacing w:after="0" w:line="257" w:lineRule="auto"/>
        <w:tabs>
          <w:tab w:leader="none" w:pos="1290"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failure of the Company to obtain in writing the obligation to perform or be bound by the terms of this Plan by any successor to the Company or a purchaser of all or substantially all of the assets of the Company within fifteen (15) days after a merger, consolidation, sale, or similar transaction.</w:t>
      </w:r>
    </w:p>
    <w:p>
      <w:pPr>
        <w:spacing w:after="0" w:line="173" w:lineRule="exact"/>
        <w:rPr>
          <w:sz w:val="20"/>
          <w:szCs w:val="20"/>
          <w:color w:val="auto"/>
        </w:rPr>
      </w:pPr>
    </w:p>
    <w:p>
      <w:pPr>
        <w:ind w:left="644"/>
        <w:spacing w:after="0" w:line="266" w:lineRule="auto"/>
        <w:rPr>
          <w:sz w:val="20"/>
          <w:szCs w:val="20"/>
          <w:color w:val="auto"/>
        </w:rPr>
      </w:pPr>
      <w:r>
        <w:rPr>
          <w:rFonts w:ascii="Times New Roman" w:cs="Times New Roman" w:eastAsia="Times New Roman" w:hAnsi="Times New Roman"/>
          <w:sz w:val="21"/>
          <w:szCs w:val="21"/>
          <w:color w:val="auto"/>
        </w:rPr>
        <w:t>For purposes of this Plan, the Executive is not entitled to assert that his termination is for Good Reason unless the Executive gives the Board written notice of the event or events which are the basis for such claim within ninety</w:t>
      </w:r>
    </w:p>
    <w:p>
      <w:pPr>
        <w:spacing w:after="0" w:line="2" w:lineRule="exact"/>
        <w:rPr>
          <w:sz w:val="20"/>
          <w:szCs w:val="20"/>
          <w:color w:val="auto"/>
        </w:rPr>
      </w:pPr>
    </w:p>
    <w:p>
      <w:pPr>
        <w:jc w:val="both"/>
        <w:ind w:left="644" w:firstLine="4"/>
        <w:spacing w:after="0" w:line="245" w:lineRule="auto"/>
        <w:tabs>
          <w:tab w:leader="none" w:pos="1069"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event or events occur, describing such claim in reasonably sufficient detail to allow the Board to address the event or events and a period of not less than thirty (30) days after to cure or fully remedy the alleged condition.</w:t>
      </w:r>
    </w:p>
    <w:p>
      <w:pPr>
        <w:spacing w:after="0" w:line="18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Noncompete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5(c)</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644" w:hanging="644"/>
        <w:spacing w:after="0" w:line="259" w:lineRule="auto"/>
        <w:tabs>
          <w:tab w:leader="none" w:pos="644"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shall mean a written notice which shall indicate the specific termination provision in this Plan relied upon, and shall set forth in reasonable detail the facts and circumstances claimed to provide a basis for termination of the Executive’s employment under the provision so indicated.</w:t>
      </w:r>
    </w:p>
    <w:p>
      <w:pPr>
        <w:spacing w:after="0" w:line="166"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Parachute Payment Ratio</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means:</w:t>
      </w:r>
    </w:p>
    <w:p>
      <w:pPr>
        <w:spacing w:after="0" w:line="223" w:lineRule="exact"/>
        <w:rPr>
          <w:rFonts w:ascii="Times New Roman" w:cs="Times New Roman" w:eastAsia="Times New Roman" w:hAnsi="Times New Roman"/>
          <w:sz w:val="22"/>
          <w:szCs w:val="22"/>
          <w:color w:val="010000"/>
        </w:rPr>
      </w:pPr>
    </w:p>
    <w:p>
      <w:pPr>
        <w:ind w:left="1304" w:hanging="986"/>
        <w:spacing w:after="0" w:line="271" w:lineRule="auto"/>
        <w:tabs>
          <w:tab w:leader="none" w:pos="1304"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such event occurs within the time period that is six (6) months immediately prior to, or twelve (12) months immediately following a Change in Control:</w:t>
      </w:r>
    </w:p>
    <w:p>
      <w:pPr>
        <w:spacing w:after="0" w:line="157" w:lineRule="exact"/>
        <w:rPr>
          <w:rFonts w:ascii="Times New Roman" w:cs="Times New Roman" w:eastAsia="Times New Roman" w:hAnsi="Times New Roman"/>
          <w:sz w:val="22"/>
          <w:szCs w:val="22"/>
          <w:color w:val="010000"/>
        </w:rPr>
      </w:pPr>
    </w:p>
    <w:p>
      <w:pPr>
        <w:ind w:left="1924" w:hanging="648"/>
        <w:spacing w:after="0" w:line="257"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a.</w:t>
      </w:r>
      <w:r>
        <w:rPr>
          <w:rFonts w:ascii="Times New Roman" w:cs="Times New Roman" w:eastAsia="Times New Roman" w:hAnsi="Times New Roman"/>
          <w:sz w:val="22"/>
          <w:szCs w:val="22"/>
          <w:color w:val="auto"/>
        </w:rPr>
        <w:t>An involuntary termination of the Executive’s employment by the Company for reasons other than Cause, death, or Disability pursuant to a Notice of Termination delivered to the Executive by the Company;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4"/>
          </w:cols>
          <w:pgMar w:left="976" w:top="1422" w:right="339" w:bottom="1440" w:gutter="0" w:footer="0" w:header="0"/>
        </w:sectPr>
      </w:pPr>
    </w:p>
    <w:bookmarkStart w:id="175" w:name="page176"/>
    <w:bookmarkEnd w:id="175"/>
    <w:p>
      <w:pPr>
        <w:ind w:left="1944" w:right="20" w:hanging="648"/>
        <w:spacing w:after="0" w:line="271" w:lineRule="auto"/>
        <w:tabs>
          <w:tab w:leader="none" w:pos="1944" w:val="left"/>
        </w:tabs>
        <w:numPr>
          <w:ilvl w:val="2"/>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voluntary termination by the Executive for Good Reason pursuant to a Notice of Termination delivered to the Company by the Executive; or</w:t>
      </w:r>
    </w:p>
    <w:p>
      <w:pPr>
        <w:spacing w:after="0" w:line="157" w:lineRule="exact"/>
        <w:rPr>
          <w:rFonts w:ascii="Times New Roman" w:cs="Times New Roman" w:eastAsia="Times New Roman" w:hAnsi="Times New Roman"/>
          <w:sz w:val="22"/>
          <w:szCs w:val="22"/>
          <w:color w:val="010000"/>
        </w:rPr>
      </w:pPr>
    </w:p>
    <w:p>
      <w:pPr>
        <w:ind w:left="1304" w:hanging="1046"/>
        <w:spacing w:after="0"/>
        <w:tabs>
          <w:tab w:leader="none" w:pos="1304" w:val="left"/>
        </w:tabs>
        <w:numPr>
          <w:ilvl w:val="1"/>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such event occurs at any other time:</w:t>
      </w:r>
    </w:p>
    <w:p>
      <w:pPr>
        <w:spacing w:after="0" w:line="219" w:lineRule="exact"/>
        <w:rPr>
          <w:rFonts w:ascii="Times New Roman" w:cs="Times New Roman" w:eastAsia="Times New Roman" w:hAnsi="Times New Roman"/>
          <w:sz w:val="22"/>
          <w:szCs w:val="22"/>
          <w:color w:val="010000"/>
        </w:rPr>
      </w:pPr>
    </w:p>
    <w:p>
      <w:pPr>
        <w:jc w:val="both"/>
        <w:ind w:left="1944" w:hanging="648"/>
        <w:spacing w:after="0" w:line="257" w:lineRule="auto"/>
        <w:tabs>
          <w:tab w:leader="none" w:pos="1932" w:val="left"/>
        </w:tabs>
        <w:numPr>
          <w:ilvl w:val="2"/>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involuntary termination of the Executive’s employment by the Company for reasons other than Cause, death, or Disability pursuant to a Notice of Termination delivered to the Executive by the Company.</w:t>
      </w:r>
    </w:p>
    <w:p>
      <w:pPr>
        <w:spacing w:after="0" w:line="168"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 Effective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644" w:hanging="644"/>
        <w:spacing w:after="0" w:line="259" w:lineRule="auto"/>
        <w:tabs>
          <w:tab w:leader="none" w:pos="644"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Vice President</w:t>
      </w:r>
      <w:r>
        <w:rPr>
          <w:rFonts w:ascii="Times New Roman" w:cs="Times New Roman" w:eastAsia="Times New Roman" w:hAnsi="Times New Roman"/>
          <w:sz w:val="22"/>
          <w:szCs w:val="22"/>
          <w:color w:val="auto"/>
        </w:rPr>
        <w:t>” shall include those employees of the Company with the Job Level of SVP immediately prior to the Change in Control, or such other employee who is designated as an SVP in the Company’s human resources information system immediately prior to the Change in Control.</w:t>
      </w:r>
    </w:p>
    <w:p>
      <w:pPr>
        <w:spacing w:after="0" w:line="166" w:lineRule="exact"/>
        <w:rPr>
          <w:rFonts w:ascii="Times New Roman" w:cs="Times New Roman" w:eastAsia="Times New Roman" w:hAnsi="Times New Roman"/>
          <w:sz w:val="22"/>
          <w:szCs w:val="22"/>
          <w:color w:val="010000"/>
        </w:rPr>
      </w:pPr>
    </w:p>
    <w:p>
      <w:pPr>
        <w:ind w:left="644" w:hanging="644"/>
        <w:spacing w:after="0" w:line="275" w:lineRule="auto"/>
        <w:tabs>
          <w:tab w:leader="none" w:pos="779"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xml:space="preserve">” means the payment of Change-in-Control or General (as appropriate) Severance compensation as provided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herein.</w:t>
      </w:r>
    </w:p>
    <w:p>
      <w:pPr>
        <w:spacing w:after="0" w:line="14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means any Executive described in Section 409A(a)(2)(B)(i) of the Code.</w:t>
      </w:r>
    </w:p>
    <w:p>
      <w:pPr>
        <w:spacing w:after="0" w:line="21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Successive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Information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5(a)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Payments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 Product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5(b)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4" w:hanging="424"/>
        <w:spacing w:after="0"/>
        <w:tabs>
          <w:tab w:leader="none" w:pos="424" w:val="left"/>
        </w:tabs>
        <w:numPr>
          <w:ilvl w:val="0"/>
          <w:numId w:val="9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Right to Severance Benefits</w:t>
      </w:r>
    </w:p>
    <w:p>
      <w:pPr>
        <w:spacing w:after="0" w:line="220" w:lineRule="exact"/>
        <w:rPr>
          <w:sz w:val="20"/>
          <w:szCs w:val="20"/>
          <w:color w:val="auto"/>
        </w:rPr>
      </w:pPr>
    </w:p>
    <w:p>
      <w:pPr>
        <w:jc w:val="both"/>
        <w:ind w:left="644" w:hanging="644"/>
        <w:spacing w:after="0" w:line="253" w:lineRule="auto"/>
        <w:tabs>
          <w:tab w:leader="none" w:pos="644"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Change-in-Control Severance Benefits. </w:t>
      </w:r>
      <w:r>
        <w:rPr>
          <w:rFonts w:ascii="Times New Roman" w:cs="Times New Roman" w:eastAsia="Times New Roman" w:hAnsi="Times New Roman"/>
          <w:sz w:val="22"/>
          <w:szCs w:val="22"/>
          <w:color w:val="auto"/>
        </w:rPr>
        <w:t xml:space="preserve">The Executive shall be entitled to receive from the Company Change-in-Control Severance Benefits, as described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herein, if a Qualifying Termination of the Executive’s employment has occurred within six (6) months immediately prior to or twelve (12) months immediately following a Change in Control of the Company.</w:t>
      </w:r>
    </w:p>
    <w:p>
      <w:pPr>
        <w:spacing w:after="0" w:line="175" w:lineRule="exact"/>
        <w:rPr>
          <w:rFonts w:ascii="Times New Roman" w:cs="Times New Roman" w:eastAsia="Times New Roman" w:hAnsi="Times New Roman"/>
          <w:sz w:val="22"/>
          <w:szCs w:val="22"/>
          <w:color w:val="010000"/>
        </w:rPr>
      </w:pPr>
    </w:p>
    <w:p>
      <w:pPr>
        <w:jc w:val="both"/>
        <w:ind w:left="644" w:hanging="644"/>
        <w:spacing w:after="0" w:line="259" w:lineRule="auto"/>
        <w:tabs>
          <w:tab w:leader="none" w:pos="644"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General Severance Benefits</w:t>
      </w:r>
      <w:r>
        <w:rPr>
          <w:rFonts w:ascii="Times New Roman" w:cs="Times New Roman" w:eastAsia="Times New Roman" w:hAnsi="Times New Roman"/>
          <w:sz w:val="22"/>
          <w:szCs w:val="22"/>
          <w:color w:val="auto"/>
        </w:rPr>
        <w:t>. The Executive shall be entitled to receive from the Company General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Benefits, as described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herein, if a Qualifying Termination of the Executive’s employment has occurred other than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84"/>
          </w:cols>
          <w:pgMar w:left="976" w:top="1422" w:right="339" w:bottom="1440" w:gutter="0" w:footer="0" w:header="0"/>
        </w:sectPr>
      </w:pPr>
    </w:p>
    <w:bookmarkStart w:id="176" w:name="page177"/>
    <w:bookmarkEnd w:id="176"/>
    <w:p>
      <w:pPr>
        <w:ind w:left="644"/>
        <w:spacing w:after="0"/>
        <w:rPr>
          <w:sz w:val="20"/>
          <w:szCs w:val="20"/>
          <w:color w:val="auto"/>
        </w:rPr>
      </w:pPr>
      <w:r>
        <w:rPr>
          <w:rFonts w:ascii="Times New Roman" w:cs="Times New Roman" w:eastAsia="Times New Roman" w:hAnsi="Times New Roman"/>
          <w:sz w:val="21"/>
          <w:szCs w:val="21"/>
          <w:color w:val="auto"/>
        </w:rPr>
        <w:t>during the six (6) months immediately prior to or twelve (12) months immediately following a Change in Control.</w:t>
      </w:r>
    </w:p>
    <w:p>
      <w:pPr>
        <w:spacing w:after="0" w:line="227" w:lineRule="exact"/>
        <w:rPr>
          <w:sz w:val="20"/>
          <w:szCs w:val="20"/>
          <w:color w:val="auto"/>
        </w:rPr>
      </w:pPr>
    </w:p>
    <w:p>
      <w:pPr>
        <w:ind w:left="644" w:right="20" w:hanging="644"/>
        <w:spacing w:after="0" w:line="275" w:lineRule="auto"/>
        <w:tabs>
          <w:tab w:leader="none" w:pos="644"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No Severance Benefits</w:t>
      </w:r>
      <w:r>
        <w:rPr>
          <w:rFonts w:ascii="Times New Roman" w:cs="Times New Roman" w:eastAsia="Times New Roman" w:hAnsi="Times New Roman"/>
          <w:sz w:val="22"/>
          <w:szCs w:val="22"/>
          <w:color w:val="auto"/>
        </w:rPr>
        <w:t>. The Executive shall not be entitled to receive Severance Benefits if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ends for reasons other than a Qualifying Termination.</w:t>
      </w:r>
    </w:p>
    <w:p>
      <w:pPr>
        <w:spacing w:after="0" w:line="149" w:lineRule="exact"/>
        <w:rPr>
          <w:rFonts w:ascii="Times New Roman" w:cs="Times New Roman" w:eastAsia="Times New Roman" w:hAnsi="Times New Roman"/>
          <w:sz w:val="22"/>
          <w:szCs w:val="22"/>
          <w:color w:val="010000"/>
        </w:rPr>
      </w:pPr>
    </w:p>
    <w:p>
      <w:pPr>
        <w:jc w:val="both"/>
        <w:ind w:left="644" w:hanging="644"/>
        <w:spacing w:after="0" w:line="246" w:lineRule="auto"/>
        <w:tabs>
          <w:tab w:leader="none" w:pos="644"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General Release and Acknowledgement of Restrictive Covenants</w:t>
      </w:r>
      <w:r>
        <w:rPr>
          <w:rFonts w:ascii="Times New Roman" w:cs="Times New Roman" w:eastAsia="Times New Roman" w:hAnsi="Times New Roman"/>
          <w:sz w:val="22"/>
          <w:szCs w:val="22"/>
          <w:color w:val="auto"/>
        </w:rPr>
        <w:t>. As a condition to receiving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Benefits under either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herein, the Executive shall be obligated to execute a general waiver and release of claims in favor of the Company, its current and former affiliates and stockholders, and the current and former directors, officers, employees, and agents of the Company in a form drafted by and acceptable to the Company, and any revocation period for such release must have expired, in each case within sixty (60) days of the date of termination. The date upon which the executed release is no longer subject to revocation shall be referred to herein as the “</w:t>
      </w:r>
      <w:r>
        <w:rPr>
          <w:rFonts w:ascii="Times New Roman" w:cs="Times New Roman" w:eastAsia="Times New Roman" w:hAnsi="Times New Roman"/>
          <w:sz w:val="22"/>
          <w:szCs w:val="22"/>
          <w:u w:val="single" w:color="auto"/>
          <w:color w:val="auto"/>
        </w:rPr>
        <w:t>Release Effective Date</w:t>
      </w:r>
      <w:r>
        <w:rPr>
          <w:rFonts w:ascii="Times New Roman" w:cs="Times New Roman" w:eastAsia="Times New Roman" w:hAnsi="Times New Roman"/>
          <w:sz w:val="22"/>
          <w:szCs w:val="22"/>
          <w:color w:val="auto"/>
        </w:rPr>
        <w:t xml:space="preserve">”. The Executive must also execute a notice acknowledging the restrictive covenants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within sixty (60) days of the date of termination. Any payments under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shall commence only after execution of the release and acknowledgement, and in the manner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2" w:lineRule="exact"/>
        <w:rPr>
          <w:rFonts w:ascii="Times New Roman" w:cs="Times New Roman" w:eastAsia="Times New Roman" w:hAnsi="Times New Roman"/>
          <w:sz w:val="22"/>
          <w:szCs w:val="22"/>
          <w:color w:val="010000"/>
        </w:rPr>
      </w:pPr>
    </w:p>
    <w:p>
      <w:pPr>
        <w:jc w:val="both"/>
        <w:ind w:left="644" w:hanging="644"/>
        <w:spacing w:after="0" w:line="258" w:lineRule="auto"/>
        <w:tabs>
          <w:tab w:leader="none" w:pos="644" w:val="left"/>
        </w:tabs>
        <w:numPr>
          <w:ilvl w:val="0"/>
          <w:numId w:val="92"/>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No Duplication of Severance Benefits; Reduction of Other Benefits</w:t>
      </w:r>
      <w:r>
        <w:rPr>
          <w:rFonts w:ascii="Times New Roman" w:cs="Times New Roman" w:eastAsia="Times New Roman" w:hAnsi="Times New Roman"/>
          <w:sz w:val="21"/>
          <w:szCs w:val="21"/>
          <w:color w:val="auto"/>
        </w:rPr>
        <w:t>. If the Executive becomes entitled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Change-in-Control Severance Benefits, the Severance Benefits provided for under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hereunder shall be in lieu of all other Severance Benefits provided to the Executive under the provisions of this Plan and any other Company-related or Former Parent Company-related severance plans, programs, or agreements including, but not limited to, the Severance Benefits under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herein. Likewise, if the Executive becomes entitled to General Severance Benefits, the Severance Benefits provided under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hereunder shall be in lieu of all other Severance Benefits provided to the Executive under the provisions of this Plan and any other Company-related severance plans, programs, or other agreements including, but not limited to, the Severance Benefits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3.2</w:t>
      </w:r>
      <w:r>
        <w:rPr>
          <w:rFonts w:ascii="Times New Roman" w:cs="Times New Roman" w:eastAsia="Times New Roman" w:hAnsi="Times New Roman"/>
          <w:sz w:val="21"/>
          <w:szCs w:val="21"/>
          <w:color w:val="auto"/>
        </w:rPr>
        <w:t xml:space="preserve"> herein. Any benefits provided under this Plan will, to the extent permitted by law, be reduced by the value of any severance benefit required to be paid to the Executive under federal, state or local stature, ordinance or regulation, including any payments or extended periods of employment required to comply with any law governing plant closings, layoffs or similar events. If benefits are paid under this Plan, and, subsequent to such payment, an amount is determined to be payable to the Executive which would under the terms of this section reduce the benefit payable under the Plan, the Company shall be entitled to recover from the Executive the overpayment made under this Plan and shall, to the extent permitted by law, be entitled to offset such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4"/>
          </w:cols>
          <w:pgMar w:left="976" w:top="1422" w:right="339" w:bottom="1440" w:gutter="0" w:footer="0" w:header="0"/>
        </w:sectPr>
      </w:pPr>
    </w:p>
    <w:bookmarkStart w:id="177" w:name="page178"/>
    <w:bookmarkEnd w:id="177"/>
    <w:p>
      <w:pPr>
        <w:ind w:left="1300" w:right="20"/>
        <w:spacing w:after="0" w:line="271" w:lineRule="auto"/>
        <w:rPr>
          <w:sz w:val="20"/>
          <w:szCs w:val="20"/>
          <w:color w:val="auto"/>
        </w:rPr>
      </w:pPr>
      <w:r>
        <w:rPr>
          <w:rFonts w:ascii="Times New Roman" w:cs="Times New Roman" w:eastAsia="Times New Roman" w:hAnsi="Times New Roman"/>
          <w:sz w:val="22"/>
          <w:szCs w:val="22"/>
          <w:color w:val="auto"/>
        </w:rPr>
        <w:t>overpayment against any amount owed to the Executive (other than any amount that constitutes “deferred compensation” for purposes of Code Section 409A).</w:t>
      </w:r>
    </w:p>
    <w:p>
      <w:pPr>
        <w:spacing w:after="0" w:line="154"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Description of Change-in-Control Severance Benefits</w:t>
      </w:r>
    </w:p>
    <w:p>
      <w:pPr>
        <w:spacing w:after="0" w:line="224" w:lineRule="exact"/>
        <w:rPr>
          <w:sz w:val="20"/>
          <w:szCs w:val="20"/>
          <w:color w:val="auto"/>
        </w:rPr>
      </w:pPr>
    </w:p>
    <w:p>
      <w:pPr>
        <w:ind w:left="780" w:hanging="124"/>
        <w:spacing w:after="0"/>
        <w:tabs>
          <w:tab w:leader="none" w:pos="78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In the event the Executive becomes entitled to receive Change-in-Control Severance Benefits, as provided in </w:t>
      </w:r>
      <w:r>
        <w:rPr>
          <w:rFonts w:ascii="Times New Roman" w:cs="Times New Roman" w:eastAsia="Times New Roman" w:hAnsi="Times New Roman"/>
          <w:sz w:val="22"/>
          <w:szCs w:val="22"/>
          <w:u w:val="single" w:color="auto"/>
          <w:color w:val="auto"/>
        </w:rPr>
        <w:t>Section</w:t>
      </w:r>
    </w:p>
    <w:p>
      <w:pPr>
        <w:spacing w:after="0" w:line="2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3.1(a)</w:t>
      </w:r>
      <w:r>
        <w:rPr>
          <w:rFonts w:ascii="Times New Roman" w:cs="Times New Roman" w:eastAsia="Times New Roman" w:hAnsi="Times New Roman"/>
          <w:sz w:val="22"/>
          <w:szCs w:val="22"/>
          <w:color w:val="auto"/>
        </w:rPr>
        <w:t xml:space="preserve"> herein, the Company shall provide the Executive with the following:</w:t>
      </w:r>
    </w:p>
    <w:p>
      <w:pPr>
        <w:spacing w:after="0" w:line="196" w:lineRule="exact"/>
        <w:rPr>
          <w:sz w:val="20"/>
          <w:szCs w:val="20"/>
          <w:color w:val="auto"/>
        </w:rPr>
      </w:pPr>
    </w:p>
    <w:p>
      <w:pPr>
        <w:jc w:val="both"/>
        <w:ind w:left="1300" w:hanging="644"/>
        <w:spacing w:after="0" w:line="247" w:lineRule="auto"/>
        <w:tabs>
          <w:tab w:leader="none" w:pos="1300"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5" w:lineRule="exact"/>
        <w:rPr>
          <w:rFonts w:ascii="Times New Roman" w:cs="Times New Roman" w:eastAsia="Times New Roman" w:hAnsi="Times New Roman"/>
          <w:sz w:val="22"/>
          <w:szCs w:val="22"/>
          <w:color w:val="010000"/>
        </w:rPr>
      </w:pPr>
    </w:p>
    <w:p>
      <w:pPr>
        <w:jc w:val="both"/>
        <w:ind w:left="1300" w:hanging="644"/>
        <w:spacing w:after="0" w:line="247" w:lineRule="auto"/>
        <w:tabs>
          <w:tab w:leader="none" w:pos="1300"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lump-sum amount, paid upon the date that is sixty (60) calendar days following the Effective Date of Termination, equal to: (i) two and ninety-nine one-hundredths (2.99) for EVPs, or (ii) two (2) for SVPs times the sum of the following: (A) the Executive’s Base Salary and (B) the Executive’s annual target bonus opportunity in the year of termination; provided that to the extent the payment of any amounts pursuant to this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5" w:lineRule="exact"/>
        <w:rPr>
          <w:rFonts w:ascii="Times New Roman" w:cs="Times New Roman" w:eastAsia="Times New Roman" w:hAnsi="Times New Roman"/>
          <w:sz w:val="22"/>
          <w:szCs w:val="22"/>
          <w:color w:val="010000"/>
        </w:rPr>
      </w:pPr>
    </w:p>
    <w:p>
      <w:pPr>
        <w:jc w:val="both"/>
        <w:ind w:left="1300" w:hanging="644"/>
        <w:spacing w:after="0" w:line="246" w:lineRule="auto"/>
        <w:tabs>
          <w:tab w:leader="none" w:pos="1300"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lump-sum amount, paid upon the date that is sixty (60) calendar days following the Effective Date of Termination, equal to the Executive’s then current target bonus opportunity established under the bonus plan in which the Executive is then participating, for the plan year in which a Qualifying Termination occurs, adjusted on a pro rata basis based on the number of days the Executive was actually employed during the bonus plan year in which the Qualifying Termination occurs, provided that to the extent the payment of any amounts pursuant to this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78" w:name="page179"/>
    <w:bookmarkEnd w:id="178"/>
    <w:p>
      <w:pPr>
        <w:jc w:val="both"/>
        <w:ind w:left="1300" w:hanging="644"/>
        <w:spacing w:after="0" w:line="252" w:lineRule="auto"/>
        <w:tabs>
          <w:tab w:leader="none" w:pos="1300"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Payment of all or a portion of the Executive’s cost to participate in COBRA health and/or dental continuation coverage for eighteen (18) months following the Executive’s Effective Date of Termination, such that Executive maintains the same coverage level and cost, on an after tax basis, as in effect immediately prior to the Executive’s Effective Date of Termination.</w:t>
      </w:r>
    </w:p>
    <w:p>
      <w:pPr>
        <w:spacing w:after="0" w:line="179" w:lineRule="exact"/>
        <w:rPr>
          <w:rFonts w:ascii="Times New Roman" w:cs="Times New Roman" w:eastAsia="Times New Roman" w:hAnsi="Times New Roman"/>
          <w:sz w:val="22"/>
          <w:szCs w:val="22"/>
          <w:color w:val="010000"/>
        </w:rPr>
      </w:pPr>
    </w:p>
    <w:p>
      <w:pPr>
        <w:jc w:val="both"/>
        <w:ind w:left="1300"/>
        <w:spacing w:after="0" w:line="24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above, these health and/or dental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81" w:lineRule="exact"/>
        <w:rPr>
          <w:rFonts w:ascii="Times New Roman" w:cs="Times New Roman" w:eastAsia="Times New Roman" w:hAnsi="Times New Roman"/>
          <w:sz w:val="22"/>
          <w:szCs w:val="22"/>
          <w:color w:val="010000"/>
        </w:rPr>
      </w:pPr>
    </w:p>
    <w:p>
      <w:pPr>
        <w:ind w:left="1300" w:hanging="644"/>
        <w:spacing w:after="0" w:line="271" w:lineRule="auto"/>
        <w:tabs>
          <w:tab w:leader="none" w:pos="1300"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Treatment of outstanding long-term incentives shall be in accordance with the governing plan document and award agreements, if any.</w:t>
      </w:r>
    </w:p>
    <w:p>
      <w:pPr>
        <w:spacing w:after="0" w:line="154" w:lineRule="exact"/>
        <w:rPr>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Description of General Severance Benefits</w:t>
      </w:r>
    </w:p>
    <w:p>
      <w:pPr>
        <w:spacing w:after="0" w:line="224" w:lineRule="exact"/>
        <w:rPr>
          <w:sz w:val="20"/>
          <w:szCs w:val="20"/>
          <w:color w:val="auto"/>
        </w:rPr>
      </w:pPr>
    </w:p>
    <w:p>
      <w:pPr>
        <w:ind w:firstLine="656"/>
        <w:spacing w:after="0" w:line="271" w:lineRule="auto"/>
        <w:tabs>
          <w:tab w:leader="none" w:pos="75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Executive becomes entitled to receive General Severance Benefits as provided in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xml:space="preserve"> herein, the Company shall provide the Executive with the following:</w:t>
      </w:r>
    </w:p>
    <w:p>
      <w:pPr>
        <w:spacing w:after="0" w:line="158" w:lineRule="exact"/>
        <w:rPr>
          <w:sz w:val="20"/>
          <w:szCs w:val="20"/>
          <w:color w:val="auto"/>
        </w:rPr>
      </w:pPr>
    </w:p>
    <w:p>
      <w:pPr>
        <w:jc w:val="both"/>
        <w:ind w:left="1300" w:hanging="644"/>
        <w:spacing w:after="0" w:line="247" w:lineRule="auto"/>
        <w:tabs>
          <w:tab w:leader="none" w:pos="1300"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5" w:lineRule="exact"/>
        <w:rPr>
          <w:rFonts w:ascii="Times New Roman" w:cs="Times New Roman" w:eastAsia="Times New Roman" w:hAnsi="Times New Roman"/>
          <w:sz w:val="22"/>
          <w:szCs w:val="22"/>
          <w:color w:val="010000"/>
        </w:rPr>
      </w:pPr>
    </w:p>
    <w:p>
      <w:pPr>
        <w:jc w:val="both"/>
        <w:ind w:left="1300" w:hanging="644"/>
        <w:spacing w:after="0" w:line="248" w:lineRule="auto"/>
        <w:tabs>
          <w:tab w:leader="none" w:pos="1300"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lump-sum amount, paid upon the date that is sixty (60) calendar days following the Effective Date of Termination, equal to one and one-half (1.5) times the Executive’s Base Salary; provided that to the extent the payment of any amounts pursuant to this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79" w:name="page180"/>
    <w:bookmarkEnd w:id="179"/>
    <w:p>
      <w:pPr>
        <w:jc w:val="both"/>
        <w:ind w:left="644" w:hanging="644"/>
        <w:spacing w:after="0" w:line="252" w:lineRule="auto"/>
        <w:tabs>
          <w:tab w:leader="none" w:pos="644"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Payment of all or a portion of the Executive’s cost to participate in COBRA health and/or dental continuation coverage for eighteen (18) months following the Executive’s Effective Date of Termination, such that Executive maintains the same coverage level and cost, on an after tax basis, as in effect immediately prior to the Executive’s Effective Date of Termination.</w:t>
      </w:r>
    </w:p>
    <w:p>
      <w:pPr>
        <w:spacing w:after="0" w:line="179" w:lineRule="exact"/>
        <w:rPr>
          <w:rFonts w:ascii="Times New Roman" w:cs="Times New Roman" w:eastAsia="Times New Roman" w:hAnsi="Times New Roman"/>
          <w:sz w:val="22"/>
          <w:szCs w:val="22"/>
          <w:color w:val="010000"/>
        </w:rPr>
      </w:pPr>
    </w:p>
    <w:p>
      <w:pPr>
        <w:jc w:val="both"/>
        <w:ind w:left="644"/>
        <w:spacing w:after="0" w:line="24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above, these health and/or dental insurance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81" w:lineRule="exact"/>
        <w:rPr>
          <w:rFonts w:ascii="Times New Roman" w:cs="Times New Roman" w:eastAsia="Times New Roman" w:hAnsi="Times New Roman"/>
          <w:sz w:val="22"/>
          <w:szCs w:val="22"/>
          <w:color w:val="010000"/>
        </w:rPr>
      </w:pPr>
    </w:p>
    <w:p>
      <w:pPr>
        <w:ind w:left="644" w:hanging="644"/>
        <w:spacing w:after="0" w:line="271" w:lineRule="auto"/>
        <w:tabs>
          <w:tab w:leader="none" w:pos="644"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Treatment of outstanding long-term incentives shall be in accordance with the governing plan document and award agreements, if any.</w:t>
      </w:r>
    </w:p>
    <w:p>
      <w:pPr>
        <w:spacing w:after="0" w:line="154" w:lineRule="exact"/>
        <w:rPr>
          <w:sz w:val="20"/>
          <w:szCs w:val="20"/>
          <w:color w:val="auto"/>
        </w:rPr>
      </w:pPr>
    </w:p>
    <w:p>
      <w:pPr>
        <w:ind w:left="424" w:hanging="424"/>
        <w:spacing w:after="0"/>
        <w:tabs>
          <w:tab w:leader="none" w:pos="424" w:val="left"/>
        </w:tabs>
        <w:numPr>
          <w:ilvl w:val="0"/>
          <w:numId w:val="10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Coordination with Release and Delay Required by Code Section 409A</w:t>
      </w:r>
    </w:p>
    <w:p>
      <w:pPr>
        <w:spacing w:after="0" w:line="2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4" w:hanging="644"/>
        <w:spacing w:after="0" w:line="248" w:lineRule="auto"/>
        <w:tabs>
          <w:tab w:leader="none" w:pos="644"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any continuing benefit (or reimbursement thereof) to be provided is not “deferred compensation” for purposes of Code Section 409A, then such benefit shall commence or be made immediately after the Release Effective Date. To the extent any continuing benefit (or reimbursement thereof) to be provided is “deferred compensation” for purposes of Code Section 409A, then such benefits shall be reimbursed or commence upon the sixtieth (60) day following the Executive’s termination of employment. The delayed benefits shall in any event expire at the time such benefits would have expired had the benefits commenced immediately upon Executive’s termination of employment.</w:t>
      </w:r>
    </w:p>
    <w:p>
      <w:pPr>
        <w:spacing w:after="0" w:line="181" w:lineRule="exact"/>
        <w:rPr>
          <w:rFonts w:ascii="Times New Roman" w:cs="Times New Roman" w:eastAsia="Times New Roman" w:hAnsi="Times New Roman"/>
          <w:sz w:val="22"/>
          <w:szCs w:val="22"/>
          <w:color w:val="010000"/>
        </w:rPr>
      </w:pPr>
    </w:p>
    <w:p>
      <w:pPr>
        <w:jc w:val="both"/>
        <w:ind w:left="644" w:hanging="644"/>
        <w:spacing w:after="0" w:line="246" w:lineRule="auto"/>
        <w:tabs>
          <w:tab w:leader="none" w:pos="644"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 other payment schedule provided herein to the contrary, if the Executive is deemed on the date of termination to be a Specified Employee, then, once the release and acknowledgement required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3.1(d)</w:t>
      </w:r>
      <w:r>
        <w:rPr>
          <w:rFonts w:ascii="Times New Roman" w:cs="Times New Roman" w:eastAsia="Times New Roman" w:hAnsi="Times New Roman"/>
          <w:sz w:val="22"/>
          <w:szCs w:val="22"/>
          <w:color w:val="auto"/>
        </w:rPr>
        <w:t xml:space="preserve"> is executed and delivered and no longer subject to revocation, any payment that is considered deferred compensation under Code Section 409A payable on account of a “separation from service” shall be made on the date which is the earlier of (A) the expiration of the six (6)-month period measured from the date of such “separation from service” of the Executive, and (B) the date of the Executive’s death (the “</w:t>
      </w:r>
      <w:r>
        <w:rPr>
          <w:rFonts w:ascii="Times New Roman" w:cs="Times New Roman" w:eastAsia="Times New Roman" w:hAnsi="Times New Roman"/>
          <w:sz w:val="22"/>
          <w:szCs w:val="22"/>
          <w:u w:val="single" w:color="auto"/>
          <w:color w:val="auto"/>
        </w:rPr>
        <w:t>Delay Period</w:t>
      </w:r>
      <w:r>
        <w:rPr>
          <w:rFonts w:ascii="Times New Roman" w:cs="Times New Roman" w:eastAsia="Times New Roman" w:hAnsi="Times New Roman"/>
          <w:sz w:val="22"/>
          <w:szCs w:val="22"/>
          <w:color w:val="auto"/>
        </w:rPr>
        <w:t xml:space="preserve">”) to the extent required under Code Section 409A. Upon the expiration of the Delay Period, all payments delayed pursuant to this </w:t>
      </w:r>
      <w:r>
        <w:rPr>
          <w:rFonts w:ascii="Times New Roman" w:cs="Times New Roman" w:eastAsia="Times New Roman" w:hAnsi="Times New Roman"/>
          <w:sz w:val="22"/>
          <w:szCs w:val="22"/>
          <w:u w:val="single" w:color="auto"/>
          <w:color w:val="auto"/>
        </w:rPr>
        <w:t>Section 3.4(b)</w:t>
      </w:r>
      <w:r>
        <w:rPr>
          <w:rFonts w:ascii="Times New Roman" w:cs="Times New Roman" w:eastAsia="Times New Roman" w:hAnsi="Times New Roman"/>
          <w:sz w:val="22"/>
          <w:szCs w:val="22"/>
          <w:color w:val="auto"/>
        </w:rPr>
        <w:t xml:space="preserve"> (whether they would have otherwise been payable in a single sum or in installments in the absence of such delay) shall be paid to the Executive in 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584"/>
          </w:cols>
          <w:pgMar w:left="976" w:top="1422" w:right="339" w:bottom="1440" w:gutter="0" w:footer="0" w:header="0"/>
        </w:sectPr>
      </w:pPr>
    </w:p>
    <w:bookmarkStart w:id="180" w:name="page181"/>
    <w:bookmarkEnd w:id="180"/>
    <w:p>
      <w:pPr>
        <w:ind w:left="1300"/>
        <w:spacing w:after="0" w:line="271" w:lineRule="auto"/>
        <w:rPr>
          <w:sz w:val="20"/>
          <w:szCs w:val="20"/>
          <w:color w:val="auto"/>
        </w:rPr>
      </w:pPr>
      <w:r>
        <w:rPr>
          <w:rFonts w:ascii="Times New Roman" w:cs="Times New Roman" w:eastAsia="Times New Roman" w:hAnsi="Times New Roman"/>
          <w:sz w:val="22"/>
          <w:szCs w:val="22"/>
          <w:color w:val="auto"/>
        </w:rPr>
        <w:t>lump sum, and any remaining payments due under this Plan shall be paid or provided in accordance with the normal payment dates specified for them herein.</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4.</w:t>
      </w:r>
      <w:r>
        <w:rPr>
          <w:sz w:val="20"/>
          <w:szCs w:val="20"/>
          <w:color w:val="auto"/>
        </w:rPr>
        <w:tab/>
      </w:r>
      <w:r>
        <w:rPr>
          <w:rFonts w:ascii="Times New Roman" w:cs="Times New Roman" w:eastAsia="Times New Roman" w:hAnsi="Times New Roman"/>
          <w:sz w:val="21"/>
          <w:szCs w:val="21"/>
          <w:b w:val="1"/>
          <w:bCs w:val="1"/>
          <w:color w:val="auto"/>
        </w:rPr>
        <w:t>Ineligibility</w:t>
      </w:r>
    </w:p>
    <w:p>
      <w:pPr>
        <w:spacing w:after="0" w:line="220"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Comparable Position.</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Article 2(aa)(i)(B)</w:t>
      </w:r>
      <w:r>
        <w:rPr>
          <w:rFonts w:ascii="Times New Roman" w:cs="Times New Roman" w:eastAsia="Times New Roman" w:hAnsi="Times New Roman"/>
          <w:sz w:val="22"/>
          <w:szCs w:val="22"/>
          <w:color w:val="auto"/>
        </w:rPr>
        <w:t xml:space="preserve">, the Company may offer, or cause to be offered, an Executive a comparable position, may require an Executive to apply for a comparable position with the Company, any Affiliate, or Clearway Energy Group LLC, or a successor of the Company, any Affiliate or Clearway Energy Group LLC or may reassign an Executive to a new position or a reclassification of the Executive’s current 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positions shall be located within reasonably the same geographic area where the Executive is located at the time a Qualifying Termination occurs. The Company shall determine, in its sole and reasonable discretion, what constitutes a comparable position under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The failure of an Executive to accept the position, or apply for the position when required by the Company will render the Executive ineligible for benefits under this Plan.</w:t>
      </w:r>
    </w:p>
    <w:p>
      <w:pPr>
        <w:spacing w:after="0" w:line="181"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Other Circumstances.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Unless otherwise determined by the Committee, an Executive shall also be ineligible for benefits under this Plan if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196"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voluntarily terminates employment or retires prior to the Qualifying Termination;</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 receiving long-term Disability benefits;</w:t>
      </w:r>
    </w:p>
    <w:p>
      <w:pPr>
        <w:spacing w:after="0" w:line="219" w:lineRule="exact"/>
        <w:rPr>
          <w:rFonts w:ascii="Times New Roman" w:cs="Times New Roman" w:eastAsia="Times New Roman" w:hAnsi="Times New Roman"/>
          <w:sz w:val="22"/>
          <w:szCs w:val="22"/>
          <w:color w:val="010000"/>
        </w:rPr>
      </w:pPr>
    </w:p>
    <w:p>
      <w:pPr>
        <w:ind w:left="1300" w:hanging="644"/>
        <w:spacing w:after="0" w:line="271" w:lineRule="auto"/>
        <w:tabs>
          <w:tab w:leader="none" w:pos="1300"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 entitled to any other compensation or benefit which is determined, in the Company’s sole discretion, to supersede the Severance Benefits offered under this Plan;</w:t>
      </w:r>
    </w:p>
    <w:p>
      <w:pPr>
        <w:spacing w:after="0" w:line="157"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was discharged for Cause; and</w:t>
      </w:r>
    </w:p>
    <w:p>
      <w:pPr>
        <w:spacing w:after="0" w:line="219" w:lineRule="exact"/>
        <w:rPr>
          <w:rFonts w:ascii="Times New Roman" w:cs="Times New Roman" w:eastAsia="Times New Roman" w:hAnsi="Times New Roman"/>
          <w:sz w:val="22"/>
          <w:szCs w:val="22"/>
          <w:color w:val="010000"/>
        </w:rPr>
      </w:pPr>
    </w:p>
    <w:p>
      <w:pPr>
        <w:jc w:val="both"/>
        <w:ind w:left="1300" w:hanging="644"/>
        <w:spacing w:after="0" w:line="257" w:lineRule="auto"/>
        <w:tabs>
          <w:tab w:leader="none" w:pos="1300"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was offered employment by a successor employer or by a purchaser in the event of a spin-off or sale of a subsidiary, business unit or business assets of the Company or its subsidiaries, whether or not the Executive accepts or declines the offer of employment.</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5.</w:t>
      </w:r>
      <w:r>
        <w:rPr>
          <w:sz w:val="20"/>
          <w:szCs w:val="20"/>
          <w:color w:val="auto"/>
        </w:rPr>
        <w:tab/>
      </w:r>
      <w:r>
        <w:rPr>
          <w:rFonts w:ascii="Times New Roman" w:cs="Times New Roman" w:eastAsia="Times New Roman" w:hAnsi="Times New Roman"/>
          <w:sz w:val="21"/>
          <w:szCs w:val="21"/>
          <w:b w:val="1"/>
          <w:bCs w:val="1"/>
          <w:color w:val="auto"/>
        </w:rPr>
        <w:t>Restrictive Covenants</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In the event the Executive becomes entitled to receive Change-in-Control Severance Benefits as provided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herein or General Severance Benefits as provided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herein, the following shall apply:</w:t>
      </w:r>
    </w:p>
    <w:p>
      <w:pPr>
        <w:spacing w:after="0" w:line="154" w:lineRule="exact"/>
        <w:rPr>
          <w:sz w:val="20"/>
          <w:szCs w:val="20"/>
          <w:color w:val="auto"/>
        </w:rPr>
      </w:pPr>
    </w:p>
    <w:p>
      <w:pPr>
        <w:jc w:val="both"/>
        <w:ind w:left="1300" w:hanging="644"/>
        <w:spacing w:after="0" w:line="259" w:lineRule="auto"/>
        <w:tabs>
          <w:tab w:leader="none" w:pos="1367"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The Executive acknowledges that the information, observations, and data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 secrets) obtained by him while employed by the Company concerning the business or affairs of the Company or any of 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81" w:name="page182"/>
    <w:bookmarkEnd w:id="181"/>
    <w:p>
      <w:pPr>
        <w:jc w:val="both"/>
        <w:ind w:left="644"/>
        <w:spacing w:after="0" w:line="257" w:lineRule="auto"/>
        <w:rPr>
          <w:sz w:val="20"/>
          <w:szCs w:val="20"/>
          <w:color w:val="auto"/>
        </w:rPr>
      </w:pPr>
      <w:r>
        <w:rPr>
          <w:rFonts w:ascii="Times New Roman" w:cs="Times New Roman" w:eastAsia="Times New Roman" w:hAnsi="Times New Roman"/>
          <w:sz w:val="21"/>
          <w:szCs w:val="21"/>
          <w:color w:val="auto"/>
        </w:rPr>
        <w:t>affiliates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are the property of the Company or such affiliate. Therefore, except in the course of the Executive’s duties to the Company or as may be compelled by law or appropriate legal process, the Executive agrees that he shall not disclose to any person or entity or use for his own purposes any Confidential Information or any confidential or proprietary information of other persons or entities in the possession of the Company and its affiliates (“</w:t>
      </w:r>
      <w:r>
        <w:rPr>
          <w:rFonts w:ascii="Times New Roman" w:cs="Times New Roman" w:eastAsia="Times New Roman" w:hAnsi="Times New Roman"/>
          <w:sz w:val="21"/>
          <w:szCs w:val="21"/>
          <w:u w:val="single" w:color="auto"/>
          <w:color w:val="auto"/>
        </w:rPr>
        <w:t>Third Party Information</w:t>
      </w:r>
      <w:r>
        <w:rPr>
          <w:rFonts w:ascii="Times New Roman" w:cs="Times New Roman" w:eastAsia="Times New Roman" w:hAnsi="Times New Roman"/>
          <w:sz w:val="21"/>
          <w:szCs w:val="21"/>
          <w:color w:val="auto"/>
        </w:rPr>
        <w:t>”), without the prior written consent of the Board, unless and to the extent that the Confidential Information or Third Party Information becomes generally known to and available for use by the public other than as a result of the Executive’s acts or omissions. Except in the course of the Executive’s duties to Company or as may be compelled by law or appropriate legal process, the Executive will not, during his employment with the Company, or permanently thereafter, directly or indirectly use, divulge, disseminate, disclose, lecture upon, or publish any Confidential Information, without having first obtained written permission from the Board to do so. As of the Effective Date of Termination, the Executive shall deliver to the Company,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w:t>
      </w:r>
    </w:p>
    <w:p>
      <w:pPr>
        <w:spacing w:after="0" w:line="181" w:lineRule="exact"/>
        <w:rPr>
          <w:sz w:val="20"/>
          <w:szCs w:val="20"/>
          <w:color w:val="auto"/>
        </w:rPr>
      </w:pPr>
    </w:p>
    <w:p>
      <w:pPr>
        <w:jc w:val="both"/>
        <w:ind w:left="644" w:hanging="644"/>
        <w:spacing w:after="0" w:line="258" w:lineRule="auto"/>
        <w:tabs>
          <w:tab w:leader="none" w:pos="644" w:val="left"/>
        </w:tabs>
        <w:numPr>
          <w:ilvl w:val="0"/>
          <w:numId w:val="10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Intellectual Property, Inventions, and Patents</w:t>
      </w:r>
      <w:r>
        <w:rPr>
          <w:rFonts w:ascii="Times New Roman" w:cs="Times New Roman" w:eastAsia="Times New Roman" w:hAnsi="Times New Roman"/>
          <w:sz w:val="21"/>
          <w:szCs w:val="21"/>
          <w:color w:val="auto"/>
        </w:rPr>
        <w:t>. The Executive acknowledges that all discoveries, concepts,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ideas, inventions, innovations, improvements, developments, methods, trade secrets,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the Executive (whether alone or jointly with others) while employed by the Company and its affiliates (“</w:t>
      </w:r>
      <w:r>
        <w:rPr>
          <w:rFonts w:ascii="Times New Roman" w:cs="Times New Roman" w:eastAsia="Times New Roman" w:hAnsi="Times New Roman"/>
          <w:sz w:val="21"/>
          <w:szCs w:val="21"/>
          <w:u w:val="single" w:color="auto"/>
          <w:color w:val="auto"/>
        </w:rPr>
        <w:t>Work Product</w:t>
      </w:r>
      <w:r>
        <w:rPr>
          <w:rFonts w:ascii="Times New Roman" w:cs="Times New Roman" w:eastAsia="Times New Roman" w:hAnsi="Times New Roman"/>
          <w:sz w:val="21"/>
          <w:szCs w:val="21"/>
          <w:color w:val="auto"/>
        </w:rPr>
        <w:t>”), belong to the Company or such affiliate. The Executive shall promptly disclose such Work Product to the Board and, at the Company’s expense, perform all actions reasonably requested by the Board (whether during or after the Executive’s employment with the Company) to establish and confirm such ownership (including, without limitation, assignments, consents, powers of attorney, and other instruments). The Executive acknowledges that all applicable Work Product shall be deemed to constitute “works made for hire” under the U.S. Copyright Act of 1976, as amended. To the extent any Work Product is not deemed a work made for hire, then the Executive hereby assigns to the Company or such affiliate all right, title, and interest in and to such Work Product, including all related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84"/>
          </w:cols>
          <w:pgMar w:left="976" w:top="1422" w:right="339" w:bottom="1440" w:gutter="0" w:footer="0" w:header="0"/>
        </w:sectPr>
      </w:pPr>
    </w:p>
    <w:bookmarkStart w:id="182" w:name="page183"/>
    <w:bookmarkEnd w:id="182"/>
    <w:p>
      <w:pPr>
        <w:jc w:val="both"/>
        <w:ind w:left="644"/>
        <w:spacing w:after="0" w:line="248" w:lineRule="auto"/>
        <w:rPr>
          <w:sz w:val="20"/>
          <w:szCs w:val="20"/>
          <w:color w:val="auto"/>
        </w:rPr>
      </w:pPr>
      <w:r>
        <w:rPr>
          <w:rFonts w:ascii="Times New Roman" w:cs="Times New Roman" w:eastAsia="Times New Roman" w:hAnsi="Times New Roman"/>
          <w:sz w:val="22"/>
          <w:szCs w:val="22"/>
          <w:color w:val="auto"/>
        </w:rPr>
        <w:t>The Executive is hereby advised that the above paragraph regarding the Company’s and its affiliates’ ownership of Work Product does not apply to any invention for which no equipment, supplies, facilities, or trade secret information of the Company or any affiliate was used and which was developed entirely on the Executive’s own time, unless: (i) the invention relates to the business of the Company or any affiliate or to the Company’s or any affiliate’s actual or demonstrably anticipated research or development, or (ii) the invention results from any work performed by the Executive for the Company or any affiliate.</w:t>
      </w:r>
    </w:p>
    <w:p>
      <w:pPr>
        <w:spacing w:after="0" w:line="183" w:lineRule="exact"/>
        <w:rPr>
          <w:sz w:val="20"/>
          <w:szCs w:val="20"/>
          <w:color w:val="auto"/>
        </w:rPr>
      </w:pPr>
    </w:p>
    <w:p>
      <w:pPr>
        <w:jc w:val="both"/>
        <w:ind w:left="644" w:hanging="644"/>
        <w:spacing w:after="0" w:line="245" w:lineRule="auto"/>
        <w:tabs>
          <w:tab w:leader="none" w:pos="644"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Noncompete</w:t>
      </w:r>
      <w:r>
        <w:rPr>
          <w:rFonts w:ascii="Times New Roman" w:cs="Times New Roman" w:eastAsia="Times New Roman" w:hAnsi="Times New Roman"/>
          <w:sz w:val="22"/>
          <w:szCs w:val="22"/>
          <w:color w:val="auto"/>
        </w:rPr>
        <w:t>. In further consideration of the compensation to be paid to the Executive hereunder, the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that during the course of his employment with the Company and its affiliates he shall become familiar with the Company’s trade secrets and with other Confidential Information concerning the Company and its affiliates and that his services shall be of special, unique, and extraordinary value to the Company and its affiliates, and therefore, the Executive agrees that, during the Executive’s employment with the Company and for one (1) year thereafter (the “</w:t>
      </w:r>
      <w:r>
        <w:rPr>
          <w:rFonts w:ascii="Times New Roman" w:cs="Times New Roman" w:eastAsia="Times New Roman" w:hAnsi="Times New Roman"/>
          <w:sz w:val="22"/>
          <w:szCs w:val="22"/>
          <w:u w:val="single" w:color="auto"/>
          <w:color w:val="auto"/>
        </w:rPr>
        <w:t>Noncompete Period</w:t>
      </w:r>
      <w:r>
        <w:rPr>
          <w:rFonts w:ascii="Times New Roman" w:cs="Times New Roman" w:eastAsia="Times New Roman" w:hAnsi="Times New Roman"/>
          <w:sz w:val="22"/>
          <w:szCs w:val="22"/>
          <w:color w:val="auto"/>
        </w:rPr>
        <w:t xml:space="preserve">”), the Executive shall not directly or indirectly own any interest in, manage, control, participate in, consult with, render services for, be employed in an executive, managerial, or administrative capacity by, or in any manner engage in any company engaged in the business of wholesale or retail power generation, or any other business which competes with the businesses of the Company or its affiliates, as such businesses exist or are in process during the Executive’s employment with the Company, within any geographical area in which the Company or its affiliates engage or have definitive plans to engage in such businesses. Nothing herein shall prohibit the Executive from being a passive owner of not more than two percent (2%) of the outstanding stock of any class of a corporation which is publicly traded, so long as the Executive has no active participation in the business of such corporation. Notwithstanding the foregoing, the provisions of this </w:t>
      </w:r>
      <w:r>
        <w:rPr>
          <w:rFonts w:ascii="Times New Roman" w:cs="Times New Roman" w:eastAsia="Times New Roman" w:hAnsi="Times New Roman"/>
          <w:sz w:val="22"/>
          <w:szCs w:val="22"/>
          <w:u w:val="single" w:color="auto"/>
          <w:color w:val="auto"/>
        </w:rPr>
        <w:t>Article 5(c)</w:t>
      </w:r>
      <w:r>
        <w:rPr>
          <w:rFonts w:ascii="Times New Roman" w:cs="Times New Roman" w:eastAsia="Times New Roman" w:hAnsi="Times New Roman"/>
          <w:sz w:val="22"/>
          <w:szCs w:val="22"/>
          <w:color w:val="auto"/>
        </w:rPr>
        <w:t xml:space="preserve"> shall not apply in the case of termination of the Executive’s employment pursuant to any material breach of the Company’s obligations under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which remains uncured for more than twenty (20) days after notice is received from the Executive of such breach, which such notice shall include a detailed description of the grounds constituting such breach.</w:t>
      </w:r>
    </w:p>
    <w:p>
      <w:pPr>
        <w:spacing w:after="0" w:line="184" w:lineRule="exact"/>
        <w:rPr>
          <w:rFonts w:ascii="Times New Roman" w:cs="Times New Roman" w:eastAsia="Times New Roman" w:hAnsi="Times New Roman"/>
          <w:sz w:val="22"/>
          <w:szCs w:val="22"/>
          <w:color w:val="010000"/>
        </w:rPr>
      </w:pPr>
    </w:p>
    <w:p>
      <w:pPr>
        <w:jc w:val="both"/>
        <w:ind w:left="644" w:hanging="644"/>
        <w:spacing w:after="0" w:line="247" w:lineRule="auto"/>
        <w:tabs>
          <w:tab w:leader="none" w:pos="644"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Nonsolicitation</w:t>
      </w:r>
      <w:r>
        <w:rPr>
          <w:rFonts w:ascii="Times New Roman" w:cs="Times New Roman" w:eastAsia="Times New Roman" w:hAnsi="Times New Roman"/>
          <w:sz w:val="22"/>
          <w:szCs w:val="22"/>
          <w:color w:val="auto"/>
        </w:rPr>
        <w:t>. During the Noncompete Period, the Executive shall not directly or indirectly through another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or entity: (i) induce or attempt to induce any employee of the Company or any of its affiliates to leave the employ of the Company or such affiliate, or in any way interfere with the relationship between the Company or any affiliate and any employee thereof; (ii) hire any person who was an employee of the Company or any affiliate during the last six (6) months of the Executive’s employment with the Company; or (iii) induce or attempt to induce any customer, supplier, licensee, licensor, franchisee, or other business relation of the Company or any affiliate to cease doing business with the Company or such affiliate, or in any interfere with the relationship between any such customer, supplier, licensee, or business relation and the Company or 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84"/>
          </w:cols>
          <w:pgMar w:left="976" w:top="1422" w:right="339" w:bottom="1440" w:gutter="0" w:footer="0" w:header="0"/>
        </w:sectPr>
      </w:pPr>
    </w:p>
    <w:bookmarkStart w:id="183" w:name="page184"/>
    <w:bookmarkEnd w:id="183"/>
    <w:p>
      <w:pPr>
        <w:ind w:left="644" w:right="20"/>
        <w:spacing w:after="0" w:line="271" w:lineRule="auto"/>
        <w:rPr>
          <w:sz w:val="20"/>
          <w:szCs w:val="20"/>
          <w:color w:val="auto"/>
        </w:rPr>
      </w:pPr>
      <w:r>
        <w:rPr>
          <w:rFonts w:ascii="Times New Roman" w:cs="Times New Roman" w:eastAsia="Times New Roman" w:hAnsi="Times New Roman"/>
          <w:sz w:val="22"/>
          <w:szCs w:val="22"/>
          <w:color w:val="auto"/>
        </w:rPr>
        <w:t>affiliate (including, without limitation, making any negative or disparaging statements or communications regarding the Company or its affiliates).</w:t>
      </w:r>
    </w:p>
    <w:p>
      <w:pPr>
        <w:spacing w:after="0" w:line="154" w:lineRule="exact"/>
        <w:rPr>
          <w:sz w:val="20"/>
          <w:szCs w:val="20"/>
          <w:color w:val="auto"/>
        </w:rPr>
      </w:pPr>
    </w:p>
    <w:p>
      <w:pPr>
        <w:jc w:val="both"/>
        <w:ind w:left="644" w:hanging="644"/>
        <w:spacing w:after="0" w:line="258" w:lineRule="auto"/>
        <w:tabs>
          <w:tab w:leader="none" w:pos="644" w:val="left"/>
        </w:tabs>
        <w:numPr>
          <w:ilvl w:val="0"/>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Nondisparagement. </w:t>
      </w:r>
      <w:r>
        <w:rPr>
          <w:rFonts w:ascii="Times New Roman" w:cs="Times New Roman" w:eastAsia="Times New Roman" w:hAnsi="Times New Roman"/>
          <w:sz w:val="21"/>
          <w:szCs w:val="21"/>
          <w:color w:val="auto"/>
        </w:rPr>
        <w:t>During the Noncompete Period, Executive shall not disparage the Company, its subsidiaries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parents, and their respective officers, managers and employees, or make any public statement (whether written or oral) reflecting negatively on the Company, its subsidiaries and parents, and their respective officers, managers, and employees, including, but not limited to, any matters relating to the operation or management of the Company, irrespective of the truthfulness or falsity of such statement, except as may otherwise be required by applicable law or compelled by process of law. By way of example and not limitation, Executive agrees that he will not make any written or oral statements that cast in a negative light the services, qualifications, business operations or business ethics of the Company or its employees. During the Noncompete Period, the Company shall not disparage Executive, or make any public statement (whether written or oral) reflecting negatively on Executive, including, but not limited to, any matters relating to the operation or management of the Company, irrespective of the truthfulness or falsity of such statement, except as may otherwise be required by applicable law or compelled by process of law. Nothing in this </w:t>
      </w:r>
      <w:r>
        <w:rPr>
          <w:rFonts w:ascii="Times New Roman" w:cs="Times New Roman" w:eastAsia="Times New Roman" w:hAnsi="Times New Roman"/>
          <w:sz w:val="21"/>
          <w:szCs w:val="21"/>
          <w:u w:val="single" w:color="auto"/>
          <w:color w:val="auto"/>
        </w:rPr>
        <w:t>Article 5(e)</w:t>
      </w:r>
      <w:r>
        <w:rPr>
          <w:rFonts w:ascii="Times New Roman" w:cs="Times New Roman" w:eastAsia="Times New Roman" w:hAnsi="Times New Roman"/>
          <w:sz w:val="21"/>
          <w:szCs w:val="21"/>
          <w:color w:val="auto"/>
        </w:rPr>
        <w:t xml:space="preserve"> shall restrict either party's ability to: (i) consult with counsel, (ii) make truthful statements under oath or to a government agency or official, or (iii) take any legal action with respect to his employment or termination of employment with the Company.</w:t>
      </w:r>
    </w:p>
    <w:p>
      <w:pPr>
        <w:spacing w:after="0" w:line="172" w:lineRule="exact"/>
        <w:rPr>
          <w:rFonts w:ascii="Times New Roman" w:cs="Times New Roman" w:eastAsia="Times New Roman" w:hAnsi="Times New Roman"/>
          <w:sz w:val="21"/>
          <w:szCs w:val="21"/>
          <w:color w:val="010000"/>
        </w:rPr>
      </w:pPr>
    </w:p>
    <w:p>
      <w:pPr>
        <w:jc w:val="both"/>
        <w:ind w:left="644" w:hanging="644"/>
        <w:spacing w:after="0" w:line="263" w:lineRule="auto"/>
        <w:tabs>
          <w:tab w:leader="none" w:pos="644" w:val="left"/>
        </w:tabs>
        <w:numPr>
          <w:ilvl w:val="0"/>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Duration, Scope, or Area</w:t>
      </w:r>
      <w:r>
        <w:rPr>
          <w:rFonts w:ascii="Times New Roman" w:cs="Times New Roman" w:eastAsia="Times New Roman" w:hAnsi="Times New Roman"/>
          <w:sz w:val="21"/>
          <w:szCs w:val="21"/>
          <w:color w:val="auto"/>
        </w:rPr>
        <w:t>. If, at the time of enforcement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a court shall hold that the duration,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 </w:t>
      </w:r>
      <w:r>
        <w:rPr>
          <w:rFonts w:ascii="Times New Roman" w:cs="Times New Roman" w:eastAsia="Times New Roman" w:hAnsi="Times New Roman"/>
          <w:sz w:val="21"/>
          <w:szCs w:val="21"/>
          <w:u w:val="single" w:color="auto"/>
          <w:color w:val="auto"/>
        </w:rPr>
        <w:t>Section 5(c)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5(d)</w:t>
      </w:r>
      <w:r>
        <w:rPr>
          <w:rFonts w:ascii="Times New Roman" w:cs="Times New Roman" w:eastAsia="Times New Roman" w:hAnsi="Times New Roman"/>
          <w:sz w:val="21"/>
          <w:szCs w:val="21"/>
          <w:color w:val="auto"/>
        </w:rPr>
        <w:t xml:space="preserve"> shall not apply to any Executive whose principal work location for the Company at the time of termination was in the State of California.</w:t>
      </w:r>
    </w:p>
    <w:p>
      <w:pPr>
        <w:spacing w:after="0" w:line="167" w:lineRule="exact"/>
        <w:rPr>
          <w:rFonts w:ascii="Times New Roman" w:cs="Times New Roman" w:eastAsia="Times New Roman" w:hAnsi="Times New Roman"/>
          <w:sz w:val="21"/>
          <w:szCs w:val="21"/>
          <w:color w:val="010000"/>
        </w:rPr>
      </w:pPr>
    </w:p>
    <w:p>
      <w:pPr>
        <w:jc w:val="both"/>
        <w:ind w:left="644" w:hanging="644"/>
        <w:spacing w:after="0" w:line="262" w:lineRule="auto"/>
        <w:tabs>
          <w:tab w:leader="none" w:pos="644" w:val="left"/>
        </w:tabs>
        <w:numPr>
          <w:ilvl w:val="0"/>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Company Enforcement</w:t>
      </w:r>
      <w:r>
        <w:rPr>
          <w:rFonts w:ascii="Times New Roman" w:cs="Times New Roman" w:eastAsia="Times New Roman" w:hAnsi="Times New Roman"/>
          <w:sz w:val="21"/>
          <w:szCs w:val="21"/>
          <w:color w:val="auto"/>
        </w:rPr>
        <w:t>. In the event of a breach or a threatened breach by the Executive of any of the provisions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this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the Company would suffer irreparable harm, and in addition and supplementary to other rights and remedies existing in its favor, the Company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the Executive of </w:t>
      </w:r>
      <w:r>
        <w:rPr>
          <w:rFonts w:ascii="Times New Roman" w:cs="Times New Roman" w:eastAsia="Times New Roman" w:hAnsi="Times New Roman"/>
          <w:sz w:val="21"/>
          <w:szCs w:val="21"/>
          <w:u w:val="single" w:color="auto"/>
          <w:color w:val="auto"/>
        </w:rPr>
        <w:t>Section 5(c)</w:t>
      </w:r>
      <w:r>
        <w:rPr>
          <w:rFonts w:ascii="Times New Roman" w:cs="Times New Roman" w:eastAsia="Times New Roman" w:hAnsi="Times New Roman"/>
          <w:sz w:val="21"/>
          <w:szCs w:val="21"/>
          <w:color w:val="auto"/>
        </w:rPr>
        <w:t>, the Noncompete Period shall be automatically extended by the amount of time between the initial occurrence of the breach or violation and when such breach or violation has been duly cured.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584"/>
          </w:cols>
          <w:pgMar w:left="976" w:top="1422" w:right="339" w:bottom="1440" w:gutter="0" w:footer="0" w:header="0"/>
        </w:sectPr>
      </w:pPr>
    </w:p>
    <w:bookmarkStart w:id="184" w:name="page185"/>
    <w:bookmarkEnd w:id="184"/>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6.</w:t>
      </w:r>
      <w:r>
        <w:rPr>
          <w:sz w:val="20"/>
          <w:szCs w:val="20"/>
          <w:color w:val="auto"/>
        </w:rPr>
        <w:tab/>
      </w:r>
      <w:r>
        <w:rPr>
          <w:rFonts w:ascii="Times New Roman" w:cs="Times New Roman" w:eastAsia="Times New Roman" w:hAnsi="Times New Roman"/>
          <w:sz w:val="21"/>
          <w:szCs w:val="21"/>
          <w:b w:val="1"/>
          <w:bCs w:val="1"/>
          <w:color w:val="auto"/>
        </w:rPr>
        <w:t>Certain Change in Control Payments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Notwithstanding any provision of the Plan to the contrary, if any payments or benefits an Executive would receive from the Company under the Plan or otherwise in connection with the Change in Control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xml:space="preserve">”) (a) constitute “parachute payments” within the meaning of Code Section 280G, and (b) but for this </w:t>
      </w:r>
      <w:r>
        <w:rPr>
          <w:rFonts w:ascii="Times New Roman" w:cs="Times New Roman" w:eastAsia="Times New Roman" w:hAnsi="Times New Roman"/>
          <w:sz w:val="21"/>
          <w:szCs w:val="21"/>
          <w:u w:val="single" w:color="auto"/>
          <w:color w:val="auto"/>
        </w:rPr>
        <w:t>Article 6</w:t>
      </w:r>
      <w:r>
        <w:rPr>
          <w:rFonts w:ascii="Times New Roman" w:cs="Times New Roman" w:eastAsia="Times New Roman" w:hAnsi="Times New Roman"/>
          <w:sz w:val="21"/>
          <w:szCs w:val="21"/>
          <w:color w:val="auto"/>
        </w:rPr>
        <w:t>, would be subject to the excise tax imposed by Code Section 4999, then such Executive will be entitled to receive either (i) the full amount of the Total Payments or</w:t>
      </w:r>
    </w:p>
    <w:p>
      <w:pPr>
        <w:spacing w:after="0" w:line="4" w:lineRule="exact"/>
        <w:rPr>
          <w:sz w:val="20"/>
          <w:szCs w:val="20"/>
          <w:color w:val="auto"/>
        </w:rPr>
      </w:pPr>
    </w:p>
    <w:p>
      <w:pPr>
        <w:jc w:val="both"/>
        <w:ind w:firstLine="8"/>
        <w:spacing w:after="0" w:line="243" w:lineRule="auto"/>
        <w:tabs>
          <w:tab w:leader="none" w:pos="34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portion of the Total Payments having a value equal to One Dollar ($1) less than three (3) times such individual’s “base amount” (as such term is defined in Code Section 280G(b)(3)(A)), whichever of (i) and (ii), after taking into account applicable federal, state, and local income taxes and the excise tax imposed by Code Section 4999, results in the receipt by such employee on an after-tax basis, of the greatest portion of the Total Payments. Any determination required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shall be made in writing by the Company’s independent certified public accountants appointed prior to any change in ownership (as defined under Code Section 280G(b)(2)) or tax counsel selected by such accountants (the “</w:t>
      </w: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xml:space="preserve">”), whose determination shall be conclusive and binding for all purposes upon the applicable Executive. For purposes of making the calculations required by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the Accountants may make reasonable assumptions and approximations concerning applicable taxes and may rely on reasonable, good-faith interpretations concerning the application of Code Sections 280G and 4999. If there is a reduction pursuant to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of the Total Payments to be delivered to the applicable Executive, the payment reduction contemplated by the preceding sentence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For purposes hereof, the term “</w:t>
      </w:r>
      <w:r>
        <w:rPr>
          <w:rFonts w:ascii="Times New Roman" w:cs="Times New Roman" w:eastAsia="Times New Roman" w:hAnsi="Times New Roman"/>
          <w:sz w:val="22"/>
          <w:szCs w:val="22"/>
          <w:u w:val="single" w:color="auto"/>
          <w:color w:val="auto"/>
        </w:rPr>
        <w:t>Parachute Payment Ratio</w:t>
      </w:r>
      <w:r>
        <w:rPr>
          <w:rFonts w:ascii="Times New Roman" w:cs="Times New Roman" w:eastAsia="Times New Roman" w:hAnsi="Times New Roman"/>
          <w:sz w:val="22"/>
          <w:szCs w:val="22"/>
          <w:color w:val="auto"/>
        </w:rPr>
        <w:t>” shall mean a fraction the numerator of which is the value of the applicable “parachute payment” for purposes of Code Section 280G and the denominator of which is the actual present value of such payment.</w:t>
      </w:r>
    </w:p>
    <w:p>
      <w:pPr>
        <w:spacing w:after="0" w:line="1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7.</w:t>
      </w:r>
      <w:r>
        <w:rPr>
          <w:sz w:val="20"/>
          <w:szCs w:val="20"/>
          <w:color w:val="auto"/>
        </w:rPr>
        <w:tab/>
      </w:r>
      <w:r>
        <w:rPr>
          <w:rFonts w:ascii="Times New Roman" w:cs="Times New Roman" w:eastAsia="Times New Roman" w:hAnsi="Times New Roman"/>
          <w:sz w:val="21"/>
          <w:szCs w:val="21"/>
          <w:b w:val="1"/>
          <w:bCs w:val="1"/>
          <w:color w:val="auto"/>
        </w:rPr>
        <w:t>Legal Fees and Notice</w:t>
      </w:r>
    </w:p>
    <w:p>
      <w:pPr>
        <w:spacing w:after="0" w:line="220"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Payment of Legal Fees</w:t>
      </w:r>
    </w:p>
    <w:p>
      <w:pPr>
        <w:spacing w:after="0" w:line="224" w:lineRule="exact"/>
        <w:rPr>
          <w:sz w:val="20"/>
          <w:szCs w:val="20"/>
          <w:color w:val="auto"/>
        </w:rPr>
      </w:pPr>
    </w:p>
    <w:p>
      <w:pPr>
        <w:jc w:val="both"/>
        <w:ind w:firstLine="656"/>
        <w:spacing w:after="0" w:line="250" w:lineRule="auto"/>
        <w:tabs>
          <w:tab w:leader="none" w:pos="78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to by the parties, the Company shall pay the Executive for costs of litigation or other disputes including, without limitation, reasonable attorneys’ fees incurred by the Executive in asserting any claims or defenses under this Plan, except that the Executive shall bear his own costs of such litigation or disputes (including, without limitation, attorneys’ fees) if the court (or arbitrator) finds in favor of the Company with respect to any claims or defenses asserted by the Executive.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185" w:name="page186"/>
    <w:bookmarkEnd w:id="185"/>
    <w:p>
      <w:pPr>
        <w:ind w:left="1080" w:hanging="424"/>
        <w:spacing w:after="0"/>
        <w:tabs>
          <w:tab w:leader="none" w:pos="1080" w:val="left"/>
        </w:tabs>
        <w:numPr>
          <w:ilvl w:val="0"/>
          <w:numId w:val="11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Notice</w:t>
      </w:r>
    </w:p>
    <w:p>
      <w:pPr>
        <w:spacing w:after="0" w:line="224" w:lineRule="exact"/>
        <w:rPr>
          <w:sz w:val="20"/>
          <w:szCs w:val="20"/>
          <w:color w:val="auto"/>
        </w:rPr>
      </w:pPr>
    </w:p>
    <w:p>
      <w:pPr>
        <w:jc w:val="both"/>
        <w:ind w:firstLine="656"/>
        <w:spacing w:after="0" w:line="257" w:lineRule="auto"/>
        <w:tabs>
          <w:tab w:leader="none" w:pos="7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requests, demands, or other communications provided for by this Plan shall be sufficient if in writing and if sent by registered or certified mail to the Executive at the last address he or she has filed in writing with the Company or, in the case of the Company, at its principal offices.</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8.</w:t>
      </w:r>
      <w:r>
        <w:rPr>
          <w:sz w:val="20"/>
          <w:szCs w:val="20"/>
          <w:color w:val="auto"/>
        </w:rPr>
        <w:tab/>
      </w:r>
      <w:r>
        <w:rPr>
          <w:rFonts w:ascii="Times New Roman" w:cs="Times New Roman" w:eastAsia="Times New Roman" w:hAnsi="Times New Roman"/>
          <w:sz w:val="21"/>
          <w:szCs w:val="21"/>
          <w:b w:val="1"/>
          <w:bCs w:val="1"/>
          <w:color w:val="auto"/>
        </w:rPr>
        <w:t>Successors and Assignment</w:t>
      </w:r>
    </w:p>
    <w:p>
      <w:pPr>
        <w:spacing w:after="0" w:line="220"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Successors to the Company</w:t>
      </w:r>
    </w:p>
    <w:p>
      <w:pPr>
        <w:spacing w:after="0" w:line="224" w:lineRule="exact"/>
        <w:rPr>
          <w:sz w:val="20"/>
          <w:szCs w:val="20"/>
          <w:color w:val="auto"/>
        </w:rPr>
      </w:pPr>
    </w:p>
    <w:p>
      <w:pPr>
        <w:jc w:val="both"/>
        <w:ind w:firstLine="656"/>
        <w:spacing w:after="0" w:line="248" w:lineRule="auto"/>
        <w:tabs>
          <w:tab w:leader="none" w:pos="75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require any successor (whether direct or indirect, by purchase, merger, reorganization, consolidation, acquisition of property or stock, liquidation, or otherwise) of all or a significant portion of the assets of the Company by agreement, in form and substance satisfactory to the Executive, to expressly assume and agree to perform under this Plan in the same manner and to the same extent that the Company would be required to perform if no such succession had taken place. Regardless of whether such agreement is executed, the terms of this Plan shall be binding upon any successor in accordance with the operation of law and such successor shall be deemed the “Company” for purposes of this Plan.</w:t>
      </w:r>
    </w:p>
    <w:p>
      <w:pPr>
        <w:spacing w:after="0" w:line="183"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Assignment by the Executive</w:t>
      </w:r>
    </w:p>
    <w:p>
      <w:pPr>
        <w:spacing w:after="0" w:line="224" w:lineRule="exact"/>
        <w:rPr>
          <w:sz w:val="20"/>
          <w:szCs w:val="20"/>
          <w:color w:val="auto"/>
        </w:rPr>
      </w:pPr>
    </w:p>
    <w:p>
      <w:pPr>
        <w:jc w:val="both"/>
        <w:ind w:firstLine="656"/>
        <w:spacing w:after="0" w:line="248" w:lineRule="auto"/>
        <w:tabs>
          <w:tab w:leader="none" w:pos="75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shall inure to the benefit of and be enforceable by the Executive’s personal or legal representatives, executors, administrators, successors, heirs, distributees, devisees, and legatees. If the Executive dies while any amount would still be payable to him or her hereunder had he or she continued to live, all such amounts, unless otherwise provided herein, shall be paid in accordance with the terms of this Plan to the Executive’s Beneficiary. If the Executive has not named a Beneficiary, then such amounts shall be paid to the Executive in accordance with the Company’s regular payroll practices or to the Executive’s estate, as applicable.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9.</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220"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Employment Status</w:t>
      </w:r>
    </w:p>
    <w:p>
      <w:pPr>
        <w:spacing w:after="0" w:line="224" w:lineRule="exact"/>
        <w:rPr>
          <w:sz w:val="20"/>
          <w:szCs w:val="20"/>
          <w:color w:val="auto"/>
        </w:rPr>
      </w:pPr>
    </w:p>
    <w:p>
      <w:pPr>
        <w:jc w:val="both"/>
        <w:ind w:firstLine="656"/>
        <w:spacing w:after="0" w:line="257" w:lineRule="auto"/>
        <w:tabs>
          <w:tab w:leader="none" w:pos="75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69" w:lineRule="exact"/>
        <w:rPr>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Code Section 409A.</w:t>
      </w:r>
    </w:p>
    <w:p>
      <w:pPr>
        <w:spacing w:after="0" w:line="224" w:lineRule="exact"/>
        <w:rPr>
          <w:sz w:val="20"/>
          <w:szCs w:val="20"/>
          <w:color w:val="auto"/>
        </w:rPr>
      </w:pPr>
    </w:p>
    <w:p>
      <w:pPr>
        <w:jc w:val="both"/>
        <w:ind w:left="1300" w:hanging="644"/>
        <w:spacing w:after="0" w:line="250" w:lineRule="auto"/>
        <w:tabs>
          <w:tab w:leader="none" w:pos="1300"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expenses or other reimbursements under this Plan shall be made on or prior to the last day of the taxable year following the taxable year in which such expenses were incurred by the Executive (provided that if any such reimbursements constitute taxable income to the Executive, such reimbursements shall be paid no later than March 15th of the calendar year following the calendar year in which the expenses to be reimbursed were incurred), and no such reimbursement 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8" w:right="339" w:bottom="1440" w:gutter="0" w:footer="0" w:header="0"/>
        </w:sectPr>
      </w:pPr>
    </w:p>
    <w:bookmarkStart w:id="186" w:name="page187"/>
    <w:bookmarkEnd w:id="186"/>
    <w:p>
      <w:pPr>
        <w:ind w:left="1300" w:right="20"/>
        <w:spacing w:after="0" w:line="271" w:lineRule="auto"/>
        <w:rPr>
          <w:sz w:val="20"/>
          <w:szCs w:val="20"/>
          <w:color w:val="auto"/>
        </w:rPr>
      </w:pPr>
      <w:r>
        <w:rPr>
          <w:rFonts w:ascii="Times New Roman" w:cs="Times New Roman" w:eastAsia="Times New Roman" w:hAnsi="Times New Roman"/>
          <w:sz w:val="22"/>
          <w:szCs w:val="22"/>
          <w:color w:val="auto"/>
        </w:rPr>
        <w:t>expenses eligible for reimbursement in any taxable year shall in any way affect the expenses eligible for reimbursement in any other taxable year.</w:t>
      </w:r>
    </w:p>
    <w:p>
      <w:pPr>
        <w:spacing w:after="0" w:line="158" w:lineRule="exact"/>
        <w:rPr>
          <w:sz w:val="20"/>
          <w:szCs w:val="20"/>
          <w:color w:val="auto"/>
        </w:rPr>
      </w:pPr>
    </w:p>
    <w:p>
      <w:pPr>
        <w:ind w:left="1300" w:right="20" w:hanging="644"/>
        <w:spacing w:after="0" w:line="271" w:lineRule="auto"/>
        <w:tabs>
          <w:tab w:leader="none" w:pos="130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Code Section 409A, the Executive’s right to receive any installment payment pursuant to this Plan shall be treated as a right to receive a series of separate and distinct payments.</w:t>
      </w:r>
    </w:p>
    <w:p>
      <w:pPr>
        <w:spacing w:after="0" w:line="157" w:lineRule="exact"/>
        <w:rPr>
          <w:rFonts w:ascii="Times New Roman" w:cs="Times New Roman" w:eastAsia="Times New Roman" w:hAnsi="Times New Roman"/>
          <w:sz w:val="22"/>
          <w:szCs w:val="22"/>
          <w:color w:val="010000"/>
        </w:rPr>
      </w:pPr>
    </w:p>
    <w:p>
      <w:pPr>
        <w:jc w:val="both"/>
        <w:ind w:left="1300" w:hanging="644"/>
        <w:spacing w:after="0" w:line="257" w:lineRule="auto"/>
        <w:tabs>
          <w:tab w:leader="none" w:pos="130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a payment under this Plan specifies a payment period with reference to a number of days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“payment shall be made within thirty (30) days following the date of termination”), the actual date of payment within the specified period shall be within the sole discretion of the Company.</w:t>
      </w:r>
    </w:p>
    <w:p>
      <w:pPr>
        <w:spacing w:after="0" w:line="172" w:lineRule="exact"/>
        <w:rPr>
          <w:rFonts w:ascii="Times New Roman" w:cs="Times New Roman" w:eastAsia="Times New Roman" w:hAnsi="Times New Roman"/>
          <w:sz w:val="22"/>
          <w:szCs w:val="22"/>
          <w:color w:val="010000"/>
        </w:rPr>
      </w:pPr>
    </w:p>
    <w:p>
      <w:pPr>
        <w:jc w:val="both"/>
        <w:ind w:left="1300" w:hanging="644"/>
        <w:spacing w:after="0" w:line="250" w:lineRule="auto"/>
        <w:tabs>
          <w:tab w:leader="none" w:pos="130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termination of employment shall not be deemed to have occurred for purposes of any provision of this Plan providing for the payment of any amounts or benefits upon or following a termination of employment unless such termination is also a “separation from service” within the meaning of Code Section 409A and, for purposes of any such provision of this Plan, references to a “termination,” “termination of employment” or like terms shall mean “separation from service.”</w:t>
      </w:r>
    </w:p>
    <w:p>
      <w:pPr>
        <w:spacing w:after="0" w:line="180" w:lineRule="exact"/>
        <w:rPr>
          <w:rFonts w:ascii="Times New Roman" w:cs="Times New Roman" w:eastAsia="Times New Roman" w:hAnsi="Times New Roman"/>
          <w:sz w:val="22"/>
          <w:szCs w:val="22"/>
          <w:color w:val="010000"/>
        </w:rPr>
      </w:pPr>
    </w:p>
    <w:p>
      <w:pPr>
        <w:jc w:val="both"/>
        <w:ind w:left="1300" w:hanging="644"/>
        <w:spacing w:after="0" w:line="257" w:lineRule="auto"/>
        <w:tabs>
          <w:tab w:leader="none" w:pos="130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other provision of this Plan to the contrary, in no event shall any payment under this Plan that constitutes “deferred compensation” for purposes of Code Section 409A be subject to offset unless otherwise permitted by Code Section 409A.</w:t>
      </w:r>
    </w:p>
    <w:p>
      <w:pPr>
        <w:spacing w:after="0" w:line="172" w:lineRule="exact"/>
        <w:rPr>
          <w:rFonts w:ascii="Times New Roman" w:cs="Times New Roman" w:eastAsia="Times New Roman" w:hAnsi="Times New Roman"/>
          <w:sz w:val="22"/>
          <w:szCs w:val="22"/>
          <w:color w:val="010000"/>
        </w:rPr>
      </w:pPr>
    </w:p>
    <w:p>
      <w:pPr>
        <w:jc w:val="both"/>
        <w:ind w:left="1300" w:hanging="644"/>
        <w:spacing w:after="0" w:line="252" w:lineRule="auto"/>
        <w:tabs>
          <w:tab w:leader="none" w:pos="130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provisions in this Plan to the contrary, whenever a payment under this Plan may be made upon the Release Effective Date, and the period in which the Executive could adopt the release (along with its accompany revocation period) crosses calendar years, no payments shall be made until the succeeding calendar year.</w:t>
      </w:r>
    </w:p>
    <w:p>
      <w:pPr>
        <w:spacing w:after="0" w:line="175" w:lineRule="exact"/>
        <w:rPr>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Entire Plan</w:t>
      </w:r>
    </w:p>
    <w:p>
      <w:pPr>
        <w:spacing w:after="0" w:line="224" w:lineRule="exact"/>
        <w:rPr>
          <w:sz w:val="20"/>
          <w:szCs w:val="20"/>
          <w:color w:val="auto"/>
        </w:rPr>
      </w:pPr>
    </w:p>
    <w:p>
      <w:pPr>
        <w:jc w:val="both"/>
        <w:ind w:firstLine="656"/>
        <w:spacing w:after="0" w:line="248" w:lineRule="auto"/>
        <w:tabs>
          <w:tab w:leader="none" w:pos="75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supersedes any prior agreements or understandings, oral or written, between the parties hereto, with respect to the subject matter hereof, and constitutes the entire agreement of the parties with respect thereto. Without limiting the generality of the foregoing sentence, this Plan completely supersedes any and all prior employment agreements entered into by and between the Company and the Executive, and all amendments thereto, in their entirety. Notwithstanding the foregoing, if the Executive has entered into any agreements or commitments with the Company with regard to Confidential Information, noncompetition, nonsolicitation, or nondisparagement, such agreements or commitments will remain valid and will be read in harmony with this Plan to provide maximum protection to the Company.</w:t>
      </w:r>
    </w:p>
    <w:p>
      <w:pPr>
        <w:spacing w:after="0" w:line="178"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Severability</w:t>
      </w:r>
    </w:p>
    <w:p>
      <w:pPr>
        <w:spacing w:after="0" w:line="224" w:lineRule="exact"/>
        <w:rPr>
          <w:sz w:val="20"/>
          <w:szCs w:val="20"/>
          <w:color w:val="auto"/>
        </w:rPr>
      </w:pPr>
    </w:p>
    <w:p>
      <w:pPr>
        <w:ind w:right="20" w:firstLine="656"/>
        <w:spacing w:after="0" w:line="271" w:lineRule="auto"/>
        <w:tabs>
          <w:tab w:leader="none" w:pos="75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provision or portion of this Plan shall be determined to be invalid or unenforceable for any reason, the remaining provisions of this Plan shall be unaffected thereby and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87" w:name="page188"/>
    <w:bookmarkEnd w:id="187"/>
    <w:p>
      <w:pPr>
        <w:ind w:left="1080" w:hanging="424"/>
        <w:spacing w:after="0"/>
        <w:tabs>
          <w:tab w:leader="none" w:pos="1080" w:val="left"/>
        </w:tabs>
        <w:numPr>
          <w:ilvl w:val="0"/>
          <w:numId w:val="12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Tax Withholding</w:t>
      </w:r>
    </w:p>
    <w:p>
      <w:pPr>
        <w:spacing w:after="0" w:line="224" w:lineRule="exact"/>
        <w:rPr>
          <w:sz w:val="20"/>
          <w:szCs w:val="20"/>
          <w:color w:val="auto"/>
        </w:rPr>
      </w:pPr>
    </w:p>
    <w:p>
      <w:pPr>
        <w:ind w:firstLine="656"/>
        <w:spacing w:after="0" w:line="271" w:lineRule="auto"/>
        <w:tabs>
          <w:tab w:leader="none" w:pos="76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withhold from any benefits payable under this Plan all federal, state, city, or other taxes as may be required pursuant to any law or governmental regulation or ruling.</w:t>
      </w:r>
    </w:p>
    <w:p>
      <w:pPr>
        <w:spacing w:after="0" w:line="154" w:lineRule="exact"/>
        <w:rPr>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Beneficiaries</w:t>
      </w:r>
    </w:p>
    <w:p>
      <w:pPr>
        <w:spacing w:after="0" w:line="224" w:lineRule="exact"/>
        <w:rPr>
          <w:sz w:val="20"/>
          <w:szCs w:val="20"/>
          <w:color w:val="auto"/>
        </w:rPr>
      </w:pPr>
    </w:p>
    <w:p>
      <w:pPr>
        <w:jc w:val="both"/>
        <w:ind w:firstLine="656"/>
        <w:spacing w:after="0" w:line="257" w:lineRule="auto"/>
        <w:tabs>
          <w:tab w:leader="none" w:pos="76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may designate one (1) or more persons or entities as the primary and/or contingent beneficiaries of any amounts to be received under this Plan. Such designation must be in the form of a signed writing acceptable to the Board or the Board’s designee. The Executive may make or change such designation at any time.</w:t>
      </w:r>
    </w:p>
    <w:p>
      <w:pPr>
        <w:spacing w:after="0" w:line="169" w:lineRule="exact"/>
        <w:rPr>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Payment Obligation Absolute</w:t>
      </w:r>
    </w:p>
    <w:p>
      <w:pPr>
        <w:spacing w:after="0" w:line="224" w:lineRule="exact"/>
        <w:rPr>
          <w:sz w:val="20"/>
          <w:szCs w:val="20"/>
          <w:color w:val="auto"/>
        </w:rPr>
      </w:pPr>
    </w:p>
    <w:p>
      <w:pPr>
        <w:jc w:val="both"/>
        <w:ind w:firstLine="656"/>
        <w:spacing w:after="0" w:line="257" w:lineRule="auto"/>
        <w:tabs>
          <w:tab w:leader="none" w:pos="75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 to make the payments provided for herein shall be absolute and unconditional, and shall not be affected by any circumstances, including, without limitation, any offset, counterclaim, recoupment, defense, or other right which the Company may have against the Executive or anyone else.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The Executive shall not be obligated to seek other employment in mitigation of the amounts payable or arrangements made under any provision of this Plan, and except as provided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of this Plan, the obtaining of any such other employment shall in no event effect any reduction of the Company’s obligations to make the payments and arrangements required to be made under this Plan.</w:t>
      </w:r>
    </w:p>
    <w:p>
      <w:pPr>
        <w:spacing w:after="0" w:line="175" w:lineRule="exact"/>
        <w:rPr>
          <w:sz w:val="20"/>
          <w:szCs w:val="20"/>
          <w:color w:val="auto"/>
        </w:rPr>
      </w:pPr>
    </w:p>
    <w:p>
      <w:pPr>
        <w:ind w:left="1080" w:hanging="424"/>
        <w:spacing w:after="0"/>
        <w:tabs>
          <w:tab w:leader="none" w:pos="1080" w:val="left"/>
        </w:tabs>
        <w:numPr>
          <w:ilvl w:val="0"/>
          <w:numId w:val="13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Contractual Rights to Benefits</w:t>
      </w:r>
    </w:p>
    <w:p>
      <w:pPr>
        <w:spacing w:after="0" w:line="224" w:lineRule="exact"/>
        <w:rPr>
          <w:sz w:val="20"/>
          <w:szCs w:val="20"/>
          <w:color w:val="auto"/>
        </w:rPr>
      </w:pPr>
    </w:p>
    <w:p>
      <w:pPr>
        <w:jc w:val="both"/>
        <w:ind w:firstLine="656"/>
        <w:spacing w:after="0" w:line="252" w:lineRule="auto"/>
        <w:tabs>
          <w:tab w:leader="none" w:pos="75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approval and ratification by the Board, this Plan establishes and vests in the Executive a contractual right to the benefits to which he or she 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75" w:lineRule="exact"/>
        <w:rPr>
          <w:sz w:val="20"/>
          <w:szCs w:val="20"/>
          <w:color w:val="auto"/>
        </w:rPr>
      </w:pPr>
    </w:p>
    <w:p>
      <w:pPr>
        <w:ind w:left="1080" w:hanging="424"/>
        <w:spacing w:after="0"/>
        <w:tabs>
          <w:tab w:leader="none" w:pos="1080" w:val="left"/>
        </w:tabs>
        <w:numPr>
          <w:ilvl w:val="0"/>
          <w:numId w:val="13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Modification</w:t>
      </w:r>
    </w:p>
    <w:p>
      <w:pPr>
        <w:spacing w:after="0" w:line="224" w:lineRule="exact"/>
        <w:rPr>
          <w:sz w:val="20"/>
          <w:szCs w:val="20"/>
          <w:color w:val="auto"/>
        </w:rPr>
      </w:pPr>
    </w:p>
    <w:p>
      <w:pPr>
        <w:jc w:val="both"/>
        <w:ind w:firstLine="656"/>
        <w:spacing w:after="0" w:line="250" w:lineRule="auto"/>
        <w:tabs>
          <w:tab w:leader="none" w:pos="75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Plan may be modified, waived, or discharged with respect to any particular Executive unless such modification, waiver, or discharge is agreed to in writing and signed by such Executive and by an authorized member of the Committee, or by the respective parties’ legal representatives and successors, provided, however, that the Committee may unilaterally amend this Plan without the Executive’s consent if such amendment does not materially adversely alter or impair in any significant manner any rights or obligations of the Executive under the Plan.</w:t>
      </w:r>
    </w:p>
    <w:p>
      <w:pPr>
        <w:spacing w:after="0" w:line="177"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Gender and Number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18" w:right="339" w:bottom="1440" w:gutter="0" w:footer="0" w:header="0"/>
        </w:sectPr>
      </w:pPr>
    </w:p>
    <w:bookmarkStart w:id="188" w:name="page189"/>
    <w:bookmarkEnd w:id="188"/>
    <w:p>
      <w:pPr>
        <w:ind w:right="20" w:firstLine="656"/>
        <w:spacing w:after="0" w:line="271" w:lineRule="auto"/>
        <w:tabs>
          <w:tab w:leader="none" w:pos="76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otherwise indicated by the context, any masculine term used herein also shall include the feminine; the plural shall include the singular and the singular shall include the plural.</w:t>
      </w:r>
    </w:p>
    <w:p>
      <w:pPr>
        <w:spacing w:after="0" w:line="154"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Applicable Law</w:t>
      </w:r>
    </w:p>
    <w:p>
      <w:pPr>
        <w:spacing w:after="0" w:line="224" w:lineRule="exact"/>
        <w:rPr>
          <w:sz w:val="20"/>
          <w:szCs w:val="20"/>
          <w:color w:val="auto"/>
        </w:rPr>
      </w:pPr>
    </w:p>
    <w:p>
      <w:pPr>
        <w:ind w:firstLine="656"/>
        <w:spacing w:after="0" w:line="271" w:lineRule="auto"/>
        <w:tabs>
          <w:tab w:leader="none" w:pos="75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preempted by the laws of the United States, the laws of the state of New Jersey shall be the controlling law in all matters relating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0"/>
          <w:szCs w:val="20"/>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Management Change-in-Control and General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(Amended and Restated as of January 1, 2021)</w:t>
      </w:r>
    </w:p>
    <w:p>
      <w:pPr>
        <w:spacing w:after="0" w:line="3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DMEAST #35732408 v3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14" w:right="339" w:bottom="1440" w:gutter="0" w:footer="0" w:header="0"/>
        </w:sectPr>
      </w:pPr>
    </w:p>
    <w:bookmarkStart w:id="190" w:name="page191"/>
    <w:bookmarkEnd w:id="190"/>
    <w:tbl>
      <w:tblPr>
        <w:tblLayout w:type="fixed"/>
        <w:tblInd w:w="20" w:type="dxa"/>
        <w:tblCellMar>
          <w:top w:w="0" w:type="dxa"/>
          <w:left w:w="0" w:type="dxa"/>
          <w:bottom w:w="0" w:type="dxa"/>
          <w:right w:w="0" w:type="dxa"/>
        </w:tblCellMar>
      </w:tblPr>
      <w:tr>
        <w:trPr>
          <w:trHeight w:val="257"/>
        </w:trPr>
        <w:tc>
          <w:tcPr>
            <w:tcW w:w="94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67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Table of Contents</w:t>
            </w:r>
          </w:p>
        </w:tc>
      </w:tr>
      <w:tr>
        <w:trPr>
          <w:trHeight w:val="286"/>
        </w:trPr>
        <w:tc>
          <w:tcPr>
            <w:tcW w:w="9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720" w:type="dxa"/>
            <w:vAlign w:val="bottom"/>
          </w:tcPr>
          <w:p>
            <w:pPr>
              <w:ind w:left="628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27"/>
        </w:trPr>
        <w:tc>
          <w:tcPr>
            <w:tcW w:w="450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1.  </w:t>
            </w:r>
            <w:r>
              <w:rPr>
                <w:rFonts w:ascii="Times New Roman" w:cs="Times New Roman" w:eastAsia="Times New Roman" w:hAnsi="Times New Roman"/>
                <w:sz w:val="22"/>
                <w:szCs w:val="22"/>
                <w:color w:val="000000"/>
              </w:rPr>
              <w:t>Establishment and Term of the Plan</w:t>
            </w:r>
          </w:p>
        </w:tc>
        <w:tc>
          <w:tcPr>
            <w:tcW w:w="6720" w:type="dxa"/>
            <w:vAlign w:val="bottom"/>
          </w:tcPr>
          <w:p>
            <w:pPr>
              <w:ind w:left="5620"/>
              <w:spacing w:after="0"/>
              <w:rPr>
                <w:rFonts w:ascii="Times New Roman" w:cs="Times New Roman" w:eastAsia="Times New Roman" w:hAnsi="Times New Roman"/>
                <w:sz w:val="22"/>
                <w:szCs w:val="22"/>
                <w:u w:val="single" w:color="auto"/>
                <w:color w:val="auto"/>
              </w:rPr>
            </w:pPr>
            <w:hyperlink w:anchor="page191">
              <w:r>
                <w:rPr>
                  <w:rFonts w:ascii="Times New Roman" w:cs="Times New Roman" w:eastAsia="Times New Roman" w:hAnsi="Times New Roman"/>
                  <w:sz w:val="22"/>
                  <w:szCs w:val="22"/>
                  <w:u w:val="single" w:color="auto"/>
                  <w:color w:val="auto"/>
                </w:rPr>
                <w:t>1</w:t>
              </w:r>
            </w:hyperlink>
          </w:p>
        </w:tc>
      </w:tr>
      <w:tr>
        <w:trPr>
          <w:trHeight w:val="310"/>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010000"/>
              </w:rPr>
              <w:t>Article 2.</w:t>
            </w:r>
          </w:p>
        </w:tc>
        <w:tc>
          <w:tcPr>
            <w:tcW w:w="3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6720" w:type="dxa"/>
            <w:vAlign w:val="bottom"/>
          </w:tcPr>
          <w:p>
            <w:pPr>
              <w:ind w:left="5620"/>
              <w:spacing w:after="0"/>
              <w:rPr>
                <w:rFonts w:ascii="Times New Roman" w:cs="Times New Roman" w:eastAsia="Times New Roman" w:hAnsi="Times New Roman"/>
                <w:sz w:val="22"/>
                <w:szCs w:val="22"/>
                <w:u w:val="single" w:color="auto"/>
                <w:color w:val="auto"/>
              </w:rPr>
            </w:pPr>
            <w:hyperlink w:anchor="page191">
              <w:r>
                <w:rPr>
                  <w:rFonts w:ascii="Times New Roman" w:cs="Times New Roman" w:eastAsia="Times New Roman" w:hAnsi="Times New Roman"/>
                  <w:sz w:val="22"/>
                  <w:szCs w:val="22"/>
                  <w:u w:val="single" w:color="auto"/>
                  <w:color w:val="auto"/>
                </w:rPr>
                <w:t>2</w:t>
              </w:r>
            </w:hyperlink>
          </w:p>
        </w:tc>
      </w:tr>
      <w:tr>
        <w:trPr>
          <w:trHeight w:val="311"/>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010000"/>
              </w:rPr>
              <w:t>Article 3.</w:t>
            </w:r>
          </w:p>
        </w:tc>
        <w:tc>
          <w:tcPr>
            <w:tcW w:w="3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Severance Benefits</w:t>
            </w:r>
          </w:p>
        </w:tc>
        <w:tc>
          <w:tcPr>
            <w:tcW w:w="6720" w:type="dxa"/>
            <w:vAlign w:val="bottom"/>
          </w:tcPr>
          <w:p>
            <w:pPr>
              <w:ind w:left="5620"/>
              <w:spacing w:after="0"/>
              <w:rPr>
                <w:rFonts w:ascii="Times New Roman" w:cs="Times New Roman" w:eastAsia="Times New Roman" w:hAnsi="Times New Roman"/>
                <w:sz w:val="22"/>
                <w:szCs w:val="22"/>
                <w:u w:val="single" w:color="auto"/>
                <w:color w:val="auto"/>
              </w:rPr>
            </w:pPr>
            <w:hyperlink w:anchor="page191">
              <w:r>
                <w:rPr>
                  <w:rFonts w:ascii="Times New Roman" w:cs="Times New Roman" w:eastAsia="Times New Roman" w:hAnsi="Times New Roman"/>
                  <w:sz w:val="22"/>
                  <w:szCs w:val="22"/>
                  <w:u w:val="single" w:color="auto"/>
                  <w:color w:val="auto"/>
                </w:rPr>
                <w:t>7</w:t>
              </w:r>
            </w:hyperlink>
          </w:p>
        </w:tc>
      </w:tr>
      <w:tr>
        <w:trPr>
          <w:trHeight w:val="311"/>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010000"/>
              </w:rPr>
              <w:t>Article 4.</w:t>
            </w:r>
          </w:p>
        </w:tc>
        <w:tc>
          <w:tcPr>
            <w:tcW w:w="3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Ineligibility</w:t>
            </w:r>
          </w:p>
        </w:tc>
        <w:tc>
          <w:tcPr>
            <w:tcW w:w="6720" w:type="dxa"/>
            <w:vAlign w:val="bottom"/>
          </w:tcPr>
          <w:p>
            <w:pPr>
              <w:ind w:left="5620"/>
              <w:spacing w:after="0"/>
              <w:rPr>
                <w:rFonts w:ascii="Times New Roman" w:cs="Times New Roman" w:eastAsia="Times New Roman" w:hAnsi="Times New Roman"/>
                <w:sz w:val="22"/>
                <w:szCs w:val="22"/>
                <w:u w:val="single" w:color="auto"/>
                <w:color w:val="auto"/>
              </w:rPr>
            </w:pPr>
            <w:hyperlink w:anchor="page191">
              <w:r>
                <w:rPr>
                  <w:rFonts w:ascii="Times New Roman" w:cs="Times New Roman" w:eastAsia="Times New Roman" w:hAnsi="Times New Roman"/>
                  <w:sz w:val="22"/>
                  <w:szCs w:val="22"/>
                  <w:u w:val="single" w:color="auto"/>
                  <w:color w:val="auto"/>
                </w:rPr>
                <w:t>11</w:t>
              </w:r>
            </w:hyperlink>
          </w:p>
        </w:tc>
      </w:tr>
      <w:tr>
        <w:trPr>
          <w:trHeight w:val="310"/>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010000"/>
              </w:rPr>
              <w:t>Article 5.</w:t>
            </w:r>
          </w:p>
        </w:tc>
        <w:tc>
          <w:tcPr>
            <w:tcW w:w="3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Restrictive Covenants</w:t>
            </w:r>
          </w:p>
        </w:tc>
        <w:tc>
          <w:tcPr>
            <w:tcW w:w="6720" w:type="dxa"/>
            <w:vAlign w:val="bottom"/>
          </w:tcPr>
          <w:p>
            <w:pPr>
              <w:ind w:left="5620"/>
              <w:spacing w:after="0"/>
              <w:rPr>
                <w:rFonts w:ascii="Times New Roman" w:cs="Times New Roman" w:eastAsia="Times New Roman" w:hAnsi="Times New Roman"/>
                <w:sz w:val="22"/>
                <w:szCs w:val="22"/>
                <w:u w:val="single" w:color="auto"/>
                <w:color w:val="auto"/>
              </w:rPr>
            </w:pPr>
            <w:hyperlink w:anchor="page191">
              <w:r>
                <w:rPr>
                  <w:rFonts w:ascii="Times New Roman" w:cs="Times New Roman" w:eastAsia="Times New Roman" w:hAnsi="Times New Roman"/>
                  <w:sz w:val="22"/>
                  <w:szCs w:val="22"/>
                  <w:u w:val="single" w:color="auto"/>
                  <w:color w:val="auto"/>
                </w:rPr>
                <w:t>12</w:t>
              </w:r>
            </w:hyperlink>
          </w:p>
        </w:tc>
      </w:tr>
      <w:tr>
        <w:trPr>
          <w:trHeight w:val="311"/>
        </w:trPr>
        <w:tc>
          <w:tcPr>
            <w:tcW w:w="450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6.  </w:t>
            </w:r>
            <w:r>
              <w:rPr>
                <w:rFonts w:ascii="Times New Roman" w:cs="Times New Roman" w:eastAsia="Times New Roman" w:hAnsi="Times New Roman"/>
                <w:sz w:val="22"/>
                <w:szCs w:val="22"/>
                <w:color w:val="000000"/>
              </w:rPr>
              <w:t>Certain Change in Control Payments</w:t>
            </w:r>
          </w:p>
        </w:tc>
        <w:tc>
          <w:tcPr>
            <w:tcW w:w="6720" w:type="dxa"/>
            <w:vAlign w:val="bottom"/>
          </w:tcPr>
          <w:p>
            <w:pPr>
              <w:ind w:left="5620"/>
              <w:spacing w:after="0"/>
              <w:rPr>
                <w:rFonts w:ascii="Times New Roman" w:cs="Times New Roman" w:eastAsia="Times New Roman" w:hAnsi="Times New Roman"/>
                <w:sz w:val="22"/>
                <w:szCs w:val="22"/>
                <w:u w:val="single" w:color="auto"/>
                <w:color w:val="auto"/>
              </w:rPr>
            </w:pPr>
            <w:hyperlink w:anchor="page191">
              <w:r>
                <w:rPr>
                  <w:rFonts w:ascii="Times New Roman" w:cs="Times New Roman" w:eastAsia="Times New Roman" w:hAnsi="Times New Roman"/>
                  <w:sz w:val="22"/>
                  <w:szCs w:val="22"/>
                  <w:u w:val="single" w:color="auto"/>
                  <w:color w:val="auto"/>
                </w:rPr>
                <w:t>15</w:t>
              </w:r>
            </w:hyperlink>
          </w:p>
        </w:tc>
      </w:tr>
      <w:tr>
        <w:trPr>
          <w:trHeight w:val="310"/>
        </w:trPr>
        <w:tc>
          <w:tcPr>
            <w:tcW w:w="450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7.  </w:t>
            </w:r>
            <w:r>
              <w:rPr>
                <w:rFonts w:ascii="Times New Roman" w:cs="Times New Roman" w:eastAsia="Times New Roman" w:hAnsi="Times New Roman"/>
                <w:sz w:val="22"/>
                <w:szCs w:val="22"/>
                <w:color w:val="000000"/>
              </w:rPr>
              <w:t>Legal Fees and Notice</w:t>
            </w:r>
          </w:p>
        </w:tc>
        <w:tc>
          <w:tcPr>
            <w:tcW w:w="6720" w:type="dxa"/>
            <w:vAlign w:val="bottom"/>
          </w:tcPr>
          <w:p>
            <w:pPr>
              <w:ind w:left="5620"/>
              <w:spacing w:after="0"/>
              <w:rPr>
                <w:rFonts w:ascii="Times New Roman" w:cs="Times New Roman" w:eastAsia="Times New Roman" w:hAnsi="Times New Roman"/>
                <w:sz w:val="22"/>
                <w:szCs w:val="22"/>
                <w:u w:val="single" w:color="auto"/>
                <w:color w:val="auto"/>
              </w:rPr>
            </w:pPr>
            <w:hyperlink w:anchor="page191">
              <w:r>
                <w:rPr>
                  <w:rFonts w:ascii="Times New Roman" w:cs="Times New Roman" w:eastAsia="Times New Roman" w:hAnsi="Times New Roman"/>
                  <w:sz w:val="22"/>
                  <w:szCs w:val="22"/>
                  <w:u w:val="single" w:color="auto"/>
                  <w:color w:val="auto"/>
                </w:rPr>
                <w:t>15</w:t>
              </w:r>
            </w:hyperlink>
          </w:p>
        </w:tc>
      </w:tr>
      <w:tr>
        <w:trPr>
          <w:trHeight w:val="311"/>
        </w:trPr>
        <w:tc>
          <w:tcPr>
            <w:tcW w:w="450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8.  </w:t>
            </w:r>
            <w:r>
              <w:rPr>
                <w:rFonts w:ascii="Times New Roman" w:cs="Times New Roman" w:eastAsia="Times New Roman" w:hAnsi="Times New Roman"/>
                <w:sz w:val="22"/>
                <w:szCs w:val="22"/>
                <w:color w:val="000000"/>
              </w:rPr>
              <w:t>Successors and Assignment</w:t>
            </w:r>
          </w:p>
        </w:tc>
        <w:tc>
          <w:tcPr>
            <w:tcW w:w="6720" w:type="dxa"/>
            <w:vAlign w:val="bottom"/>
          </w:tcPr>
          <w:p>
            <w:pPr>
              <w:ind w:left="5620"/>
              <w:spacing w:after="0"/>
              <w:rPr>
                <w:rFonts w:ascii="Times New Roman" w:cs="Times New Roman" w:eastAsia="Times New Roman" w:hAnsi="Times New Roman"/>
                <w:sz w:val="22"/>
                <w:szCs w:val="22"/>
                <w:u w:val="single" w:color="auto"/>
                <w:color w:val="auto"/>
              </w:rPr>
            </w:pPr>
            <w:hyperlink w:anchor="page191">
              <w:r>
                <w:rPr>
                  <w:rFonts w:ascii="Times New Roman" w:cs="Times New Roman" w:eastAsia="Times New Roman" w:hAnsi="Times New Roman"/>
                  <w:sz w:val="22"/>
                  <w:szCs w:val="22"/>
                  <w:u w:val="single" w:color="auto"/>
                  <w:color w:val="auto"/>
                </w:rPr>
                <w:t>16</w:t>
              </w:r>
            </w:hyperlink>
          </w:p>
        </w:tc>
      </w:tr>
      <w:tr>
        <w:trPr>
          <w:trHeight w:val="310"/>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010000"/>
              </w:rPr>
              <w:t>Article 9.</w:t>
            </w:r>
          </w:p>
        </w:tc>
        <w:tc>
          <w:tcPr>
            <w:tcW w:w="3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Miscellaneous</w:t>
            </w:r>
          </w:p>
        </w:tc>
        <w:tc>
          <w:tcPr>
            <w:tcW w:w="6720" w:type="dxa"/>
            <w:vAlign w:val="bottom"/>
          </w:tcPr>
          <w:p>
            <w:pPr>
              <w:ind w:left="5620"/>
              <w:spacing w:after="0"/>
              <w:rPr>
                <w:rFonts w:ascii="Times New Roman" w:cs="Times New Roman" w:eastAsia="Times New Roman" w:hAnsi="Times New Roman"/>
                <w:sz w:val="22"/>
                <w:szCs w:val="22"/>
                <w:u w:val="single" w:color="auto"/>
                <w:color w:val="auto"/>
              </w:rPr>
            </w:pPr>
            <w:hyperlink w:anchor="page191">
              <w:r>
                <w:rPr>
                  <w:rFonts w:ascii="Times New Roman" w:cs="Times New Roman" w:eastAsia="Times New Roman" w:hAnsi="Times New Roman"/>
                  <w:sz w:val="22"/>
                  <w:szCs w:val="22"/>
                  <w:u w:val="single" w:color="auto"/>
                  <w:color w:val="auto"/>
                </w:rPr>
                <w:t>16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18"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b w:val="1"/>
          <w:bCs w:val="1"/>
          <w:color w:val="auto"/>
        </w:rPr>
        <w:t>Clearway Energy,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Management Change-in-Control and General Severance Plan</w:t>
      </w:r>
    </w:p>
    <w:p>
      <w:pPr>
        <w:spacing w:after="0" w:line="3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1.</w:t>
      </w:r>
      <w:r>
        <w:rPr>
          <w:sz w:val="20"/>
          <w:szCs w:val="20"/>
          <w:color w:val="auto"/>
        </w:rPr>
        <w:tab/>
      </w:r>
      <w:r>
        <w:rPr>
          <w:rFonts w:ascii="Times New Roman" w:cs="Times New Roman" w:eastAsia="Times New Roman" w:hAnsi="Times New Roman"/>
          <w:sz w:val="21"/>
          <w:szCs w:val="21"/>
          <w:b w:val="1"/>
          <w:bCs w:val="1"/>
          <w:color w:val="auto"/>
        </w:rPr>
        <w:t>Establishment and Term of the Plan</w:t>
      </w:r>
    </w:p>
    <w:p>
      <w:pPr>
        <w:spacing w:after="0" w:line="192" w:lineRule="exact"/>
        <w:rPr>
          <w:sz w:val="20"/>
          <w:szCs w:val="20"/>
          <w:color w:val="auto"/>
        </w:rPr>
      </w:pPr>
    </w:p>
    <w:p>
      <w:pPr>
        <w:ind w:left="1080" w:hanging="424"/>
        <w:spacing w:after="0"/>
        <w:tabs>
          <w:tab w:leader="none" w:pos="108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Establishment of the Plan</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Clearway Energy, Inc. (hereinafter referred to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originally adopted this Key Management Change-in-Control and General Severance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effective January 1, 2017. The Plan was amended and restated by the Company as of January 1, 2018, again as of January 1, 2019 and February 18, 2020, and is hereby further amended and restated as of January 1, 2021. The Plan provides Severance Benefits to Vice Presidents and Senior Directors of the Company (each an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Executives</w:t>
      </w:r>
      <w:r>
        <w:rPr>
          <w:rFonts w:ascii="Times New Roman" w:cs="Times New Roman" w:eastAsia="Times New Roman" w:hAnsi="Times New Roman"/>
          <w:sz w:val="22"/>
          <w:szCs w:val="22"/>
          <w:color w:val="auto"/>
        </w:rPr>
        <w:t>”) upon certain terminations of employment from the Company.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considers the establishment and maintenance of a sound and vital management to be essential to protecting and enhancing the best interests of the Company and its stockholders. In this connection, the Company recognizes that, as is the case with many publicly held corporations, the possibility of a Change in Control may arise and that such possibility, and the uncertainty and questions which it may raise among management, may result in the departure or distraction of management personnel to the detriment of the Company and its stockholders.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Accordingly, the Board has determined that appropriate steps should be taken to reinforce and encourage the continued attention and dedication of members of the Company’s management to their assigned duties without distraction in circumstances arising from the possibility of a Change in Control of the Company.</w:t>
      </w:r>
    </w:p>
    <w:p>
      <w:pPr>
        <w:spacing w:after="0" w:line="169"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Initial Term</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This Plan commenced on January 1, 2017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shall continue in effect for a period of three (3) years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1080" w:hanging="424"/>
        <w:spacing w:after="0"/>
        <w:tabs>
          <w:tab w:leader="none" w:pos="108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Successive Periods</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term of this Plan shall automatically be extended for one (1) additional year at the end of the Initial Term, and then again after each successive one (1) year period thereafter (each such one (1) year period following the Initial Term is referred to as a “</w:t>
      </w:r>
      <w:r>
        <w:rPr>
          <w:rFonts w:ascii="Times New Roman" w:cs="Times New Roman" w:eastAsia="Times New Roman" w:hAnsi="Times New Roman"/>
          <w:sz w:val="22"/>
          <w:szCs w:val="22"/>
          <w:u w:val="single" w:color="auto"/>
          <w:color w:val="auto"/>
        </w:rPr>
        <w:t>Successive Period</w:t>
      </w:r>
      <w:r>
        <w:rPr>
          <w:rFonts w:ascii="Times New Roman" w:cs="Times New Roman" w:eastAsia="Times New Roman" w:hAnsi="Times New Roman"/>
          <w:sz w:val="22"/>
          <w:szCs w:val="22"/>
          <w:color w:val="auto"/>
        </w:rPr>
        <w:t>”). However, the Committee may terminate this Plan at the end of the Initial Term, or at the end of any Successive Period thereafter, by giving the Executives written notice of intent to terminate the Plan, delivered at least six (6) months prior to the end of such Initial Term or Successive Period. If such notice is properly delivered by the Company, this Plan, along with all corresponding rights, duties, and covenants, shall automatically expire at the end of the Initial Term or Successive Period then in progress.</w:t>
      </w:r>
    </w:p>
    <w:p>
      <w:pPr>
        <w:spacing w:after="0" w:line="178"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Change-in-Control Renewal</w:t>
      </w:r>
    </w:p>
    <w:p>
      <w:pPr>
        <w:spacing w:after="0" w:line="200" w:lineRule="exact"/>
        <w:rPr>
          <w:sz w:val="20"/>
          <w:szCs w:val="20"/>
          <w:color w:val="auto"/>
        </w:rPr>
      </w:pPr>
    </w:p>
    <w:p>
      <w:pPr>
        <w:spacing w:after="0" w:line="3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18" w:right="339" w:bottom="1440" w:gutter="0" w:footer="0" w:header="0"/>
        </w:sectPr>
      </w:pPr>
    </w:p>
    <w:bookmarkStart w:id="192" w:name="page193"/>
    <w:bookmarkEnd w:id="192"/>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Notwithstanding the provisions of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above, in the event that a Change in Control of the Company occurs during the Initial Term or any Successive Period, upon the effective date of such Change in Control, the term of this Plan shall automatically and irrevocably be renewed for a period of two (2) years from the effective date of such Change in Control. Further, this Plan may be assigned to the successor in such Change in Control, as further provided in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herein. This Plan shall thereafter automatically terminate following such two (2) year Change-in-Control renewal period; provided that such termination shall not affect or diminish the rights of Executives who become entitled to benefits or payments under this Plan.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2.</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Whenever used in this Plan, the following terms shall have the meanings set forth below and, when the meaning is intended, the initial letter of the word is capitalized.</w:t>
      </w:r>
    </w:p>
    <w:p>
      <w:pPr>
        <w:spacing w:after="0" w:line="154" w:lineRule="exact"/>
        <w:rPr>
          <w:sz w:val="20"/>
          <w:szCs w:val="20"/>
          <w:color w:val="auto"/>
        </w:rPr>
      </w:pPr>
    </w:p>
    <w:p>
      <w:pPr>
        <w:ind w:left="1300" w:hanging="848"/>
        <w:spacing w:after="0"/>
        <w:tabs>
          <w:tab w:leader="none" w:pos="1300"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Accountants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1300" w:hanging="644"/>
        <w:spacing w:after="0" w:line="251" w:lineRule="auto"/>
        <w:tabs>
          <w:tab w:leader="none" w:pos="1300"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(i) any subsidiary corporation of the Company (or its successors), (ii) any corporation, trade or business (including, without limitation, a partnership or limited liability company) which is directly or indirectly controlled fifty percent (50%) or more (whether by ownership of stock, assets or an equivalent ownership interest or voting interest) by the Company (or its successors), or (iii) any other entity (including its successors) which is designated as an Affiliate by the Board.</w:t>
      </w:r>
    </w:p>
    <w:p>
      <w:pPr>
        <w:spacing w:after="0" w:line="175" w:lineRule="exact"/>
        <w:rPr>
          <w:rFonts w:ascii="Times New Roman" w:cs="Times New Roman" w:eastAsia="Times New Roman" w:hAnsi="Times New Roman"/>
          <w:sz w:val="22"/>
          <w:szCs w:val="22"/>
          <w:color w:val="010000"/>
        </w:rPr>
      </w:pPr>
    </w:p>
    <w:p>
      <w:pPr>
        <w:ind w:left="1300" w:hanging="644"/>
        <w:spacing w:after="0" w:line="275" w:lineRule="auto"/>
        <w:tabs>
          <w:tab w:leader="none" w:pos="1300"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means the greater of the Executive’s annual rate of salary, whether or not deferred, at: (i) the Effective Date of Termination or (ii) at the date of the Change in Control.</w:t>
      </w:r>
    </w:p>
    <w:p>
      <w:pPr>
        <w:spacing w:after="0" w:line="149" w:lineRule="exact"/>
        <w:rPr>
          <w:rFonts w:ascii="Times New Roman" w:cs="Times New Roman" w:eastAsia="Times New Roman" w:hAnsi="Times New Roman"/>
          <w:sz w:val="22"/>
          <w:szCs w:val="22"/>
          <w:color w:val="010000"/>
        </w:rPr>
      </w:pPr>
    </w:p>
    <w:p>
      <w:pPr>
        <w:ind w:left="1300" w:right="20" w:hanging="644"/>
        <w:spacing w:after="0" w:line="275" w:lineRule="auto"/>
        <w:tabs>
          <w:tab w:leader="none" w:pos="1300"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Beneficiary</w:t>
      </w:r>
      <w:r>
        <w:rPr>
          <w:rFonts w:ascii="Times New Roman" w:cs="Times New Roman" w:eastAsia="Times New Roman" w:hAnsi="Times New Roman"/>
          <w:sz w:val="22"/>
          <w:szCs w:val="22"/>
          <w:color w:val="auto"/>
        </w:rPr>
        <w:t xml:space="preserve">” means the persons or entities designated or deemed designated by the Executive pursuant to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herein.</w:t>
      </w:r>
    </w:p>
    <w:p>
      <w:pPr>
        <w:spacing w:after="0" w:line="14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010000"/>
        </w:rPr>
      </w:pPr>
    </w:p>
    <w:p>
      <w:pPr>
        <w:jc w:val="both"/>
        <w:ind w:left="1300" w:hanging="644"/>
        <w:spacing w:after="0" w:line="253" w:lineRule="auto"/>
        <w:tabs>
          <w:tab w:leader="none" w:pos="1300"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as to any Executive (i) “Cause”, as defined in any employment, consulting or similar agreement between the Executive and the Company or an Affiliate in effect at the time of the Executive’s separation, or (ii) in the absence of any such employment, consulting or similar agreement (or the absence of any definition of “Cause” contained therein), the occurrence of any of the following:</w:t>
      </w:r>
    </w:p>
    <w:p>
      <w:pPr>
        <w:spacing w:after="0" w:line="179" w:lineRule="exact"/>
        <w:rPr>
          <w:rFonts w:ascii="Times New Roman" w:cs="Times New Roman" w:eastAsia="Times New Roman" w:hAnsi="Times New Roman"/>
          <w:sz w:val="22"/>
          <w:szCs w:val="22"/>
          <w:color w:val="010000"/>
        </w:rPr>
      </w:pPr>
    </w:p>
    <w:p>
      <w:pPr>
        <w:jc w:val="both"/>
        <w:ind w:left="1960" w:hanging="770"/>
        <w:spacing w:after="0" w:line="257" w:lineRule="auto"/>
        <w:tabs>
          <w:tab w:leader="none" w:pos="1960" w:val="left"/>
        </w:tabs>
        <w:numPr>
          <w:ilvl w:val="2"/>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willful misconduct or gross negligence in the performance of the Executive’s duties to the Company or an Affiliate that has or could reasonably be expected to have an adverse effect on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193" w:name="page194"/>
    <w:bookmarkEnd w:id="193"/>
    <w:p>
      <w:pPr>
        <w:ind w:left="1960" w:hanging="830"/>
        <w:spacing w:after="0" w:line="271" w:lineRule="auto"/>
        <w:tabs>
          <w:tab w:leader="none" w:pos="1960" w:val="left"/>
        </w:tabs>
        <w:numPr>
          <w:ilvl w:val="2"/>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willful failure to perform the Executive’s duties to the Company or an Affiliate (other than as a result of death or a physical or mental incapacity);</w:t>
      </w:r>
    </w:p>
    <w:p>
      <w:pPr>
        <w:spacing w:after="0" w:line="157" w:lineRule="exact"/>
        <w:rPr>
          <w:rFonts w:ascii="Times New Roman" w:cs="Times New Roman" w:eastAsia="Times New Roman" w:hAnsi="Times New Roman"/>
          <w:sz w:val="22"/>
          <w:szCs w:val="22"/>
          <w:color w:val="010000"/>
        </w:rPr>
      </w:pPr>
    </w:p>
    <w:p>
      <w:pPr>
        <w:ind w:left="1960" w:hanging="890"/>
        <w:spacing w:after="0" w:line="271" w:lineRule="auto"/>
        <w:tabs>
          <w:tab w:leader="none" w:pos="1960" w:val="left"/>
        </w:tabs>
        <w:numPr>
          <w:ilvl w:val="2"/>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indictment for, conviction of, or pleading of guilty or nolo contendere to, a felony or any crime involving moral turpitude;</w:t>
      </w:r>
    </w:p>
    <w:p>
      <w:pPr>
        <w:spacing w:after="0" w:line="157" w:lineRule="exact"/>
        <w:rPr>
          <w:rFonts w:ascii="Times New Roman" w:cs="Times New Roman" w:eastAsia="Times New Roman" w:hAnsi="Times New Roman"/>
          <w:sz w:val="22"/>
          <w:szCs w:val="22"/>
          <w:color w:val="010000"/>
        </w:rPr>
      </w:pPr>
    </w:p>
    <w:p>
      <w:pPr>
        <w:ind w:left="1960" w:hanging="878"/>
        <w:spacing w:after="0" w:line="271" w:lineRule="auto"/>
        <w:tabs>
          <w:tab w:leader="none" w:pos="1946" w:val="left"/>
        </w:tabs>
        <w:numPr>
          <w:ilvl w:val="1"/>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performance of any material act of theft, fraud, malfeasance or dishonesty in connection with the performance of the Executive’s duties to the Company or an Affiliate;</w:t>
      </w:r>
    </w:p>
    <w:p>
      <w:pPr>
        <w:spacing w:after="0" w:line="157" w:lineRule="exact"/>
        <w:rPr>
          <w:rFonts w:ascii="Times New Roman" w:cs="Times New Roman" w:eastAsia="Times New Roman" w:hAnsi="Times New Roman"/>
          <w:sz w:val="22"/>
          <w:szCs w:val="22"/>
          <w:color w:val="010000"/>
        </w:rPr>
      </w:pPr>
    </w:p>
    <w:p>
      <w:pPr>
        <w:ind w:left="1960" w:hanging="818"/>
        <w:spacing w:after="0" w:line="271" w:lineRule="auto"/>
        <w:tabs>
          <w:tab w:leader="none" w:pos="1946" w:val="left"/>
        </w:tabs>
        <w:numPr>
          <w:ilvl w:val="1"/>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breach of any written agreement between the Executive and the Company or an Affiliate, or a violation of the Company’s code of conduct or other written policy; or</w:t>
      </w:r>
    </w:p>
    <w:p>
      <w:pPr>
        <w:spacing w:after="0" w:line="157" w:lineRule="exact"/>
        <w:rPr>
          <w:rFonts w:ascii="Times New Roman" w:cs="Times New Roman" w:eastAsia="Times New Roman" w:hAnsi="Times New Roman"/>
          <w:sz w:val="22"/>
          <w:szCs w:val="22"/>
          <w:color w:val="010000"/>
        </w:rPr>
      </w:pPr>
    </w:p>
    <w:p>
      <w:pPr>
        <w:ind w:left="1960" w:hanging="878"/>
        <w:spacing w:after="0"/>
        <w:tabs>
          <w:tab w:leader="none" w:pos="1960" w:val="left"/>
        </w:tabs>
        <w:numPr>
          <w:ilvl w:val="2"/>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other material breach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this Plan.</w:t>
      </w:r>
    </w:p>
    <w:p>
      <w:pPr>
        <w:spacing w:after="0" w:line="219" w:lineRule="exact"/>
        <w:rPr>
          <w:rFonts w:ascii="Times New Roman" w:cs="Times New Roman" w:eastAsia="Times New Roman" w:hAnsi="Times New Roman"/>
          <w:sz w:val="22"/>
          <w:szCs w:val="22"/>
          <w:color w:val="010000"/>
        </w:rPr>
      </w:pPr>
    </w:p>
    <w:p>
      <w:pPr>
        <w:jc w:val="both"/>
        <w:ind w:left="1960"/>
        <w:spacing w:after="0" w:line="24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Plan, there shall be no termination for Cause pursuant to subsections (i) through (vi) above, unless a written notice, containing a detailed description of the grounds constituting Cause hereunder, is delivered to the Executive stating the basis for the termination. Upon receipt of such notice, the Executive shall be given thirty (30) days to fully cure and remedy the neglect or conduct that is the basis of such claim, provided that the Executive’s right to cure shall not apply if there are egregious, habitual or repeated breaches by the Executive.</w:t>
      </w:r>
    </w:p>
    <w:p>
      <w:pPr>
        <w:spacing w:after="0" w:line="18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Change-in-Control Severance Benefits</w:t>
      </w:r>
      <w:r>
        <w:rPr>
          <w:rFonts w:ascii="Times New Roman" w:cs="Times New Roman" w:eastAsia="Times New Roman" w:hAnsi="Times New Roman"/>
          <w:sz w:val="22"/>
          <w:szCs w:val="22"/>
          <w:color w:val="auto"/>
        </w:rPr>
        <w:t xml:space="preserve">” means the Severance Benefit described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 the first to occur of any of the following events:</w:t>
      </w:r>
    </w:p>
    <w:p>
      <w:pPr>
        <w:spacing w:after="0" w:line="223" w:lineRule="exact"/>
        <w:rPr>
          <w:rFonts w:ascii="Times New Roman" w:cs="Times New Roman" w:eastAsia="Times New Roman" w:hAnsi="Times New Roman"/>
          <w:sz w:val="22"/>
          <w:szCs w:val="22"/>
          <w:color w:val="010000"/>
        </w:rPr>
      </w:pPr>
    </w:p>
    <w:p>
      <w:pPr>
        <w:jc w:val="both"/>
        <w:ind w:left="1960" w:hanging="938"/>
        <w:spacing w:after="0" w:line="246" w:lineRule="auto"/>
        <w:tabs>
          <w:tab w:leader="none" w:pos="1960" w:val="left"/>
        </w:tabs>
        <w:numPr>
          <w:ilvl w:val="2"/>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“person” (as that term is used in Sections 13 and 14(d)(2) of the Securities Exchange Act of 1934 (“Exchange Act”)) other than Clearway Energy Group LLC or one of its subsidiaries or affiliates (A) becomes the “beneficial owner” (as that term is used in Section 13(d) of the Exchange Act), directly or indirectly, of fifty percent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 or</w:t>
      </w:r>
    </w:p>
    <w:p>
      <w:pPr>
        <w:spacing w:after="0" w:line="190" w:lineRule="exact"/>
        <w:rPr>
          <w:rFonts w:ascii="Times New Roman" w:cs="Times New Roman" w:eastAsia="Times New Roman" w:hAnsi="Times New Roman"/>
          <w:sz w:val="22"/>
          <w:szCs w:val="22"/>
          <w:color w:val="010000"/>
        </w:rPr>
      </w:pPr>
    </w:p>
    <w:p>
      <w:pPr>
        <w:ind w:left="1960" w:hanging="998"/>
        <w:spacing w:after="0" w:line="271" w:lineRule="auto"/>
        <w:tabs>
          <w:tab w:leader="none" w:pos="1960" w:val="left"/>
        </w:tabs>
        <w:numPr>
          <w:ilvl w:val="2"/>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Persons who on the Effective Date constitute the Board (the “Incumbent Directors”) cease for any reason, including without limitation,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194" w:name="page195"/>
    <w:bookmarkEnd w:id="194"/>
    <w:p>
      <w:pPr>
        <w:jc w:val="both"/>
        <w:ind w:left="1960"/>
        <w:spacing w:after="0" w:line="246" w:lineRule="auto"/>
        <w:rPr>
          <w:sz w:val="20"/>
          <w:szCs w:val="20"/>
          <w:color w:val="auto"/>
        </w:rPr>
      </w:pPr>
      <w:r>
        <w:rPr>
          <w:rFonts w:ascii="Times New Roman" w:cs="Times New Roman" w:eastAsia="Times New Roman" w:hAnsi="Times New Roman"/>
          <w:sz w:val="22"/>
          <w:szCs w:val="22"/>
          <w:color w:val="auto"/>
        </w:rPr>
        <w:t>of a tender offer, proxy contest, merger, or similar transaction, to constitute at least a majority thereof, provided that any person becoming a director of the Company subsequent to the Effective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91" w:lineRule="exact"/>
        <w:rPr>
          <w:sz w:val="20"/>
          <w:szCs w:val="20"/>
          <w:color w:val="auto"/>
        </w:rPr>
      </w:pPr>
    </w:p>
    <w:p>
      <w:pPr>
        <w:jc w:val="both"/>
        <w:ind w:left="1960" w:hanging="878"/>
        <w:spacing w:after="0" w:line="259" w:lineRule="auto"/>
        <w:tabs>
          <w:tab w:leader="none" w:pos="1960" w:val="left"/>
        </w:tabs>
        <w:numPr>
          <w:ilvl w:val="1"/>
          <w:numId w:val="1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Consummation of a reorganization, merger, consolidation, or sale or other disposition of all or substantially all of the assets of the Company (a “Business Combination”),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fifty percent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75" w:lineRule="exact"/>
        <w:rPr>
          <w:rFonts w:ascii="Times New Roman" w:cs="Times New Roman" w:eastAsia="Times New Roman" w:hAnsi="Times New Roman"/>
          <w:sz w:val="21"/>
          <w:szCs w:val="21"/>
          <w:color w:val="010000"/>
        </w:rPr>
      </w:pPr>
    </w:p>
    <w:p>
      <w:pPr>
        <w:ind w:left="1960" w:hanging="818"/>
        <w:spacing w:after="0" w:line="271" w:lineRule="auto"/>
        <w:tabs>
          <w:tab w:leader="none" w:pos="1960" w:val="left"/>
        </w:tabs>
        <w:numPr>
          <w:ilvl w:val="1"/>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stockholders of the Company approve any plan or proposal for the liquidation or dissolution of the Company.</w:t>
      </w:r>
    </w:p>
    <w:p>
      <w:pPr>
        <w:spacing w:after="0" w:line="153" w:lineRule="exact"/>
        <w:rPr>
          <w:rFonts w:ascii="Times New Roman" w:cs="Times New Roman" w:eastAsia="Times New Roman" w:hAnsi="Times New Roman"/>
          <w:sz w:val="22"/>
          <w:szCs w:val="22"/>
          <w:color w:val="010000"/>
        </w:rPr>
      </w:pPr>
    </w:p>
    <w:p>
      <w:pPr>
        <w:ind w:left="1300" w:right="20" w:hanging="644"/>
        <w:spacing w:after="0" w:line="275" w:lineRule="auto"/>
        <w:tabs>
          <w:tab w:leader="none" w:pos="1300"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and the treasury regulations and other official guidance promulgated thereunder.</w:t>
      </w:r>
    </w:p>
    <w:p>
      <w:pPr>
        <w:spacing w:after="0" w:line="149" w:lineRule="exact"/>
        <w:rPr>
          <w:rFonts w:ascii="Times New Roman" w:cs="Times New Roman" w:eastAsia="Times New Roman" w:hAnsi="Times New Roman"/>
          <w:sz w:val="22"/>
          <w:szCs w:val="22"/>
          <w:color w:val="010000"/>
        </w:rPr>
      </w:pPr>
    </w:p>
    <w:p>
      <w:pPr>
        <w:ind w:left="1300" w:right="20" w:hanging="644"/>
        <w:spacing w:after="0" w:line="275" w:lineRule="auto"/>
        <w:tabs>
          <w:tab w:leader="none" w:pos="1300"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Compensation Committee of the Board or any other committee appointed by the Board to perform the functions of the Compensation Committee.</w:t>
      </w:r>
    </w:p>
    <w:p>
      <w:pPr>
        <w:spacing w:after="0" w:line="149" w:lineRule="exact"/>
        <w:rPr>
          <w:rFonts w:ascii="Times New Roman" w:cs="Times New Roman" w:eastAsia="Times New Roman" w:hAnsi="Times New Roman"/>
          <w:sz w:val="22"/>
          <w:szCs w:val="22"/>
          <w:color w:val="010000"/>
        </w:rPr>
      </w:pPr>
    </w:p>
    <w:p>
      <w:pPr>
        <w:ind w:left="1300" w:hanging="644"/>
        <w:spacing w:after="0" w:line="275" w:lineRule="auto"/>
        <w:tabs>
          <w:tab w:leader="none" w:pos="1300"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means Clearway Energy, Inc., a Delaware corporation, or any successor thereto as provided in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herein.</w:t>
      </w:r>
    </w:p>
    <w:p>
      <w:pPr>
        <w:spacing w:after="0" w:line="14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5(a)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Delay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3.4(b)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195" w:name="page196"/>
    <w:bookmarkEnd w:id="195"/>
    <w:p>
      <w:pPr>
        <w:ind w:left="1300" w:hanging="644"/>
        <w:spacing w:after="0" w:line="275" w:lineRule="auto"/>
        <w:tabs>
          <w:tab w:leader="none" w:pos="130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 disability that would entitle Executive to payment of monthly disability payments under any Company long-term disability plan.</w:t>
      </w:r>
    </w:p>
    <w:p>
      <w:pPr>
        <w:spacing w:after="0" w:line="14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means the commencement date of this Plan as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this Plan.</w:t>
      </w:r>
    </w:p>
    <w:p>
      <w:pPr>
        <w:spacing w:after="0" w:line="219" w:lineRule="exact"/>
        <w:rPr>
          <w:rFonts w:ascii="Times New Roman" w:cs="Times New Roman" w:eastAsia="Times New Roman" w:hAnsi="Times New Roman"/>
          <w:sz w:val="22"/>
          <w:szCs w:val="22"/>
          <w:color w:val="010000"/>
        </w:rPr>
      </w:pPr>
    </w:p>
    <w:p>
      <w:pPr>
        <w:ind w:left="1300" w:hanging="644"/>
        <w:spacing w:after="0" w:line="275" w:lineRule="auto"/>
        <w:tabs>
          <w:tab w:leader="none" w:pos="130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 of Termination</w:t>
      </w:r>
      <w:r>
        <w:rPr>
          <w:rFonts w:ascii="Times New Roman" w:cs="Times New Roman" w:eastAsia="Times New Roman" w:hAnsi="Times New Roman"/>
          <w:sz w:val="22"/>
          <w:szCs w:val="22"/>
          <w:color w:val="auto"/>
        </w:rPr>
        <w:t>” means the date on which a Qualifying Termination occurs, as defined hereunder, which triggers the payment of Severance Benefits hereunder.</w:t>
      </w:r>
    </w:p>
    <w:p>
      <w:pPr>
        <w:spacing w:after="0" w:line="14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300" w:hanging="644"/>
        <w:spacing w:after="0" w:line="275" w:lineRule="auto"/>
        <w:tabs>
          <w:tab w:leader="none" w:pos="130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Former Parent Company</w:t>
      </w:r>
      <w:r>
        <w:rPr>
          <w:rFonts w:ascii="Times New Roman" w:cs="Times New Roman" w:eastAsia="Times New Roman" w:hAnsi="Times New Roman"/>
          <w:sz w:val="22"/>
          <w:szCs w:val="22"/>
          <w:color w:val="auto"/>
        </w:rPr>
        <w:t>” means, collectively, NRG Energy, Inc., a Delaware corporation, Xcel Energy, Inc., a Minnesota corporation, and their affiliates and any successors thereto.</w:t>
      </w:r>
    </w:p>
    <w:p>
      <w:pPr>
        <w:spacing w:after="0" w:line="14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 Severance Benefits</w:t>
      </w:r>
      <w:r>
        <w:rPr>
          <w:rFonts w:ascii="Times New Roman" w:cs="Times New Roman" w:eastAsia="Times New Roman" w:hAnsi="Times New Roman"/>
          <w:sz w:val="22"/>
          <w:szCs w:val="22"/>
          <w:color w:val="auto"/>
        </w:rPr>
        <w:t xml:space="preserve">” means the Severance Benefit described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300" w:right="20" w:hanging="644"/>
        <w:spacing w:after="0" w:line="275" w:lineRule="auto"/>
        <w:tabs>
          <w:tab w:leader="none" w:pos="130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the Executive’s express written consent the occurrence of any one or more of the following:</w:t>
      </w:r>
    </w:p>
    <w:p>
      <w:pPr>
        <w:spacing w:after="0" w:line="153" w:lineRule="exact"/>
        <w:rPr>
          <w:rFonts w:ascii="Times New Roman" w:cs="Times New Roman" w:eastAsia="Times New Roman" w:hAnsi="Times New Roman"/>
          <w:sz w:val="22"/>
          <w:szCs w:val="22"/>
          <w:color w:val="010000"/>
        </w:rPr>
      </w:pPr>
    </w:p>
    <w:p>
      <w:pPr>
        <w:jc w:val="both"/>
        <w:ind w:left="1960" w:hanging="878"/>
        <w:spacing w:after="0" w:line="259" w:lineRule="auto"/>
        <w:tabs>
          <w:tab w:leader="none" w:pos="1960" w:val="left"/>
        </w:tabs>
        <w:numPr>
          <w:ilvl w:val="2"/>
          <w:numId w:val="1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reduces the amount of the Executive’s then current Base Salary or target total compensation by more than fifteen percent (15%), excluding across-the-board reductions to the Executive’s then current Base Salary or annual bonus target pursuant to a compensation reduction program that applies to substantially all similarly situated executives of the Company; provided that, if any reduction of Base Salary or target total compensation occurs during the eighteen (18)-month period described in </w:t>
      </w:r>
      <w:r>
        <w:rPr>
          <w:rFonts w:ascii="Times New Roman" w:cs="Times New Roman" w:eastAsia="Times New Roman" w:hAnsi="Times New Roman"/>
          <w:sz w:val="21"/>
          <w:szCs w:val="21"/>
          <w:u w:val="single" w:color="auto"/>
          <w:color w:val="auto"/>
        </w:rPr>
        <w:t>Section 2(z)</w:t>
      </w:r>
    </w:p>
    <w:p>
      <w:pPr>
        <w:spacing w:after="0" w:line="3" w:lineRule="exact"/>
        <w:rPr>
          <w:rFonts w:ascii="Times New Roman" w:cs="Times New Roman" w:eastAsia="Times New Roman" w:hAnsi="Times New Roman"/>
          <w:sz w:val="21"/>
          <w:szCs w:val="21"/>
          <w:color w:val="010000"/>
        </w:rPr>
      </w:pPr>
    </w:p>
    <w:p>
      <w:pPr>
        <w:ind w:left="1960"/>
        <w:spacing w:after="0" w:line="24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(without regard to whether the reduction applies on an across-the-board basis as described above), then such reduction shall be deemed to constitute Good Reason for purposes of the Plan; or</w:t>
      </w:r>
    </w:p>
    <w:p>
      <w:pPr>
        <w:spacing w:after="0" w:line="182" w:lineRule="exact"/>
        <w:rPr>
          <w:rFonts w:ascii="Times New Roman" w:cs="Times New Roman" w:eastAsia="Times New Roman" w:hAnsi="Times New Roman"/>
          <w:sz w:val="21"/>
          <w:szCs w:val="21"/>
          <w:color w:val="010000"/>
        </w:rPr>
      </w:pPr>
    </w:p>
    <w:p>
      <w:pPr>
        <w:jc w:val="both"/>
        <w:ind w:left="1960" w:hanging="938"/>
        <w:spacing w:after="0" w:line="252" w:lineRule="auto"/>
        <w:tabs>
          <w:tab w:leader="none" w:pos="1960" w:val="left"/>
        </w:tabs>
        <w:numPr>
          <w:ilvl w:val="2"/>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in the Executive’s benefits under or relative level of participation in the Company’s employee benefit or retirement plans, policies, practices, or arrangements in which the Executive participates as of the Effective Date of this Plan, or as of the commencement of Executive’s participation in this Plan, as applicable; or</w:t>
      </w:r>
    </w:p>
    <w:p>
      <w:pPr>
        <w:spacing w:after="0" w:line="179" w:lineRule="exact"/>
        <w:rPr>
          <w:rFonts w:ascii="Times New Roman" w:cs="Times New Roman" w:eastAsia="Times New Roman" w:hAnsi="Times New Roman"/>
          <w:sz w:val="22"/>
          <w:szCs w:val="22"/>
          <w:color w:val="010000"/>
        </w:rPr>
      </w:pPr>
    </w:p>
    <w:p>
      <w:pPr>
        <w:ind w:left="1960" w:right="20" w:hanging="998"/>
        <w:spacing w:after="0" w:line="271" w:lineRule="auto"/>
        <w:tabs>
          <w:tab w:leader="none" w:pos="1960" w:val="left"/>
        </w:tabs>
        <w:numPr>
          <w:ilvl w:val="2"/>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diminution in the Executive’s title, authority, duties, or responsibilities or the assignment of duties to the Executive which are materially inconsistent with his position; or</w:t>
      </w:r>
    </w:p>
    <w:p>
      <w:pPr>
        <w:spacing w:after="0" w:line="157" w:lineRule="exact"/>
        <w:rPr>
          <w:rFonts w:ascii="Times New Roman" w:cs="Times New Roman" w:eastAsia="Times New Roman" w:hAnsi="Times New Roman"/>
          <w:sz w:val="22"/>
          <w:szCs w:val="22"/>
          <w:color w:val="010000"/>
        </w:rPr>
      </w:pPr>
    </w:p>
    <w:p>
      <w:pPr>
        <w:ind w:left="1960" w:hanging="986"/>
        <w:spacing w:after="0" w:line="271" w:lineRule="auto"/>
        <w:tabs>
          <w:tab w:leader="none" w:pos="1946"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relocation of the Executive’s principal place of employment to a location that is more than fifty (50) miles from the Executive’s place of employment as of the Effective Date of this Plan, or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18" w:right="339" w:bottom="1440" w:gutter="0" w:footer="0" w:header="0"/>
        </w:sectPr>
      </w:pPr>
    </w:p>
    <w:bookmarkStart w:id="196" w:name="page197"/>
    <w:bookmarkEnd w:id="196"/>
    <w:p>
      <w:pPr>
        <w:ind w:left="1960"/>
        <w:spacing w:after="0" w:line="271" w:lineRule="auto"/>
        <w:rPr>
          <w:sz w:val="20"/>
          <w:szCs w:val="20"/>
          <w:color w:val="auto"/>
        </w:rPr>
      </w:pPr>
      <w:r>
        <w:rPr>
          <w:rFonts w:ascii="Times New Roman" w:cs="Times New Roman" w:eastAsia="Times New Roman" w:hAnsi="Times New Roman"/>
          <w:sz w:val="22"/>
          <w:szCs w:val="22"/>
          <w:color w:val="auto"/>
        </w:rPr>
        <w:t>commencement of Executive’s participation in this Plan, as applicable, but only if such new location is not closer to the Executive’s primary residence; or</w:t>
      </w:r>
    </w:p>
    <w:p>
      <w:pPr>
        <w:spacing w:after="0" w:line="158" w:lineRule="exact"/>
        <w:rPr>
          <w:sz w:val="20"/>
          <w:szCs w:val="20"/>
          <w:color w:val="auto"/>
        </w:rPr>
      </w:pPr>
    </w:p>
    <w:p>
      <w:pPr>
        <w:jc w:val="both"/>
        <w:ind w:left="1960" w:hanging="926"/>
        <w:spacing w:after="0" w:line="257" w:lineRule="auto"/>
        <w:tabs>
          <w:tab w:leader="none" w:pos="1946"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failure of the Company to obtain in writing the obligation to perform or be bound by the terms of this Plan by any successor to the Company or a purchaser of all or substantially all of the assets of the Company within fifteen (15) days after a merger, consolidation, sale, or similar transaction.</w:t>
      </w:r>
    </w:p>
    <w:p>
      <w:pPr>
        <w:spacing w:after="0" w:line="173"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21"/>
          <w:szCs w:val="21"/>
          <w:color w:val="auto"/>
        </w:rPr>
        <w:t>For purposes of this Plan, the Executive is not entitled to assert that his termination is for Good Reason unless the Executive gives the Board written notice of the event or events which are the basis for such claim within ninety</w:t>
      </w:r>
    </w:p>
    <w:p>
      <w:pPr>
        <w:spacing w:after="0" w:line="2" w:lineRule="exact"/>
        <w:rPr>
          <w:sz w:val="20"/>
          <w:szCs w:val="20"/>
          <w:color w:val="auto"/>
        </w:rPr>
      </w:pPr>
    </w:p>
    <w:p>
      <w:pPr>
        <w:jc w:val="both"/>
        <w:ind w:left="1300" w:firstLine="4"/>
        <w:spacing w:after="0" w:line="245" w:lineRule="auto"/>
        <w:tabs>
          <w:tab w:leader="none" w:pos="1725"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event or events occur, describing such claim in reasonably sufficient detail to allow the Board to address the event or events and a period of not less than thirty (30) days after to cure or fully remedy the alleged condition.</w:t>
      </w:r>
    </w:p>
    <w:p>
      <w:pPr>
        <w:spacing w:after="0" w:line="18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Nonsolicitation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5(c)</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1300" w:hanging="644"/>
        <w:spacing w:after="0" w:line="259" w:lineRule="auto"/>
        <w:tabs>
          <w:tab w:leader="none" w:pos="1300"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shall mean a written notice which shall indicate the specific termination provision in this Plan relied upon, and shall set forth in reasonable detail the facts and circumstances claimed to provide a basis for termination of the Executive’s employment under the provision so indicated.</w:t>
      </w:r>
    </w:p>
    <w:p>
      <w:pPr>
        <w:spacing w:after="0" w:line="16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“Parachute Payment Ratio</w:t>
      </w:r>
      <w:r>
        <w:rPr>
          <w:rFonts w:ascii="Times New Roman" w:cs="Times New Roman" w:eastAsia="Times New Roman" w:hAnsi="Times New Roman"/>
          <w:sz w:val="22"/>
          <w:szCs w:val="22"/>
          <w:color w:val="auto"/>
        </w:rPr>
        <w:t>” shall have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means:</w:t>
      </w:r>
    </w:p>
    <w:p>
      <w:pPr>
        <w:spacing w:after="0" w:line="223" w:lineRule="exact"/>
        <w:rPr>
          <w:rFonts w:ascii="Times New Roman" w:cs="Times New Roman" w:eastAsia="Times New Roman" w:hAnsi="Times New Roman"/>
          <w:sz w:val="22"/>
          <w:szCs w:val="22"/>
          <w:color w:val="010000"/>
        </w:rPr>
      </w:pPr>
    </w:p>
    <w:p>
      <w:pPr>
        <w:ind w:left="1960" w:hanging="986"/>
        <w:spacing w:after="0" w:line="271" w:lineRule="auto"/>
        <w:tabs>
          <w:tab w:leader="none" w:pos="1960"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such event occurs within the time period that is six (6) months immediately prior to, or twelve (12) months immediately following a Change in Control:</w:t>
      </w:r>
    </w:p>
    <w:p>
      <w:pPr>
        <w:spacing w:after="0" w:line="157" w:lineRule="exact"/>
        <w:rPr>
          <w:rFonts w:ascii="Times New Roman" w:cs="Times New Roman" w:eastAsia="Times New Roman" w:hAnsi="Times New Roman"/>
          <w:sz w:val="22"/>
          <w:szCs w:val="22"/>
          <w:color w:val="010000"/>
        </w:rPr>
      </w:pPr>
    </w:p>
    <w:p>
      <w:pPr>
        <w:jc w:val="both"/>
        <w:ind w:left="2600" w:hanging="648"/>
        <w:spacing w:after="0" w:line="257" w:lineRule="auto"/>
        <w:tabs>
          <w:tab w:leader="none" w:pos="2588" w:val="left"/>
        </w:tabs>
        <w:numPr>
          <w:ilvl w:val="3"/>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involuntary termination of the Executive’s employment by the Company for reasons other than Cause, death, or Disability pursuant to a Notice of Termination delivered to the Executive by the Company; or</w:t>
      </w:r>
    </w:p>
    <w:p>
      <w:pPr>
        <w:spacing w:after="0" w:line="172" w:lineRule="exact"/>
        <w:rPr>
          <w:rFonts w:ascii="Times New Roman" w:cs="Times New Roman" w:eastAsia="Times New Roman" w:hAnsi="Times New Roman"/>
          <w:sz w:val="22"/>
          <w:szCs w:val="22"/>
          <w:color w:val="010000"/>
        </w:rPr>
      </w:pPr>
    </w:p>
    <w:p>
      <w:pPr>
        <w:ind w:left="2600" w:right="20" w:hanging="648"/>
        <w:spacing w:after="0" w:line="271" w:lineRule="auto"/>
        <w:tabs>
          <w:tab w:leader="none" w:pos="2600" w:val="left"/>
        </w:tabs>
        <w:numPr>
          <w:ilvl w:val="3"/>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voluntary termination by the Executive for Good Reason pursuant to a Notice of Termination delivered to the Company by the Executive; or</w:t>
      </w:r>
    </w:p>
    <w:p>
      <w:pPr>
        <w:spacing w:after="0" w:line="157" w:lineRule="exact"/>
        <w:rPr>
          <w:rFonts w:ascii="Times New Roman" w:cs="Times New Roman" w:eastAsia="Times New Roman" w:hAnsi="Times New Roman"/>
          <w:sz w:val="22"/>
          <w:szCs w:val="22"/>
          <w:color w:val="010000"/>
        </w:rPr>
      </w:pPr>
    </w:p>
    <w:p>
      <w:pPr>
        <w:ind w:left="1960" w:hanging="1046"/>
        <w:spacing w:after="0"/>
        <w:tabs>
          <w:tab w:leader="none" w:pos="1960"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such event occurs at any 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197" w:name="page198"/>
    <w:bookmarkEnd w:id="197"/>
    <w:p>
      <w:pPr>
        <w:ind w:left="2600" w:right="20" w:hanging="648"/>
        <w:spacing w:after="0" w:line="271" w:lineRule="auto"/>
        <w:tabs>
          <w:tab w:leader="none" w:pos="2588" w:val="left"/>
        </w:tabs>
        <w:numPr>
          <w:ilvl w:val="1"/>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involuntary termination of the Executive’s employment by the Company due to reductions in force or other factors as a result of a Company restructuring.</w:t>
      </w:r>
    </w:p>
    <w:p>
      <w:pPr>
        <w:spacing w:after="0" w:line="153"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 Effective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3.1(d).</w:t>
      </w:r>
    </w:p>
    <w:p>
      <w:pPr>
        <w:spacing w:after="0" w:line="219" w:lineRule="exact"/>
        <w:rPr>
          <w:rFonts w:ascii="Times New Roman" w:cs="Times New Roman" w:eastAsia="Times New Roman" w:hAnsi="Times New Roman"/>
          <w:sz w:val="22"/>
          <w:szCs w:val="22"/>
          <w:color w:val="010000"/>
        </w:rPr>
      </w:pPr>
    </w:p>
    <w:p>
      <w:pPr>
        <w:jc w:val="both"/>
        <w:ind w:left="1300" w:hanging="644"/>
        <w:spacing w:after="0" w:line="259" w:lineRule="auto"/>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Director</w:t>
      </w:r>
      <w:r>
        <w:rPr>
          <w:rFonts w:ascii="Times New Roman" w:cs="Times New Roman" w:eastAsia="Times New Roman" w:hAnsi="Times New Roman"/>
          <w:sz w:val="22"/>
          <w:szCs w:val="22"/>
          <w:color w:val="auto"/>
        </w:rPr>
        <w:t>” shall include those employees of the Company with the Job Level of Senior Director immediately prior to the Change in Control, or such other employee who is designated as a Senior Director in the Company’s human resources information system immediately prior to the Change in Control.</w:t>
      </w:r>
    </w:p>
    <w:p>
      <w:pPr>
        <w:spacing w:after="0" w:line="166" w:lineRule="exact"/>
        <w:rPr>
          <w:rFonts w:ascii="Times New Roman" w:cs="Times New Roman" w:eastAsia="Times New Roman" w:hAnsi="Times New Roman"/>
          <w:sz w:val="22"/>
          <w:szCs w:val="22"/>
          <w:color w:val="010000"/>
        </w:rPr>
      </w:pPr>
    </w:p>
    <w:p>
      <w:pPr>
        <w:ind w:left="1300" w:hanging="644"/>
        <w:spacing w:after="0" w:line="275" w:lineRule="auto"/>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xml:space="preserve">” means the payment of Change-in-Control or General (as appropriate) Severance compensation as provided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herein.</w:t>
      </w:r>
    </w:p>
    <w:p>
      <w:pPr>
        <w:spacing w:after="0" w:line="149" w:lineRule="exact"/>
        <w:rPr>
          <w:rFonts w:ascii="Times New Roman" w:cs="Times New Roman" w:eastAsia="Times New Roman" w:hAnsi="Times New Roman"/>
          <w:sz w:val="22"/>
          <w:szCs w:val="22"/>
          <w:color w:val="010000"/>
        </w:rPr>
      </w:pPr>
    </w:p>
    <w:p>
      <w:pPr>
        <w:jc w:val="both"/>
        <w:ind w:left="1300" w:hanging="644"/>
        <w:spacing w:after="0" w:line="259" w:lineRule="auto"/>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Weeks</w:t>
      </w:r>
      <w:r>
        <w:rPr>
          <w:rFonts w:ascii="Times New Roman" w:cs="Times New Roman" w:eastAsia="Times New Roman" w:hAnsi="Times New Roman"/>
          <w:sz w:val="22"/>
          <w:szCs w:val="22"/>
          <w:color w:val="auto"/>
        </w:rPr>
        <w:t>” means the greater of (i) twenty-four (24) or (ii) the product of one and one half (1.5) and the number of Executive’s Years of Service, provided that the maximum number of Severance Weeks shall be fifty-two (52).</w:t>
      </w:r>
    </w:p>
    <w:p>
      <w:pPr>
        <w:spacing w:after="0" w:line="16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means any Executive described in Code Section 409A(a)(2)(B)(i).</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Successive Periods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Information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5(a)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1300" w:hanging="644"/>
        <w:spacing w:after="0" w:line="259" w:lineRule="auto"/>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Vice President</w:t>
      </w:r>
      <w:r>
        <w:rPr>
          <w:rFonts w:ascii="Times New Roman" w:cs="Times New Roman" w:eastAsia="Times New Roman" w:hAnsi="Times New Roman"/>
          <w:sz w:val="22"/>
          <w:szCs w:val="22"/>
          <w:color w:val="auto"/>
        </w:rPr>
        <w:t>” shall include those employees of the Company with the Job Level of VP immediately prior to the Change in Control, or such other employee who is designated as a VP in the Company’s human resources information system immediately prior to the Change in Control.</w:t>
      </w:r>
    </w:p>
    <w:p>
      <w:pPr>
        <w:spacing w:after="0" w:line="16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Weekly Compensation</w:t>
      </w:r>
      <w:r>
        <w:rPr>
          <w:rFonts w:ascii="Times New Roman" w:cs="Times New Roman" w:eastAsia="Times New Roman" w:hAnsi="Times New Roman"/>
          <w:sz w:val="22"/>
          <w:szCs w:val="22"/>
          <w:color w:val="auto"/>
        </w:rPr>
        <w:t>” means the Executive’s Base Salary divided by fifty-two (52).</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Payments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 Product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5(b)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1300" w:hanging="644"/>
        <w:spacing w:after="0" w:line="262" w:lineRule="auto"/>
        <w:tabs>
          <w:tab w:leader="none" w:pos="1300" w:val="left"/>
        </w:tabs>
        <w:numPr>
          <w:ilvl w:val="0"/>
          <w:numId w:val="1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Year of Service</w:t>
      </w:r>
      <w:r>
        <w:rPr>
          <w:rFonts w:ascii="Times New Roman" w:cs="Times New Roman" w:eastAsia="Times New Roman" w:hAnsi="Times New Roman"/>
          <w:sz w:val="21"/>
          <w:szCs w:val="21"/>
          <w:color w:val="auto"/>
        </w:rPr>
        <w:t>” shall mean an Executive’s completed and partial calendar years of continuous service for the Company and its Affiliates (including with any predecessor thereof). Years of Service shall include time on a leave of absence to the extent required by law. Years of Service shall not include any accrued but unused paid time off benefits as of the Executive’s Qualifying Termination. Service as a temporary or temporary/part-time employee will not be considered a termination or interruption of employment, but will not count toward Years of Service. Years of Service will terminate on the Executive’s Qualifying Termination. An Executive who terminates employment and is rehired by the Company or an Affiliate will not receive credit for any prior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198" w:name="page199"/>
    <w:bookmarkEnd w:id="198"/>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3.</w:t>
      </w:r>
      <w:r>
        <w:rPr>
          <w:sz w:val="20"/>
          <w:szCs w:val="20"/>
          <w:color w:val="auto"/>
        </w:rPr>
        <w:tab/>
      </w:r>
      <w:r>
        <w:rPr>
          <w:rFonts w:ascii="Times New Roman" w:cs="Times New Roman" w:eastAsia="Times New Roman" w:hAnsi="Times New Roman"/>
          <w:sz w:val="21"/>
          <w:szCs w:val="21"/>
          <w:b w:val="1"/>
          <w:bCs w:val="1"/>
          <w:color w:val="auto"/>
        </w:rPr>
        <w:t>Severance Benefits</w:t>
      </w:r>
    </w:p>
    <w:p>
      <w:pPr>
        <w:spacing w:after="0" w:line="220" w:lineRule="exact"/>
        <w:rPr>
          <w:sz w:val="20"/>
          <w:szCs w:val="20"/>
          <w:color w:val="auto"/>
        </w:rPr>
      </w:pPr>
    </w:p>
    <w:p>
      <w:pPr>
        <w:ind w:left="1080" w:hanging="424"/>
        <w:spacing w:after="0"/>
        <w:tabs>
          <w:tab w:leader="none" w:pos="108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 to Severance Benefits</w:t>
      </w:r>
    </w:p>
    <w:p>
      <w:pPr>
        <w:spacing w:after="0" w:line="220" w:lineRule="exact"/>
        <w:rPr>
          <w:sz w:val="20"/>
          <w:szCs w:val="20"/>
          <w:color w:val="auto"/>
        </w:rPr>
      </w:pPr>
    </w:p>
    <w:p>
      <w:pPr>
        <w:jc w:val="both"/>
        <w:ind w:left="1300" w:hanging="644"/>
        <w:spacing w:after="0" w:line="253" w:lineRule="auto"/>
        <w:tabs>
          <w:tab w:leader="none" w:pos="1300"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Change-in-Control Severance Benefits</w:t>
      </w:r>
      <w:r>
        <w:rPr>
          <w:rFonts w:ascii="Times New Roman" w:cs="Times New Roman" w:eastAsia="Times New Roman" w:hAnsi="Times New Roman"/>
          <w:sz w:val="22"/>
          <w:szCs w:val="22"/>
          <w:color w:val="auto"/>
        </w:rPr>
        <w:t xml:space="preserve">. The Executive shall be entitled to receive from the Company Change-in-Control Severance Benefits, as described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herein, if a Qualifying Termination of the Executive’s employment has occurred within six (6) months immediately prior to, or twelve (12) months immediately following, a Change in Control of the Company.</w:t>
      </w:r>
    </w:p>
    <w:p>
      <w:pPr>
        <w:spacing w:after="0" w:line="175" w:lineRule="exact"/>
        <w:rPr>
          <w:rFonts w:ascii="Times New Roman" w:cs="Times New Roman" w:eastAsia="Times New Roman" w:hAnsi="Times New Roman"/>
          <w:sz w:val="22"/>
          <w:szCs w:val="22"/>
          <w:color w:val="010000"/>
        </w:rPr>
      </w:pPr>
    </w:p>
    <w:p>
      <w:pPr>
        <w:jc w:val="both"/>
        <w:ind w:left="1300" w:hanging="644"/>
        <w:spacing w:after="0" w:line="253" w:lineRule="auto"/>
        <w:tabs>
          <w:tab w:leader="none" w:pos="1300"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General Severance Benefits</w:t>
      </w:r>
      <w:r>
        <w:rPr>
          <w:rFonts w:ascii="Times New Roman" w:cs="Times New Roman" w:eastAsia="Times New Roman" w:hAnsi="Times New Roman"/>
          <w:sz w:val="22"/>
          <w:szCs w:val="22"/>
          <w:color w:val="auto"/>
        </w:rPr>
        <w:t>. The Executive shall be entitled to receive from the Company General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Benefits, as described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herein, if a Qualifying Termination of the Executive’s employment has occurred other than during the six (6) months immediately prior to, or twelve (12) months immediately following, a Change in Control.</w:t>
      </w:r>
    </w:p>
    <w:p>
      <w:pPr>
        <w:spacing w:after="0" w:line="175" w:lineRule="exact"/>
        <w:rPr>
          <w:rFonts w:ascii="Times New Roman" w:cs="Times New Roman" w:eastAsia="Times New Roman" w:hAnsi="Times New Roman"/>
          <w:sz w:val="22"/>
          <w:szCs w:val="22"/>
          <w:color w:val="010000"/>
        </w:rPr>
      </w:pPr>
    </w:p>
    <w:p>
      <w:pPr>
        <w:ind w:left="1300" w:right="20" w:hanging="644"/>
        <w:spacing w:after="0" w:line="275" w:lineRule="auto"/>
        <w:tabs>
          <w:tab w:leader="none" w:pos="1300"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No Severance Benefits</w:t>
      </w:r>
      <w:r>
        <w:rPr>
          <w:rFonts w:ascii="Times New Roman" w:cs="Times New Roman" w:eastAsia="Times New Roman" w:hAnsi="Times New Roman"/>
          <w:sz w:val="22"/>
          <w:szCs w:val="22"/>
          <w:color w:val="auto"/>
        </w:rPr>
        <w:t>. The Executive shall not be entitled to receive Severance Benefits if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ends for reasons other than a Qualifying Termination.</w:t>
      </w:r>
    </w:p>
    <w:p>
      <w:pPr>
        <w:spacing w:after="0" w:line="149" w:lineRule="exact"/>
        <w:rPr>
          <w:rFonts w:ascii="Times New Roman" w:cs="Times New Roman" w:eastAsia="Times New Roman" w:hAnsi="Times New Roman"/>
          <w:sz w:val="22"/>
          <w:szCs w:val="22"/>
          <w:color w:val="010000"/>
        </w:rPr>
      </w:pPr>
    </w:p>
    <w:p>
      <w:pPr>
        <w:jc w:val="both"/>
        <w:ind w:left="1300" w:hanging="644"/>
        <w:spacing w:after="0" w:line="246" w:lineRule="auto"/>
        <w:tabs>
          <w:tab w:leader="none" w:pos="1300"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General Release and Acknowledgement of Restrictive Covenants</w:t>
      </w:r>
      <w:r>
        <w:rPr>
          <w:rFonts w:ascii="Times New Roman" w:cs="Times New Roman" w:eastAsia="Times New Roman" w:hAnsi="Times New Roman"/>
          <w:sz w:val="22"/>
          <w:szCs w:val="22"/>
          <w:color w:val="auto"/>
        </w:rPr>
        <w:t>. As a condition to receiving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Benefits under either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herein, the Executive shall be obligated to execute a general waiver and release of claims in favor of the Company, its current and former affiliates and stockholders, and the current and former directors, officers, employees, and agents of the Company in a form drafted by and acceptable to the Company, and any revocation period for such release must have expired, in each case within sixty (60) days of the date of termination. The date upon which the executed release is no longer subject to revocation shall be referred to herein as the “</w:t>
      </w:r>
      <w:r>
        <w:rPr>
          <w:rFonts w:ascii="Times New Roman" w:cs="Times New Roman" w:eastAsia="Times New Roman" w:hAnsi="Times New Roman"/>
          <w:sz w:val="22"/>
          <w:szCs w:val="22"/>
          <w:u w:val="single" w:color="auto"/>
          <w:color w:val="auto"/>
        </w:rPr>
        <w:t>Release Effective Date</w:t>
      </w:r>
      <w:r>
        <w:rPr>
          <w:rFonts w:ascii="Times New Roman" w:cs="Times New Roman" w:eastAsia="Times New Roman" w:hAnsi="Times New Roman"/>
          <w:sz w:val="22"/>
          <w:szCs w:val="22"/>
          <w:color w:val="auto"/>
        </w:rPr>
        <w:t xml:space="preserve">”. The Executive must also execute a notice acknowledging the restrictive covenants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within sixty (60) days of the date of termination. Any payments under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shall commence only after execution of the release and acknowledgement, and in the manner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2" w:lineRule="exact"/>
        <w:rPr>
          <w:rFonts w:ascii="Times New Roman" w:cs="Times New Roman" w:eastAsia="Times New Roman" w:hAnsi="Times New Roman"/>
          <w:sz w:val="22"/>
          <w:szCs w:val="22"/>
          <w:color w:val="010000"/>
        </w:rPr>
      </w:pPr>
    </w:p>
    <w:p>
      <w:pPr>
        <w:jc w:val="both"/>
        <w:ind w:left="1300" w:hanging="644"/>
        <w:spacing w:after="0" w:line="248" w:lineRule="auto"/>
        <w:tabs>
          <w:tab w:leader="none" w:pos="1300"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No Duplication of Severance Benefits; Reduction of Other Benefits</w:t>
      </w:r>
      <w:r>
        <w:rPr>
          <w:rFonts w:ascii="Times New Roman" w:cs="Times New Roman" w:eastAsia="Times New Roman" w:hAnsi="Times New Roman"/>
          <w:sz w:val="22"/>
          <w:szCs w:val="22"/>
          <w:color w:val="auto"/>
        </w:rPr>
        <w:t>. If the Executive becomes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Change-in-Control Severance Benefits, the Severance Benefits provided for under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hereunder shall be in lieu of all other Severance Benefits provided to the Executive under the provisions of this Plan and any other Company-related or Former Parent Company-related severance plans, programs, or agreements including, but not limited to, the Severance Benefits under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herein. Likewise, if the Executive becomes entitled to General Severance Benefits, the Severance Benefits provided under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hereunder shall be in lieu of all other Severance Benefits provided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18" w:right="339" w:bottom="1440" w:gutter="0" w:footer="0" w:header="0"/>
        </w:sectPr>
      </w:pPr>
    </w:p>
    <w:bookmarkStart w:id="199" w:name="page200"/>
    <w:bookmarkEnd w:id="199"/>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 xml:space="preserve">the Executive under the provisions of this Plan and any other Company-related severance plans, programs, or other agreements including, but not limited to, the Severance Benefits under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herein. Any benefits provided under this Plan will, to the extent permitted by law, be reduced by the value of any severance benefit required to be paid to the Executive under federal, state or local stature, ordinance or regulation, including any payments or extended periods of employment required to comply with any law governing plant closings, layoffs or similar events. If benefits are paid under this Plan, and, subsequent to such payment, an amount is determined to be payable to the Executive which would under the terms of this section reduce the benefit payable under the Plan, the Company shall be entitled to recover from the Executive the overpayment made under this Plan and shall, to the extent permitted by law, be entitled to offset such overpayment against any amount owed to the Executive (other than any amount that constitutes “deferred compensation” for purposes of Code Section 409A).</w:t>
      </w:r>
    </w:p>
    <w:p>
      <w:pPr>
        <w:spacing w:after="0" w:line="184" w:lineRule="exact"/>
        <w:rPr>
          <w:sz w:val="20"/>
          <w:szCs w:val="20"/>
          <w:color w:val="auto"/>
        </w:rPr>
      </w:pPr>
    </w:p>
    <w:p>
      <w:pPr>
        <w:ind w:left="1080" w:hanging="424"/>
        <w:spacing w:after="0"/>
        <w:tabs>
          <w:tab w:leader="none" w:pos="108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Change-in-Control Severance Benefits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In the event the Executive becomes entitled to receive Change-in-Control Severance Benefits, as provided in</w:t>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u w:val="single" w:color="auto"/>
          <w:color w:val="auto"/>
        </w:rPr>
        <w:t>Section 3.1(a)</w:t>
      </w:r>
      <w:r>
        <w:rPr>
          <w:rFonts w:ascii="Times New Roman" w:cs="Times New Roman" w:eastAsia="Times New Roman" w:hAnsi="Times New Roman"/>
          <w:sz w:val="22"/>
          <w:szCs w:val="22"/>
          <w:b w:val="1"/>
          <w:bCs w:val="1"/>
          <w:color w:val="auto"/>
        </w:rPr>
        <w:t xml:space="preserve"> herein, the Company shall provide the Executive with the following:</w:t>
      </w:r>
    </w:p>
    <w:p>
      <w:pPr>
        <w:spacing w:after="0" w:line="196" w:lineRule="exact"/>
        <w:rPr>
          <w:sz w:val="20"/>
          <w:szCs w:val="20"/>
          <w:color w:val="auto"/>
        </w:rPr>
      </w:pPr>
    </w:p>
    <w:p>
      <w:pPr>
        <w:jc w:val="both"/>
        <w:ind w:left="1300" w:hanging="644"/>
        <w:spacing w:after="0" w:line="247" w:lineRule="auto"/>
        <w:tabs>
          <w:tab w:leader="none" w:pos="1300"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5" w:lineRule="exact"/>
        <w:rPr>
          <w:rFonts w:ascii="Times New Roman" w:cs="Times New Roman" w:eastAsia="Times New Roman" w:hAnsi="Times New Roman"/>
          <w:sz w:val="22"/>
          <w:szCs w:val="22"/>
          <w:color w:val="010000"/>
        </w:rPr>
      </w:pPr>
    </w:p>
    <w:p>
      <w:pPr>
        <w:jc w:val="both"/>
        <w:ind w:left="1300" w:hanging="644"/>
        <w:spacing w:after="0" w:line="247" w:lineRule="auto"/>
        <w:tabs>
          <w:tab w:leader="none" w:pos="1300"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lump-sum amount, paid upon the date that is sixty (60) calendar days following the Effective Date of Termination, equal to: (i) one and one-half (1.5) for VPs, (ii) one (1) for Senior Directors times the sum of the following: (A) the Executive’s Base Salary and (B) the Executive’s annual target bonus opportunity in the year of termination; provided that to the extent the payment of any amounts pursuant to this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00" w:name="page201"/>
    <w:bookmarkEnd w:id="200"/>
    <w:p>
      <w:pPr>
        <w:jc w:val="both"/>
        <w:ind w:left="1300" w:hanging="644"/>
        <w:spacing w:after="0" w:line="246" w:lineRule="auto"/>
        <w:tabs>
          <w:tab w:leader="none" w:pos="1300"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lump-sum amount, paid upon the date that is sixty (60) calendar days following the Effective Date of Termination, equal to the Executive’s then current target bonus opportunity established under the bonus plan in which the Executive is then participating, for the plan year in which a Qualifying Termination occurs, adjusted on a pro rata basis based on the number of days the Executive was actually employed during the bonus plan year in which the Qualifying Termination occurs, provided that to the extent the payment of any amounts pursuant to this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90" w:lineRule="exact"/>
        <w:rPr>
          <w:rFonts w:ascii="Times New Roman" w:cs="Times New Roman" w:eastAsia="Times New Roman" w:hAnsi="Times New Roman"/>
          <w:sz w:val="22"/>
          <w:szCs w:val="22"/>
          <w:color w:val="010000"/>
        </w:rPr>
      </w:pPr>
    </w:p>
    <w:p>
      <w:pPr>
        <w:jc w:val="both"/>
        <w:ind w:left="1300" w:hanging="644"/>
        <w:spacing w:after="0" w:line="250" w:lineRule="auto"/>
        <w:tabs>
          <w:tab w:leader="none" w:pos="1300"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Payment for all or a portion of the Executive’s cost to participate in COBRA health and/or dental continuation coverage for a period equal to (i) eighteen (18) months for VPs and (ii) twelve (12) months for Senior Directors, in each case following the Executive’s Effective Date of Termination, such that Executive maintains the same coverage level and cost, on an after tax basis, as in effect immediately prior to the Executive’s Effective Date of Termination.</w:t>
      </w:r>
    </w:p>
    <w:p>
      <w:pPr>
        <w:spacing w:after="0" w:line="180" w:lineRule="exact"/>
        <w:rPr>
          <w:rFonts w:ascii="Times New Roman" w:cs="Times New Roman" w:eastAsia="Times New Roman" w:hAnsi="Times New Roman"/>
          <w:sz w:val="22"/>
          <w:szCs w:val="22"/>
          <w:color w:val="010000"/>
        </w:rPr>
      </w:pPr>
    </w:p>
    <w:p>
      <w:pPr>
        <w:jc w:val="both"/>
        <w:ind w:left="1300"/>
        <w:spacing w:after="0" w:line="247"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above, these health and/or dental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 Treatment of outstanding long-term incentives shall be in accordance with the governing plan document and award agreements, if any.</w:t>
      </w:r>
    </w:p>
    <w:p>
      <w:pPr>
        <w:spacing w:after="0" w:line="181" w:lineRule="exact"/>
        <w:rPr>
          <w:sz w:val="20"/>
          <w:szCs w:val="20"/>
          <w:color w:val="auto"/>
        </w:rPr>
      </w:pPr>
    </w:p>
    <w:p>
      <w:pPr>
        <w:ind w:left="1080" w:hanging="424"/>
        <w:spacing w:after="0"/>
        <w:tabs>
          <w:tab w:leader="none" w:pos="108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General Severance Benefits</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In the event the Executive becomes entitled to receive General Severance Benefits as provided in </w:t>
      </w:r>
      <w:r>
        <w:rPr>
          <w:rFonts w:ascii="Times New Roman" w:cs="Times New Roman" w:eastAsia="Times New Roman" w:hAnsi="Times New Roman"/>
          <w:sz w:val="22"/>
          <w:szCs w:val="22"/>
          <w:u w:val="single" w:color="auto"/>
          <w:color w:val="auto"/>
        </w:rPr>
        <w:t>Section 3.1(b)</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herein, the Company shall provide the Executive with the following:</w:t>
      </w:r>
    </w:p>
    <w:p>
      <w:pPr>
        <w:spacing w:after="0" w:line="196" w:lineRule="exact"/>
        <w:rPr>
          <w:sz w:val="20"/>
          <w:szCs w:val="20"/>
          <w:color w:val="auto"/>
        </w:rPr>
      </w:pPr>
    </w:p>
    <w:p>
      <w:pPr>
        <w:jc w:val="both"/>
        <w:ind w:left="1300" w:hanging="644"/>
        <w:spacing w:after="0" w:line="248" w:lineRule="auto"/>
        <w:tabs>
          <w:tab w:leader="none" w:pos="1300"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does not constitute “deferred compensation” for purposes of Code Section 409A, such amounts shall be paid upon the Release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01" w:name="page202"/>
    <w:bookmarkEnd w:id="201"/>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73" w:lineRule="exact"/>
        <w:rPr>
          <w:sz w:val="20"/>
          <w:szCs w:val="20"/>
          <w:color w:val="auto"/>
        </w:rPr>
      </w:pPr>
    </w:p>
    <w:p>
      <w:pPr>
        <w:jc w:val="both"/>
        <w:ind w:left="1300" w:hanging="644"/>
        <w:spacing w:after="0" w:line="248" w:lineRule="auto"/>
        <w:tabs>
          <w:tab w:leader="none" w:pos="1300"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lump-sum amount, paid upon the date that is sixty (60) calendar days following the Effective Date of Termination, equal to the product of (i) the Executive’s Weekly Compensation and (ii) the Executive’s Severance Weeks; provided that to the extent the payment of any amounts pursuant to this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81" w:lineRule="exact"/>
        <w:rPr>
          <w:rFonts w:ascii="Times New Roman" w:cs="Times New Roman" w:eastAsia="Times New Roman" w:hAnsi="Times New Roman"/>
          <w:sz w:val="22"/>
          <w:szCs w:val="22"/>
          <w:color w:val="010000"/>
        </w:rPr>
      </w:pPr>
    </w:p>
    <w:p>
      <w:pPr>
        <w:jc w:val="both"/>
        <w:ind w:left="1300" w:hanging="644"/>
        <w:spacing w:after="0" w:line="252" w:lineRule="auto"/>
        <w:tabs>
          <w:tab w:leader="none" w:pos="1300"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Payment of all or a portion of the Executive’s cost to participate in COBRA health and/or dental continuation coverage for a number of weeks equal to the Executive’s Severance Weeks commencing upon the Executive’s Effective Date of Termination, such that Executive maintains the same coverage level and cost, on an after tax basis, as in effect immediately prior to the Executive’s Effective Date of Termination.</w:t>
      </w:r>
    </w:p>
    <w:p>
      <w:pPr>
        <w:spacing w:after="0" w:line="179" w:lineRule="exact"/>
        <w:rPr>
          <w:rFonts w:ascii="Times New Roman" w:cs="Times New Roman" w:eastAsia="Times New Roman" w:hAnsi="Times New Roman"/>
          <w:sz w:val="22"/>
          <w:szCs w:val="22"/>
          <w:color w:val="010000"/>
        </w:rPr>
      </w:pPr>
    </w:p>
    <w:p>
      <w:pPr>
        <w:jc w:val="both"/>
        <w:ind w:left="1300"/>
        <w:spacing w:after="0" w:line="247"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above, these health and/or dental insurance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 Treatment of outstanding long-term incentives shall be in accordance with the governing plan document and award agreements, if any.</w:t>
      </w:r>
    </w:p>
    <w:p>
      <w:pPr>
        <w:spacing w:after="0" w:line="181" w:lineRule="exact"/>
        <w:rPr>
          <w:sz w:val="20"/>
          <w:szCs w:val="20"/>
          <w:color w:val="auto"/>
        </w:rPr>
      </w:pPr>
    </w:p>
    <w:p>
      <w:pPr>
        <w:ind w:left="1080" w:hanging="424"/>
        <w:spacing w:after="0"/>
        <w:tabs>
          <w:tab w:leader="none" w:pos="108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Coordination with Release and Delay Required by Code Section 409A.</w:t>
      </w:r>
    </w:p>
    <w:p>
      <w:pPr>
        <w:spacing w:after="0" w:line="224" w:lineRule="exact"/>
        <w:rPr>
          <w:sz w:val="20"/>
          <w:szCs w:val="20"/>
          <w:color w:val="auto"/>
        </w:rPr>
      </w:pPr>
    </w:p>
    <w:p>
      <w:pPr>
        <w:jc w:val="both"/>
        <w:ind w:left="1300" w:hanging="644"/>
        <w:spacing w:after="0" w:line="248" w:lineRule="auto"/>
        <w:tabs>
          <w:tab w:leader="none" w:pos="1300" w:val="left"/>
        </w:tabs>
        <w:numPr>
          <w:ilvl w:val="0"/>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any continuing benefit (or reimbursement thereof) to be provided is not “deferred compensation” for purposes of Code Section 409A, then such benefit shall commence or be made immediately after the Release Effective Date. To the extent any continuing benefit (or reimbursement thereof) to be provided is “deferred compensation” for purposes of Code Section 409A, then such benefits shall be reimbursed or commence upon the sixtieth (60) day following the Executive’s termination of employment. The delayed benefits shall in any event expire at the time such benefits would have expired had the benefits commenced immediately upon Executive’s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02" w:name="page203"/>
    <w:bookmarkEnd w:id="202"/>
    <w:p>
      <w:pPr>
        <w:jc w:val="both"/>
        <w:ind w:left="1300" w:hanging="644"/>
        <w:spacing w:after="0" w:line="259" w:lineRule="auto"/>
        <w:tabs>
          <w:tab w:leader="none" w:pos="1300" w:val="left"/>
        </w:tabs>
        <w:numPr>
          <w:ilvl w:val="0"/>
          <w:numId w:val="1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 other payment schedule provided herein to the contrary, if the Executive is deemed on the date of termination to be a Specified Employee, then, once the release and acknowledgement required by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3.1(d)</w:t>
      </w:r>
      <w:r>
        <w:rPr>
          <w:rFonts w:ascii="Times New Roman" w:cs="Times New Roman" w:eastAsia="Times New Roman" w:hAnsi="Times New Roman"/>
          <w:sz w:val="21"/>
          <w:szCs w:val="21"/>
          <w:color w:val="auto"/>
        </w:rPr>
        <w:t xml:space="preserve"> is executed and delivered and no longer subject to revocation, any payment that is considered deferred compensation under Code Section 409A payable on account of a “separation from service” shall be made on the date which is the earlier of (A) the expiration of the six (6)-month period measured from the date of such “separation from service” of the Executive, and (B) the date of the Executive’s death (the “</w:t>
      </w:r>
      <w:r>
        <w:rPr>
          <w:rFonts w:ascii="Times New Roman" w:cs="Times New Roman" w:eastAsia="Times New Roman" w:hAnsi="Times New Roman"/>
          <w:sz w:val="21"/>
          <w:szCs w:val="21"/>
          <w:u w:val="single" w:color="auto"/>
          <w:color w:val="auto"/>
        </w:rPr>
        <w:t>Delay Period</w:t>
      </w:r>
      <w:r>
        <w:rPr>
          <w:rFonts w:ascii="Times New Roman" w:cs="Times New Roman" w:eastAsia="Times New Roman" w:hAnsi="Times New Roman"/>
          <w:sz w:val="21"/>
          <w:szCs w:val="21"/>
          <w:color w:val="auto"/>
        </w:rPr>
        <w:t xml:space="preserve">”) to the extent required under Code Section 409A. Upon the expiration of the Delay Period, all payments delayed pursuant to this </w:t>
      </w:r>
      <w:r>
        <w:rPr>
          <w:rFonts w:ascii="Times New Roman" w:cs="Times New Roman" w:eastAsia="Times New Roman" w:hAnsi="Times New Roman"/>
          <w:sz w:val="21"/>
          <w:szCs w:val="21"/>
          <w:u w:val="single" w:color="auto"/>
          <w:color w:val="auto"/>
        </w:rPr>
        <w:t>Section 3.4(b)</w:t>
      </w:r>
      <w:r>
        <w:rPr>
          <w:rFonts w:ascii="Times New Roman" w:cs="Times New Roman" w:eastAsia="Times New Roman" w:hAnsi="Times New Roman"/>
          <w:sz w:val="21"/>
          <w:szCs w:val="21"/>
          <w:color w:val="auto"/>
        </w:rPr>
        <w:t xml:space="preserve"> (whether they would have otherwise been payable in a single sum or in installments in the absence of such delay) shall be paid to the Executive in a lump sum, and any remaining payments due under this Plan shall be paid or provided in accordance with the normal payment dates specified for them herein.</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4.</w:t>
      </w:r>
      <w:r>
        <w:rPr>
          <w:sz w:val="20"/>
          <w:szCs w:val="20"/>
          <w:color w:val="auto"/>
        </w:rPr>
        <w:tab/>
      </w:r>
      <w:r>
        <w:rPr>
          <w:rFonts w:ascii="Times New Roman" w:cs="Times New Roman" w:eastAsia="Times New Roman" w:hAnsi="Times New Roman"/>
          <w:sz w:val="21"/>
          <w:szCs w:val="21"/>
          <w:b w:val="1"/>
          <w:bCs w:val="1"/>
          <w:color w:val="auto"/>
        </w:rPr>
        <w:t>Ineligibility</w:t>
      </w:r>
    </w:p>
    <w:p>
      <w:pPr>
        <w:spacing w:after="0" w:line="220" w:lineRule="exact"/>
        <w:rPr>
          <w:sz w:val="20"/>
          <w:szCs w:val="20"/>
          <w:color w:val="auto"/>
        </w:rPr>
      </w:pPr>
    </w:p>
    <w:p>
      <w:pPr>
        <w:ind w:left="1080" w:hanging="424"/>
        <w:spacing w:after="0"/>
        <w:tabs>
          <w:tab w:leader="none" w:pos="108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Comparable Position.</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Subject to the provisions of </w:t>
      </w:r>
      <w:r>
        <w:rPr>
          <w:rFonts w:ascii="Times New Roman" w:cs="Times New Roman" w:eastAsia="Times New Roman" w:hAnsi="Times New Roman"/>
          <w:sz w:val="22"/>
          <w:szCs w:val="22"/>
          <w:b w:val="1"/>
          <w:bCs w:val="1"/>
          <w:u w:val="single" w:color="auto"/>
          <w:color w:val="auto"/>
        </w:rPr>
        <w:t>Article 2(z)(i)(B)</w:t>
      </w:r>
      <w:r>
        <w:rPr>
          <w:rFonts w:ascii="Times New Roman" w:cs="Times New Roman" w:eastAsia="Times New Roman" w:hAnsi="Times New Roman"/>
          <w:sz w:val="22"/>
          <w:szCs w:val="22"/>
          <w:b w:val="1"/>
          <w:bCs w:val="1"/>
          <w:color w:val="auto"/>
        </w:rPr>
        <w:t xml:space="preserve">, the Company may offer, or cause to be offered, an Executive a comparable position, may require an Executive to apply for a comparable position with the Company, any Affiliate or Clearway Energy Group LLC, or a successor of the Company, any Affiliate or Clearway Energy Group LLC, or may reassign an Executive to a new position or a reclassification of the Executive’s current position;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that all such positions shall be located within reasonably the same geographic area where the Executive is located at the time a Qualifying Termination occurs. The Company shall determine, in its sole and reasonable discretion, what constitutes a comparable position under this </w:t>
      </w:r>
      <w:r>
        <w:rPr>
          <w:rFonts w:ascii="Times New Roman" w:cs="Times New Roman" w:eastAsia="Times New Roman" w:hAnsi="Times New Roman"/>
          <w:sz w:val="22"/>
          <w:szCs w:val="22"/>
          <w:b w:val="1"/>
          <w:bCs w:val="1"/>
          <w:u w:val="single" w:color="auto"/>
          <w:color w:val="auto"/>
        </w:rPr>
        <w:t>Section 4.1</w:t>
      </w:r>
      <w:r>
        <w:rPr>
          <w:rFonts w:ascii="Times New Roman" w:cs="Times New Roman" w:eastAsia="Times New Roman" w:hAnsi="Times New Roman"/>
          <w:sz w:val="22"/>
          <w:szCs w:val="22"/>
          <w:b w:val="1"/>
          <w:bCs w:val="1"/>
          <w:color w:val="auto"/>
        </w:rPr>
        <w:t>. The failure of an Executive to accept the position, or apply for the position when required by the Company will render the Executive ineligible for benefits under this Plan.</w:t>
      </w:r>
    </w:p>
    <w:p>
      <w:pPr>
        <w:spacing w:after="0" w:line="185" w:lineRule="exact"/>
        <w:rPr>
          <w:sz w:val="20"/>
          <w:szCs w:val="20"/>
          <w:color w:val="auto"/>
        </w:rPr>
      </w:pPr>
    </w:p>
    <w:p>
      <w:pPr>
        <w:ind w:left="1080" w:hanging="424"/>
        <w:spacing w:after="0"/>
        <w:tabs>
          <w:tab w:leader="none" w:pos="108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Circumstances.</w:t>
      </w:r>
    </w:p>
    <w:p>
      <w:pPr>
        <w:spacing w:after="0" w:line="22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Unless otherwise determined by the Committee, an Executive shall also be ineligible for benefits under this Plan if the Executive:</w:t>
      </w:r>
    </w:p>
    <w:p>
      <w:pPr>
        <w:spacing w:after="0" w:line="153" w:lineRule="exact"/>
        <w:rPr>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voluntarily terminates employment or retires prior to the Qualifying Termination;</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 receiving long-term Disability benefits;</w:t>
      </w:r>
    </w:p>
    <w:p>
      <w:pPr>
        <w:spacing w:after="0" w:line="219" w:lineRule="exact"/>
        <w:rPr>
          <w:rFonts w:ascii="Times New Roman" w:cs="Times New Roman" w:eastAsia="Times New Roman" w:hAnsi="Times New Roman"/>
          <w:sz w:val="22"/>
          <w:szCs w:val="22"/>
          <w:color w:val="010000"/>
        </w:rPr>
      </w:pPr>
    </w:p>
    <w:p>
      <w:pPr>
        <w:ind w:left="1300" w:hanging="644"/>
        <w:spacing w:after="0" w:line="271" w:lineRule="auto"/>
        <w:tabs>
          <w:tab w:leader="none" w:pos="1300"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 entitled to any other compensation or benefit which is determined, in the Company’s sole discretion, to supersede the Severance Benefits offered under this Plan;</w:t>
      </w:r>
    </w:p>
    <w:p>
      <w:pPr>
        <w:spacing w:after="0" w:line="157"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was discharged for Cause;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03" w:name="page204"/>
    <w:bookmarkEnd w:id="203"/>
    <w:p>
      <w:pPr>
        <w:jc w:val="both"/>
        <w:ind w:left="1300" w:hanging="644"/>
        <w:spacing w:after="0" w:line="257" w:lineRule="auto"/>
        <w:tabs>
          <w:tab w:leader="none" w:pos="1300"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was offered employment by a successor employer or by a purchaser in the event of a spin-off or sale of a subsidiary, business unit or business assets of the Company or its subsidiaries, whether or not the Executive accepts or declines the offer of employment.</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5.</w:t>
      </w:r>
      <w:r>
        <w:rPr>
          <w:sz w:val="20"/>
          <w:szCs w:val="20"/>
          <w:color w:val="auto"/>
        </w:rPr>
        <w:tab/>
      </w:r>
      <w:r>
        <w:rPr>
          <w:rFonts w:ascii="Times New Roman" w:cs="Times New Roman" w:eastAsia="Times New Roman" w:hAnsi="Times New Roman"/>
          <w:sz w:val="21"/>
          <w:szCs w:val="21"/>
          <w:b w:val="1"/>
          <w:bCs w:val="1"/>
          <w:color w:val="auto"/>
        </w:rPr>
        <w:t>Restrictive Covenants</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In the event the Executive becomes entitled to receive Change-in-Control Severance Benefits as provided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herein or General Severance Benefits as provided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herein, the following shall apply:</w:t>
      </w:r>
    </w:p>
    <w:p>
      <w:pPr>
        <w:spacing w:after="0" w:line="154" w:lineRule="exact"/>
        <w:rPr>
          <w:sz w:val="20"/>
          <w:szCs w:val="20"/>
          <w:color w:val="auto"/>
        </w:rPr>
      </w:pPr>
    </w:p>
    <w:p>
      <w:pPr>
        <w:jc w:val="both"/>
        <w:ind w:left="1300" w:hanging="644"/>
        <w:spacing w:after="0" w:line="257" w:lineRule="auto"/>
        <w:tabs>
          <w:tab w:leader="none" w:pos="1300" w:val="left"/>
        </w:tabs>
        <w:numPr>
          <w:ilvl w:val="0"/>
          <w:numId w:val="1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The Executive acknowledges that the information, observations, and data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trade secrets) obtained by him while employed by the Company concerning the business or affairs of the Company or any of its affiliates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are the property of the Company or such affiliate. Therefore, except in the course of the Executive’s duties to the Company or as may be compelled by law or appropriate legal process, the Executive agrees that he shall not disclose to any person or entity or use for his own purposes any Confidential Information or any confidential or proprietary information of other persons or entities in the possession of the Company and its affiliates (“</w:t>
      </w:r>
      <w:r>
        <w:rPr>
          <w:rFonts w:ascii="Times New Roman" w:cs="Times New Roman" w:eastAsia="Times New Roman" w:hAnsi="Times New Roman"/>
          <w:sz w:val="21"/>
          <w:szCs w:val="21"/>
          <w:u w:val="single" w:color="auto"/>
          <w:color w:val="auto"/>
        </w:rPr>
        <w:t>Third Party Information</w:t>
      </w:r>
      <w:r>
        <w:rPr>
          <w:rFonts w:ascii="Times New Roman" w:cs="Times New Roman" w:eastAsia="Times New Roman" w:hAnsi="Times New Roman"/>
          <w:sz w:val="21"/>
          <w:szCs w:val="21"/>
          <w:color w:val="auto"/>
        </w:rPr>
        <w:t>”), without the prior written consent of the Board, unless and to the extent that the Confidential Information or Third Party Information becomes generally known to and available for use by the public other than as a result of the Executive’s acts or omissions. Except in the course of the Executive’s duties to Company or as may be compelled by law or appropriate legal process, the Executive will not, during his employment with the Company, or permanently thereafter, directly or indirectly use, divulge, disseminate, disclose, lecture upon, or publish any Confidential Information, without having first obtained written permission from the Board to do so. As of the Effective Date of Termination, the Executive shall deliver to the Company,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w:t>
      </w:r>
    </w:p>
    <w:p>
      <w:pPr>
        <w:spacing w:after="0" w:line="180" w:lineRule="exact"/>
        <w:rPr>
          <w:rFonts w:ascii="Times New Roman" w:cs="Times New Roman" w:eastAsia="Times New Roman" w:hAnsi="Times New Roman"/>
          <w:sz w:val="21"/>
          <w:szCs w:val="21"/>
          <w:color w:val="010000"/>
        </w:rPr>
      </w:pPr>
    </w:p>
    <w:p>
      <w:pPr>
        <w:jc w:val="both"/>
        <w:ind w:left="1300" w:hanging="644"/>
        <w:spacing w:after="0" w:line="248" w:lineRule="auto"/>
        <w:tabs>
          <w:tab w:leader="none" w:pos="1300"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Intellectual Property, Inventions, and Patents</w:t>
      </w:r>
      <w:r>
        <w:rPr>
          <w:rFonts w:ascii="Times New Roman" w:cs="Times New Roman" w:eastAsia="Times New Roman" w:hAnsi="Times New Roman"/>
          <w:sz w:val="22"/>
          <w:szCs w:val="22"/>
          <w:color w:val="auto"/>
        </w:rPr>
        <w:t>. The Executive acknowledges that all discoveries, concepts,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ideas, inventions, innovations, improvements, developments, methods, trade secrets,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04" w:name="page205"/>
    <w:bookmarkEnd w:id="204"/>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(whether alone or jointly with others) while employed by the Company and its affiliates (“</w:t>
      </w:r>
      <w:r>
        <w:rPr>
          <w:rFonts w:ascii="Times New Roman" w:cs="Times New Roman" w:eastAsia="Times New Roman" w:hAnsi="Times New Roman"/>
          <w:sz w:val="22"/>
          <w:szCs w:val="22"/>
          <w:u w:val="single" w:color="auto"/>
          <w:color w:val="auto"/>
        </w:rPr>
        <w:t>Work Product</w:t>
      </w:r>
      <w:r>
        <w:rPr>
          <w:rFonts w:ascii="Times New Roman" w:cs="Times New Roman" w:eastAsia="Times New Roman" w:hAnsi="Times New Roman"/>
          <w:sz w:val="22"/>
          <w:szCs w:val="22"/>
          <w:color w:val="auto"/>
        </w:rPr>
        <w:t>”), belong to the Company or such affiliate. The Executive shall promptly disclose such Work Product to the Board and, at the Company’s expense, perform all actions reasonably requested by the Board (whether during or after the Executive’s employment with the Company) to establish and confirm such ownership (including, without limitation, assignments, consents, powers of attorney, and other instruments). The Executive acknowledges that all applicable Work Product shall be deemed to constitute “works made for hire” under the U.S. Copyright Act of 1976, as amended. To the extent any Work Product is not deemed a work made for hire, then the Executive hereby assigns to the Company or such affiliate all right, title, and interest in and to such Work Product, including all related intellectual property rights.</w:t>
      </w:r>
    </w:p>
    <w:p>
      <w:pPr>
        <w:spacing w:after="0" w:line="191" w:lineRule="exact"/>
        <w:rPr>
          <w:sz w:val="20"/>
          <w:szCs w:val="20"/>
          <w:color w:val="auto"/>
        </w:rPr>
      </w:pPr>
    </w:p>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The Executive is hereby advised that the above paragraph regarding the Company’s and its affiliates’ ownership of Work Product does not apply to any invention for which no equipment, supplies, facilities, or trade secret information of the Company or any affiliate was used and which was developed entirely on the Executive’s own time, unless: (i) the invention relates to the business of the Company or any affiliate or to the Company’s or any affiliate’s actual or demonstrably anticipated research or development, or (ii) the invention results from any work performed by the Executive for the Company or any affiliate.</w:t>
      </w:r>
    </w:p>
    <w:p>
      <w:pPr>
        <w:spacing w:after="0" w:line="183" w:lineRule="exact"/>
        <w:rPr>
          <w:sz w:val="20"/>
          <w:szCs w:val="20"/>
          <w:color w:val="auto"/>
        </w:rPr>
      </w:pPr>
    </w:p>
    <w:p>
      <w:pPr>
        <w:jc w:val="both"/>
        <w:ind w:left="1300" w:hanging="644"/>
        <w:spacing w:after="0" w:line="259" w:lineRule="auto"/>
        <w:tabs>
          <w:tab w:leader="none" w:pos="1300" w:val="left"/>
        </w:tabs>
        <w:numPr>
          <w:ilvl w:val="0"/>
          <w:numId w:val="1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Nonsolicitation</w:t>
      </w:r>
      <w:r>
        <w:rPr>
          <w:rFonts w:ascii="Times New Roman" w:cs="Times New Roman" w:eastAsia="Times New Roman" w:hAnsi="Times New Roman"/>
          <w:sz w:val="21"/>
          <w:szCs w:val="21"/>
          <w:color w:val="auto"/>
        </w:rPr>
        <w:t>. During Executive’s employment with the Company and for one (1) year thereafter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Nonsolicitation Period</w:t>
      </w:r>
      <w:r>
        <w:rPr>
          <w:rFonts w:ascii="Times New Roman" w:cs="Times New Roman" w:eastAsia="Times New Roman" w:hAnsi="Times New Roman"/>
          <w:sz w:val="21"/>
          <w:szCs w:val="21"/>
          <w:color w:val="auto"/>
        </w:rPr>
        <w:t>”), the Executive shall not directly or indirectly through another person or entity: (i) induce or attempt to induce any employee of the Company or any of its affiliates to leave the employ of the Company or such affiliate, or in any way interfere with the relationship between the Company or any affiliate and any employee thereof; (ii) hire any person who was an employee of the Company or any affiliate during the last six (6) months of the Executive’s employment with the Company; or (iii) induce or attempt to induce any customer, supplier, licensee, licensor, franchisee, or other business relation of the Company or any affiliate to cease doing business with the Company or such affiliate, or in any interfere with the relationship between any such customer, supplier, licensee, or business relation and the Company or any affiliate (including, without limitation, making any negative or disparaging statements or communications regarding the Company or its affiliates).</w:t>
      </w:r>
    </w:p>
    <w:p>
      <w:pPr>
        <w:spacing w:after="0" w:line="175" w:lineRule="exact"/>
        <w:rPr>
          <w:rFonts w:ascii="Times New Roman" w:cs="Times New Roman" w:eastAsia="Times New Roman" w:hAnsi="Times New Roman"/>
          <w:sz w:val="21"/>
          <w:szCs w:val="21"/>
          <w:color w:val="010000"/>
        </w:rPr>
      </w:pPr>
    </w:p>
    <w:p>
      <w:pPr>
        <w:jc w:val="both"/>
        <w:ind w:left="1300" w:hanging="644"/>
        <w:spacing w:after="0" w:line="249" w:lineRule="auto"/>
        <w:tabs>
          <w:tab w:leader="none" w:pos="1300"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Nondisparagement. </w:t>
      </w:r>
      <w:r>
        <w:rPr>
          <w:rFonts w:ascii="Times New Roman" w:cs="Times New Roman" w:eastAsia="Times New Roman" w:hAnsi="Times New Roman"/>
          <w:sz w:val="22"/>
          <w:szCs w:val="22"/>
          <w:color w:val="auto"/>
        </w:rPr>
        <w:t>During the Nonsolicitation Period, Executive shall not disparage the Company,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and parents, and their respective officers, managers and employees, or make any public statement (whether written or oral) reflecting negatively on the Company, its subsidiaries and parents, and their respective officers, managers, and employees, including, but not limited to, any matters relating to the operation or management of the Company, irrespective of the truthfulness or falsity of such statement, except as may otherwise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05" w:name="page206"/>
    <w:bookmarkEnd w:id="205"/>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 xml:space="preserve">by applicable law or compelled by process of law. By way of example and not limitation, Executive agrees that he will not make any written or oral statements that cast in a negative light the services, qualifications, business operations or business ethics of the Company or its employees. During the Nonsolicitation Period, the Company shall not disparage Executive, or make any public statement (whether written or oral) reflecting negatively on Executive, including, but not limited to, any matters relating to the operation or management of the Company, irrespective of the truthfulness or falsity of such statement, except as may otherwise be required by applicable law or compelled by process of law. Nothing in this </w:t>
      </w:r>
      <w:r>
        <w:rPr>
          <w:rFonts w:ascii="Times New Roman" w:cs="Times New Roman" w:eastAsia="Times New Roman" w:hAnsi="Times New Roman"/>
          <w:sz w:val="22"/>
          <w:szCs w:val="22"/>
          <w:u w:val="single" w:color="auto"/>
          <w:color w:val="auto"/>
        </w:rPr>
        <w:t>Section 5(d)</w:t>
      </w:r>
      <w:r>
        <w:rPr>
          <w:rFonts w:ascii="Times New Roman" w:cs="Times New Roman" w:eastAsia="Times New Roman" w:hAnsi="Times New Roman"/>
          <w:sz w:val="22"/>
          <w:szCs w:val="22"/>
          <w:color w:val="auto"/>
        </w:rPr>
        <w:t xml:space="preserve"> shall restrict either party's ability to: (i) consult with counsel, (ii) make truthful statements under oath or to a government agency or official, or (iii) take any legal action with respect to his employment or termination of employment with the Company.</w:t>
      </w:r>
    </w:p>
    <w:p>
      <w:pPr>
        <w:spacing w:after="0" w:line="187" w:lineRule="exact"/>
        <w:rPr>
          <w:sz w:val="20"/>
          <w:szCs w:val="20"/>
          <w:color w:val="auto"/>
        </w:rPr>
      </w:pPr>
    </w:p>
    <w:p>
      <w:pPr>
        <w:jc w:val="both"/>
        <w:ind w:left="1300" w:hanging="644"/>
        <w:spacing w:after="0" w:line="249" w:lineRule="auto"/>
        <w:tabs>
          <w:tab w:leader="none" w:pos="130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Duration, Scope, or Area</w:t>
      </w:r>
      <w:r>
        <w:rPr>
          <w:rFonts w:ascii="Times New Roman" w:cs="Times New Roman" w:eastAsia="Times New Roman" w:hAnsi="Times New Roman"/>
          <w:sz w:val="22"/>
          <w:szCs w:val="22"/>
          <w:color w:val="auto"/>
        </w:rPr>
        <w:t>. If, at the time of enforcement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a court shall hold that the duration,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xml:space="preserve"> shall not apply to any Executive whose principal work location for the Company at the time of termination was in the State of California.</w:t>
      </w:r>
    </w:p>
    <w:p>
      <w:pPr>
        <w:spacing w:after="0" w:line="180" w:lineRule="exact"/>
        <w:rPr>
          <w:rFonts w:ascii="Times New Roman" w:cs="Times New Roman" w:eastAsia="Times New Roman" w:hAnsi="Times New Roman"/>
          <w:sz w:val="22"/>
          <w:szCs w:val="22"/>
          <w:color w:val="010000"/>
        </w:rPr>
      </w:pPr>
    </w:p>
    <w:p>
      <w:pPr>
        <w:jc w:val="both"/>
        <w:ind w:left="1300" w:hanging="644"/>
        <w:spacing w:after="0" w:line="251" w:lineRule="auto"/>
        <w:tabs>
          <w:tab w:leader="none" w:pos="130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Company Enforcement</w:t>
      </w:r>
      <w:r>
        <w:rPr>
          <w:rFonts w:ascii="Times New Roman" w:cs="Times New Roman" w:eastAsia="Times New Roman" w:hAnsi="Times New Roman"/>
          <w:sz w:val="22"/>
          <w:szCs w:val="22"/>
          <w:color w:val="auto"/>
        </w:rPr>
        <w:t>. In the event of a breach or a threatened breach by the Executive of any of the provisions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the Company would suffer irreparable harm, and in addition and supplementary to other rights and remedies existing in its favor, the Company shall be entitled to specific performance and/or injunctive or other equitable relief from a court of competent jurisdiction in order to enforce or prevent any violations of the provisions hereof (without posting a bond or other security).</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6.</w:t>
      </w:r>
      <w:r>
        <w:rPr>
          <w:sz w:val="20"/>
          <w:szCs w:val="20"/>
          <w:color w:val="auto"/>
        </w:rPr>
        <w:tab/>
      </w:r>
      <w:r>
        <w:rPr>
          <w:rFonts w:ascii="Times New Roman" w:cs="Times New Roman" w:eastAsia="Times New Roman" w:hAnsi="Times New Roman"/>
          <w:sz w:val="21"/>
          <w:szCs w:val="21"/>
          <w:b w:val="1"/>
          <w:bCs w:val="1"/>
          <w:color w:val="auto"/>
        </w:rPr>
        <w:t>Certain Change in Control Payments</w:t>
      </w:r>
    </w:p>
    <w:p>
      <w:pPr>
        <w:spacing w:after="0" w:line="22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Notwithstanding any provision of the Plan to the contrary, if any payments or benefits an Executive would receive from the Company under the Plan or otherwise in connection with the Change in Control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xml:space="preserve">”) (a) constitute “parachute payments” within the meaning of Code Section 280G, and (b) but for this </w:t>
      </w:r>
      <w:r>
        <w:rPr>
          <w:rFonts w:ascii="Times New Roman" w:cs="Times New Roman" w:eastAsia="Times New Roman" w:hAnsi="Times New Roman"/>
          <w:sz w:val="21"/>
          <w:szCs w:val="21"/>
          <w:u w:val="single" w:color="auto"/>
          <w:color w:val="auto"/>
        </w:rPr>
        <w:t>Article 6</w:t>
      </w:r>
      <w:r>
        <w:rPr>
          <w:rFonts w:ascii="Times New Roman" w:cs="Times New Roman" w:eastAsia="Times New Roman" w:hAnsi="Times New Roman"/>
          <w:sz w:val="21"/>
          <w:szCs w:val="21"/>
          <w:color w:val="auto"/>
        </w:rPr>
        <w:t>, would be subject to the excise tax imposed by Code Section 4999, then such Executive will be entitled to receive either (i) the full amount of the Total Payments or</w:t>
      </w:r>
    </w:p>
    <w:p>
      <w:pPr>
        <w:spacing w:after="0" w:line="4" w:lineRule="exact"/>
        <w:rPr>
          <w:sz w:val="20"/>
          <w:szCs w:val="20"/>
          <w:color w:val="auto"/>
        </w:rPr>
      </w:pPr>
    </w:p>
    <w:p>
      <w:pPr>
        <w:jc w:val="both"/>
        <w:ind w:firstLine="8"/>
        <w:spacing w:after="0" w:line="244" w:lineRule="auto"/>
        <w:tabs>
          <w:tab w:leader="none" w:pos="32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portion of the Total Payments having a value equal to $1 less than three (3) times such individual’s “base amount” (as such term is defined in Code Section 280G(b)(3)(A)), whichever of (i) and (ii), after taking into account applicable federal, state, and local income taxes and the excise tax imposed by Code Section 4999, results in the receipt by such employee on an after-tax basis, of the greatest portion of the Total Payments. Any determination required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shall be made in writing by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06" w:name="page207"/>
    <w:bookmarkEnd w:id="206"/>
    <w:p>
      <w:pPr>
        <w:jc w:val="both"/>
        <w:spacing w:after="0" w:line="258" w:lineRule="auto"/>
        <w:rPr>
          <w:sz w:val="20"/>
          <w:szCs w:val="20"/>
          <w:color w:val="auto"/>
        </w:rPr>
      </w:pPr>
      <w:r>
        <w:rPr>
          <w:rFonts w:ascii="Times New Roman" w:cs="Times New Roman" w:eastAsia="Times New Roman" w:hAnsi="Times New Roman"/>
          <w:sz w:val="21"/>
          <w:szCs w:val="21"/>
          <w:color w:val="auto"/>
        </w:rPr>
        <w:t>independent certified public accountants appointed prior to any change in ownership (as defined under Code Section 280G(b)(2)) or tax counsel selected by such accountants (the “</w:t>
      </w:r>
      <w:r>
        <w:rPr>
          <w:rFonts w:ascii="Times New Roman" w:cs="Times New Roman" w:eastAsia="Times New Roman" w:hAnsi="Times New Roman"/>
          <w:sz w:val="21"/>
          <w:szCs w:val="21"/>
          <w:u w:val="single" w:color="auto"/>
          <w:color w:val="auto"/>
        </w:rPr>
        <w:t>Accountants</w:t>
      </w:r>
      <w:r>
        <w:rPr>
          <w:rFonts w:ascii="Times New Roman" w:cs="Times New Roman" w:eastAsia="Times New Roman" w:hAnsi="Times New Roman"/>
          <w:sz w:val="21"/>
          <w:szCs w:val="21"/>
          <w:color w:val="auto"/>
        </w:rPr>
        <w:t xml:space="preserve">”), whose determination shall be conclusive and binding for all purposes upon the applicable Executive. For purposes of making the calculations required by this </w:t>
      </w:r>
      <w:r>
        <w:rPr>
          <w:rFonts w:ascii="Times New Roman" w:cs="Times New Roman" w:eastAsia="Times New Roman" w:hAnsi="Times New Roman"/>
          <w:sz w:val="21"/>
          <w:szCs w:val="21"/>
          <w:u w:val="single" w:color="auto"/>
          <w:color w:val="auto"/>
        </w:rPr>
        <w:t>Article 6</w:t>
      </w:r>
      <w:r>
        <w:rPr>
          <w:rFonts w:ascii="Times New Roman" w:cs="Times New Roman" w:eastAsia="Times New Roman" w:hAnsi="Times New Roman"/>
          <w:sz w:val="21"/>
          <w:szCs w:val="21"/>
          <w:color w:val="auto"/>
        </w:rPr>
        <w:t xml:space="preserve">, the Accountants may make reasonable assumptions and approximations concerning applicable taxes and may rely on reasonable, good-faith interpretations concerning the application of Code Sections 280G and 4999. If there is a reduction pursuant to this </w:t>
      </w:r>
      <w:r>
        <w:rPr>
          <w:rFonts w:ascii="Times New Roman" w:cs="Times New Roman" w:eastAsia="Times New Roman" w:hAnsi="Times New Roman"/>
          <w:sz w:val="21"/>
          <w:szCs w:val="21"/>
          <w:u w:val="single" w:color="auto"/>
          <w:color w:val="auto"/>
        </w:rPr>
        <w:t>Article 6</w:t>
      </w:r>
      <w:r>
        <w:rPr>
          <w:rFonts w:ascii="Times New Roman" w:cs="Times New Roman" w:eastAsia="Times New Roman" w:hAnsi="Times New Roman"/>
          <w:sz w:val="21"/>
          <w:szCs w:val="21"/>
          <w:color w:val="auto"/>
        </w:rPr>
        <w:t xml:space="preserve"> of the Total Payments to be delivered to the applicable Executive, the payment reduction contemplated by the preceding sentence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For purposes hereof, the term “</w:t>
      </w:r>
      <w:r>
        <w:rPr>
          <w:rFonts w:ascii="Times New Roman" w:cs="Times New Roman" w:eastAsia="Times New Roman" w:hAnsi="Times New Roman"/>
          <w:sz w:val="21"/>
          <w:szCs w:val="21"/>
          <w:u w:val="single" w:color="auto"/>
          <w:color w:val="auto"/>
        </w:rPr>
        <w:t>Parachute Payment Ratio</w:t>
      </w:r>
      <w:r>
        <w:rPr>
          <w:rFonts w:ascii="Times New Roman" w:cs="Times New Roman" w:eastAsia="Times New Roman" w:hAnsi="Times New Roman"/>
          <w:sz w:val="21"/>
          <w:szCs w:val="21"/>
          <w:color w:val="auto"/>
        </w:rPr>
        <w:t>” shall mean a fraction the numerator of which is the value of the applicable “parachute payment” for purposes of Code Section 280G and the denominator of which is the actual present value of such payment.</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7.</w:t>
      </w:r>
      <w:r>
        <w:rPr>
          <w:sz w:val="20"/>
          <w:szCs w:val="20"/>
          <w:color w:val="auto"/>
        </w:rPr>
        <w:tab/>
      </w:r>
      <w:r>
        <w:rPr>
          <w:rFonts w:ascii="Times New Roman" w:cs="Times New Roman" w:eastAsia="Times New Roman" w:hAnsi="Times New Roman"/>
          <w:sz w:val="21"/>
          <w:szCs w:val="21"/>
          <w:b w:val="1"/>
          <w:bCs w:val="1"/>
          <w:color w:val="auto"/>
        </w:rPr>
        <w:t>Legal Fees and Notice</w:t>
      </w:r>
    </w:p>
    <w:p>
      <w:pPr>
        <w:spacing w:after="0" w:line="220" w:lineRule="exact"/>
        <w:rPr>
          <w:sz w:val="20"/>
          <w:szCs w:val="20"/>
          <w:color w:val="auto"/>
        </w:rPr>
      </w:pPr>
    </w:p>
    <w:p>
      <w:pPr>
        <w:ind w:left="1080" w:hanging="424"/>
        <w:spacing w:after="0"/>
        <w:tabs>
          <w:tab w:leader="none" w:pos="108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Legal Fees</w:t>
      </w:r>
    </w:p>
    <w:p>
      <w:pPr>
        <w:spacing w:after="0" w:line="22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Except as otherwise agreed to by the parties, the Company shall pay the Executive for costs of litigation or other disputes including, without limitation, reasonable attorneys’ fees incurred by the Executive in asserting any claims or defenses under this Plan, except that the Executive shall bear his own costs of such litigation or disputes (including, without limitation, attorneys’ fees) if the court (or arbitrator) finds in favor of the Company with respect to any claims or defenses asserted by the Executive.</w:t>
      </w:r>
    </w:p>
    <w:p>
      <w:pPr>
        <w:spacing w:after="0" w:line="159" w:lineRule="exact"/>
        <w:rPr>
          <w:sz w:val="20"/>
          <w:szCs w:val="20"/>
          <w:color w:val="auto"/>
        </w:rPr>
      </w:pPr>
    </w:p>
    <w:p>
      <w:pPr>
        <w:ind w:left="1080" w:hanging="424"/>
        <w:spacing w:after="0"/>
        <w:tabs>
          <w:tab w:leader="none" w:pos="108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notices, requests, demands, or other communications provided for by this Plan shall be sufficient if in writing and if sent by registered or certified mail to the Executive at the last address he or she has filed in writing with the Company or, in the case of the Company, at its principal offices.</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8.</w:t>
      </w:r>
      <w:r>
        <w:rPr>
          <w:sz w:val="20"/>
          <w:szCs w:val="20"/>
          <w:color w:val="auto"/>
        </w:rPr>
        <w:tab/>
      </w:r>
      <w:r>
        <w:rPr>
          <w:rFonts w:ascii="Times New Roman" w:cs="Times New Roman" w:eastAsia="Times New Roman" w:hAnsi="Times New Roman"/>
          <w:sz w:val="21"/>
          <w:szCs w:val="21"/>
          <w:b w:val="1"/>
          <w:bCs w:val="1"/>
          <w:color w:val="auto"/>
        </w:rPr>
        <w:t>Successors and Assignment</w:t>
      </w:r>
    </w:p>
    <w:p>
      <w:pPr>
        <w:spacing w:after="0" w:line="220" w:lineRule="exact"/>
        <w:rPr>
          <w:sz w:val="20"/>
          <w:szCs w:val="20"/>
          <w:color w:val="auto"/>
        </w:rPr>
      </w:pPr>
    </w:p>
    <w:p>
      <w:pPr>
        <w:ind w:left="1080" w:hanging="424"/>
        <w:spacing w:after="0"/>
        <w:tabs>
          <w:tab w:leader="none" w:pos="108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to the Company</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shall require any successor (whether direct or indirect, by purchase, merger, reorganization, consolidation, acquisition of property or stock, liquidation, or otherwise) of all or a significant portion of the assets of the Company by agreement, in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07" w:name="page208"/>
    <w:bookmarkEnd w:id="207"/>
    <w:p>
      <w:pPr>
        <w:jc w:val="both"/>
        <w:spacing w:after="0" w:line="252" w:lineRule="auto"/>
        <w:rPr>
          <w:sz w:val="20"/>
          <w:szCs w:val="20"/>
          <w:color w:val="auto"/>
        </w:rPr>
      </w:pPr>
      <w:r>
        <w:rPr>
          <w:rFonts w:ascii="Times New Roman" w:cs="Times New Roman" w:eastAsia="Times New Roman" w:hAnsi="Times New Roman"/>
          <w:sz w:val="22"/>
          <w:szCs w:val="22"/>
          <w:color w:val="auto"/>
        </w:rPr>
        <w:t>satisfactory to the Executive, to expressly assume and agree to perform under this Plan in the same manner and to the same extent that the Company would be required to perform if no such succession had taken place. Regardless of whether such agreement is executed, the terms of this Plan shall be binding upon any successor in accordance with the operation of law and such successor shall be deemed the “Company” for purposes of this Plan.</w:t>
      </w:r>
    </w:p>
    <w:p>
      <w:pPr>
        <w:spacing w:after="0" w:line="175" w:lineRule="exact"/>
        <w:rPr>
          <w:sz w:val="20"/>
          <w:szCs w:val="20"/>
          <w:color w:val="auto"/>
        </w:rPr>
      </w:pPr>
    </w:p>
    <w:p>
      <w:pPr>
        <w:ind w:left="1080" w:hanging="424"/>
        <w:spacing w:after="0"/>
        <w:tabs>
          <w:tab w:leader="none" w:pos="108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by the Executive</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Plan shall inure to the benefit of and be enforceable by the Executive’s personal or legal representatives, executors, administrators, successors, heirs, distributees, devisees, and legatees. If the Executive dies while any amount would still be payable to him or her hereunder had he or she continued to live, all such amounts, unless otherwise provided herein, shall be paid in accordance with the terms of this Plan to the Executive’s Beneficiary. If the Executive has not named a Beneficiary, then such amounts shall be paid to the Executive in accordance with the Company’s regular payroll practices or to the Executive’s estate, as applicable.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Article 9.</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220" w:lineRule="exact"/>
        <w:rPr>
          <w:sz w:val="20"/>
          <w:szCs w:val="20"/>
          <w:color w:val="auto"/>
        </w:rPr>
      </w:pPr>
    </w:p>
    <w:p>
      <w:pPr>
        <w:ind w:left="1080" w:hanging="424"/>
        <w:spacing w:after="0"/>
        <w:tabs>
          <w:tab w:leader="none" w:pos="108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Status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69" w:lineRule="exact"/>
        <w:rPr>
          <w:sz w:val="20"/>
          <w:szCs w:val="20"/>
          <w:color w:val="auto"/>
        </w:rPr>
      </w:pPr>
    </w:p>
    <w:p>
      <w:pPr>
        <w:ind w:left="1080" w:hanging="424"/>
        <w:spacing w:after="0"/>
        <w:tabs>
          <w:tab w:leader="none" w:pos="108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Code Section 409A.</w:t>
      </w:r>
    </w:p>
    <w:p>
      <w:pPr>
        <w:spacing w:after="0" w:line="224" w:lineRule="exact"/>
        <w:rPr>
          <w:sz w:val="20"/>
          <w:szCs w:val="20"/>
          <w:color w:val="auto"/>
        </w:rPr>
      </w:pPr>
    </w:p>
    <w:p>
      <w:pPr>
        <w:jc w:val="both"/>
        <w:ind w:left="1300" w:hanging="644"/>
        <w:spacing w:after="0" w:line="248" w:lineRule="auto"/>
        <w:tabs>
          <w:tab w:leader="none" w:pos="1300"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expenses or other reimbursements under this Plan shall be made on or prior to the last day of the taxable year following the taxable year in which such expenses were incurred by the Executive (provided that if any such reimbursements constitute taxable income to the Executive,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86" w:lineRule="exact"/>
        <w:rPr>
          <w:rFonts w:ascii="Times New Roman" w:cs="Times New Roman" w:eastAsia="Times New Roman" w:hAnsi="Times New Roman"/>
          <w:sz w:val="22"/>
          <w:szCs w:val="22"/>
          <w:color w:val="010000"/>
        </w:rPr>
      </w:pPr>
    </w:p>
    <w:p>
      <w:pPr>
        <w:ind w:left="1300" w:right="20" w:hanging="644"/>
        <w:spacing w:after="0" w:line="271" w:lineRule="auto"/>
        <w:tabs>
          <w:tab w:leader="none" w:pos="1300"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Code Section 409A, the Executive’s right to receive any installment payment pursuant to this Plan shall be treated as a right to receive a series of separate and distinct payments.</w:t>
      </w:r>
    </w:p>
    <w:p>
      <w:pPr>
        <w:spacing w:after="0" w:line="157" w:lineRule="exact"/>
        <w:rPr>
          <w:rFonts w:ascii="Times New Roman" w:cs="Times New Roman" w:eastAsia="Times New Roman" w:hAnsi="Times New Roman"/>
          <w:sz w:val="22"/>
          <w:szCs w:val="22"/>
          <w:color w:val="010000"/>
        </w:rPr>
      </w:pPr>
    </w:p>
    <w:p>
      <w:pPr>
        <w:jc w:val="both"/>
        <w:ind w:left="1300" w:hanging="644"/>
        <w:spacing w:after="0" w:line="257" w:lineRule="auto"/>
        <w:tabs>
          <w:tab w:leader="none" w:pos="1300"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a payment under this Plan specifies a payment period with reference to a number of days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“payment shall be made within thirty (30) days following the date of termination”), the actual date of payment within the specified period shall be within the sole discretion of the Company.</w:t>
      </w:r>
    </w:p>
    <w:p>
      <w:pPr>
        <w:spacing w:after="0" w:line="172" w:lineRule="exact"/>
        <w:rPr>
          <w:rFonts w:ascii="Times New Roman" w:cs="Times New Roman" w:eastAsia="Times New Roman" w:hAnsi="Times New Roman"/>
          <w:sz w:val="22"/>
          <w:szCs w:val="22"/>
          <w:color w:val="010000"/>
        </w:rPr>
      </w:pPr>
    </w:p>
    <w:p>
      <w:pPr>
        <w:ind w:left="1300" w:right="20" w:hanging="644"/>
        <w:spacing w:after="0" w:line="271" w:lineRule="auto"/>
        <w:tabs>
          <w:tab w:leader="none" w:pos="1300"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termination of employment shall not be deemed to have occurred for purposes of any provision of this Plan providing for the payment of any amounts 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08" w:name="page209"/>
    <w:bookmarkEnd w:id="208"/>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upon or following a termination of employment unless such termination is also a “separation from service” within the meaning of Code Section 409A and, for purposes of any such provision of this Plan, references to a “termination,” “termination of employment” or like terms shall mean “separation from service.”</w:t>
      </w:r>
    </w:p>
    <w:p>
      <w:pPr>
        <w:spacing w:after="0" w:line="173" w:lineRule="exact"/>
        <w:rPr>
          <w:sz w:val="20"/>
          <w:szCs w:val="20"/>
          <w:color w:val="auto"/>
        </w:rPr>
      </w:pPr>
    </w:p>
    <w:p>
      <w:pPr>
        <w:jc w:val="both"/>
        <w:ind w:left="1300" w:hanging="644"/>
        <w:spacing w:after="0" w:line="257" w:lineRule="auto"/>
        <w:tabs>
          <w:tab w:leader="none" w:pos="1300" w:val="left"/>
        </w:tabs>
        <w:numPr>
          <w:ilvl w:val="0"/>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other provision of this Plan to the contrary, in no event shall any payment under this Plan that constitutes “deferred compensation” for purposes of Code Section 409A be subject to offset unless otherwise permitted by Code Section 409A.</w:t>
      </w:r>
    </w:p>
    <w:p>
      <w:pPr>
        <w:spacing w:after="0" w:line="172" w:lineRule="exact"/>
        <w:rPr>
          <w:rFonts w:ascii="Times New Roman" w:cs="Times New Roman" w:eastAsia="Times New Roman" w:hAnsi="Times New Roman"/>
          <w:sz w:val="22"/>
          <w:szCs w:val="22"/>
          <w:color w:val="010000"/>
        </w:rPr>
      </w:pPr>
    </w:p>
    <w:p>
      <w:pPr>
        <w:jc w:val="both"/>
        <w:ind w:left="1300" w:hanging="644"/>
        <w:spacing w:after="0" w:line="252" w:lineRule="auto"/>
        <w:tabs>
          <w:tab w:leader="none" w:pos="1300" w:val="left"/>
        </w:tabs>
        <w:numPr>
          <w:ilvl w:val="0"/>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provisions in this Plan to the contrary, whenever a payment under this Plan may be made upon the Release Effective Date, and the period in which the Executive could adopt the release (along with its accompany revocation period) crosses calendar years, no payments shall be made until the succeeding calendar year.</w:t>
      </w:r>
    </w:p>
    <w:p>
      <w:pPr>
        <w:spacing w:after="0" w:line="175" w:lineRule="exact"/>
        <w:rPr>
          <w:sz w:val="20"/>
          <w:szCs w:val="20"/>
          <w:color w:val="auto"/>
        </w:rPr>
      </w:pPr>
    </w:p>
    <w:p>
      <w:pPr>
        <w:ind w:left="1080" w:hanging="424"/>
        <w:spacing w:after="0"/>
        <w:tabs>
          <w:tab w:leader="none" w:pos="1080" w:val="left"/>
        </w:tabs>
        <w:numPr>
          <w:ilvl w:val="0"/>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Plan</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Plan supersedes any prior agreements or understandings, oral or written, between the parties hereto, with respect to the subject matter hereof, and constitutes the entire agreement of the parties with respect thereto. Without limiting the generality of the foregoing sentence, this Plan completely supersedes any and all prior employment agreements entered into by and between the Company and the Executive, and all amendments thereto, in their entirety. Notwithstanding the foregoing, if the Executive has entered into any agreements or commitments with the Company with regard to Confidential Information, noncompetition, nonsolicitation, or nondisparagement, such agreements or commitments will remain valid and will be read in harmony with this Plan to provide maximum protection to the Company.</w:t>
      </w:r>
    </w:p>
    <w:p>
      <w:pPr>
        <w:spacing w:after="0" w:line="178" w:lineRule="exact"/>
        <w:rPr>
          <w:sz w:val="20"/>
          <w:szCs w:val="20"/>
          <w:color w:val="auto"/>
        </w:rPr>
      </w:pPr>
    </w:p>
    <w:p>
      <w:pPr>
        <w:ind w:left="1080" w:hanging="424"/>
        <w:spacing w:after="0"/>
        <w:tabs>
          <w:tab w:leader="none" w:pos="1080" w:val="left"/>
        </w:tabs>
        <w:numPr>
          <w:ilvl w:val="0"/>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In the event that any provision or portion of this Plan shall be determined to be invalid or unenforceable for any reason, the remaining provisions of this Plan shall be unaffected thereby and shall remain in full force and effect.</w:t>
      </w:r>
    </w:p>
    <w:p>
      <w:pPr>
        <w:spacing w:after="0" w:line="154" w:lineRule="exact"/>
        <w:rPr>
          <w:sz w:val="20"/>
          <w:szCs w:val="20"/>
          <w:color w:val="auto"/>
        </w:rPr>
      </w:pPr>
    </w:p>
    <w:p>
      <w:pPr>
        <w:ind w:left="1080" w:hanging="424"/>
        <w:spacing w:after="0"/>
        <w:tabs>
          <w:tab w:leader="none" w:pos="1080"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Withholding</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Company may withhold from any benefits payable under this Plan all federal, state, city, or other taxes as may be required pursuant to any law or governmental regulation or ruling.</w:t>
      </w:r>
    </w:p>
    <w:p>
      <w:pPr>
        <w:spacing w:after="0" w:line="154" w:lineRule="exact"/>
        <w:rPr>
          <w:sz w:val="20"/>
          <w:szCs w:val="20"/>
          <w:color w:val="auto"/>
        </w:rPr>
      </w:pPr>
    </w:p>
    <w:p>
      <w:pPr>
        <w:ind w:left="1080" w:hanging="424"/>
        <w:spacing w:after="0"/>
        <w:tabs>
          <w:tab w:leader="none" w:pos="1080"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Beneficiaries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Executive may designate one (1) or more persons or entities as the primary and/or contingent beneficiaries of any amounts to be received under this Plan. Such designation must be in the form of a signed writing acceptable to the Board or the Board’s designee. The Executive may make or change such designation at any time.</w:t>
      </w:r>
    </w:p>
    <w:p>
      <w:pPr>
        <w:spacing w:after="0" w:line="169" w:lineRule="exact"/>
        <w:rPr>
          <w:sz w:val="20"/>
          <w:szCs w:val="20"/>
          <w:color w:val="auto"/>
        </w:rPr>
      </w:pPr>
    </w:p>
    <w:p>
      <w:pPr>
        <w:ind w:left="1080" w:hanging="424"/>
        <w:spacing w:after="0"/>
        <w:tabs>
          <w:tab w:leader="none" w:pos="1080"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Obligation Absolute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09" w:name="page210"/>
    <w:bookmarkEnd w:id="209"/>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Company’s obligation to make the payments provided for herein shall be absolute and unconditional, and shall not be affected by any circumstances, including, without limitation, any offset, counterclaim, recoupment, defense, or other right which the Company may have against the Executive or anyone else.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The Executive shall not be obligated to seek other employment in mitigation of the amounts payable or arrangements made under any provision of this Plan, and except as provided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of this Plan, the obtaining of any such other employment shall in no event effect any reduction of the Company’s obligations to make the payments and arrangements required to be made under this Plan.</w:t>
      </w:r>
    </w:p>
    <w:p>
      <w:pPr>
        <w:spacing w:after="0" w:line="175" w:lineRule="exact"/>
        <w:rPr>
          <w:sz w:val="20"/>
          <w:szCs w:val="20"/>
          <w:color w:val="auto"/>
        </w:rPr>
      </w:pPr>
    </w:p>
    <w:p>
      <w:pPr>
        <w:ind w:left="1080" w:hanging="424"/>
        <w:spacing w:after="0"/>
        <w:tabs>
          <w:tab w:leader="none" w:pos="1080" w:val="left"/>
        </w:tabs>
        <w:numPr>
          <w:ilvl w:val="0"/>
          <w:numId w:val="1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Contractual Rights to Benefits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Subject to approval and ratification by the Board, this Plan establishes and vests in the Executive a contractual right to the benefits to which he or she 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75" w:lineRule="exact"/>
        <w:rPr>
          <w:sz w:val="20"/>
          <w:szCs w:val="20"/>
          <w:color w:val="auto"/>
        </w:rPr>
      </w:pPr>
    </w:p>
    <w:p>
      <w:pPr>
        <w:ind w:left="1080" w:hanging="424"/>
        <w:spacing w:after="0"/>
        <w:tabs>
          <w:tab w:leader="none" w:pos="1080"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provision of this Plan may be modified, waived, or discharged with respect to any particular Executive unless such modification, waiver, or discharge is agreed to in writing and signed by such Executive and by an authorized member of the Committee, or by the respective parties’ legal representatives and successors, provided, however, that the Committee may unilaterally amend this Plan without the Executive’s consent if such amendment does not materially adversely alter or impair in any significant manner any rights or obligations of the Executive under the Plan.</w:t>
      </w:r>
    </w:p>
    <w:p>
      <w:pPr>
        <w:spacing w:after="0" w:line="177" w:lineRule="exact"/>
        <w:rPr>
          <w:sz w:val="20"/>
          <w:szCs w:val="20"/>
          <w:color w:val="auto"/>
        </w:rPr>
      </w:pPr>
    </w:p>
    <w:p>
      <w:pPr>
        <w:ind w:left="1080" w:hanging="424"/>
        <w:spacing w:after="0"/>
        <w:tabs>
          <w:tab w:leader="none" w:pos="1080"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Gender and Number</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Except where otherwise indicated by the context, any masculine term used herein also shall include the feminine; the plural shall include the singular and the singular shall include the plural.</w:t>
      </w:r>
    </w:p>
    <w:p>
      <w:pPr>
        <w:spacing w:after="0" w:line="154" w:lineRule="exact"/>
        <w:rPr>
          <w:sz w:val="20"/>
          <w:szCs w:val="20"/>
          <w:color w:val="auto"/>
        </w:rPr>
      </w:pPr>
    </w:p>
    <w:p>
      <w:pPr>
        <w:ind w:left="1080" w:hanging="424"/>
        <w:spacing w:after="0"/>
        <w:tabs>
          <w:tab w:leader="none" w:pos="1080"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Applicable Law</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To the extent not preempted by the laws of the United States, the laws of the state of New Jersey shall be the controlling law in all matters relating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263056338v.1</w:t>
      </w:r>
    </w:p>
    <w:p>
      <w:pPr>
        <w:sectPr>
          <w:pgSz w:w="11900" w:h="16838" w:orient="portrait"/>
          <w:cols w:equalWidth="0" w:num="1">
            <w:col w:w="11240"/>
          </w:cols>
          <w:pgMar w:left="320" w:top="1422" w:right="339" w:bottom="1440" w:gutter="0" w:footer="0" w:header="0"/>
        </w:sectPr>
      </w:pPr>
    </w:p>
    <w:bookmarkStart w:id="210" w:name="page211"/>
    <w:bookmarkEnd w:id="210"/>
    <w:p>
      <w:pPr>
        <w:ind w:left="10020"/>
        <w:spacing w:after="0"/>
        <w:rPr>
          <w:sz w:val="20"/>
          <w:szCs w:val="20"/>
          <w:color w:val="auto"/>
        </w:rPr>
      </w:pPr>
      <w:r>
        <w:rPr>
          <w:rFonts w:ascii="Times New Roman" w:cs="Times New Roman" w:eastAsia="Times New Roman" w:hAnsi="Times New Roman"/>
          <w:sz w:val="21"/>
          <w:szCs w:val="21"/>
          <w:b w:val="1"/>
          <w:bCs w:val="1"/>
          <w:color w:val="auto"/>
        </w:rPr>
        <w:t>Exhibit 10.31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Certain portions of this Exhibit have been redacted pursuant to Item 601(b)(10) of Regulation S-K and, where applicable,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have been marked with “[***]” to indicate where redactions have been made. The marked information has been redacted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because it is both (i)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AND RESTATED LIMITED LIABILITY COMPANY AGREEMENT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PINNACLE REPOWERING PARTNERSHIP LLC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 Delaware Limited Liability Company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February 26, 2021</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THE SECURITIES (MEMBERSHIP INTERESTS) REPRESENTED BY THIS AGREEMENT HAVE NOT BEEN REGISTERED UNDER THE SECURITIES ACT OF 1933 OR REGISTERED OR QUALIFIED UNDER ANY SECURITIES OR BLUE SKY LAWS OF ANY STATE OR JURISDICTION. THEREFORE, THE SECURITIES MAY NOT BE SOLD, PLEDGED, HYPOTHECATED OR OTHERWISE TRANSFERRED UNTIL A REGISTRATION STATEMENT UNDER THE SECURITIES ACT OR THE APPLICABLE STATE SECURITIES OR BLUE SKY LAWS SHALL HAVE BECOME EFFECTIVE WITH REGARD TO THE PROPOSED TRANSFER, OR UNLESS REGISTRATION OR QUALIFICATION UNDER THE SECURITIES ACT OR BLUE SKY LAWS IS NOT REQUIRED IN CONNECTION WITH THE PROPOSED TRANSFER.</w:t>
      </w:r>
    </w:p>
    <w:p>
      <w:pPr>
        <w:sectPr>
          <w:pgSz w:w="11900" w:h="16838" w:orient="portrait"/>
          <w:cols w:equalWidth="0" w:num="1">
            <w:col w:w="11240"/>
          </w:cols>
          <w:pgMar w:left="320" w:top="122" w:right="339" w:bottom="1440" w:gutter="0" w:footer="0" w:header="0"/>
        </w:sectPr>
      </w:pPr>
    </w:p>
    <w:bookmarkStart w:id="211" w:name="page212"/>
    <w:bookmarkEnd w:id="211"/>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SECOND AMENDED &amp; RESTATED LIMITED LIABILITY COMPANY AGREEMENT</w:t>
      </w:r>
    </w:p>
    <w:p>
      <w:pPr>
        <w:spacing w:after="0" w:line="3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PINNACLE REPOWERING PARTNERSHIP LLC</w:t>
      </w:r>
    </w:p>
    <w:p>
      <w:pPr>
        <w:spacing w:after="0" w:line="1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160" w:type="dxa"/>
            <w:vAlign w:val="bottom"/>
            <w:gridSpan w:val="8"/>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1 DEFINITIONS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2</w:t>
              </w:r>
            </w:hyperlink>
          </w:p>
        </w:tc>
      </w:tr>
      <w:tr>
        <w:trPr>
          <w:trHeight w:val="461"/>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1.1</w:t>
              </w:r>
            </w:hyperlink>
          </w:p>
        </w:tc>
        <w:tc>
          <w:tcPr>
            <w:tcW w:w="1720" w:type="dxa"/>
            <w:vAlign w:val="bottom"/>
            <w:tcBorders>
              <w:bottom w:val="single" w:sz="8" w:color="0563C1"/>
            </w:tcBorders>
            <w:gridSpan w:val="5"/>
          </w:tcPr>
          <w:p>
            <w:pPr>
              <w:spacing w:after="0"/>
              <w:rPr>
                <w:rFonts w:ascii="Times New Roman" w:cs="Times New Roman" w:eastAsia="Times New Roman" w:hAnsi="Times New Roman"/>
                <w:sz w:val="22"/>
                <w:szCs w:val="22"/>
                <w:color w:val="0563C1"/>
                <w:w w:val="97"/>
              </w:rPr>
            </w:pPr>
            <w:hyperlink w:anchor="page217">
              <w:r>
                <w:rPr>
                  <w:rFonts w:ascii="Times New Roman" w:cs="Times New Roman" w:eastAsia="Times New Roman" w:hAnsi="Times New Roman"/>
                  <w:sz w:val="22"/>
                  <w:szCs w:val="22"/>
                  <w:color w:val="0563C1"/>
                  <w:w w:val="97"/>
                </w:rPr>
                <w:t>Certain Definitions.</w:t>
              </w:r>
            </w:hyperlink>
          </w:p>
        </w:tc>
        <w:tc>
          <w:tcPr>
            <w:tcW w:w="6240" w:type="dxa"/>
            <w:vAlign w:val="bottom"/>
            <w:gridSpan w:val="2"/>
          </w:tcPr>
          <w:p>
            <w:pPr>
              <w:spacing w:after="0"/>
              <w:rPr>
                <w:sz w:val="24"/>
                <w:szCs w:val="24"/>
                <w:color w:val="auto"/>
              </w:rPr>
            </w:pPr>
          </w:p>
        </w:tc>
        <w:tc>
          <w:tcPr>
            <w:tcW w:w="1440" w:type="dxa"/>
            <w:vAlign w:val="bottom"/>
          </w:tcPr>
          <w:p>
            <w:pPr>
              <w:ind w:left="1220"/>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2</w:t>
              </w:r>
            </w:hyperlink>
          </w:p>
        </w:tc>
      </w:tr>
      <w:tr>
        <w:trPr>
          <w:trHeight w:val="493"/>
        </w:trPr>
        <w:tc>
          <w:tcPr>
            <w:tcW w:w="916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1.2  Other Definitional Provisions.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17</w:t>
              </w:r>
            </w:hyperlink>
          </w:p>
        </w:tc>
      </w:tr>
      <w:tr>
        <w:trPr>
          <w:trHeight w:val="545"/>
        </w:trPr>
        <w:tc>
          <w:tcPr>
            <w:tcW w:w="3800" w:type="dxa"/>
            <w:vAlign w:val="bottom"/>
            <w:tcBorders>
              <w:top w:val="single" w:sz="8" w:color="0563C1"/>
            </w:tcBorders>
            <w:gridSpan w:val="7"/>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2 THE COMPANY</w:t>
              </w:r>
            </w:hyperlink>
          </w:p>
        </w:tc>
        <w:tc>
          <w:tcPr>
            <w:tcW w:w="5360" w:type="dxa"/>
            <w:vAlign w:val="bottom"/>
          </w:tcPr>
          <w:p>
            <w:pPr>
              <w:spacing w:after="0"/>
              <w:rPr>
                <w:sz w:val="24"/>
                <w:szCs w:val="24"/>
                <w:color w:val="auto"/>
              </w:rPr>
            </w:pPr>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18</w:t>
              </w:r>
            </w:hyperlink>
          </w:p>
        </w:tc>
      </w:tr>
      <w:tr>
        <w:trPr>
          <w:trHeight w:val="461"/>
        </w:trPr>
        <w:tc>
          <w:tcPr>
            <w:tcW w:w="916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2.1  </w:t>
              </w:r>
              <w:r>
                <w:rPr>
                  <w:rFonts w:ascii="Times New Roman" w:cs="Times New Roman" w:eastAsia="Times New Roman" w:hAnsi="Times New Roman"/>
                  <w:sz w:val="22"/>
                  <w:szCs w:val="22"/>
                  <w:u w:val="single" w:color="auto"/>
                  <w:color w:val="0563C1"/>
                </w:rPr>
                <w:t>Organization of Limited Liability Company.</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18</w:t>
              </w:r>
            </w:hyperlink>
          </w:p>
        </w:tc>
      </w:tr>
      <w:tr>
        <w:trPr>
          <w:trHeight w:val="493"/>
        </w:trPr>
        <w:tc>
          <w:tcPr>
            <w:tcW w:w="1200" w:type="dxa"/>
            <w:vAlign w:val="bottom"/>
            <w:tcBorders>
              <w:top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2.2</w:t>
              </w:r>
            </w:hyperlink>
          </w:p>
        </w:tc>
        <w:tc>
          <w:tcPr>
            <w:tcW w:w="7960" w:type="dxa"/>
            <w:vAlign w:val="bottom"/>
            <w:gridSpan w:val="7"/>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Name.</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18</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540" w:type="dxa"/>
            <w:vAlign w:val="bottom"/>
            <w:tcBorders>
              <w:left w:val="single" w:sz="8" w:color="0563C1"/>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2.3</w:t>
              </w:r>
            </w:hyperlink>
          </w:p>
        </w:tc>
        <w:tc>
          <w:tcPr>
            <w:tcW w:w="7960" w:type="dxa"/>
            <w:vAlign w:val="bottom"/>
            <w:gridSpan w:val="7"/>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Principal Office.</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19</w:t>
              </w:r>
            </w:hyperlink>
          </w:p>
        </w:tc>
      </w:tr>
      <w:tr>
        <w:trPr>
          <w:trHeight w:val="493"/>
        </w:trPr>
        <w:tc>
          <w:tcPr>
            <w:tcW w:w="916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2.4  </w:t>
              </w:r>
              <w:r>
                <w:rPr>
                  <w:rFonts w:ascii="Times New Roman" w:cs="Times New Roman" w:eastAsia="Times New Roman" w:hAnsi="Times New Roman"/>
                  <w:sz w:val="22"/>
                  <w:szCs w:val="22"/>
                  <w:u w:val="single" w:color="auto"/>
                  <w:color w:val="0563C1"/>
                </w:rPr>
                <w:t>Registered Office; Registered Agent.</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19</w:t>
              </w:r>
            </w:hyperlink>
          </w:p>
        </w:tc>
      </w:tr>
      <w:tr>
        <w:trPr>
          <w:trHeight w:val="493"/>
        </w:trPr>
        <w:tc>
          <w:tcPr>
            <w:tcW w:w="12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2.5</w:t>
              </w:r>
            </w:hyperlink>
          </w:p>
        </w:tc>
        <w:tc>
          <w:tcPr>
            <w:tcW w:w="7960" w:type="dxa"/>
            <w:vAlign w:val="bottom"/>
            <w:gridSpan w:val="7"/>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Purposes.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19</w:t>
              </w:r>
            </w:hyperlink>
          </w:p>
        </w:tc>
      </w:tr>
      <w:tr>
        <w:trPr>
          <w:trHeight w:val="493"/>
        </w:trPr>
        <w:tc>
          <w:tcPr>
            <w:tcW w:w="1200" w:type="dxa"/>
            <w:vAlign w:val="bottom"/>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2.6</w:t>
              </w:r>
            </w:hyperlink>
          </w:p>
        </w:tc>
        <w:tc>
          <w:tcPr>
            <w:tcW w:w="7960" w:type="dxa"/>
            <w:vAlign w:val="bottom"/>
            <w:gridSpan w:val="7"/>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Term.</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19</w:t>
              </w:r>
            </w:hyperlink>
          </w:p>
        </w:tc>
      </w:tr>
      <w:tr>
        <w:trPr>
          <w:trHeight w:val="20"/>
        </w:trPr>
        <w:tc>
          <w:tcPr>
            <w:tcW w:w="1700" w:type="dxa"/>
            <w:vAlign w:val="bottom"/>
            <w:gridSpan w:val="2"/>
            <w:shd w:val="clear" w:color="auto" w:fill="0563C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916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2.7  </w:t>
              </w:r>
              <w:r>
                <w:rPr>
                  <w:rFonts w:ascii="Times New Roman" w:cs="Times New Roman" w:eastAsia="Times New Roman" w:hAnsi="Times New Roman"/>
                  <w:sz w:val="22"/>
                  <w:szCs w:val="22"/>
                  <w:u w:val="single" w:color="auto"/>
                  <w:color w:val="0563C1"/>
                </w:rPr>
                <w:t>Title to Property.</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19</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916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2.8  </w:t>
              </w:r>
              <w:r>
                <w:rPr>
                  <w:rFonts w:ascii="Times New Roman" w:cs="Times New Roman" w:eastAsia="Times New Roman" w:hAnsi="Times New Roman"/>
                  <w:sz w:val="22"/>
                  <w:szCs w:val="22"/>
                  <w:u w:val="single" w:color="auto"/>
                  <w:color w:val="0563C1"/>
                </w:rPr>
                <w:t>Units; Certificates of Membership Interest; Applicability of Article 8 of UCC</w:t>
              </w:r>
              <w:r>
                <w:rPr>
                  <w:rFonts w:ascii="Times New Roman" w:cs="Times New Roman" w:eastAsia="Times New Roman" w:hAnsi="Times New Roman"/>
                  <w:sz w:val="22"/>
                  <w:szCs w:val="22"/>
                  <w:color w:val="0563C1"/>
                </w:rPr>
                <w:t>.</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19</w:t>
              </w:r>
            </w:hyperlink>
          </w:p>
        </w:tc>
      </w:tr>
      <w:tr>
        <w:trPr>
          <w:trHeight w:val="493"/>
        </w:trPr>
        <w:tc>
          <w:tcPr>
            <w:tcW w:w="12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2.9</w:t>
              </w:r>
            </w:hyperlink>
          </w:p>
        </w:tc>
        <w:tc>
          <w:tcPr>
            <w:tcW w:w="7960" w:type="dxa"/>
            <w:vAlign w:val="bottom"/>
            <w:gridSpan w:val="7"/>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No Partnership.</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20</w:t>
              </w:r>
            </w:hyperlink>
          </w:p>
        </w:tc>
      </w:tr>
      <w:tr>
        <w:trPr>
          <w:trHeight w:val="545"/>
        </w:trPr>
        <w:tc>
          <w:tcPr>
            <w:tcW w:w="9160" w:type="dxa"/>
            <w:vAlign w:val="bottom"/>
            <w:gridSpan w:val="8"/>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3 CAPITAL CONTRIBUTIONS; CREDIT SUPPORT</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20</w:t>
              </w:r>
            </w:hyperlink>
          </w:p>
        </w:tc>
      </w:tr>
      <w:tr>
        <w:trPr>
          <w:trHeight w:val="461"/>
        </w:trPr>
        <w:tc>
          <w:tcPr>
            <w:tcW w:w="2640" w:type="dxa"/>
            <w:vAlign w:val="bottom"/>
            <w:tcBorders>
              <w:bottom w:val="single" w:sz="8" w:color="0563C1"/>
            </w:tcBorders>
            <w:gridSpan w:val="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3.1  Class A Interest.</w:t>
              </w:r>
            </w:hyperlink>
          </w:p>
        </w:tc>
        <w:tc>
          <w:tcPr>
            <w:tcW w:w="6520" w:type="dxa"/>
            <w:vAlign w:val="bottom"/>
            <w:gridSpan w:val="3"/>
          </w:tcPr>
          <w:p>
            <w:pPr>
              <w:spacing w:after="0"/>
              <w:rPr>
                <w:sz w:val="24"/>
                <w:szCs w:val="24"/>
                <w:color w:val="auto"/>
              </w:rPr>
            </w:pPr>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20</w:t>
              </w:r>
            </w:hyperlink>
          </w:p>
        </w:tc>
      </w:tr>
      <w:tr>
        <w:trPr>
          <w:trHeight w:val="493"/>
        </w:trPr>
        <w:tc>
          <w:tcPr>
            <w:tcW w:w="2560" w:type="dxa"/>
            <w:vAlign w:val="bottom"/>
            <w:tcBorders>
              <w:bottom w:val="single" w:sz="8" w:color="0563C1"/>
            </w:tcBorders>
            <w:gridSpan w:val="4"/>
          </w:tcPr>
          <w:p>
            <w:pPr>
              <w:spacing w:after="0"/>
              <w:rPr>
                <w:rFonts w:ascii="Times New Roman" w:cs="Times New Roman" w:eastAsia="Times New Roman" w:hAnsi="Times New Roman"/>
                <w:sz w:val="22"/>
                <w:szCs w:val="22"/>
                <w:color w:val="0563C1"/>
                <w:w w:val="98"/>
              </w:rPr>
            </w:pPr>
            <w:hyperlink w:anchor="page217">
              <w:r>
                <w:rPr>
                  <w:rFonts w:ascii="Times New Roman" w:cs="Times New Roman" w:eastAsia="Times New Roman" w:hAnsi="Times New Roman"/>
                  <w:sz w:val="22"/>
                  <w:szCs w:val="22"/>
                  <w:color w:val="0563C1"/>
                  <w:w w:val="98"/>
                </w:rPr>
                <w:t>Section 3.2  Class B Interest.</w:t>
              </w:r>
            </w:hyperlink>
          </w:p>
        </w:tc>
        <w:tc>
          <w:tcPr>
            <w:tcW w:w="6600" w:type="dxa"/>
            <w:vAlign w:val="bottom"/>
            <w:gridSpan w:val="4"/>
          </w:tcPr>
          <w:p>
            <w:pPr>
              <w:spacing w:after="0"/>
              <w:rPr>
                <w:sz w:val="24"/>
                <w:szCs w:val="24"/>
                <w:color w:val="auto"/>
              </w:rPr>
            </w:pPr>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20</w:t>
              </w:r>
            </w:hyperlink>
          </w:p>
        </w:tc>
      </w:tr>
      <w:tr>
        <w:trPr>
          <w:trHeight w:val="493"/>
        </w:trPr>
        <w:tc>
          <w:tcPr>
            <w:tcW w:w="916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3.3  </w:t>
              </w:r>
              <w:r>
                <w:rPr>
                  <w:rFonts w:ascii="Times New Roman" w:cs="Times New Roman" w:eastAsia="Times New Roman" w:hAnsi="Times New Roman"/>
                  <w:sz w:val="22"/>
                  <w:szCs w:val="22"/>
                  <w:u w:val="single" w:color="auto"/>
                  <w:color w:val="0563C1"/>
                </w:rPr>
                <w:t>Other Required Capital Contributions; Credit Support.</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20</w:t>
              </w:r>
            </w:hyperlink>
          </w:p>
        </w:tc>
      </w:tr>
      <w:tr>
        <w:trPr>
          <w:trHeight w:val="493"/>
        </w:trPr>
        <w:tc>
          <w:tcPr>
            <w:tcW w:w="1200" w:type="dxa"/>
            <w:vAlign w:val="bottom"/>
            <w:tcBorders>
              <w:top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3.4</w:t>
              </w:r>
            </w:hyperlink>
          </w:p>
        </w:tc>
        <w:tc>
          <w:tcPr>
            <w:tcW w:w="7960" w:type="dxa"/>
            <w:vAlign w:val="bottom"/>
            <w:gridSpan w:val="7"/>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Member Loans.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22</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40" w:type="dxa"/>
            <w:vAlign w:val="bottom"/>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3.5</w:t>
              </w:r>
            </w:hyperlink>
          </w:p>
        </w:tc>
        <w:tc>
          <w:tcPr>
            <w:tcW w:w="7960" w:type="dxa"/>
            <w:vAlign w:val="bottom"/>
            <w:gridSpan w:val="7"/>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Support Obligations.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22</w:t>
              </w:r>
            </w:hyperlink>
          </w:p>
        </w:tc>
      </w:tr>
      <w:tr>
        <w:trPr>
          <w:trHeight w:val="493"/>
        </w:trPr>
        <w:tc>
          <w:tcPr>
            <w:tcW w:w="916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3.6  </w:t>
              </w:r>
              <w:r>
                <w:rPr>
                  <w:rFonts w:ascii="Times New Roman" w:cs="Times New Roman" w:eastAsia="Times New Roman" w:hAnsi="Times New Roman"/>
                  <w:sz w:val="22"/>
                  <w:szCs w:val="22"/>
                  <w:u w:val="single" w:color="auto"/>
                  <w:color w:val="0563C1"/>
                </w:rPr>
                <w:t>Obligations Under Tax Equity Documents.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23</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916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3.7  </w:t>
              </w:r>
              <w:r>
                <w:rPr>
                  <w:rFonts w:ascii="Times New Roman" w:cs="Times New Roman" w:eastAsia="Times New Roman" w:hAnsi="Times New Roman"/>
                  <w:sz w:val="22"/>
                  <w:szCs w:val="22"/>
                  <w:u w:val="single" w:color="auto"/>
                  <w:color w:val="0563C1"/>
                </w:rPr>
                <w:t>No Right to Return of Capital Contributions.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23</w:t>
              </w:r>
            </w:hyperlink>
          </w:p>
        </w:tc>
      </w:tr>
      <w:tr>
        <w:trPr>
          <w:trHeight w:val="493"/>
        </w:trPr>
        <w:tc>
          <w:tcPr>
            <w:tcW w:w="12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3.8</w:t>
              </w:r>
            </w:hyperlink>
          </w:p>
        </w:tc>
        <w:tc>
          <w:tcPr>
            <w:tcW w:w="500" w:type="dxa"/>
            <w:vAlign w:val="bottom"/>
          </w:tcPr>
          <w:p>
            <w:pPr>
              <w:spacing w:after="0"/>
              <w:rPr>
                <w:rFonts w:ascii="Times New Roman" w:cs="Times New Roman" w:eastAsia="Times New Roman" w:hAnsi="Times New Roman"/>
                <w:sz w:val="22"/>
                <w:szCs w:val="22"/>
                <w:u w:val="single" w:color="auto"/>
                <w:color w:val="0563C1"/>
                <w:w w:val="86"/>
              </w:rPr>
            </w:pPr>
            <w:hyperlink w:anchor="page217">
              <w:r>
                <w:rPr>
                  <w:rFonts w:ascii="Times New Roman" w:cs="Times New Roman" w:eastAsia="Times New Roman" w:hAnsi="Times New Roman"/>
                  <w:sz w:val="22"/>
                  <w:szCs w:val="22"/>
                  <w:u w:val="single" w:color="auto"/>
                  <w:color w:val="0563C1"/>
                  <w:w w:val="86"/>
                </w:rPr>
                <w:t>[***].</w:t>
              </w:r>
            </w:hyperlink>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23</w:t>
              </w:r>
            </w:hyperlink>
          </w:p>
        </w:tc>
      </w:tr>
      <w:tr>
        <w:trPr>
          <w:trHeight w:val="546"/>
        </w:trPr>
        <w:tc>
          <w:tcPr>
            <w:tcW w:w="9160" w:type="dxa"/>
            <w:vAlign w:val="bottom"/>
            <w:gridSpan w:val="8"/>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4 CAPITAL ACCOUNTS; ALLOCATIONS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23</w:t>
              </w:r>
            </w:hyperlink>
          </w:p>
        </w:tc>
      </w:tr>
      <w:tr>
        <w:trPr>
          <w:trHeight w:val="460"/>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4.1</w:t>
              </w:r>
            </w:hyperlink>
          </w:p>
        </w:tc>
        <w:tc>
          <w:tcPr>
            <w:tcW w:w="7960" w:type="dxa"/>
            <w:vAlign w:val="bottom"/>
            <w:gridSpan w:val="7"/>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Capital Accounts.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23</w:t>
              </w:r>
            </w:hyperlink>
          </w:p>
        </w:tc>
      </w:tr>
      <w:tr>
        <w:trPr>
          <w:trHeight w:val="493"/>
        </w:trPr>
        <w:tc>
          <w:tcPr>
            <w:tcW w:w="1200" w:type="dxa"/>
            <w:vAlign w:val="bottom"/>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4.2</w:t>
              </w:r>
            </w:hyperlink>
          </w:p>
        </w:tc>
        <w:tc>
          <w:tcPr>
            <w:tcW w:w="7960" w:type="dxa"/>
            <w:vAlign w:val="bottom"/>
            <w:gridSpan w:val="7"/>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Allocations.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24</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40" w:type="dxa"/>
            <w:vAlign w:val="bottom"/>
            <w:gridSpan w:val="2"/>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4.3</w:t>
              </w:r>
            </w:hyperlink>
          </w:p>
        </w:tc>
        <w:tc>
          <w:tcPr>
            <w:tcW w:w="7960" w:type="dxa"/>
            <w:vAlign w:val="bottom"/>
            <w:gridSpan w:val="7"/>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u w:val="single" w:color="auto"/>
                  <w:color w:val="0563C1"/>
                </w:rPr>
                <w:t>Adjustments</w:t>
              </w:r>
              <w:r>
                <w:rPr>
                  <w:rFonts w:ascii="Times New Roman" w:cs="Times New Roman" w:eastAsia="Times New Roman" w:hAnsi="Times New Roman"/>
                  <w:sz w:val="22"/>
                  <w:szCs w:val="22"/>
                  <w:color w:val="0563C1"/>
                </w:rPr>
                <w:t>.</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24</w:t>
              </w:r>
            </w:hyperlink>
          </w:p>
        </w:tc>
      </w:tr>
      <w:tr>
        <w:trPr>
          <w:trHeight w:val="493"/>
        </w:trPr>
        <w:tc>
          <w:tcPr>
            <w:tcW w:w="1200" w:type="dxa"/>
            <w:vAlign w:val="bottom"/>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4.4</w:t>
              </w:r>
            </w:hyperlink>
          </w:p>
        </w:tc>
        <w:tc>
          <w:tcPr>
            <w:tcW w:w="7960" w:type="dxa"/>
            <w:vAlign w:val="bottom"/>
            <w:gridSpan w:val="7"/>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Tax Allocations.</w:t>
              </w:r>
            </w:hyperlink>
          </w:p>
        </w:tc>
        <w:tc>
          <w:tcPr>
            <w:tcW w:w="1440" w:type="dxa"/>
            <w:vAlign w:val="bottom"/>
          </w:tcPr>
          <w:p>
            <w:pPr>
              <w:ind w:left="1220"/>
              <w:spacing w:after="0"/>
              <w:rPr>
                <w:rFonts w:ascii="Times New Roman" w:cs="Times New Roman" w:eastAsia="Times New Roman" w:hAnsi="Times New Roman"/>
                <w:sz w:val="22"/>
                <w:szCs w:val="22"/>
                <w:u w:val="single" w:color="auto"/>
                <w:color w:val="auto"/>
                <w:w w:val="90"/>
              </w:rPr>
            </w:pPr>
            <w:hyperlink w:anchor="page217">
              <w:r>
                <w:rPr>
                  <w:rFonts w:ascii="Times New Roman" w:cs="Times New Roman" w:eastAsia="Times New Roman" w:hAnsi="Times New Roman"/>
                  <w:sz w:val="22"/>
                  <w:szCs w:val="22"/>
                  <w:u w:val="single" w:color="auto"/>
                  <w:color w:val="auto"/>
                  <w:w w:val="90"/>
                </w:rPr>
                <w:t>26</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54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ectPr>
          <w:pgSz w:w="11900" w:h="16838" w:orient="portrait"/>
          <w:cols w:equalWidth="0" w:num="1">
            <w:col w:w="10600"/>
          </w:cols>
          <w:pgMar w:left="340" w:top="1418" w:right="959" w:bottom="0" w:gutter="0" w:footer="0" w:header="0"/>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60" w:type="dxa"/>
            <w:vAlign w:val="bottom"/>
            <w:tcBorders>
              <w:bottom w:val="single" w:sz="8" w:color="0563C1"/>
            </w:tcBorders>
            <w:gridSpan w:val="3"/>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4.5  Other Allocation Rules.</w:t>
              </w:r>
            </w:hyperlink>
          </w:p>
        </w:tc>
        <w:tc>
          <w:tcPr>
            <w:tcW w:w="4160" w:type="dxa"/>
            <w:vAlign w:val="bottom"/>
            <w:gridSpan w:val="2"/>
          </w:tcPr>
          <w:p>
            <w:pPr>
              <w:spacing w:after="0"/>
              <w:rPr>
                <w:sz w:val="22"/>
                <w:szCs w:val="22"/>
                <w:color w:val="auto"/>
              </w:rPr>
            </w:pPr>
          </w:p>
        </w:tc>
        <w:tc>
          <w:tcPr>
            <w:tcW w:w="318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27</w:t>
              </w:r>
            </w:hyperlink>
          </w:p>
        </w:tc>
      </w:tr>
      <w:tr>
        <w:trPr>
          <w:trHeight w:val="545"/>
        </w:trPr>
        <w:tc>
          <w:tcPr>
            <w:tcW w:w="7420" w:type="dxa"/>
            <w:vAlign w:val="bottom"/>
            <w:gridSpan w:val="5"/>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5 DISTRIBUTIONS</w:t>
              </w:r>
            </w:hyperlink>
          </w:p>
        </w:tc>
        <w:tc>
          <w:tcPr>
            <w:tcW w:w="318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27</w:t>
              </w:r>
            </w:hyperlink>
          </w:p>
        </w:tc>
      </w:tr>
      <w:tr>
        <w:trPr>
          <w:trHeight w:val="461"/>
        </w:trPr>
        <w:tc>
          <w:tcPr>
            <w:tcW w:w="7420" w:type="dxa"/>
            <w:vAlign w:val="bottom"/>
            <w:gridSpan w:val="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5.1  Distributions of Available Cash Flow.</w:t>
              </w:r>
            </w:hyperlink>
          </w:p>
        </w:tc>
        <w:tc>
          <w:tcPr>
            <w:tcW w:w="318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27</w:t>
              </w:r>
            </w:hyperlink>
          </w:p>
        </w:tc>
      </w:tr>
      <w:tr>
        <w:trPr>
          <w:trHeight w:val="493"/>
        </w:trPr>
        <w:tc>
          <w:tcPr>
            <w:tcW w:w="1200" w:type="dxa"/>
            <w:vAlign w:val="bottom"/>
            <w:tcBorders>
              <w:top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5.2</w:t>
              </w:r>
            </w:hyperlink>
          </w:p>
        </w:tc>
        <w:tc>
          <w:tcPr>
            <w:tcW w:w="3260" w:type="dxa"/>
            <w:vAlign w:val="bottom"/>
            <w:tcBorders>
              <w:top w:val="single" w:sz="8" w:color="0563C1"/>
            </w:tcBorders>
            <w:gridSpan w:val="3"/>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Limitation.</w:t>
              </w:r>
            </w:hyperlink>
          </w:p>
        </w:tc>
        <w:tc>
          <w:tcPr>
            <w:tcW w:w="2960" w:type="dxa"/>
            <w:vAlign w:val="bottom"/>
          </w:tcPr>
          <w:p>
            <w:pPr>
              <w:spacing w:after="0"/>
              <w:rPr>
                <w:sz w:val="24"/>
                <w:szCs w:val="24"/>
                <w:color w:val="auto"/>
              </w:rPr>
            </w:pPr>
          </w:p>
        </w:tc>
        <w:tc>
          <w:tcPr>
            <w:tcW w:w="318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28</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5.3</w:t>
              </w:r>
            </w:hyperlink>
          </w:p>
        </w:tc>
        <w:tc>
          <w:tcPr>
            <w:tcW w:w="6220" w:type="dxa"/>
            <w:vAlign w:val="bottom"/>
            <w:gridSpan w:val="4"/>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Withholding.</w:t>
              </w:r>
            </w:hyperlink>
          </w:p>
        </w:tc>
        <w:tc>
          <w:tcPr>
            <w:tcW w:w="318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28</w:t>
              </w:r>
            </w:hyperlink>
          </w:p>
        </w:tc>
      </w:tr>
      <w:tr>
        <w:trPr>
          <w:trHeight w:val="545"/>
        </w:trPr>
        <w:tc>
          <w:tcPr>
            <w:tcW w:w="7420" w:type="dxa"/>
            <w:vAlign w:val="bottom"/>
            <w:gridSpan w:val="5"/>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6 MANAGEMENT</w:t>
              </w:r>
            </w:hyperlink>
          </w:p>
        </w:tc>
        <w:tc>
          <w:tcPr>
            <w:tcW w:w="318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28</w:t>
              </w:r>
            </w:hyperlink>
          </w:p>
        </w:tc>
      </w:tr>
      <w:tr>
        <w:trPr>
          <w:trHeight w:val="461"/>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6.1</w:t>
              </w:r>
            </w:hyperlink>
          </w:p>
        </w:tc>
        <w:tc>
          <w:tcPr>
            <w:tcW w:w="6220" w:type="dxa"/>
            <w:vAlign w:val="bottom"/>
            <w:gridSpan w:val="4"/>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Manager.</w:t>
              </w:r>
            </w:hyperlink>
          </w:p>
        </w:tc>
        <w:tc>
          <w:tcPr>
            <w:tcW w:w="318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28</w:t>
              </w:r>
            </w:hyperlink>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6.2</w:t>
              </w:r>
            </w:hyperlink>
          </w:p>
        </w:tc>
        <w:tc>
          <w:tcPr>
            <w:tcW w:w="6220" w:type="dxa"/>
            <w:vAlign w:val="bottom"/>
            <w:gridSpan w:val="4"/>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Standard of Care; Required Consents.</w:t>
              </w:r>
            </w:hyperlink>
          </w:p>
        </w:tc>
        <w:tc>
          <w:tcPr>
            <w:tcW w:w="318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33</w:t>
              </w:r>
            </w:hyperlink>
          </w:p>
        </w:tc>
      </w:tr>
    </w:tbl>
    <w:p>
      <w:pPr>
        <w:sectPr>
          <w:pgSz w:w="11900" w:h="16838" w:orient="portrait"/>
          <w:cols w:equalWidth="0" w:num="1">
            <w:col w:w="10600"/>
          </w:cols>
          <w:pgMar w:left="340" w:top="130" w:right="959" w:bottom="1440" w:gutter="0" w:footer="0" w:header="0"/>
        </w:sectPr>
      </w:pPr>
    </w:p>
    <w:bookmarkStart w:id="213" w:name="page214"/>
    <w:bookmarkEnd w:id="213"/>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60" w:type="dxa"/>
            <w:vAlign w:val="bottom"/>
            <w:gridSpan w:val="1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6.3  </w:t>
              </w:r>
              <w:r>
                <w:rPr>
                  <w:rFonts w:ascii="Times New Roman" w:cs="Times New Roman" w:eastAsia="Times New Roman" w:hAnsi="Times New Roman"/>
                  <w:sz w:val="22"/>
                  <w:szCs w:val="22"/>
                  <w:u w:val="single" w:color="auto"/>
                  <w:color w:val="0563C1"/>
                </w:rPr>
                <w:t>Removal and Election of Manager.</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38</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460" w:type="dxa"/>
            <w:vAlign w:val="bottom"/>
            <w:gridSpan w:val="1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6.4  </w:t>
              </w:r>
              <w:r>
                <w:rPr>
                  <w:rFonts w:ascii="Times New Roman" w:cs="Times New Roman" w:eastAsia="Times New Roman" w:hAnsi="Times New Roman"/>
                  <w:sz w:val="22"/>
                  <w:szCs w:val="22"/>
                  <w:u w:val="single" w:color="auto"/>
                  <w:color w:val="0563C1"/>
                </w:rPr>
                <w:t>Indemnification and Exculpation.</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39</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460" w:type="dxa"/>
            <w:vAlign w:val="bottom"/>
            <w:gridSpan w:val="1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6.5  </w:t>
              </w:r>
              <w:r>
                <w:rPr>
                  <w:rFonts w:ascii="Times New Roman" w:cs="Times New Roman" w:eastAsia="Times New Roman" w:hAnsi="Times New Roman"/>
                  <w:sz w:val="22"/>
                  <w:szCs w:val="22"/>
                  <w:u w:val="single" w:color="auto"/>
                  <w:color w:val="0563C1"/>
                </w:rPr>
                <w:t>Company Reimbursement; Fund Formation Expenses.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39</w:t>
              </w:r>
            </w:hyperlink>
          </w:p>
        </w:tc>
      </w:tr>
      <w:tr>
        <w:trPr>
          <w:trHeight w:val="493"/>
        </w:trPr>
        <w:tc>
          <w:tcPr>
            <w:tcW w:w="12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6.6</w:t>
              </w:r>
            </w:hyperlink>
          </w:p>
        </w:tc>
        <w:tc>
          <w:tcPr>
            <w:tcW w:w="760" w:type="dxa"/>
            <w:vAlign w:val="bottom"/>
            <w:tcBorders>
              <w:bottom w:val="single" w:sz="8" w:color="0563C1"/>
            </w:tcBorders>
            <w:gridSpan w:val="3"/>
          </w:tcPr>
          <w:p>
            <w:pPr>
              <w:spacing w:after="0"/>
              <w:rPr>
                <w:rFonts w:ascii="Times New Roman" w:cs="Times New Roman" w:eastAsia="Times New Roman" w:hAnsi="Times New Roman"/>
                <w:sz w:val="22"/>
                <w:szCs w:val="22"/>
                <w:color w:val="0563C1"/>
                <w:w w:val="95"/>
              </w:rPr>
            </w:pPr>
            <w:hyperlink w:anchor="page217">
              <w:r>
                <w:rPr>
                  <w:rFonts w:ascii="Times New Roman" w:cs="Times New Roman" w:eastAsia="Times New Roman" w:hAnsi="Times New Roman"/>
                  <w:sz w:val="22"/>
                  <w:szCs w:val="22"/>
                  <w:color w:val="0563C1"/>
                  <w:w w:val="95"/>
                </w:rPr>
                <w:t>Officers.</w:t>
              </w:r>
            </w:hyperlink>
          </w:p>
        </w:tc>
        <w:tc>
          <w:tcPr>
            <w:tcW w:w="6500" w:type="dxa"/>
            <w:vAlign w:val="bottom"/>
            <w:gridSpan w:val="11"/>
          </w:tcPr>
          <w:p>
            <w:pPr>
              <w:spacing w:after="0"/>
              <w:rPr>
                <w:sz w:val="24"/>
                <w:szCs w:val="24"/>
                <w:color w:val="auto"/>
              </w:rPr>
            </w:pPr>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39</w:t>
              </w:r>
            </w:hyperlink>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6.7</w:t>
              </w:r>
            </w:hyperlink>
          </w:p>
        </w:tc>
        <w:tc>
          <w:tcPr>
            <w:tcW w:w="7260" w:type="dxa"/>
            <w:vAlign w:val="bottom"/>
            <w:gridSpan w:val="14"/>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Approved Budgets.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40</w:t>
              </w:r>
            </w:hyperlink>
          </w:p>
        </w:tc>
      </w:tr>
      <w:tr>
        <w:trPr>
          <w:trHeight w:val="546"/>
        </w:trPr>
        <w:tc>
          <w:tcPr>
            <w:tcW w:w="8460" w:type="dxa"/>
            <w:vAlign w:val="bottom"/>
            <w:gridSpan w:val="15"/>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7 RIGHTS AND RESPONSIBILITIES OF MEMBERS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41</w:t>
              </w:r>
            </w:hyperlink>
          </w:p>
        </w:tc>
      </w:tr>
      <w:tr>
        <w:trPr>
          <w:trHeight w:val="461"/>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7.1</w:t>
              </w:r>
            </w:hyperlink>
          </w:p>
        </w:tc>
        <w:tc>
          <w:tcPr>
            <w:tcW w:w="740" w:type="dxa"/>
            <w:vAlign w:val="bottom"/>
            <w:tcBorders>
              <w:bottom w:val="single" w:sz="8" w:color="0563C1"/>
            </w:tcBorders>
            <w:gridSpan w:val="2"/>
          </w:tcPr>
          <w:p>
            <w:pPr>
              <w:spacing w:after="0"/>
              <w:rPr>
                <w:rFonts w:ascii="Times New Roman" w:cs="Times New Roman" w:eastAsia="Times New Roman" w:hAnsi="Times New Roman"/>
                <w:sz w:val="22"/>
                <w:szCs w:val="22"/>
                <w:color w:val="0563C1"/>
                <w:w w:val="95"/>
              </w:rPr>
            </w:pPr>
            <w:hyperlink w:anchor="page217">
              <w:r>
                <w:rPr>
                  <w:rFonts w:ascii="Times New Roman" w:cs="Times New Roman" w:eastAsia="Times New Roman" w:hAnsi="Times New Roman"/>
                  <w:sz w:val="22"/>
                  <w:szCs w:val="22"/>
                  <w:color w:val="0563C1"/>
                  <w:w w:val="95"/>
                </w:rPr>
                <w:t>General.</w:t>
              </w:r>
            </w:hyperlink>
          </w:p>
        </w:tc>
        <w:tc>
          <w:tcPr>
            <w:tcW w:w="6520" w:type="dxa"/>
            <w:vAlign w:val="bottom"/>
            <w:gridSpan w:val="12"/>
          </w:tcPr>
          <w:p>
            <w:pPr>
              <w:spacing w:after="0"/>
              <w:rPr>
                <w:sz w:val="24"/>
                <w:szCs w:val="24"/>
                <w:color w:val="auto"/>
              </w:rPr>
            </w:pPr>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41</w:t>
              </w:r>
            </w:hyperlink>
          </w:p>
        </w:tc>
      </w:tr>
      <w:tr>
        <w:trPr>
          <w:trHeight w:val="493"/>
        </w:trPr>
        <w:tc>
          <w:tcPr>
            <w:tcW w:w="1200" w:type="dxa"/>
            <w:vAlign w:val="bottom"/>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7.2</w:t>
              </w:r>
            </w:hyperlink>
          </w:p>
        </w:tc>
        <w:tc>
          <w:tcPr>
            <w:tcW w:w="7260" w:type="dxa"/>
            <w:vAlign w:val="bottom"/>
            <w:gridSpan w:val="14"/>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Member Consent.</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41</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7.3</w:t>
              </w:r>
            </w:hyperlink>
          </w:p>
        </w:tc>
        <w:tc>
          <w:tcPr>
            <w:tcW w:w="7260" w:type="dxa"/>
            <w:vAlign w:val="bottom"/>
            <w:gridSpan w:val="14"/>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Member Liability.</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41</w:t>
              </w:r>
            </w:hyperlink>
          </w:p>
        </w:tc>
      </w:tr>
      <w:tr>
        <w:trPr>
          <w:trHeight w:val="493"/>
        </w:trPr>
        <w:tc>
          <w:tcPr>
            <w:tcW w:w="1200" w:type="dxa"/>
            <w:vAlign w:val="bottom"/>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7.4</w:t>
              </w:r>
            </w:hyperlink>
          </w:p>
        </w:tc>
        <w:tc>
          <w:tcPr>
            <w:tcW w:w="7260" w:type="dxa"/>
            <w:vAlign w:val="bottom"/>
            <w:gridSpan w:val="14"/>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Withdrawal.</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42</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7.5</w:t>
              </w:r>
            </w:hyperlink>
          </w:p>
        </w:tc>
        <w:tc>
          <w:tcPr>
            <w:tcW w:w="7260" w:type="dxa"/>
            <w:vAlign w:val="bottom"/>
            <w:gridSpan w:val="14"/>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Member Compensation.</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42</w:t>
              </w:r>
            </w:hyperlink>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7.6</w:t>
              </w:r>
            </w:hyperlink>
          </w:p>
        </w:tc>
        <w:tc>
          <w:tcPr>
            <w:tcW w:w="1360" w:type="dxa"/>
            <w:vAlign w:val="bottom"/>
            <w:tcBorders>
              <w:bottom w:val="single" w:sz="8" w:color="0563C1"/>
            </w:tcBorders>
            <w:gridSpan w:val="7"/>
          </w:tcPr>
          <w:p>
            <w:pPr>
              <w:spacing w:after="0"/>
              <w:rPr>
                <w:rFonts w:ascii="Times New Roman" w:cs="Times New Roman" w:eastAsia="Times New Roman" w:hAnsi="Times New Roman"/>
                <w:sz w:val="22"/>
                <w:szCs w:val="22"/>
                <w:color w:val="0563C1"/>
                <w:w w:val="95"/>
              </w:rPr>
            </w:pPr>
            <w:hyperlink w:anchor="page217">
              <w:r>
                <w:rPr>
                  <w:rFonts w:ascii="Times New Roman" w:cs="Times New Roman" w:eastAsia="Times New Roman" w:hAnsi="Times New Roman"/>
                  <w:sz w:val="22"/>
                  <w:szCs w:val="22"/>
                  <w:color w:val="0563C1"/>
                  <w:w w:val="95"/>
                </w:rPr>
                <w:t>Other Ventures.</w:t>
              </w:r>
            </w:hyperlink>
          </w:p>
        </w:tc>
        <w:tc>
          <w:tcPr>
            <w:tcW w:w="5900" w:type="dxa"/>
            <w:vAlign w:val="bottom"/>
            <w:gridSpan w:val="7"/>
          </w:tcPr>
          <w:p>
            <w:pPr>
              <w:spacing w:after="0"/>
              <w:rPr>
                <w:sz w:val="24"/>
                <w:szCs w:val="24"/>
                <w:color w:val="auto"/>
              </w:rPr>
            </w:pPr>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42</w:t>
              </w:r>
            </w:hyperlink>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7.7</w:t>
              </w:r>
            </w:hyperlink>
          </w:p>
        </w:tc>
        <w:tc>
          <w:tcPr>
            <w:tcW w:w="2220" w:type="dxa"/>
            <w:vAlign w:val="bottom"/>
            <w:tcBorders>
              <w:bottom w:val="single" w:sz="8" w:color="0563C1"/>
            </w:tcBorders>
            <w:gridSpan w:val="13"/>
          </w:tcPr>
          <w:p>
            <w:pPr>
              <w:spacing w:after="0"/>
              <w:rPr>
                <w:rFonts w:ascii="Times New Roman" w:cs="Times New Roman" w:eastAsia="Times New Roman" w:hAnsi="Times New Roman"/>
                <w:sz w:val="22"/>
                <w:szCs w:val="22"/>
                <w:color w:val="0563C1"/>
                <w:w w:val="97"/>
              </w:rPr>
            </w:pPr>
            <w:hyperlink w:anchor="page217">
              <w:r>
                <w:rPr>
                  <w:rFonts w:ascii="Times New Roman" w:cs="Times New Roman" w:eastAsia="Times New Roman" w:hAnsi="Times New Roman"/>
                  <w:sz w:val="22"/>
                  <w:szCs w:val="22"/>
                  <w:color w:val="0563C1"/>
                  <w:w w:val="97"/>
                </w:rPr>
                <w:t>Confidential Information.</w:t>
              </w:r>
            </w:hyperlink>
          </w:p>
        </w:tc>
        <w:tc>
          <w:tcPr>
            <w:tcW w:w="5040" w:type="dxa"/>
            <w:vAlign w:val="bottom"/>
          </w:tcPr>
          <w:p>
            <w:pPr>
              <w:spacing w:after="0"/>
              <w:rPr>
                <w:sz w:val="24"/>
                <w:szCs w:val="24"/>
                <w:color w:val="auto"/>
              </w:rPr>
            </w:pPr>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42</w:t>
              </w:r>
            </w:hyperlink>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7.8</w:t>
              </w:r>
            </w:hyperlink>
          </w:p>
        </w:tc>
        <w:tc>
          <w:tcPr>
            <w:tcW w:w="7260" w:type="dxa"/>
            <w:vAlign w:val="bottom"/>
            <w:gridSpan w:val="14"/>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Company Property.</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45</w:t>
              </w:r>
            </w:hyperlink>
          </w:p>
        </w:tc>
      </w:tr>
      <w:tr>
        <w:trPr>
          <w:trHeight w:val="545"/>
        </w:trPr>
        <w:tc>
          <w:tcPr>
            <w:tcW w:w="8460" w:type="dxa"/>
            <w:vAlign w:val="bottom"/>
            <w:gridSpan w:val="15"/>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8 ADMINISTRATIVE AND TAX MATTERS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45</w:t>
              </w:r>
            </w:hyperlink>
          </w:p>
        </w:tc>
      </w:tr>
      <w:tr>
        <w:trPr>
          <w:trHeight w:val="460"/>
        </w:trPr>
        <w:tc>
          <w:tcPr>
            <w:tcW w:w="8460" w:type="dxa"/>
            <w:vAlign w:val="bottom"/>
            <w:gridSpan w:val="1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8.1  </w:t>
              </w:r>
              <w:r>
                <w:rPr>
                  <w:rFonts w:ascii="Times New Roman" w:cs="Times New Roman" w:eastAsia="Times New Roman" w:hAnsi="Times New Roman"/>
                  <w:sz w:val="22"/>
                  <w:szCs w:val="22"/>
                  <w:u w:val="single" w:color="auto"/>
                  <w:color w:val="0563C1"/>
                </w:rPr>
                <w:t>Intent for Income Tax Purposes.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45</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460" w:type="dxa"/>
            <w:vAlign w:val="bottom"/>
            <w:gridSpan w:val="1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8.2  </w:t>
              </w:r>
              <w:r>
                <w:rPr>
                  <w:rFonts w:ascii="Times New Roman" w:cs="Times New Roman" w:eastAsia="Times New Roman" w:hAnsi="Times New Roman"/>
                  <w:sz w:val="22"/>
                  <w:szCs w:val="22"/>
                  <w:u w:val="single" w:color="auto"/>
                  <w:color w:val="0563C1"/>
                </w:rPr>
                <w:t>Books and Records; Bank Accounts; Company Procedures</w:t>
              </w:r>
              <w:r>
                <w:rPr>
                  <w:rFonts w:ascii="Times New Roman" w:cs="Times New Roman" w:eastAsia="Times New Roman" w:hAnsi="Times New Roman"/>
                  <w:sz w:val="22"/>
                  <w:szCs w:val="22"/>
                  <w:color w:val="0563C1"/>
                </w:rPr>
                <w:t>.</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45</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460" w:type="dxa"/>
            <w:vAlign w:val="bottom"/>
            <w:gridSpan w:val="1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8.3  </w:t>
              </w:r>
              <w:r>
                <w:rPr>
                  <w:rFonts w:ascii="Times New Roman" w:cs="Times New Roman" w:eastAsia="Times New Roman" w:hAnsi="Times New Roman"/>
                  <w:sz w:val="22"/>
                  <w:szCs w:val="22"/>
                  <w:u w:val="single" w:color="auto"/>
                  <w:color w:val="0563C1"/>
                </w:rPr>
                <w:t>Information and Access Rights.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46</w:t>
              </w:r>
            </w:hyperlink>
          </w:p>
        </w:tc>
      </w:tr>
      <w:tr>
        <w:trPr>
          <w:trHeight w:val="493"/>
        </w:trPr>
        <w:tc>
          <w:tcPr>
            <w:tcW w:w="12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8.4</w:t>
              </w:r>
            </w:hyperlink>
          </w:p>
        </w:tc>
        <w:tc>
          <w:tcPr>
            <w:tcW w:w="7260" w:type="dxa"/>
            <w:vAlign w:val="bottom"/>
            <w:gridSpan w:val="14"/>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Reports.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47</w:t>
              </w:r>
            </w:hyperlink>
          </w:p>
        </w:tc>
      </w:tr>
      <w:tr>
        <w:trPr>
          <w:trHeight w:val="493"/>
        </w:trPr>
        <w:tc>
          <w:tcPr>
            <w:tcW w:w="1200" w:type="dxa"/>
            <w:vAlign w:val="bottom"/>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8.5</w:t>
              </w:r>
            </w:hyperlink>
          </w:p>
        </w:tc>
        <w:tc>
          <w:tcPr>
            <w:tcW w:w="7260" w:type="dxa"/>
            <w:vAlign w:val="bottom"/>
            <w:gridSpan w:val="14"/>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Permitted Investments.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48</w:t>
              </w:r>
            </w:hyperlink>
          </w:p>
        </w:tc>
      </w:tr>
      <w:tr>
        <w:trPr>
          <w:trHeight w:val="493"/>
        </w:trPr>
        <w:tc>
          <w:tcPr>
            <w:tcW w:w="12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8.6</w:t>
              </w:r>
            </w:hyperlink>
          </w:p>
        </w:tc>
        <w:tc>
          <w:tcPr>
            <w:tcW w:w="1240" w:type="dxa"/>
            <w:vAlign w:val="bottom"/>
            <w:tcBorders>
              <w:top w:val="single" w:sz="8" w:color="0563C1"/>
              <w:bottom w:val="single" w:sz="8" w:color="0563C1"/>
            </w:tcBorders>
            <w:gridSpan w:val="6"/>
          </w:tcPr>
          <w:p>
            <w:pPr>
              <w:spacing w:after="0"/>
              <w:rPr>
                <w:rFonts w:ascii="Times New Roman" w:cs="Times New Roman" w:eastAsia="Times New Roman" w:hAnsi="Times New Roman"/>
                <w:sz w:val="22"/>
                <w:szCs w:val="22"/>
                <w:color w:val="0563C1"/>
                <w:w w:val="95"/>
              </w:rPr>
            </w:pPr>
            <w:hyperlink w:anchor="page217">
              <w:r>
                <w:rPr>
                  <w:rFonts w:ascii="Times New Roman" w:cs="Times New Roman" w:eastAsia="Times New Roman" w:hAnsi="Times New Roman"/>
                  <w:sz w:val="22"/>
                  <w:szCs w:val="22"/>
                  <w:color w:val="0563C1"/>
                  <w:w w:val="95"/>
                </w:rPr>
                <w:t>Tax Elections.</w:t>
              </w:r>
            </w:hyperlink>
          </w:p>
        </w:tc>
        <w:tc>
          <w:tcPr>
            <w:tcW w:w="740" w:type="dxa"/>
            <w:vAlign w:val="bottom"/>
            <w:tcBorders>
              <w:top w:val="single" w:sz="8" w:color="0563C1"/>
            </w:tcBorders>
            <w:gridSpan w:val="5"/>
          </w:tcPr>
          <w:p>
            <w:pPr>
              <w:spacing w:after="0"/>
              <w:rPr>
                <w:sz w:val="24"/>
                <w:szCs w:val="24"/>
                <w:color w:val="auto"/>
              </w:rPr>
            </w:pPr>
          </w:p>
        </w:tc>
        <w:tc>
          <w:tcPr>
            <w:tcW w:w="5280" w:type="dxa"/>
            <w:vAlign w:val="bottom"/>
            <w:gridSpan w:val="3"/>
          </w:tcPr>
          <w:p>
            <w:pPr>
              <w:spacing w:after="0"/>
              <w:rPr>
                <w:sz w:val="24"/>
                <w:szCs w:val="24"/>
                <w:color w:val="auto"/>
              </w:rPr>
            </w:pPr>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48</w:t>
              </w:r>
            </w:hyperlink>
          </w:p>
        </w:tc>
      </w:tr>
      <w:tr>
        <w:trPr>
          <w:trHeight w:val="493"/>
        </w:trPr>
        <w:tc>
          <w:tcPr>
            <w:tcW w:w="8460" w:type="dxa"/>
            <w:vAlign w:val="bottom"/>
            <w:gridSpan w:val="1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8.7  </w:t>
              </w:r>
              <w:r>
                <w:rPr>
                  <w:rFonts w:ascii="Times New Roman" w:cs="Times New Roman" w:eastAsia="Times New Roman" w:hAnsi="Times New Roman"/>
                  <w:sz w:val="22"/>
                  <w:szCs w:val="22"/>
                  <w:u w:val="single" w:color="auto"/>
                  <w:color w:val="0563C1"/>
                </w:rPr>
                <w:t>Partnership Representative and Company Tax Filings.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49</w:t>
              </w:r>
            </w:hyperlink>
          </w:p>
        </w:tc>
      </w:tr>
      <w:tr>
        <w:trPr>
          <w:trHeight w:val="493"/>
        </w:trPr>
        <w:tc>
          <w:tcPr>
            <w:tcW w:w="12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8.8</w:t>
              </w:r>
            </w:hyperlink>
          </w:p>
        </w:tc>
        <w:tc>
          <w:tcPr>
            <w:tcW w:w="7260" w:type="dxa"/>
            <w:vAlign w:val="bottom"/>
            <w:gridSpan w:val="14"/>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Financial Accounting.</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51</w:t>
              </w:r>
            </w:hyperlink>
          </w:p>
        </w:tc>
      </w:tr>
      <w:tr>
        <w:trPr>
          <w:trHeight w:val="493"/>
        </w:trPr>
        <w:tc>
          <w:tcPr>
            <w:tcW w:w="8460" w:type="dxa"/>
            <w:vAlign w:val="bottom"/>
            <w:gridSpan w:val="1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8.9  </w:t>
              </w:r>
              <w:r>
                <w:rPr>
                  <w:rFonts w:ascii="Times New Roman" w:cs="Times New Roman" w:eastAsia="Times New Roman" w:hAnsi="Times New Roman"/>
                  <w:sz w:val="22"/>
                  <w:szCs w:val="22"/>
                  <w:u w:val="single" w:color="auto"/>
                  <w:color w:val="0563C1"/>
                </w:rPr>
                <w:t>Membership Interest Legend</w:t>
              </w:r>
              <w:r>
                <w:rPr>
                  <w:rFonts w:ascii="Times New Roman" w:cs="Times New Roman" w:eastAsia="Times New Roman" w:hAnsi="Times New Roman"/>
                  <w:sz w:val="22"/>
                  <w:szCs w:val="22"/>
                  <w:color w:val="0563C1"/>
                </w:rPr>
                <w:t>.</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51</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460" w:type="dxa"/>
            <w:vAlign w:val="bottom"/>
            <w:gridSpan w:val="1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8.10  </w:t>
              </w:r>
              <w:r>
                <w:rPr>
                  <w:rFonts w:ascii="Times New Roman" w:cs="Times New Roman" w:eastAsia="Times New Roman" w:hAnsi="Times New Roman"/>
                  <w:sz w:val="22"/>
                  <w:szCs w:val="22"/>
                  <w:u w:val="single" w:color="auto"/>
                  <w:color w:val="0563C1"/>
                </w:rPr>
                <w:t>Representations, Warranties and Covenants of the Members.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51</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1200" w:type="dxa"/>
            <w:vAlign w:val="bottom"/>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8.11</w:t>
              </w:r>
            </w:hyperlink>
          </w:p>
        </w:tc>
        <w:tc>
          <w:tcPr>
            <w:tcW w:w="7260" w:type="dxa"/>
            <w:vAlign w:val="bottom"/>
            <w:gridSpan w:val="14"/>
          </w:tcPr>
          <w:p>
            <w:pPr>
              <w:ind w:left="100"/>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Survival.</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53</w:t>
              </w:r>
            </w:hyperlink>
          </w:p>
        </w:tc>
      </w:tr>
      <w:tr>
        <w:trPr>
          <w:trHeight w:val="20"/>
        </w:trPr>
        <w:tc>
          <w:tcPr>
            <w:tcW w:w="2080" w:type="dxa"/>
            <w:vAlign w:val="bottom"/>
            <w:gridSpan w:val="5"/>
            <w:shd w:val="clear" w:color="auto" w:fill="0563C1"/>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546"/>
        </w:trPr>
        <w:tc>
          <w:tcPr>
            <w:tcW w:w="8460" w:type="dxa"/>
            <w:vAlign w:val="bottom"/>
            <w:gridSpan w:val="15"/>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9 TRANSFERS OF INTERESTS; PURCHASE OPTION</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53</w:t>
              </w:r>
            </w:hyperlink>
          </w:p>
        </w:tc>
      </w:tr>
      <w:tr>
        <w:trPr>
          <w:trHeight w:val="460"/>
        </w:trPr>
        <w:tc>
          <w:tcPr>
            <w:tcW w:w="1200" w:type="dxa"/>
            <w:vAlign w:val="bottom"/>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9.1</w:t>
              </w:r>
            </w:hyperlink>
          </w:p>
        </w:tc>
        <w:tc>
          <w:tcPr>
            <w:tcW w:w="7260" w:type="dxa"/>
            <w:vAlign w:val="bottom"/>
            <w:gridSpan w:val="14"/>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Transfer Restrictions.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53</w:t>
              </w:r>
            </w:hyperlink>
          </w:p>
        </w:tc>
      </w:tr>
      <w:tr>
        <w:trPr>
          <w:trHeight w:val="493"/>
        </w:trPr>
        <w:tc>
          <w:tcPr>
            <w:tcW w:w="12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9.2</w:t>
              </w:r>
            </w:hyperlink>
          </w:p>
        </w:tc>
        <w:tc>
          <w:tcPr>
            <w:tcW w:w="1760" w:type="dxa"/>
            <w:vAlign w:val="bottom"/>
            <w:tcBorders>
              <w:top w:val="single" w:sz="8" w:color="0563C1"/>
              <w:bottom w:val="single" w:sz="8" w:color="0563C1"/>
            </w:tcBorders>
            <w:gridSpan w:val="9"/>
          </w:tcPr>
          <w:p>
            <w:pPr>
              <w:spacing w:after="0"/>
              <w:rPr>
                <w:rFonts w:ascii="Times New Roman" w:cs="Times New Roman" w:eastAsia="Times New Roman" w:hAnsi="Times New Roman"/>
                <w:sz w:val="22"/>
                <w:szCs w:val="22"/>
                <w:color w:val="0563C1"/>
                <w:w w:val="96"/>
              </w:rPr>
            </w:pPr>
            <w:hyperlink w:anchor="page217">
              <w:r>
                <w:rPr>
                  <w:rFonts w:ascii="Times New Roman" w:cs="Times New Roman" w:eastAsia="Times New Roman" w:hAnsi="Times New Roman"/>
                  <w:sz w:val="22"/>
                  <w:szCs w:val="22"/>
                  <w:color w:val="0563C1"/>
                  <w:w w:val="96"/>
                </w:rPr>
                <w:t>Permitted Transfers.</w:t>
              </w:r>
            </w:hyperlink>
          </w:p>
        </w:tc>
        <w:tc>
          <w:tcPr>
            <w:tcW w:w="100" w:type="dxa"/>
            <w:vAlign w:val="bottom"/>
            <w:tcBorders>
              <w:top w:val="single" w:sz="8" w:color="0563C1"/>
            </w:tcBorders>
          </w:tcPr>
          <w:p>
            <w:pPr>
              <w:spacing w:after="0"/>
              <w:rPr>
                <w:sz w:val="24"/>
                <w:szCs w:val="24"/>
                <w:color w:val="auto"/>
              </w:rPr>
            </w:pPr>
          </w:p>
        </w:tc>
        <w:tc>
          <w:tcPr>
            <w:tcW w:w="5400" w:type="dxa"/>
            <w:vAlign w:val="bottom"/>
            <w:gridSpan w:val="4"/>
          </w:tcPr>
          <w:p>
            <w:pPr>
              <w:spacing w:after="0"/>
              <w:rPr>
                <w:sz w:val="24"/>
                <w:szCs w:val="24"/>
                <w:color w:val="auto"/>
              </w:rPr>
            </w:pPr>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53</w:t>
              </w:r>
            </w:hyperlink>
          </w:p>
        </w:tc>
      </w:tr>
      <w:tr>
        <w:trPr>
          <w:trHeight w:val="493"/>
        </w:trPr>
        <w:tc>
          <w:tcPr>
            <w:tcW w:w="8460" w:type="dxa"/>
            <w:vAlign w:val="bottom"/>
            <w:gridSpan w:val="15"/>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9.3  Conditions to Transfers.</w:t>
              </w:r>
            </w:hyperlink>
          </w:p>
        </w:tc>
        <w:tc>
          <w:tcPr>
            <w:tcW w:w="214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53</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ectPr>
          <w:pgSz w:w="11900" w:h="16838" w:orient="portrait"/>
          <w:cols w:equalWidth="0" w:num="1">
            <w:col w:w="10600"/>
          </w:cols>
          <w:pgMar w:left="340" w:top="1440" w:right="959" w:bottom="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0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9.4  </w:t>
              </w:r>
              <w:r>
                <w:rPr>
                  <w:rFonts w:ascii="Times New Roman" w:cs="Times New Roman" w:eastAsia="Times New Roman" w:hAnsi="Times New Roman"/>
                  <w:sz w:val="22"/>
                  <w:szCs w:val="22"/>
                  <w:u w:val="single" w:color="auto"/>
                  <w:color w:val="0563C1"/>
                </w:rPr>
                <w:t>Encumbrances of Membership Interest.</w:t>
              </w:r>
            </w:hyperlink>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55</w:t>
              </w:r>
            </w:hyperlink>
          </w:p>
        </w:tc>
      </w:tr>
      <w:tr>
        <w:trPr>
          <w:trHeight w:val="493"/>
        </w:trPr>
        <w:tc>
          <w:tcPr>
            <w:tcW w:w="1200" w:type="dxa"/>
            <w:vAlign w:val="bottom"/>
            <w:tcBorders>
              <w:top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9.5</w:t>
              </w:r>
            </w:hyperlink>
          </w:p>
        </w:tc>
        <w:tc>
          <w:tcPr>
            <w:tcW w:w="6300" w:type="dxa"/>
            <w:vAlign w:val="bottom"/>
            <w:gridSpan w:val="7"/>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Admission of Transferee as a Member.</w:t>
              </w:r>
            </w:hyperlink>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55</w:t>
              </w:r>
            </w:hyperlink>
          </w:p>
        </w:tc>
      </w:tr>
      <w:tr>
        <w:trPr>
          <w:trHeight w:val="493"/>
        </w:trPr>
        <w:tc>
          <w:tcPr>
            <w:tcW w:w="12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9.6</w:t>
              </w:r>
            </w:hyperlink>
          </w:p>
        </w:tc>
        <w:tc>
          <w:tcPr>
            <w:tcW w:w="1540" w:type="dxa"/>
            <w:vAlign w:val="bottom"/>
            <w:tcBorders>
              <w:top w:val="single" w:sz="8" w:color="0563C1"/>
            </w:tcBorders>
            <w:gridSpan w:val="2"/>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w:t>
              </w:r>
            </w:hyperlink>
          </w:p>
        </w:tc>
        <w:tc>
          <w:tcPr>
            <w:tcW w:w="26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80" w:type="dxa"/>
            <w:vAlign w:val="bottom"/>
            <w:tcBorders>
              <w:top w:val="single" w:sz="8" w:color="0563C1"/>
            </w:tcBorders>
          </w:tcPr>
          <w:p>
            <w:pPr>
              <w:spacing w:after="0"/>
              <w:rPr>
                <w:sz w:val="24"/>
                <w:szCs w:val="24"/>
                <w:color w:val="auto"/>
              </w:rPr>
            </w:pPr>
          </w:p>
        </w:tc>
        <w:tc>
          <w:tcPr>
            <w:tcW w:w="2960" w:type="dxa"/>
            <w:vAlign w:val="bottom"/>
          </w:tcPr>
          <w:p>
            <w:pPr>
              <w:spacing w:after="0"/>
              <w:rPr>
                <w:sz w:val="24"/>
                <w:szCs w:val="24"/>
                <w:color w:val="auto"/>
              </w:rPr>
            </w:pPr>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55</w:t>
              </w:r>
            </w:hyperlink>
          </w:p>
        </w:tc>
      </w:tr>
      <w:tr>
        <w:trPr>
          <w:trHeight w:val="493"/>
        </w:trPr>
        <w:tc>
          <w:tcPr>
            <w:tcW w:w="1200" w:type="dxa"/>
            <w:vAlign w:val="bottom"/>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9.7</w:t>
              </w:r>
            </w:hyperlink>
          </w:p>
        </w:tc>
        <w:tc>
          <w:tcPr>
            <w:tcW w:w="6300" w:type="dxa"/>
            <w:vAlign w:val="bottom"/>
            <w:gridSpan w:val="7"/>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Terminated Member.</w:t>
              </w:r>
            </w:hyperlink>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55</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4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93"/>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9.8</w:t>
              </w:r>
            </w:hyperlink>
          </w:p>
        </w:tc>
        <w:tc>
          <w:tcPr>
            <w:tcW w:w="2220" w:type="dxa"/>
            <w:vAlign w:val="bottom"/>
            <w:tcBorders>
              <w:bottom w:val="single" w:sz="8" w:color="0563C1"/>
            </w:tcBorders>
            <w:gridSpan w:val="4"/>
          </w:tcPr>
          <w:p>
            <w:pPr>
              <w:spacing w:after="0"/>
              <w:rPr>
                <w:rFonts w:ascii="Times New Roman" w:cs="Times New Roman" w:eastAsia="Times New Roman" w:hAnsi="Times New Roman"/>
                <w:sz w:val="22"/>
                <w:szCs w:val="22"/>
                <w:color w:val="0563C1"/>
                <w:w w:val="97"/>
              </w:rPr>
            </w:pPr>
            <w:hyperlink w:anchor="page217">
              <w:r>
                <w:rPr>
                  <w:rFonts w:ascii="Times New Roman" w:cs="Times New Roman" w:eastAsia="Times New Roman" w:hAnsi="Times New Roman"/>
                  <w:sz w:val="22"/>
                  <w:szCs w:val="22"/>
                  <w:color w:val="0563C1"/>
                  <w:w w:val="97"/>
                </w:rPr>
                <w:t>Class B Member Matters.</w:t>
              </w:r>
            </w:hyperlink>
          </w:p>
        </w:tc>
        <w:tc>
          <w:tcPr>
            <w:tcW w:w="4080" w:type="dxa"/>
            <w:vAlign w:val="bottom"/>
            <w:gridSpan w:val="3"/>
          </w:tcPr>
          <w:p>
            <w:pPr>
              <w:spacing w:after="0"/>
              <w:rPr>
                <w:sz w:val="24"/>
                <w:szCs w:val="24"/>
                <w:color w:val="auto"/>
              </w:rPr>
            </w:pPr>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56</w:t>
              </w:r>
            </w:hyperlink>
          </w:p>
        </w:tc>
      </w:tr>
      <w:tr>
        <w:trPr>
          <w:trHeight w:val="545"/>
        </w:trPr>
        <w:tc>
          <w:tcPr>
            <w:tcW w:w="7500" w:type="dxa"/>
            <w:vAlign w:val="bottom"/>
            <w:gridSpan w:val="8"/>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10 [RESERVED]</w:t>
              </w:r>
            </w:hyperlink>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56</w:t>
              </w:r>
            </w:hyperlink>
          </w:p>
        </w:tc>
      </w:tr>
      <w:tr>
        <w:trPr>
          <w:trHeight w:val="513"/>
        </w:trPr>
        <w:tc>
          <w:tcPr>
            <w:tcW w:w="7500" w:type="dxa"/>
            <w:vAlign w:val="bottom"/>
            <w:gridSpan w:val="8"/>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11 Indemnification</w:t>
              </w:r>
            </w:hyperlink>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56</w:t>
              </w:r>
            </w:hyperlink>
          </w:p>
        </w:tc>
      </w:tr>
      <w:tr>
        <w:trPr>
          <w:trHeight w:val="461"/>
        </w:trPr>
        <w:tc>
          <w:tcPr>
            <w:tcW w:w="12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11.1</w:t>
              </w:r>
            </w:hyperlink>
          </w:p>
        </w:tc>
        <w:tc>
          <w:tcPr>
            <w:tcW w:w="100" w:type="dxa"/>
            <w:vAlign w:val="bottom"/>
            <w:tcBorders>
              <w:bottom w:val="single" w:sz="8" w:color="0563C1"/>
            </w:tcBorders>
          </w:tcPr>
          <w:p>
            <w:pPr>
              <w:spacing w:after="0"/>
              <w:rPr>
                <w:sz w:val="24"/>
                <w:szCs w:val="24"/>
                <w:color w:val="auto"/>
              </w:rPr>
            </w:pPr>
          </w:p>
        </w:tc>
        <w:tc>
          <w:tcPr>
            <w:tcW w:w="1440" w:type="dxa"/>
            <w:vAlign w:val="bottom"/>
            <w:tcBorders>
              <w:bottom w:val="single" w:sz="8" w:color="0563C1"/>
            </w:tcBorders>
          </w:tcPr>
          <w:p>
            <w:pPr>
              <w:spacing w:after="0"/>
              <w:rPr>
                <w:rFonts w:ascii="Times New Roman" w:cs="Times New Roman" w:eastAsia="Times New Roman" w:hAnsi="Times New Roman"/>
                <w:sz w:val="22"/>
                <w:szCs w:val="22"/>
                <w:color w:val="0563C1"/>
                <w:w w:val="97"/>
              </w:rPr>
            </w:pPr>
            <w:hyperlink w:anchor="page217">
              <w:r>
                <w:rPr>
                  <w:rFonts w:ascii="Times New Roman" w:cs="Times New Roman" w:eastAsia="Times New Roman" w:hAnsi="Times New Roman"/>
                  <w:sz w:val="22"/>
                  <w:szCs w:val="22"/>
                  <w:color w:val="0563C1"/>
                  <w:w w:val="97"/>
                </w:rPr>
                <w:t>Indemnification.</w:t>
              </w:r>
            </w:hyperlink>
          </w:p>
        </w:tc>
        <w:tc>
          <w:tcPr>
            <w:tcW w:w="4760" w:type="dxa"/>
            <w:vAlign w:val="bottom"/>
            <w:gridSpan w:val="5"/>
          </w:tcPr>
          <w:p>
            <w:pPr>
              <w:spacing w:after="0"/>
              <w:rPr>
                <w:sz w:val="24"/>
                <w:szCs w:val="24"/>
                <w:color w:val="auto"/>
              </w:rPr>
            </w:pPr>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56</w:t>
              </w:r>
            </w:hyperlink>
          </w:p>
        </w:tc>
      </w:tr>
      <w:tr>
        <w:trPr>
          <w:trHeight w:val="493"/>
        </w:trPr>
        <w:tc>
          <w:tcPr>
            <w:tcW w:w="750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11.2  Procedure for Indemnification.</w:t>
              </w:r>
            </w:hyperlink>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57</w:t>
              </w:r>
            </w:hyperlink>
          </w:p>
        </w:tc>
      </w:tr>
      <w:tr>
        <w:trPr>
          <w:trHeight w:val="493"/>
        </w:trPr>
        <w:tc>
          <w:tcPr>
            <w:tcW w:w="12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11.3</w:t>
              </w:r>
            </w:hyperlink>
          </w:p>
        </w:tc>
        <w:tc>
          <w:tcPr>
            <w:tcW w:w="100" w:type="dxa"/>
            <w:vAlign w:val="bottom"/>
            <w:tcBorders>
              <w:top w:val="single" w:sz="8" w:color="0563C1"/>
              <w:bottom w:val="single" w:sz="8" w:color="0563C1"/>
            </w:tcBorders>
          </w:tcPr>
          <w:p>
            <w:pPr>
              <w:spacing w:after="0"/>
              <w:rPr>
                <w:sz w:val="24"/>
                <w:szCs w:val="24"/>
                <w:color w:val="auto"/>
              </w:rPr>
            </w:pPr>
          </w:p>
        </w:tc>
        <w:tc>
          <w:tcPr>
            <w:tcW w:w="2660" w:type="dxa"/>
            <w:vAlign w:val="bottom"/>
            <w:tcBorders>
              <w:top w:val="single" w:sz="8" w:color="0563C1"/>
            </w:tcBorders>
            <w:gridSpan w:val="4"/>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Exclusivity.</w:t>
              </w:r>
            </w:hyperlink>
          </w:p>
        </w:tc>
        <w:tc>
          <w:tcPr>
            <w:tcW w:w="3540" w:type="dxa"/>
            <w:vAlign w:val="bottom"/>
            <w:gridSpan w:val="2"/>
          </w:tcPr>
          <w:p>
            <w:pPr>
              <w:spacing w:after="0"/>
              <w:rPr>
                <w:sz w:val="24"/>
                <w:szCs w:val="24"/>
                <w:color w:val="auto"/>
              </w:rPr>
            </w:pPr>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57</w:t>
              </w:r>
            </w:hyperlink>
          </w:p>
        </w:tc>
      </w:tr>
      <w:tr>
        <w:trPr>
          <w:trHeight w:val="493"/>
        </w:trPr>
        <w:tc>
          <w:tcPr>
            <w:tcW w:w="7500" w:type="dxa"/>
            <w:vAlign w:val="bottom"/>
            <w:gridSpan w:val="8"/>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11.4  </w:t>
              </w:r>
              <w:r>
                <w:rPr>
                  <w:rFonts w:ascii="Times New Roman" w:cs="Times New Roman" w:eastAsia="Times New Roman" w:hAnsi="Times New Roman"/>
                  <w:sz w:val="22"/>
                  <w:szCs w:val="22"/>
                  <w:u w:val="single" w:color="auto"/>
                  <w:color w:val="0563C1"/>
                </w:rPr>
                <w:t>No Right of Contribution.</w:t>
              </w:r>
            </w:hyperlink>
          </w:p>
        </w:tc>
        <w:tc>
          <w:tcPr>
            <w:tcW w:w="31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58</w:t>
              </w:r>
            </w:hyperlink>
          </w:p>
        </w:tc>
      </w:tr>
      <w:tr>
        <w:trPr>
          <w:trHeight w:val="20"/>
        </w:trPr>
        <w:tc>
          <w:tcPr>
            <w:tcW w:w="1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ectPr>
          <w:pgSz w:w="11900" w:h="16838" w:orient="portrait"/>
          <w:cols w:equalWidth="0" w:num="1">
            <w:col w:w="10600"/>
          </w:cols>
          <w:pgMar w:left="340" w:top="278" w:right="959" w:bottom="1440" w:gutter="0" w:footer="0" w:header="0"/>
        </w:sectPr>
      </w:pPr>
    </w:p>
    <w:bookmarkStart w:id="215" w:name="page216"/>
    <w:bookmarkEnd w:id="215"/>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300" w:type="dxa"/>
            <w:vAlign w:val="bottom"/>
            <w:gridSpan w:val="11"/>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11.5  </w:t>
              </w:r>
              <w:r>
                <w:rPr>
                  <w:rFonts w:ascii="Times New Roman" w:cs="Times New Roman" w:eastAsia="Times New Roman" w:hAnsi="Times New Roman"/>
                  <w:sz w:val="22"/>
                  <w:szCs w:val="22"/>
                  <w:u w:val="single" w:color="auto"/>
                  <w:color w:val="0563C1"/>
                </w:rPr>
                <w:t>Limitation on Liability.</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58</w:t>
              </w:r>
            </w:hyperlink>
          </w:p>
        </w:tc>
      </w:tr>
      <w:tr>
        <w:trPr>
          <w:trHeight w:val="493"/>
        </w:trPr>
        <w:tc>
          <w:tcPr>
            <w:tcW w:w="13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11.6</w:t>
              </w:r>
            </w:hyperlink>
          </w:p>
        </w:tc>
        <w:tc>
          <w:tcPr>
            <w:tcW w:w="7000" w:type="dxa"/>
            <w:vAlign w:val="bottom"/>
            <w:gridSpan w:val="10"/>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Entire Agreement.</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58</w:t>
              </w:r>
            </w:hyperlink>
          </w:p>
        </w:tc>
      </w:tr>
      <w:tr>
        <w:trPr>
          <w:trHeight w:val="545"/>
        </w:trPr>
        <w:tc>
          <w:tcPr>
            <w:tcW w:w="8300" w:type="dxa"/>
            <w:vAlign w:val="bottom"/>
            <w:gridSpan w:val="11"/>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12 DISSOLUTION, LIQUIDATION AND TERMINATION</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58</w:t>
              </w:r>
            </w:hyperlink>
          </w:p>
        </w:tc>
      </w:tr>
      <w:tr>
        <w:trPr>
          <w:trHeight w:val="461"/>
        </w:trPr>
        <w:tc>
          <w:tcPr>
            <w:tcW w:w="13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12.1</w:t>
              </w:r>
            </w:hyperlink>
          </w:p>
        </w:tc>
        <w:tc>
          <w:tcPr>
            <w:tcW w:w="1060" w:type="dxa"/>
            <w:vAlign w:val="bottom"/>
            <w:tcBorders>
              <w:bottom w:val="single" w:sz="8" w:color="0563C1"/>
            </w:tcBorders>
            <w:gridSpan w:val="3"/>
          </w:tcPr>
          <w:p>
            <w:pPr>
              <w:spacing w:after="0"/>
              <w:rPr>
                <w:rFonts w:ascii="Times New Roman" w:cs="Times New Roman" w:eastAsia="Times New Roman" w:hAnsi="Times New Roman"/>
                <w:sz w:val="22"/>
                <w:szCs w:val="22"/>
                <w:color w:val="0563C1"/>
                <w:w w:val="97"/>
              </w:rPr>
            </w:pPr>
            <w:hyperlink w:anchor="page217">
              <w:r>
                <w:rPr>
                  <w:rFonts w:ascii="Times New Roman" w:cs="Times New Roman" w:eastAsia="Times New Roman" w:hAnsi="Times New Roman"/>
                  <w:sz w:val="22"/>
                  <w:szCs w:val="22"/>
                  <w:color w:val="0563C1"/>
                  <w:w w:val="97"/>
                </w:rPr>
                <w:t>Dissolution.</w:t>
              </w:r>
            </w:hyperlink>
          </w:p>
        </w:tc>
        <w:tc>
          <w:tcPr>
            <w:tcW w:w="5940" w:type="dxa"/>
            <w:vAlign w:val="bottom"/>
            <w:gridSpan w:val="7"/>
          </w:tcPr>
          <w:p>
            <w:pPr>
              <w:spacing w:after="0"/>
              <w:rPr>
                <w:sz w:val="24"/>
                <w:szCs w:val="24"/>
                <w:color w:val="auto"/>
              </w:rPr>
            </w:pPr>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58</w:t>
              </w:r>
            </w:hyperlink>
          </w:p>
        </w:tc>
      </w:tr>
      <w:tr>
        <w:trPr>
          <w:trHeight w:val="493"/>
        </w:trPr>
        <w:tc>
          <w:tcPr>
            <w:tcW w:w="8300" w:type="dxa"/>
            <w:vAlign w:val="bottom"/>
            <w:gridSpan w:val="11"/>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12.2  </w:t>
              </w:r>
              <w:r>
                <w:rPr>
                  <w:rFonts w:ascii="Times New Roman" w:cs="Times New Roman" w:eastAsia="Times New Roman" w:hAnsi="Times New Roman"/>
                  <w:sz w:val="22"/>
                  <w:szCs w:val="22"/>
                  <w:u w:val="single" w:color="auto"/>
                  <w:color w:val="0563C1"/>
                </w:rPr>
                <w:t>Liquidation and Termination.</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59</w:t>
              </w:r>
            </w:hyperlink>
          </w:p>
        </w:tc>
      </w:tr>
      <w:tr>
        <w:trPr>
          <w:trHeight w:val="20"/>
        </w:trPr>
        <w:tc>
          <w:tcPr>
            <w:tcW w:w="1300" w:type="dxa"/>
            <w:vAlign w:val="bottom"/>
            <w:shd w:val="clear" w:color="auto" w:fill="0563C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93"/>
        </w:trPr>
        <w:tc>
          <w:tcPr>
            <w:tcW w:w="8300" w:type="dxa"/>
            <w:vAlign w:val="bottom"/>
            <w:gridSpan w:val="11"/>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12.3  </w:t>
              </w:r>
              <w:r>
                <w:rPr>
                  <w:rFonts w:ascii="Times New Roman" w:cs="Times New Roman" w:eastAsia="Times New Roman" w:hAnsi="Times New Roman"/>
                  <w:sz w:val="22"/>
                  <w:szCs w:val="22"/>
                  <w:u w:val="single" w:color="auto"/>
                  <w:color w:val="0563C1"/>
                </w:rPr>
                <w:t>Deficit Capital Accounts.</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60</w:t>
              </w:r>
            </w:hyperlink>
          </w:p>
        </w:tc>
      </w:tr>
      <w:tr>
        <w:trPr>
          <w:trHeight w:val="493"/>
        </w:trPr>
        <w:tc>
          <w:tcPr>
            <w:tcW w:w="13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12.4</w:t>
              </w:r>
            </w:hyperlink>
          </w:p>
        </w:tc>
        <w:tc>
          <w:tcPr>
            <w:tcW w:w="1120" w:type="dxa"/>
            <w:vAlign w:val="bottom"/>
            <w:tcBorders>
              <w:bottom w:val="single" w:sz="8" w:color="0563C1"/>
            </w:tcBorders>
            <w:gridSpan w:val="4"/>
          </w:tcPr>
          <w:p>
            <w:pPr>
              <w:spacing w:after="0"/>
              <w:rPr>
                <w:rFonts w:ascii="Times New Roman" w:cs="Times New Roman" w:eastAsia="Times New Roman" w:hAnsi="Times New Roman"/>
                <w:sz w:val="22"/>
                <w:szCs w:val="22"/>
                <w:color w:val="0563C1"/>
                <w:w w:val="96"/>
              </w:rPr>
            </w:pPr>
            <w:hyperlink w:anchor="page217">
              <w:r>
                <w:rPr>
                  <w:rFonts w:ascii="Times New Roman" w:cs="Times New Roman" w:eastAsia="Times New Roman" w:hAnsi="Times New Roman"/>
                  <w:sz w:val="22"/>
                  <w:szCs w:val="22"/>
                  <w:color w:val="0563C1"/>
                  <w:w w:val="96"/>
                </w:rPr>
                <w:t>Termination.</w:t>
              </w:r>
            </w:hyperlink>
          </w:p>
        </w:tc>
        <w:tc>
          <w:tcPr>
            <w:tcW w:w="5880" w:type="dxa"/>
            <w:vAlign w:val="bottom"/>
            <w:gridSpan w:val="6"/>
          </w:tcPr>
          <w:p>
            <w:pPr>
              <w:spacing w:after="0"/>
              <w:rPr>
                <w:sz w:val="24"/>
                <w:szCs w:val="24"/>
                <w:color w:val="auto"/>
              </w:rPr>
            </w:pPr>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60</w:t>
              </w:r>
            </w:hyperlink>
          </w:p>
        </w:tc>
      </w:tr>
      <w:tr>
        <w:trPr>
          <w:trHeight w:val="545"/>
        </w:trPr>
        <w:tc>
          <w:tcPr>
            <w:tcW w:w="8300" w:type="dxa"/>
            <w:vAlign w:val="bottom"/>
            <w:gridSpan w:val="11"/>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ARTICLE 13 GENERAL PROVISIONS</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61</w:t>
              </w:r>
            </w:hyperlink>
          </w:p>
        </w:tc>
      </w:tr>
      <w:tr>
        <w:trPr>
          <w:trHeight w:val="461"/>
        </w:trPr>
        <w:tc>
          <w:tcPr>
            <w:tcW w:w="13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13.1</w:t>
              </w:r>
            </w:hyperlink>
          </w:p>
        </w:tc>
        <w:tc>
          <w:tcPr>
            <w:tcW w:w="600" w:type="dxa"/>
            <w:vAlign w:val="bottom"/>
            <w:tcBorders>
              <w:bottom w:val="single" w:sz="8" w:color="0563C1"/>
            </w:tcBorders>
          </w:tcPr>
          <w:p>
            <w:pPr>
              <w:spacing w:after="0"/>
              <w:rPr>
                <w:rFonts w:ascii="Times New Roman" w:cs="Times New Roman" w:eastAsia="Times New Roman" w:hAnsi="Times New Roman"/>
                <w:sz w:val="22"/>
                <w:szCs w:val="22"/>
                <w:color w:val="0563C1"/>
                <w:w w:val="95"/>
              </w:rPr>
            </w:pPr>
            <w:hyperlink w:anchor="page217">
              <w:r>
                <w:rPr>
                  <w:rFonts w:ascii="Times New Roman" w:cs="Times New Roman" w:eastAsia="Times New Roman" w:hAnsi="Times New Roman"/>
                  <w:sz w:val="22"/>
                  <w:szCs w:val="22"/>
                  <w:color w:val="0563C1"/>
                  <w:w w:val="95"/>
                </w:rPr>
                <w:t>Offset.</w:t>
              </w:r>
            </w:hyperlink>
          </w:p>
        </w:tc>
        <w:tc>
          <w:tcPr>
            <w:tcW w:w="6400" w:type="dxa"/>
            <w:vAlign w:val="bottom"/>
            <w:gridSpan w:val="9"/>
          </w:tcPr>
          <w:p>
            <w:pPr>
              <w:spacing w:after="0"/>
              <w:rPr>
                <w:sz w:val="24"/>
                <w:szCs w:val="24"/>
                <w:color w:val="auto"/>
              </w:rPr>
            </w:pPr>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61</w:t>
              </w:r>
            </w:hyperlink>
          </w:p>
        </w:tc>
      </w:tr>
      <w:tr>
        <w:trPr>
          <w:trHeight w:val="493"/>
        </w:trPr>
        <w:tc>
          <w:tcPr>
            <w:tcW w:w="13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13.2</w:t>
              </w:r>
            </w:hyperlink>
          </w:p>
        </w:tc>
        <w:tc>
          <w:tcPr>
            <w:tcW w:w="720" w:type="dxa"/>
            <w:vAlign w:val="bottom"/>
            <w:tcBorders>
              <w:bottom w:val="single" w:sz="8" w:color="0563C1"/>
            </w:tcBorders>
            <w:gridSpan w:val="2"/>
          </w:tcPr>
          <w:p>
            <w:pPr>
              <w:spacing w:after="0"/>
              <w:rPr>
                <w:rFonts w:ascii="Times New Roman" w:cs="Times New Roman" w:eastAsia="Times New Roman" w:hAnsi="Times New Roman"/>
                <w:sz w:val="22"/>
                <w:szCs w:val="22"/>
                <w:color w:val="0563C1"/>
                <w:w w:val="96"/>
              </w:rPr>
            </w:pPr>
            <w:hyperlink w:anchor="page217">
              <w:r>
                <w:rPr>
                  <w:rFonts w:ascii="Times New Roman" w:cs="Times New Roman" w:eastAsia="Times New Roman" w:hAnsi="Times New Roman"/>
                  <w:sz w:val="22"/>
                  <w:szCs w:val="22"/>
                  <w:color w:val="0563C1"/>
                  <w:w w:val="96"/>
                </w:rPr>
                <w:t>Notices.</w:t>
              </w:r>
            </w:hyperlink>
          </w:p>
        </w:tc>
        <w:tc>
          <w:tcPr>
            <w:tcW w:w="6280" w:type="dxa"/>
            <w:vAlign w:val="bottom"/>
            <w:gridSpan w:val="8"/>
          </w:tcPr>
          <w:p>
            <w:pPr>
              <w:spacing w:after="0"/>
              <w:rPr>
                <w:sz w:val="24"/>
                <w:szCs w:val="24"/>
                <w:color w:val="auto"/>
              </w:rPr>
            </w:pPr>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61</w:t>
              </w:r>
            </w:hyperlink>
          </w:p>
        </w:tc>
      </w:tr>
      <w:tr>
        <w:trPr>
          <w:trHeight w:val="493"/>
        </w:trPr>
        <w:tc>
          <w:tcPr>
            <w:tcW w:w="13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13.3</w:t>
              </w:r>
            </w:hyperlink>
          </w:p>
        </w:tc>
        <w:tc>
          <w:tcPr>
            <w:tcW w:w="7000" w:type="dxa"/>
            <w:vAlign w:val="bottom"/>
            <w:gridSpan w:val="10"/>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Counterparts.</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61</w:t>
              </w:r>
            </w:hyperlink>
          </w:p>
        </w:tc>
      </w:tr>
      <w:tr>
        <w:trPr>
          <w:trHeight w:val="493"/>
        </w:trPr>
        <w:tc>
          <w:tcPr>
            <w:tcW w:w="8300" w:type="dxa"/>
            <w:vAlign w:val="bottom"/>
            <w:gridSpan w:val="11"/>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 xml:space="preserve">Section 13.4  </w:t>
              </w:r>
              <w:r>
                <w:rPr>
                  <w:rFonts w:ascii="Times New Roman" w:cs="Times New Roman" w:eastAsia="Times New Roman" w:hAnsi="Times New Roman"/>
                  <w:sz w:val="22"/>
                  <w:szCs w:val="22"/>
                  <w:u w:val="single" w:color="auto"/>
                  <w:color w:val="0563C1"/>
                </w:rPr>
                <w:t>Governing Law and Severability.</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61</w:t>
              </w:r>
            </w:hyperlink>
          </w:p>
        </w:tc>
      </w:tr>
      <w:tr>
        <w:trPr>
          <w:trHeight w:val="493"/>
        </w:trPr>
        <w:tc>
          <w:tcPr>
            <w:tcW w:w="13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13.5</w:t>
              </w:r>
            </w:hyperlink>
          </w:p>
        </w:tc>
        <w:tc>
          <w:tcPr>
            <w:tcW w:w="7000" w:type="dxa"/>
            <w:vAlign w:val="bottom"/>
            <w:gridSpan w:val="10"/>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Entire Agreement.</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61</w:t>
              </w:r>
            </w:hyperlink>
          </w:p>
        </w:tc>
      </w:tr>
      <w:tr>
        <w:trPr>
          <w:trHeight w:val="493"/>
        </w:trPr>
        <w:tc>
          <w:tcPr>
            <w:tcW w:w="8300" w:type="dxa"/>
            <w:vAlign w:val="bottom"/>
            <w:gridSpan w:val="11"/>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13.6  Effect of Waiver or Consent.</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62</w:t>
              </w:r>
            </w:hyperlink>
          </w:p>
        </w:tc>
      </w:tr>
      <w:tr>
        <w:trPr>
          <w:trHeight w:val="20"/>
        </w:trPr>
        <w:tc>
          <w:tcPr>
            <w:tcW w:w="2480" w:type="dxa"/>
            <w:vAlign w:val="bottom"/>
            <w:gridSpan w:val="6"/>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93"/>
        </w:trPr>
        <w:tc>
          <w:tcPr>
            <w:tcW w:w="8300" w:type="dxa"/>
            <w:vAlign w:val="bottom"/>
            <w:gridSpan w:val="11"/>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13.7  Amendment or Modification.</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62</w:t>
              </w:r>
            </w:hyperlink>
          </w:p>
        </w:tc>
      </w:tr>
      <w:tr>
        <w:trPr>
          <w:trHeight w:val="493"/>
        </w:trPr>
        <w:tc>
          <w:tcPr>
            <w:tcW w:w="1300" w:type="dxa"/>
            <w:vAlign w:val="bottom"/>
            <w:tcBorders>
              <w:top w:val="single" w:sz="8" w:color="0563C1"/>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13.8</w:t>
              </w:r>
            </w:hyperlink>
          </w:p>
        </w:tc>
        <w:tc>
          <w:tcPr>
            <w:tcW w:w="2540" w:type="dxa"/>
            <w:vAlign w:val="bottom"/>
            <w:tcBorders>
              <w:top w:val="single" w:sz="8" w:color="0563C1"/>
            </w:tcBorders>
            <w:gridSpan w:val="8"/>
          </w:tcPr>
          <w:p>
            <w:pPr>
              <w:spacing w:after="0"/>
              <w:rPr>
                <w:rFonts w:ascii="Times New Roman" w:cs="Times New Roman" w:eastAsia="Times New Roman" w:hAnsi="Times New Roman"/>
                <w:sz w:val="22"/>
                <w:szCs w:val="22"/>
                <w:u w:val="single" w:color="auto"/>
                <w:color w:val="0563C1"/>
              </w:rPr>
            </w:pPr>
            <w:hyperlink w:anchor="page217">
              <w:r>
                <w:rPr>
                  <w:rFonts w:ascii="Times New Roman" w:cs="Times New Roman" w:eastAsia="Times New Roman" w:hAnsi="Times New Roman"/>
                  <w:sz w:val="22"/>
                  <w:szCs w:val="22"/>
                  <w:u w:val="single" w:color="auto"/>
                  <w:color w:val="0563C1"/>
                </w:rPr>
                <w:t>Binding Effect.</w:t>
              </w:r>
            </w:hyperlink>
          </w:p>
        </w:tc>
        <w:tc>
          <w:tcPr>
            <w:tcW w:w="4460" w:type="dxa"/>
            <w:vAlign w:val="bottom"/>
            <w:gridSpan w:val="2"/>
          </w:tcPr>
          <w:p>
            <w:pPr>
              <w:spacing w:after="0"/>
              <w:rPr>
                <w:sz w:val="24"/>
                <w:szCs w:val="24"/>
                <w:color w:val="auto"/>
              </w:rPr>
            </w:pPr>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62</w:t>
              </w:r>
            </w:hyperlink>
          </w:p>
        </w:tc>
      </w:tr>
      <w:tr>
        <w:trPr>
          <w:trHeight w:val="493"/>
        </w:trPr>
        <w:tc>
          <w:tcPr>
            <w:tcW w:w="13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13.9</w:t>
              </w:r>
            </w:hyperlink>
          </w:p>
        </w:tc>
        <w:tc>
          <w:tcPr>
            <w:tcW w:w="1740" w:type="dxa"/>
            <w:vAlign w:val="bottom"/>
            <w:tcBorders>
              <w:bottom w:val="single" w:sz="8" w:color="0563C1"/>
            </w:tcBorders>
            <w:gridSpan w:val="6"/>
          </w:tcPr>
          <w:p>
            <w:pPr>
              <w:spacing w:after="0"/>
              <w:rPr>
                <w:rFonts w:ascii="Times New Roman" w:cs="Times New Roman" w:eastAsia="Times New Roman" w:hAnsi="Times New Roman"/>
                <w:sz w:val="22"/>
                <w:szCs w:val="22"/>
                <w:color w:val="0563C1"/>
                <w:w w:val="97"/>
              </w:rPr>
            </w:pPr>
            <w:hyperlink w:anchor="page217">
              <w:r>
                <w:rPr>
                  <w:rFonts w:ascii="Times New Roman" w:cs="Times New Roman" w:eastAsia="Times New Roman" w:hAnsi="Times New Roman"/>
                  <w:sz w:val="22"/>
                  <w:szCs w:val="22"/>
                  <w:color w:val="0563C1"/>
                  <w:w w:val="97"/>
                </w:rPr>
                <w:t>Further Assurances.</w:t>
              </w:r>
            </w:hyperlink>
          </w:p>
        </w:tc>
        <w:tc>
          <w:tcPr>
            <w:tcW w:w="5260" w:type="dxa"/>
            <w:vAlign w:val="bottom"/>
            <w:gridSpan w:val="4"/>
          </w:tcPr>
          <w:p>
            <w:pPr>
              <w:spacing w:after="0"/>
              <w:rPr>
                <w:sz w:val="24"/>
                <w:szCs w:val="24"/>
                <w:color w:val="auto"/>
              </w:rPr>
            </w:pPr>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62</w:t>
              </w:r>
            </w:hyperlink>
          </w:p>
        </w:tc>
      </w:tr>
      <w:tr>
        <w:trPr>
          <w:trHeight w:val="493"/>
        </w:trPr>
        <w:tc>
          <w:tcPr>
            <w:tcW w:w="1300" w:type="dxa"/>
            <w:vAlign w:val="bottom"/>
            <w:tcBorders>
              <w:bottom w:val="single" w:sz="8" w:color="0563C1"/>
            </w:tcBorders>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13.10</w:t>
              </w:r>
            </w:hyperlink>
          </w:p>
        </w:tc>
        <w:tc>
          <w:tcPr>
            <w:tcW w:w="1180" w:type="dxa"/>
            <w:vAlign w:val="bottom"/>
            <w:tcBorders>
              <w:bottom w:val="single" w:sz="8" w:color="0563C1"/>
            </w:tcBorders>
            <w:gridSpan w:val="5"/>
          </w:tcPr>
          <w:p>
            <w:pPr>
              <w:ind w:left="120"/>
              <w:spacing w:after="0"/>
              <w:rPr>
                <w:rFonts w:ascii="Times New Roman" w:cs="Times New Roman" w:eastAsia="Times New Roman" w:hAnsi="Times New Roman"/>
                <w:sz w:val="22"/>
                <w:szCs w:val="22"/>
                <w:color w:val="0563C1"/>
                <w:w w:val="96"/>
              </w:rPr>
            </w:pPr>
            <w:hyperlink w:anchor="page217">
              <w:r>
                <w:rPr>
                  <w:rFonts w:ascii="Times New Roman" w:cs="Times New Roman" w:eastAsia="Times New Roman" w:hAnsi="Times New Roman"/>
                  <w:sz w:val="22"/>
                  <w:szCs w:val="22"/>
                  <w:color w:val="0563C1"/>
                  <w:w w:val="96"/>
                </w:rPr>
                <w:t>Jurisdiction.</w:t>
              </w:r>
            </w:hyperlink>
          </w:p>
        </w:tc>
        <w:tc>
          <w:tcPr>
            <w:tcW w:w="5820" w:type="dxa"/>
            <w:vAlign w:val="bottom"/>
            <w:gridSpan w:val="5"/>
          </w:tcPr>
          <w:p>
            <w:pPr>
              <w:spacing w:after="0"/>
              <w:rPr>
                <w:sz w:val="24"/>
                <w:szCs w:val="24"/>
                <w:color w:val="auto"/>
              </w:rPr>
            </w:pPr>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62</w:t>
              </w:r>
            </w:hyperlink>
          </w:p>
        </w:tc>
      </w:tr>
      <w:tr>
        <w:trPr>
          <w:trHeight w:val="493"/>
        </w:trPr>
        <w:tc>
          <w:tcPr>
            <w:tcW w:w="8300" w:type="dxa"/>
            <w:vAlign w:val="bottom"/>
            <w:gridSpan w:val="11"/>
          </w:tcPr>
          <w:p>
            <w:pPr>
              <w:spacing w:after="0"/>
              <w:rPr>
                <w:rFonts w:ascii="Times New Roman" w:cs="Times New Roman" w:eastAsia="Times New Roman" w:hAnsi="Times New Roman"/>
                <w:sz w:val="22"/>
                <w:szCs w:val="22"/>
                <w:color w:val="0563C1"/>
              </w:rPr>
            </w:pPr>
            <w:hyperlink w:anchor="page217">
              <w:r>
                <w:rPr>
                  <w:rFonts w:ascii="Times New Roman" w:cs="Times New Roman" w:eastAsia="Times New Roman" w:hAnsi="Times New Roman"/>
                  <w:sz w:val="22"/>
                  <w:szCs w:val="22"/>
                  <w:color w:val="0563C1"/>
                </w:rPr>
                <w:t>Section 13.11  LIMITATION ON LIABILITY.</w:t>
              </w:r>
            </w:hyperlink>
          </w:p>
        </w:tc>
        <w:tc>
          <w:tcPr>
            <w:tcW w:w="2300" w:type="dxa"/>
            <w:vAlign w:val="bottom"/>
          </w:tcPr>
          <w:p>
            <w:pPr>
              <w:jc w:val="right"/>
              <w:spacing w:after="0"/>
              <w:rPr>
                <w:rFonts w:ascii="Times New Roman" w:cs="Times New Roman" w:eastAsia="Times New Roman" w:hAnsi="Times New Roman"/>
                <w:sz w:val="22"/>
                <w:szCs w:val="22"/>
                <w:u w:val="single" w:color="auto"/>
                <w:color w:val="auto"/>
              </w:rPr>
            </w:pPr>
            <w:hyperlink w:anchor="page217">
              <w:r>
                <w:rPr>
                  <w:rFonts w:ascii="Times New Roman" w:cs="Times New Roman" w:eastAsia="Times New Roman" w:hAnsi="Times New Roman"/>
                  <w:sz w:val="22"/>
                  <w:szCs w:val="22"/>
                  <w:u w:val="single" w:color="auto"/>
                  <w:color w:val="auto"/>
                </w:rPr>
                <w:t>62</w:t>
              </w:r>
            </w:hyperlink>
          </w:p>
        </w:tc>
      </w:tr>
      <w:tr>
        <w:trPr>
          <w:trHeight w:val="20"/>
        </w:trPr>
        <w:tc>
          <w:tcPr>
            <w:tcW w:w="130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ectPr>
          <w:pgSz w:w="11900" w:h="16838" w:orient="portrait"/>
          <w:cols w:equalWidth="0" w:num="1">
            <w:col w:w="10600"/>
          </w:cols>
          <w:pgMar w:left="340" w:top="1440" w:right="9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1"/>
          <w:szCs w:val="21"/>
          <w:u w:val="single" w:color="auto"/>
          <w:color w:val="auto"/>
        </w:rPr>
        <w:t>ANNEXES, SCHEDULES AND EXHIBITS</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22" w:right="1440"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AND RESTATED LIMITED LIABILITY COMPANY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PINNACLE REPOWERING PARTNERSHIP LLC</w:t>
      </w:r>
    </w:p>
    <w:p>
      <w:pPr>
        <w:spacing w:after="0" w:line="15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SECOND AMENDED AND RESTATED LIMITED LIABILITY COMPANY AGREEMENT OF PINNACLE REPOWERING PARTNERSHIP LLC, dated as of February 26, 2021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by and between CWEN Pinnacle Repowering Holdco LLC, a Delaware limited liability company (the “</w:t>
      </w:r>
      <w:r>
        <w:rPr>
          <w:rFonts w:ascii="Times New Roman" w:cs="Times New Roman" w:eastAsia="Times New Roman" w:hAnsi="Times New Roman"/>
          <w:sz w:val="22"/>
          <w:szCs w:val="22"/>
          <w:b w:val="1"/>
          <w:bCs w:val="1"/>
          <w:color w:val="auto"/>
        </w:rPr>
        <w:t>Initial Class A Member</w:t>
      </w:r>
      <w:r>
        <w:rPr>
          <w:rFonts w:ascii="Times New Roman" w:cs="Times New Roman" w:eastAsia="Times New Roman" w:hAnsi="Times New Roman"/>
          <w:sz w:val="22"/>
          <w:szCs w:val="22"/>
          <w:color w:val="auto"/>
        </w:rPr>
        <w:t>”), as a Class A Member, and CWSP Pinnacle Holding LLC, a Delaware limited liability company (the “</w:t>
      </w:r>
      <w:r>
        <w:rPr>
          <w:rFonts w:ascii="Times New Roman" w:cs="Times New Roman" w:eastAsia="Times New Roman" w:hAnsi="Times New Roman"/>
          <w:sz w:val="22"/>
          <w:szCs w:val="22"/>
          <w:b w:val="1"/>
          <w:bCs w:val="1"/>
          <w:color w:val="auto"/>
        </w:rPr>
        <w:t>Initial Class B Member</w:t>
      </w:r>
      <w:r>
        <w:rPr>
          <w:rFonts w:ascii="Times New Roman" w:cs="Times New Roman" w:eastAsia="Times New Roman" w:hAnsi="Times New Roman"/>
          <w:sz w:val="22"/>
          <w:szCs w:val="22"/>
          <w:color w:val="auto"/>
        </w:rPr>
        <w:t>”), as a Class B Member, and amends and restates in its entirety that certain Limited Liability Company Agreement of Pinnacle Repowering Partnership LLC, dated as of April 17, 2020, by and between the Initial Class A Member and the Initial Class B Member (the “</w:t>
      </w:r>
      <w:r>
        <w:rPr>
          <w:rFonts w:ascii="Times New Roman" w:cs="Times New Roman" w:eastAsia="Times New Roman" w:hAnsi="Times New Roman"/>
          <w:sz w:val="22"/>
          <w:szCs w:val="22"/>
          <w:b w:val="1"/>
          <w:bCs w:val="1"/>
          <w:color w:val="auto"/>
        </w:rPr>
        <w:t>Original LLC Agreement</w:t>
      </w:r>
      <w:r>
        <w:rPr>
          <w:rFonts w:ascii="Times New Roman" w:cs="Times New Roman" w:eastAsia="Times New Roman" w:hAnsi="Times New Roman"/>
          <w:sz w:val="22"/>
          <w:szCs w:val="22"/>
          <w:color w:val="auto"/>
        </w:rPr>
        <w:t>”). Capitalized terms used herein shall have the meanings assigned to them in Section 1.1 hereof.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jc w:val="both"/>
        <w:ind w:firstLine="656"/>
        <w:spacing w:after="0" w:line="251" w:lineRule="auto"/>
        <w:tabs>
          <w:tab w:leader="none" w:pos="1155"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PINNACLE REPOWERING PARTNERSHIP LLC, a Delaware limited liability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was formed pursuant to the Act on February 7, 2020, by virtue of its Certificate of Formation (the “</w:t>
      </w:r>
      <w:r>
        <w:rPr>
          <w:rFonts w:ascii="Times New Roman" w:cs="Times New Roman" w:eastAsia="Times New Roman" w:hAnsi="Times New Roman"/>
          <w:sz w:val="22"/>
          <w:szCs w:val="22"/>
          <w:b w:val="1"/>
          <w:bCs w:val="1"/>
          <w:color w:val="auto"/>
        </w:rPr>
        <w:t>Delaware Certificate</w:t>
      </w:r>
      <w:r>
        <w:rPr>
          <w:rFonts w:ascii="Times New Roman" w:cs="Times New Roman" w:eastAsia="Times New Roman" w:hAnsi="Times New Roman"/>
          <w:sz w:val="22"/>
          <w:szCs w:val="22"/>
          <w:color w:val="auto"/>
        </w:rPr>
        <w:t>”) filed with the Secretary of State of the State of Delaware. From its formation until the date of the Original LLC Agreement, the Company was governed by that Limited Liability Company Agreement of the Company, dated as of February 7, 2020, which was amended and restated by the Original LLC Agreement.</w:t>
      </w:r>
    </w:p>
    <w:p>
      <w:pPr>
        <w:spacing w:after="0" w:line="139" w:lineRule="exact"/>
        <w:rPr>
          <w:rFonts w:ascii="Times New Roman" w:cs="Times New Roman" w:eastAsia="Times New Roman" w:hAnsi="Times New Roman"/>
          <w:sz w:val="22"/>
          <w:szCs w:val="22"/>
          <w:color w:val="auto"/>
        </w:rPr>
      </w:pPr>
    </w:p>
    <w:p>
      <w:pPr>
        <w:ind w:right="20" w:firstLine="656"/>
        <w:spacing w:after="0" w:line="271" w:lineRule="auto"/>
        <w:tabs>
          <w:tab w:leader="none" w:pos="116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owns 100% of the equity interests in Pinnacle Repowering Partnership Holdco, LLC, a Delaware limited liability company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firstLine="656"/>
        <w:spacing w:after="0" w:line="275" w:lineRule="auto"/>
        <w:tabs>
          <w:tab w:leader="none" w:pos="1197"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owns 100% of the equity interests in Pinnacle Repowering Tax Equity Holdco LLC (“</w:t>
      </w:r>
      <w:r>
        <w:rPr>
          <w:rFonts w:ascii="Times New Roman" w:cs="Times New Roman" w:eastAsia="Times New Roman" w:hAnsi="Times New Roman"/>
          <w:sz w:val="22"/>
          <w:szCs w:val="22"/>
          <w:b w:val="1"/>
          <w:bCs w:val="1"/>
          <w:color w:val="auto"/>
        </w:rPr>
        <w:t>Pinnacle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Holdco</w:t>
      </w:r>
      <w:r>
        <w:rPr>
          <w:rFonts w:ascii="Times New Roman" w:cs="Times New Roman" w:eastAsia="Times New Roman" w:hAnsi="Times New Roman"/>
          <w:sz w:val="22"/>
          <w:szCs w:val="22"/>
          <w:color w:val="auto"/>
        </w:rPr>
        <w:t>”), a Delaware limited liability company.</w:t>
      </w:r>
    </w:p>
    <w:p>
      <w:pPr>
        <w:spacing w:after="0" w:line="108" w:lineRule="exact"/>
        <w:rPr>
          <w:rFonts w:ascii="Times New Roman" w:cs="Times New Roman" w:eastAsia="Times New Roman" w:hAnsi="Times New Roman"/>
          <w:sz w:val="22"/>
          <w:szCs w:val="22"/>
          <w:color w:val="auto"/>
        </w:rPr>
      </w:pPr>
    </w:p>
    <w:p>
      <w:pPr>
        <w:jc w:val="both"/>
        <w:ind w:firstLine="656"/>
        <w:spacing w:after="0" w:line="251" w:lineRule="auto"/>
        <w:tabs>
          <w:tab w:leader="none" w:pos="1224"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Clearway Energy Operating LLC, a Delaware limited liability company (the “</w:t>
      </w:r>
      <w:r>
        <w:rPr>
          <w:rFonts w:ascii="Times New Roman" w:cs="Times New Roman" w:eastAsia="Times New Roman" w:hAnsi="Times New Roman"/>
          <w:sz w:val="22"/>
          <w:szCs w:val="22"/>
          <w:b w:val="1"/>
          <w:bCs w:val="1"/>
          <w:color w:val="auto"/>
        </w:rPr>
        <w:t>Class A Member Guarantor</w:t>
      </w:r>
      <w:r>
        <w:rPr>
          <w:rFonts w:ascii="Times New Roman" w:cs="Times New Roman" w:eastAsia="Times New Roman" w:hAnsi="Times New Roman"/>
          <w:sz w:val="22"/>
          <w:szCs w:val="22"/>
          <w:color w:val="auto"/>
        </w:rPr>
        <w:t>”) indirectly owns 100% of the equity interests in (a) the Initial Class A Member and (b) Tapestry Wind, LLC, a Delaware limited liability company (“</w:t>
      </w:r>
      <w:r>
        <w:rPr>
          <w:rFonts w:ascii="Times New Roman" w:cs="Times New Roman" w:eastAsia="Times New Roman" w:hAnsi="Times New Roman"/>
          <w:sz w:val="22"/>
          <w:szCs w:val="22"/>
          <w:b w:val="1"/>
          <w:bCs w:val="1"/>
          <w:color w:val="auto"/>
        </w:rPr>
        <w:t>Tapestry Wind</w:t>
      </w:r>
      <w:r>
        <w:rPr>
          <w:rFonts w:ascii="Times New Roman" w:cs="Times New Roman" w:eastAsia="Times New Roman" w:hAnsi="Times New Roman"/>
          <w:sz w:val="22"/>
          <w:szCs w:val="22"/>
          <w:color w:val="auto"/>
        </w:rPr>
        <w:t>”), which owns 100% of the equity interests in Pinnacle Wind, LLC, a Delaware limited liability company (“</w:t>
      </w:r>
      <w:r>
        <w:rPr>
          <w:rFonts w:ascii="Times New Roman" w:cs="Times New Roman" w:eastAsia="Times New Roman" w:hAnsi="Times New Roman"/>
          <w:sz w:val="22"/>
          <w:szCs w:val="22"/>
          <w:b w:val="1"/>
          <w:bCs w:val="1"/>
          <w:color w:val="auto"/>
        </w:rPr>
        <w:t>Pinnacle Project Company</w:t>
      </w:r>
      <w:r>
        <w:rPr>
          <w:rFonts w:ascii="Times New Roman" w:cs="Times New Roman" w:eastAsia="Times New Roman" w:hAnsi="Times New Roman"/>
          <w:sz w:val="22"/>
          <w:szCs w:val="22"/>
          <w:color w:val="auto"/>
        </w:rPr>
        <w:t>”), which owns, operates and maintains a wind project generating facility described herein as the Pinnacle Project.</w:t>
      </w:r>
    </w:p>
    <w:p>
      <w:pPr>
        <w:spacing w:after="0" w:line="13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through its subsidiaries, intends to repower the Pinnacle Project.</w:t>
      </w:r>
    </w:p>
    <w:p>
      <w:pPr>
        <w:spacing w:after="0" w:line="192" w:lineRule="exact"/>
        <w:rPr>
          <w:rFonts w:ascii="Times New Roman" w:cs="Times New Roman" w:eastAsia="Times New Roman" w:hAnsi="Times New Roman"/>
          <w:sz w:val="22"/>
          <w:szCs w:val="22"/>
          <w:color w:val="auto"/>
        </w:rPr>
      </w:pPr>
    </w:p>
    <w:p>
      <w:pPr>
        <w:jc w:val="both"/>
        <w:ind w:firstLine="656"/>
        <w:spacing w:after="0" w:line="257" w:lineRule="auto"/>
        <w:tabs>
          <w:tab w:leader="none" w:pos="1045"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plans to arrange the Repowering Construction Financing for the Pinnacle Project secured by all of the assets of the Borrower, including the Pinnacle Project and the Safe Harbor Equipment. The proceeds of the Repowering Construction Financing will be used to finance the development, construction and repowering of the Pinnacle Project.</w:t>
      </w:r>
    </w:p>
    <w:p>
      <w:pPr>
        <w:spacing w:after="0" w:line="128" w:lineRule="exact"/>
        <w:rPr>
          <w:rFonts w:ascii="Times New Roman" w:cs="Times New Roman" w:eastAsia="Times New Roman" w:hAnsi="Times New Roman"/>
          <w:sz w:val="22"/>
          <w:szCs w:val="22"/>
          <w:color w:val="auto"/>
        </w:rPr>
      </w:pPr>
    </w:p>
    <w:p>
      <w:pPr>
        <w:ind w:firstLine="8"/>
        <w:spacing w:after="0" w:line="275" w:lineRule="auto"/>
        <w:tabs>
          <w:tab w:leader="none" w:pos="52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expects to enter into a tax equity financing with one or more tax equity investors (collectively, the “</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Equity Investor</w:t>
      </w:r>
      <w:r>
        <w:rPr>
          <w:rFonts w:ascii="Times New Roman" w:cs="Times New Roman" w:eastAsia="Times New Roman" w:hAnsi="Times New Roman"/>
          <w:sz w:val="22"/>
          <w:szCs w:val="22"/>
          <w:color w:val="auto"/>
        </w:rPr>
        <w:t>”), pursuant to which, on the Tax Equity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4158-2461-8283.6</w:t>
      </w:r>
    </w:p>
    <w:p>
      <w:pPr>
        <w:sectPr>
          <w:pgSz w:w="11900" w:h="16838" w:orient="portrait"/>
          <w:cols w:equalWidth="0" w:num="1">
            <w:col w:w="11240"/>
          </w:cols>
          <w:pgMar w:left="320" w:top="1418" w:right="339" w:bottom="1440" w:gutter="0" w:footer="0" w:header="0"/>
        </w:sectPr>
      </w:pPr>
    </w:p>
    <w:bookmarkStart w:id="218" w:name="page219"/>
    <w:bookmarkEnd w:id="218"/>
    <w:p>
      <w:pPr>
        <w:ind w:right="20"/>
        <w:spacing w:after="0" w:line="271" w:lineRule="auto"/>
        <w:rPr>
          <w:sz w:val="20"/>
          <w:szCs w:val="20"/>
          <w:color w:val="auto"/>
        </w:rPr>
      </w:pPr>
      <w:r>
        <w:rPr>
          <w:rFonts w:ascii="Times New Roman" w:cs="Times New Roman" w:eastAsia="Times New Roman" w:hAnsi="Times New Roman"/>
          <w:sz w:val="22"/>
          <w:szCs w:val="22"/>
          <w:color w:val="auto"/>
        </w:rPr>
        <w:t>Funding Date, the Tax Equity Investor shall make a capital contribution to Pinnacle Holdco and the Borrower shall cause Pinnacle Holdco to issue Class A membership interests to the Tax Equity Investor, [***].</w:t>
      </w:r>
    </w:p>
    <w:p>
      <w:pPr>
        <w:spacing w:after="0" w:line="117" w:lineRule="exact"/>
        <w:rPr>
          <w:sz w:val="20"/>
          <w:szCs w:val="20"/>
          <w:color w:val="auto"/>
        </w:rPr>
      </w:pPr>
    </w:p>
    <w:p>
      <w:pPr>
        <w:ind w:right="20" w:firstLine="656"/>
        <w:spacing w:after="0" w:line="271" w:lineRule="auto"/>
        <w:tabs>
          <w:tab w:leader="none" w:pos="112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desire to enter into this Agreement to describe their respective rights and obligations as members of the Company.</w:t>
      </w:r>
    </w:p>
    <w:p>
      <w:pPr>
        <w:spacing w:after="0" w:line="13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undertakings contained herein, the parties hereto hereby agree to amend and restate the Original LLC Agreement in its entirety,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initially capitalized terms, as and when used in this Agreement, shall have meanings set forth below:</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“Act” </w:t>
      </w:r>
      <w:r>
        <w:rPr>
          <w:rFonts w:ascii="Times New Roman" w:cs="Times New Roman" w:eastAsia="Times New Roman" w:hAnsi="Times New Roman"/>
          <w:sz w:val="22"/>
          <w:szCs w:val="22"/>
          <w:color w:val="auto"/>
        </w:rPr>
        <w:t>means the Delaware Limited Liability Company Act, 6 Del. Code §§18-101 et seq., as amended from time to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any successor to such statutes.</w:t>
      </w:r>
    </w:p>
    <w:p>
      <w:pPr>
        <w:spacing w:after="0" w:line="109"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“Additional Repowering Project Document” </w:t>
      </w:r>
      <w:r>
        <w:rPr>
          <w:rFonts w:ascii="Times New Roman" w:cs="Times New Roman" w:eastAsia="Times New Roman" w:hAnsi="Times New Roman"/>
          <w:sz w:val="21"/>
          <w:szCs w:val="21"/>
          <w:color w:val="auto"/>
        </w:rPr>
        <w:t>means, collectively, any Contract (or series of related Contracts) entered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into by the Company or Pinnacle Project Company or any other subsidiary of the Company subsequent to the Effective Date.</w:t>
      </w:r>
    </w:p>
    <w:p>
      <w:pPr>
        <w:spacing w:after="0" w:line="10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“Adjusted Capital Account Deficit” </w:t>
      </w:r>
      <w:r>
        <w:rPr>
          <w:rFonts w:ascii="Times New Roman" w:cs="Times New Roman" w:eastAsia="Times New Roman" w:hAnsi="Times New Roman"/>
          <w:sz w:val="22"/>
          <w:szCs w:val="22"/>
          <w:color w:val="auto"/>
        </w:rPr>
        <w:t>means, with respect to any Member, the deficit balance, if any, in the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 established and maintained for such Member, as the same is specially computed as of the end of the Taxable Year after giving effect to the following adjustments:</w:t>
      </w:r>
    </w:p>
    <w:p>
      <w:pPr>
        <w:spacing w:after="0" w:line="130" w:lineRule="exact"/>
        <w:rPr>
          <w:sz w:val="20"/>
          <w:szCs w:val="20"/>
          <w:color w:val="auto"/>
        </w:rPr>
      </w:pPr>
    </w:p>
    <w:p>
      <w:pPr>
        <w:jc w:val="both"/>
        <w:ind w:firstLine="656"/>
        <w:spacing w:after="0" w:line="252" w:lineRule="auto"/>
        <w:tabs>
          <w:tab w:leader="none" w:pos="1129"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to such Member’s Capital Account any amounts (including unpaid Capital Contributions expected to be paid by the end of the relevant tax year) which such Member is obligated to contribute to the Company or to restore pursuant to Section 12.3 of this Agreement or is deemed obligated to restore pursuant to the penultimate sentences in Treasury Regulations Sections 1.704 2(g)(1) and 1.704 2(i)(5), and</w:t>
      </w:r>
    </w:p>
    <w:p>
      <w:pPr>
        <w:spacing w:after="0" w:line="138"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Debit to such Member’s Capital Account any items described in Treasury Regulations Sections 1.704 1(b)(2)(ii)(d)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 (5) and (6).</w:t>
      </w:r>
    </w:p>
    <w:p>
      <w:pPr>
        <w:spacing w:after="0" w:line="16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foregoing definition of Adjusted Capital Account Deficit is intended to comply with the provisions of Treasury Regulations Section 1.704 1(b)(2)(ii)(d) and shall be interpreted consistently with the Treasury Regulations.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“Adjusted Deficit Capital Account Balance” </w:t>
      </w:r>
      <w:r>
        <w:rPr>
          <w:rFonts w:ascii="Times New Roman" w:cs="Times New Roman" w:eastAsia="Times New Roman" w:hAnsi="Times New Roman"/>
          <w:sz w:val="22"/>
          <w:szCs w:val="22"/>
          <w:color w:val="auto"/>
        </w:rPr>
        <w:t>has the meaning set forth in Section 12.3(b).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219" w:name="page220"/>
    <w:bookmarkEnd w:id="219"/>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EBITDA</w:t>
      </w:r>
      <w:r>
        <w:rPr>
          <w:rFonts w:ascii="Times New Roman" w:cs="Times New Roman" w:eastAsia="Times New Roman" w:hAnsi="Times New Roman"/>
          <w:sz w:val="22"/>
          <w:szCs w:val="22"/>
          <w:color w:val="auto"/>
        </w:rPr>
        <w:t>” means EBITDA adjusted for mark-to-market gains or losses, asset write offs and impairments, and factors which the Company does not consider indicative of future operating performance.</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“Advisors” </w:t>
      </w:r>
      <w:r>
        <w:rPr>
          <w:rFonts w:ascii="Times New Roman" w:cs="Times New Roman" w:eastAsia="Times New Roman" w:hAnsi="Times New Roman"/>
          <w:sz w:val="22"/>
          <w:szCs w:val="22"/>
          <w:color w:val="auto"/>
        </w:rPr>
        <w:t>is defined in Section 7.7(a).</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“Affiliate” </w:t>
      </w:r>
      <w:r>
        <w:rPr>
          <w:rFonts w:ascii="Times New Roman" w:cs="Times New Roman" w:eastAsia="Times New Roman" w:hAnsi="Times New Roman"/>
          <w:sz w:val="22"/>
          <w:szCs w:val="22"/>
          <w:color w:val="auto"/>
        </w:rPr>
        <w:t>means, with respect to any designated Person, any other Person that directly, or indirectly through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intermediaries, Controls, or is Controlled by, or is under common Control with, such designated Person. Any Person shall be deemed to be an Affiliate of any specified Person if such Person owns more than fifty percent (50%) of the voting securities of the specified Person, if the specified Person owns more than fifty percent (50%) of the voting securities of such Person, or if more than fifty percent (50%) of the voting securities of the specified Person and such Person are under common Control. Notwithstanding anything to the contrary herein, the Class A Member and the Class B Member shall not be considered Affiliates for purposes of this Agreement.</w:t>
      </w:r>
    </w:p>
    <w:p>
      <w:pPr>
        <w:spacing w:after="0" w:line="14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“After-Tax Basis” </w:t>
      </w:r>
      <w:r>
        <w:rPr>
          <w:rFonts w:ascii="Times New Roman" w:cs="Times New Roman" w:eastAsia="Times New Roman" w:hAnsi="Times New Roman"/>
          <w:sz w:val="22"/>
          <w:szCs w:val="22"/>
          <w:color w:val="auto"/>
        </w:rPr>
        <w:t>means, with respect to any payment to be actually or constructively received by any Person,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such payment (the “base payment”) supplemented by a further payment (the “additional payment”) to that Person so that the sum of the base payment plus the additional payment shall, after deduction of the amount of all federal income taxes required to be paid by such Person (or, in the case of a Person that is either a disregarded entity, partnership or other through entity for income tax purposes, the ultimate taxpayer(s) with respect to such entity) in respect of the receipt or accrual of the base payment and the additional payment, using an assumed rate equal to the Highest Marginal Rate (and ignoring state and local taxes), taking into account any federal income tax savings realized (or likely to be realized in the future as a result of such base payment) by the recipient as a result of the payment or the event giving rise to the payment, using an assumed rate equal to the Highest Marginal Rate, equals the amount required to be received.</w:t>
      </w:r>
    </w:p>
    <w:p>
      <w:pPr>
        <w:spacing w:after="0" w:line="14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“After-Tax IRR” </w:t>
      </w:r>
      <w:r>
        <w:rPr>
          <w:rFonts w:ascii="Times New Roman" w:cs="Times New Roman" w:eastAsia="Times New Roman" w:hAnsi="Times New Roman"/>
          <w:sz w:val="22"/>
          <w:szCs w:val="22"/>
          <w:color w:val="auto"/>
        </w:rPr>
        <w:t>means, with respect to the Holder of a Class A Unit and at the time of any determination, the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discount rate (calculated and compounded on a daily basis using the Microsoft Excel XIRR function on all after tax cash flows) which sets A equal to B, where A is the sum of (a) the present value of all Cash Distributions in respect of such Class A Unit, plus (b) the present value of all Tax Benefits in respect of such Class A Unit, plus (c) the present value of all indemnity payments (net of any tax gross-up payments) received in respect of such Class A Unit, that compensate for loss of any item listed in the foregoing clauses (a) and (b), minus (d) the present value of all Tax Costs in respect of such Class A Unit; and B is the present value of the Class A Investment.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“Agreement” </w:t>
      </w:r>
      <w:r>
        <w:rPr>
          <w:rFonts w:ascii="Times New Roman" w:cs="Times New Roman" w:eastAsia="Times New Roman" w:hAnsi="Times New Roman"/>
          <w:sz w:val="22"/>
          <w:szCs w:val="22"/>
          <w:color w:val="auto"/>
        </w:rPr>
        <w:t>is defined in the introductory paragraph.</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“Anti-Corruption Laws” </w:t>
      </w:r>
      <w:r>
        <w:rPr>
          <w:rFonts w:ascii="Times New Roman" w:cs="Times New Roman" w:eastAsia="Times New Roman" w:hAnsi="Times New Roman"/>
          <w:sz w:val="22"/>
          <w:szCs w:val="22"/>
          <w:color w:val="auto"/>
        </w:rPr>
        <w:t>means (a) anti-bribery or anti-corruption Laws, including the U.S. Foreign Corrupt Practices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 of 1977, as amended, and the U.K. Bribery Act 2010, and (b) Laws relating to financial record keeping and reporting, currency transfer and money laundering, including, as applicable, the US PATRIOT Act of 2001 and all “know your customer” rules and other applicable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8" w:right="339" w:bottom="1440" w:gutter="0" w:footer="0" w:header="0"/>
        </w:sectPr>
      </w:pPr>
    </w:p>
    <w:bookmarkStart w:id="220" w:name="page221"/>
    <w:bookmarkEnd w:id="220"/>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“Approved Budget” </w:t>
      </w:r>
      <w:r>
        <w:rPr>
          <w:rFonts w:ascii="Times New Roman" w:cs="Times New Roman" w:eastAsia="Times New Roman" w:hAnsi="Times New Roman"/>
          <w:sz w:val="22"/>
          <w:szCs w:val="22"/>
          <w:color w:val="auto"/>
        </w:rPr>
        <w:t>means the annual operating budget prepared and approved (or deemed approved) by the Members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Section 6.7.</w:t>
      </w:r>
    </w:p>
    <w:p>
      <w:pPr>
        <w:spacing w:after="0" w:line="10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“Assets” </w:t>
      </w:r>
      <w:r>
        <w:rPr>
          <w:rFonts w:ascii="Times New Roman" w:cs="Times New Roman" w:eastAsia="Times New Roman" w:hAnsi="Times New Roman"/>
          <w:sz w:val="22"/>
          <w:szCs w:val="22"/>
          <w:color w:val="auto"/>
        </w:rPr>
        <w:t>means all right, title and interest of a Person in land, properties, buildings, improvements, fixtures, foundations,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and rights of any kind, whether tangible or intangible, real, personal or mixed, including contracts, leases, easements, equipment, systems, books, data, reports, studies and records, proprietary rights, intellectual property, Licenses and Permits, rights under or pursuant to all warranties, representations and guarantees, cash, accounts receivable, deposits and prepaid expenses.</w:t>
      </w:r>
    </w:p>
    <w:p>
      <w:pPr>
        <w:spacing w:after="0" w:line="1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“Available Cash Flow” </w:t>
      </w:r>
      <w:r>
        <w:rPr>
          <w:rFonts w:ascii="Times New Roman" w:cs="Times New Roman" w:eastAsia="Times New Roman" w:hAnsi="Times New Roman"/>
          <w:sz w:val="22"/>
          <w:szCs w:val="22"/>
          <w:color w:val="auto"/>
        </w:rPr>
        <w:t>means, with respect to any Distribution Date, the gross cash receipts from the operations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(including amounts received by the Company from the Pinnacle Project Company and any other subsidiaries of the Company, and including sales and dispositions of Assets of the Company, the Pinnacle Project Company or any other subsidiary of the Company), insurance payments, warranty payments, cash previously reserved, and all Capital Contributions received from Members during the period from the last cash distribution to such Distribution Date, less the portion thereof used to pay, or establish reserves for, all expenses of the Company and of the Pinnacle Project Company, including Company Reimbursable Expenses and the cost to develop and construct the Pinnacle Project.</w:t>
      </w:r>
    </w:p>
    <w:p>
      <w:pPr>
        <w:spacing w:after="0" w:line="14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“Bankrupt” </w:t>
      </w:r>
      <w:r>
        <w:rPr>
          <w:rFonts w:ascii="Times New Roman" w:cs="Times New Roman" w:eastAsia="Times New Roman" w:hAnsi="Times New Roman"/>
          <w:sz w:val="22"/>
          <w:szCs w:val="22"/>
          <w:color w:val="auto"/>
        </w:rPr>
        <w:t>means, with respect to any Person: (a) that such Person (i) files in any court pursuant to any statute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or of any state a voluntary petition in bankruptcy or insolvency, (ii) files a petition or answer seeking for such Person a reorganization, arrangement, composition, readjustment, liquidation, dissolution or similar relief under any Law or the appointment of a receiver or a trustee of all or a material portion of such Person’s Assets, (iii) makes a general assignment for the benefit of creditors, (iv) becomes the subject of an order for relief or is declared insolvent in any federal or state bankruptcy or insolvency proceedings, (v) files an answer or other pleading admitting or failing to contest the material allegations of a petition filed against such Person in a proceeding of the type described in (i) through (iv), (vi) admits in writing its inability to pay its debts as they fall due, or (vii) seeks, consents to or acquiesces in the appointment of a trustee, receiver or liquidator of any material portion of its Assets; or (b) a petition in bankruptcy or insolvency, or a proceeding seeking reorganization, arrangement, composition, readjustment, liquidation, dissolution, or similar relief under any Law has been commenced against such Person, and sixty (60) days have expired without dismissal thereof or with respect to which, without such Person’s consent or acquiescence, a trustee, receiver, or liquidator of such Person or of all or any substantial part of such Person’s properties has been appointed and sixty (60) days have expired without the appointment’s having been vacated or stayed, or sixty (60) days have expired after the date of expiration of a stay, if the appointment has not previously been vacated; or (c) if a Member, the whole or any material portion of such Person’s Membership Interest is levied or attached, and such levy or attachment is not released or discharged within sixty (60) days.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“Base Case Model” </w:t>
      </w:r>
      <w:r>
        <w:rPr>
          <w:rFonts w:ascii="Times New Roman" w:cs="Times New Roman" w:eastAsia="Times New Roman" w:hAnsi="Times New Roman"/>
          <w:sz w:val="22"/>
          <w:szCs w:val="22"/>
          <w:color w:val="auto"/>
        </w:rPr>
        <w:t>means the financial model attached as Exhibit A hereto.</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“Borrower” </w:t>
      </w:r>
      <w:r>
        <w:rPr>
          <w:rFonts w:ascii="Times New Roman" w:cs="Times New Roman" w:eastAsia="Times New Roman" w:hAnsi="Times New Roman"/>
          <w:sz w:val="22"/>
          <w:szCs w:val="22"/>
          <w:color w:val="auto"/>
        </w:rPr>
        <w:t>is defined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221" w:name="page222"/>
    <w:bookmarkEnd w:id="221"/>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“Business Day” </w:t>
      </w:r>
      <w:r>
        <w:rPr>
          <w:rFonts w:ascii="Times New Roman" w:cs="Times New Roman" w:eastAsia="Times New Roman" w:hAnsi="Times New Roman"/>
          <w:sz w:val="22"/>
          <w:szCs w:val="22"/>
          <w:color w:val="auto"/>
        </w:rPr>
        <w:t>means any day except Saturday, Sunday and any day that is a legal holiday in New York City or a day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banking institutions are authorized or required by Law or other government action to close in New York City.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“Capital Account” </w:t>
      </w:r>
      <w:r>
        <w:rPr>
          <w:rFonts w:ascii="Times New Roman" w:cs="Times New Roman" w:eastAsia="Times New Roman" w:hAnsi="Times New Roman"/>
          <w:sz w:val="22"/>
          <w:szCs w:val="22"/>
          <w:color w:val="auto"/>
        </w:rPr>
        <w:t>means the capital account established and maintained for a Member pursuant to Section 4.1.</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“Capital Contribution” </w:t>
      </w:r>
      <w:r>
        <w:rPr>
          <w:rFonts w:ascii="Times New Roman" w:cs="Times New Roman" w:eastAsia="Times New Roman" w:hAnsi="Times New Roman"/>
          <w:sz w:val="22"/>
          <w:szCs w:val="22"/>
          <w:color w:val="auto"/>
        </w:rPr>
        <w:t>means any cash or the initial Value of any other property (net of liabilities secured by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that the Company is considered to assume or take subject to under Code Section 752) that a Member directly or indirectly contributes to the Company with respect to the Units held or purchased by such Member, including any capital contributions made by such Member pursuant to Article III hereof, and any reference to the Capital Contributions of a Member shall include the Capital Contributions of any predecessor Holder of the Member’s Units.</w:t>
      </w:r>
    </w:p>
    <w:p>
      <w:pPr>
        <w:spacing w:after="0" w:line="13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“Cash Distributions” </w:t>
      </w:r>
      <w:r>
        <w:rPr>
          <w:rFonts w:ascii="Times New Roman" w:cs="Times New Roman" w:eastAsia="Times New Roman" w:hAnsi="Times New Roman"/>
          <w:sz w:val="22"/>
          <w:szCs w:val="22"/>
          <w:color w:val="auto"/>
        </w:rPr>
        <w:t>means distributions to the Holder of Class A or Class B Units made on any Distribution Date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of distribution of liquidation proceeds (or to be made on the Distribution Date or date of distribution of liquidation proceeds as of which date the After-Tax IRR is being determined).</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“CAFD Yield” </w:t>
      </w:r>
      <w:r>
        <w:rPr>
          <w:rFonts w:ascii="Times New Roman" w:cs="Times New Roman" w:eastAsia="Times New Roman" w:hAnsi="Times New Roman"/>
          <w:sz w:val="22"/>
          <w:szCs w:val="22"/>
          <w:color w:val="auto"/>
        </w:rPr>
        <w:t>means the Class A Member CAFD divided by the Class A Investment.</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“Certified Public Accountant” </w:t>
      </w:r>
      <w:r>
        <w:rPr>
          <w:rFonts w:ascii="Times New Roman" w:cs="Times New Roman" w:eastAsia="Times New Roman" w:hAnsi="Times New Roman"/>
          <w:sz w:val="22"/>
          <w:szCs w:val="22"/>
          <w:color w:val="auto"/>
        </w:rPr>
        <w:t>means a firm of independent public accountants (a) that is one of Ernst &amp; Young,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Deloitte &amp; Touche, PricewaterhouseCoopers or KPMG LLP, as selected from time to time by the Manager or (b) with respect to any other firm, as selected from time to time with the Consent of the Members.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“Class A Claim” </w:t>
      </w:r>
      <w:r>
        <w:rPr>
          <w:rFonts w:ascii="Times New Roman" w:cs="Times New Roman" w:eastAsia="Times New Roman" w:hAnsi="Times New Roman"/>
          <w:sz w:val="22"/>
          <w:szCs w:val="22"/>
          <w:color w:val="auto"/>
        </w:rPr>
        <w:t>is defined in Section 11.1(a).</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“Class A Distribution Percentage” </w:t>
      </w:r>
      <w:r>
        <w:rPr>
          <w:rFonts w:ascii="Times New Roman" w:cs="Times New Roman" w:eastAsia="Times New Roman" w:hAnsi="Times New Roman"/>
          <w:sz w:val="22"/>
          <w:szCs w:val="22"/>
          <w:color w:val="auto"/>
        </w:rPr>
        <w:t>means 85%, as may be adjusted on the Tax Equity Funding Date, in each case,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on Exhibit D.</w:t>
      </w:r>
    </w:p>
    <w:p>
      <w:pPr>
        <w:spacing w:after="0" w:line="12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“Class A DRO Amount” </w:t>
      </w:r>
      <w:r>
        <w:rPr>
          <w:rFonts w:ascii="Times New Roman" w:cs="Times New Roman" w:eastAsia="Times New Roman" w:hAnsi="Times New Roman"/>
          <w:sz w:val="22"/>
          <w:szCs w:val="22"/>
          <w:color w:val="auto"/>
        </w:rPr>
        <w:t>means $[***] on the Effective Date, and from and after the Effective Date means $[***]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amount is increased by Consent of the Members.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“Class A Interest” </w:t>
      </w:r>
      <w:r>
        <w:rPr>
          <w:rFonts w:ascii="Times New Roman" w:cs="Times New Roman" w:eastAsia="Times New Roman" w:hAnsi="Times New Roman"/>
          <w:sz w:val="21"/>
          <w:szCs w:val="21"/>
          <w:color w:val="auto"/>
        </w:rPr>
        <w:t>means, with respect to any Class A Member: (a) that Class A Member’s status as a Class A Member;</w:t>
      </w:r>
    </w:p>
    <w:p>
      <w:pPr>
        <w:spacing w:after="0" w:line="43" w:lineRule="exact"/>
        <w:rPr>
          <w:sz w:val="20"/>
          <w:szCs w:val="20"/>
          <w:color w:val="auto"/>
        </w:rPr>
      </w:pPr>
    </w:p>
    <w:p>
      <w:pPr>
        <w:jc w:val="both"/>
        <w:ind w:firstLine="8"/>
        <w:spacing w:after="0" w:line="244" w:lineRule="auto"/>
        <w:tabs>
          <w:tab w:leader="none" w:pos="31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Class A Member’s share of Company Items and the right to receive distributions from the Company; (c) all other rights, benefits and privileges enjoyed by that Class A Member (under the Act, this Agreement, or otherwise) in its capacity as a Class A Member, including that Class A Member’s right to vote, consent and approve and otherwise to participate in the management of the Company, to the extent provided in this Agreement; and (d) all obligations, duties and liabilities imposed on that Class A Member (under the Act, this Agreement or otherwise) in its capacity as a Class A Member, including any obligations to make Capital Contributions.</w:t>
      </w:r>
    </w:p>
    <w:p>
      <w:pPr>
        <w:spacing w:after="0" w:line="14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“Class A Investment” </w:t>
      </w:r>
      <w:r>
        <w:rPr>
          <w:rFonts w:ascii="Times New Roman" w:cs="Times New Roman" w:eastAsia="Times New Roman" w:hAnsi="Times New Roman"/>
          <w:sz w:val="22"/>
          <w:szCs w:val="22"/>
          <w:color w:val="auto"/>
        </w:rPr>
        <w:t>means the Capital Contributions of the Class A Members, which for the avoidance of doubt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 into account (i) an increase for the Value of the Pinnacle Project when contributed as specified in Section 3.3, (ii) a decrease for any distributions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222" w:name="page223"/>
    <w:bookmarkEnd w:id="22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Class A Member from the Effective Date through the earlier of the Tax Equity Funding Date or the Outside Tax Equity Funding Date and (iii) an increase for the Incremental Class A Investment.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“Class A Member” </w:t>
      </w:r>
      <w:r>
        <w:rPr>
          <w:rFonts w:ascii="Times New Roman" w:cs="Times New Roman" w:eastAsia="Times New Roman" w:hAnsi="Times New Roman"/>
          <w:sz w:val="22"/>
          <w:szCs w:val="22"/>
          <w:color w:val="auto"/>
        </w:rPr>
        <w:t>means each Member holding a Class A Interest.</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“Class A Member After-Tax Cash-Flow” </w:t>
      </w:r>
      <w:r>
        <w:rPr>
          <w:rFonts w:ascii="Times New Roman" w:cs="Times New Roman" w:eastAsia="Times New Roman" w:hAnsi="Times New Roman"/>
          <w:sz w:val="22"/>
          <w:szCs w:val="22"/>
          <w:color w:val="auto"/>
        </w:rPr>
        <w:t>means, with respect to the Holder of a Class A Unit for a specified period,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equal to (a) the Cash Distributions in respect of such Class A Unit, plus (b) the Tax Benefits in respect of such Class A Unit, minus (c) all Tax Costs in respect of such Class A Unit, in each case as projected in the Base Case Model.</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A Member CAFD</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A Member Guarantor</w:t>
      </w:r>
      <w:r>
        <w:rPr>
          <w:rFonts w:ascii="Times New Roman" w:cs="Times New Roman" w:eastAsia="Times New Roman" w:hAnsi="Times New Roman"/>
          <w:sz w:val="22"/>
          <w:szCs w:val="22"/>
          <w:color w:val="auto"/>
        </w:rPr>
        <w:t>” is defined in the recitals to this Agreement.</w:t>
      </w:r>
    </w:p>
    <w:p>
      <w:pPr>
        <w:spacing w:after="0" w:line="19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A Member Guaranty</w:t>
      </w:r>
      <w:r>
        <w:rPr>
          <w:rFonts w:ascii="Times New Roman" w:cs="Times New Roman" w:eastAsia="Times New Roman" w:hAnsi="Times New Roman"/>
          <w:sz w:val="22"/>
          <w:szCs w:val="22"/>
          <w:color w:val="auto"/>
        </w:rPr>
        <w:t xml:space="preserve">” means a guaranty substantially in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made by the Class A Member Guarantor.</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“Class A Party” </w:t>
      </w:r>
      <w:r>
        <w:rPr>
          <w:rFonts w:ascii="Times New Roman" w:cs="Times New Roman" w:eastAsia="Times New Roman" w:hAnsi="Times New Roman"/>
          <w:sz w:val="22"/>
          <w:szCs w:val="22"/>
          <w:color w:val="auto"/>
        </w:rPr>
        <w:t>is defined in Section 11.1(a).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“Class A TE Guaranty” </w:t>
      </w:r>
      <w:r>
        <w:rPr>
          <w:rFonts w:ascii="Times New Roman" w:cs="Times New Roman" w:eastAsia="Times New Roman" w:hAnsi="Times New Roman"/>
          <w:sz w:val="22"/>
          <w:szCs w:val="22"/>
          <w:color w:val="auto"/>
        </w:rPr>
        <w:t>is defined in Section 3.3(f)(C).</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“Class A TE Obligation” </w:t>
      </w:r>
      <w:r>
        <w:rPr>
          <w:rFonts w:ascii="Times New Roman" w:cs="Times New Roman" w:eastAsia="Times New Roman" w:hAnsi="Times New Roman"/>
          <w:sz w:val="22"/>
          <w:szCs w:val="22"/>
          <w:color w:val="auto"/>
        </w:rPr>
        <w:t>means an obligation of the Company, a Tax Equity Entity or the Pinnacle Project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 Tax Equity Document that has arisen or has accrued (a) in respect of an event or circumstance that occurred prior to the Tax Equity Funding Date (other than in connection with the repowering of the Pinnacle Project) or (b) as a result of a failure of the Class A Member to make the Incremental Class A Investment.</w:t>
      </w:r>
    </w:p>
    <w:p>
      <w:pPr>
        <w:spacing w:after="0" w:line="13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“Class A Unit” </w:t>
      </w:r>
      <w:r>
        <w:rPr>
          <w:rFonts w:ascii="Times New Roman" w:cs="Times New Roman" w:eastAsia="Times New Roman" w:hAnsi="Times New Roman"/>
          <w:sz w:val="22"/>
          <w:szCs w:val="22"/>
          <w:color w:val="auto"/>
        </w:rPr>
        <w:t>means a unit representing a Class A Interest having the rights, preferences and designations provided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class in this Agreement.</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“Class B Claim” </w:t>
      </w:r>
      <w:r>
        <w:rPr>
          <w:rFonts w:ascii="Times New Roman" w:cs="Times New Roman" w:eastAsia="Times New Roman" w:hAnsi="Times New Roman"/>
          <w:sz w:val="22"/>
          <w:szCs w:val="22"/>
          <w:color w:val="auto"/>
        </w:rPr>
        <w:t>is defined in Section 11.1(b).</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“Class B Distribution Percentage” </w:t>
      </w:r>
      <w:r>
        <w:rPr>
          <w:rFonts w:ascii="Times New Roman" w:cs="Times New Roman" w:eastAsia="Times New Roman" w:hAnsi="Times New Roman"/>
          <w:sz w:val="22"/>
          <w:szCs w:val="22"/>
          <w:color w:val="auto"/>
        </w:rPr>
        <w:t>means [***]% minus the Class A Distribution Percentage.</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B DRO Amount</w:t>
      </w:r>
      <w:r>
        <w:rPr>
          <w:rFonts w:ascii="Times New Roman" w:cs="Times New Roman" w:eastAsia="Times New Roman" w:hAnsi="Times New Roman"/>
          <w:sz w:val="22"/>
          <w:szCs w:val="22"/>
          <w:color w:val="auto"/>
        </w:rPr>
        <w:t>” means $[***] on the Effective Date, and from and after the Effective Date means $[***] unless such amount is increased by Consent of the Members.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“Class B Interest” </w:t>
      </w:r>
      <w:r>
        <w:rPr>
          <w:rFonts w:ascii="Times New Roman" w:cs="Times New Roman" w:eastAsia="Times New Roman" w:hAnsi="Times New Roman"/>
          <w:sz w:val="21"/>
          <w:szCs w:val="21"/>
          <w:color w:val="auto"/>
        </w:rPr>
        <w:t>means, with respect to any Class B Member: (a) that Class B Member’s status as a Class B Member;</w:t>
      </w:r>
    </w:p>
    <w:p>
      <w:pPr>
        <w:spacing w:after="0" w:line="43" w:lineRule="exact"/>
        <w:rPr>
          <w:sz w:val="20"/>
          <w:szCs w:val="20"/>
          <w:color w:val="auto"/>
        </w:rPr>
      </w:pPr>
    </w:p>
    <w:p>
      <w:pPr>
        <w:jc w:val="both"/>
        <w:ind w:firstLine="8"/>
        <w:spacing w:after="0" w:line="244" w:lineRule="auto"/>
        <w:tabs>
          <w:tab w:leader="none" w:pos="312"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Class B Member’s share of Company Items, and the right to receive distributions from the Company; (c) all other rights, benefits and privileges enjoyed by that Class B Member (under the Act, this Agreement, or otherwise) in its capacity as a Class B Member, including that Class B Member’s right to vote, consent and approve and otherwise to participate in the management of the Company to the extent provided in this Agreement; and (d) all obligations, duties and liabilities imposed on that Class B Member (under the Act, this Agreement or otherwise) in its capacity as a Class B Member, including any obligations to make Capital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223" w:name="page224"/>
    <w:bookmarkEnd w:id="223"/>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“Class B Member” </w:t>
      </w:r>
      <w:r>
        <w:rPr>
          <w:rFonts w:ascii="Times New Roman" w:cs="Times New Roman" w:eastAsia="Times New Roman" w:hAnsi="Times New Roman"/>
          <w:sz w:val="22"/>
          <w:szCs w:val="22"/>
          <w:color w:val="auto"/>
        </w:rPr>
        <w:t>means each Member holding a Class B Interest.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“Class B Party” </w:t>
      </w:r>
      <w:r>
        <w:rPr>
          <w:rFonts w:ascii="Times New Roman" w:cs="Times New Roman" w:eastAsia="Times New Roman" w:hAnsi="Times New Roman"/>
          <w:sz w:val="22"/>
          <w:szCs w:val="22"/>
          <w:color w:val="auto"/>
        </w:rPr>
        <w:t>is defined in Section 11.1(b).</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“Class B TE Obligation” </w:t>
      </w:r>
      <w:r>
        <w:rPr>
          <w:rFonts w:ascii="Times New Roman" w:cs="Times New Roman" w:eastAsia="Times New Roman" w:hAnsi="Times New Roman"/>
          <w:sz w:val="22"/>
          <w:szCs w:val="22"/>
          <w:color w:val="auto"/>
        </w:rPr>
        <w:t>means an obligation of the Company, a Tax Equity Entity or the Pinnacle Project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 Tax Equity Document that has arisen or has accrued in respect of an event or circumstance in connection with the repowering of the Pinnacle Project, other than as a result of a failure of the Class A Member to make the Incremental Class A Investment.</w:t>
      </w:r>
    </w:p>
    <w:p>
      <w:pPr>
        <w:spacing w:after="0" w:line="14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“Class B Unit” </w:t>
      </w:r>
      <w:r>
        <w:rPr>
          <w:rFonts w:ascii="Times New Roman" w:cs="Times New Roman" w:eastAsia="Times New Roman" w:hAnsi="Times New Roman"/>
          <w:sz w:val="22"/>
          <w:szCs w:val="22"/>
          <w:color w:val="auto"/>
        </w:rPr>
        <w:t>means a unit representing a Class B Interest having the rights, preferences and designations provided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class in this Agreement.</w:t>
      </w:r>
    </w:p>
    <w:p>
      <w:pPr>
        <w:spacing w:after="0" w:line="10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“Code” </w:t>
      </w:r>
      <w:r>
        <w:rPr>
          <w:rFonts w:ascii="Times New Roman" w:cs="Times New Roman" w:eastAsia="Times New Roman" w:hAnsi="Times New Roman"/>
          <w:sz w:val="22"/>
          <w:szCs w:val="22"/>
          <w:color w:val="auto"/>
        </w:rPr>
        <w:t>means the Internal Revenue Code of 1986, as amended from time to time, and any corresponding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successor tax statute.</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is defined in the recitals to this Agreement.</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“Company Items” </w:t>
      </w:r>
      <w:r>
        <w:rPr>
          <w:rFonts w:ascii="Times New Roman" w:cs="Times New Roman" w:eastAsia="Times New Roman" w:hAnsi="Times New Roman"/>
          <w:sz w:val="22"/>
          <w:szCs w:val="22"/>
          <w:color w:val="auto"/>
        </w:rPr>
        <w:t>means the separate items of income, gain, loss, deduction and credit of the Company for purposes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subchapter K of the Code, as determined for Capital Account maintenance purposes consistent with the principles of Treasury Regulations Section 1.704 1(b)(2)(iv).</w:t>
      </w:r>
    </w:p>
    <w:p>
      <w:pPr>
        <w:spacing w:after="0" w:line="12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“Company Minimum Gain” </w:t>
      </w:r>
      <w:r>
        <w:rPr>
          <w:rFonts w:ascii="Times New Roman" w:cs="Times New Roman" w:eastAsia="Times New Roman" w:hAnsi="Times New Roman"/>
          <w:sz w:val="22"/>
          <w:szCs w:val="22"/>
          <w:color w:val="auto"/>
        </w:rPr>
        <w:t>has the meaning given the term “partnership minimum gain” set forth in Treasury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Section 1.704 2(b)(2) and will be determined as provided in Treasury Regulations Section 1.704 2(d).</w:t>
      </w:r>
    </w:p>
    <w:p>
      <w:pPr>
        <w:spacing w:after="0" w:line="10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“Company Reimbursable Expenses” </w:t>
      </w:r>
      <w:r>
        <w:rPr>
          <w:rFonts w:ascii="Times New Roman" w:cs="Times New Roman" w:eastAsia="Times New Roman" w:hAnsi="Times New Roman"/>
          <w:sz w:val="22"/>
          <w:szCs w:val="22"/>
          <w:color w:val="auto"/>
        </w:rPr>
        <w:t>means (a) all reasonable and documented Third Party costs and expenses incurred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ordinary course of business by the Manager on behalf of the Company in performing the duties hereunder or relating to the Company’s activities and business, including all reasonable and documented costs and expenses incurred for legal, accounting and auditing fees paid or payable to Third Parties in accordance with this Agreement, in each case, as provided for in the Approved Budget, but excluding such costs and expenses attributable to (i) the gross negligence, willful misconduct or fraud of, or violation of Law by, the Manager, (ii) the Manager’s failure to abide by the provisions of this Agreement that apply to the Manager, (iii) a breach of this Agreement by the Member who owns or controls the Manager, or (iv) a breach by a Member or its Affiliate of a Transaction Document to which such Member or its Affiliate is a party if such Member is, or is an Affiliate of, the Manager, and (b) the costs of liquidation as described in Section 12.2(a).</w:t>
      </w:r>
    </w:p>
    <w:p>
      <w:pPr>
        <w:spacing w:after="0" w:line="154"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“Competitor” </w:t>
      </w:r>
      <w:r>
        <w:rPr>
          <w:rFonts w:ascii="Times New Roman" w:cs="Times New Roman" w:eastAsia="Times New Roman" w:hAnsi="Times New Roman"/>
          <w:sz w:val="21"/>
          <w:szCs w:val="21"/>
          <w:color w:val="auto"/>
        </w:rPr>
        <w:t>means any Person (other than Global Infrastructure Management LLC and its Affiliates) directly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indirectly engaged in owning, managing, operating, maintaining or developing facilities utilizing wind power for the production of electricity for sale to others; provided that a Person who is involved in owning, managing, developing, maintaining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224" w:name="page225"/>
    <w:bookmarkEnd w:id="224"/>
    <w:p>
      <w:pPr>
        <w:jc w:val="both"/>
        <w:spacing w:after="0" w:line="268" w:lineRule="auto"/>
        <w:rPr>
          <w:sz w:val="20"/>
          <w:szCs w:val="20"/>
          <w:color w:val="auto"/>
        </w:rPr>
      </w:pPr>
      <w:r>
        <w:rPr>
          <w:rFonts w:ascii="Times New Roman" w:cs="Times New Roman" w:eastAsia="Times New Roman" w:hAnsi="Times New Roman"/>
          <w:sz w:val="21"/>
          <w:szCs w:val="21"/>
          <w:color w:val="auto"/>
        </w:rPr>
        <w:t>operating such facilities solely as a result of such Person, directly or through an Affiliate, making passive investments in such facilities shall not be considered a “Competitor” hereunder so long as such Person certifies in a manner reasonably acceptable to the Class B Members that it has in place procedures to prevent any Affiliate of such Person that is not a passive owner, manager, operator, maintenance provider or developer from acquiring confidential information relating to its investment in the Company.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“Confidential Information” </w:t>
      </w:r>
      <w:r>
        <w:rPr>
          <w:rFonts w:ascii="Times New Roman" w:cs="Times New Roman" w:eastAsia="Times New Roman" w:hAnsi="Times New Roman"/>
          <w:sz w:val="22"/>
          <w:szCs w:val="22"/>
          <w:color w:val="auto"/>
        </w:rPr>
        <w:t>is defined in Section 7.7(a).</w:t>
      </w:r>
    </w:p>
    <w:p>
      <w:pPr>
        <w:spacing w:after="0" w:line="19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“Consent of the Class A Members” </w:t>
      </w:r>
      <w:r>
        <w:rPr>
          <w:rFonts w:ascii="Times New Roman" w:cs="Times New Roman" w:eastAsia="Times New Roman" w:hAnsi="Times New Roman"/>
          <w:sz w:val="22"/>
          <w:szCs w:val="22"/>
          <w:color w:val="auto"/>
        </w:rPr>
        <w:t>means the written consent or approval of the Class A Members who own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more than fifty percent (50%) of the Class A Units.</w:t>
      </w:r>
    </w:p>
    <w:p>
      <w:pPr>
        <w:spacing w:after="0" w:line="10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“Consent of the Class B Members” </w:t>
      </w:r>
      <w:r>
        <w:rPr>
          <w:rFonts w:ascii="Times New Roman" w:cs="Times New Roman" w:eastAsia="Times New Roman" w:hAnsi="Times New Roman"/>
          <w:sz w:val="22"/>
          <w:szCs w:val="22"/>
          <w:color w:val="auto"/>
        </w:rPr>
        <w:t>means the written consent or approval of the Class B Members who own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more than fifty percent (50%) of the Class B Units.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“Consent of the Members” </w:t>
      </w:r>
      <w:r>
        <w:rPr>
          <w:rFonts w:ascii="Times New Roman" w:cs="Times New Roman" w:eastAsia="Times New Roman" w:hAnsi="Times New Roman"/>
          <w:sz w:val="21"/>
          <w:szCs w:val="21"/>
          <w:color w:val="auto"/>
        </w:rPr>
        <w:t>means both the Consent of the Class A Members and the Consent of the Class B Members.</w:t>
      </w:r>
    </w:p>
    <w:p>
      <w:pPr>
        <w:spacing w:after="0" w:line="2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“Construction Budget” </w:t>
      </w:r>
      <w:r>
        <w:rPr>
          <w:rFonts w:ascii="Times New Roman" w:cs="Times New Roman" w:eastAsia="Times New Roman" w:hAnsi="Times New Roman"/>
          <w:sz w:val="22"/>
          <w:szCs w:val="22"/>
          <w:color w:val="auto"/>
        </w:rPr>
        <w:t>means the construction budget (including sources and uses) to be agreed by the Members,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approved by the lenders, in connection with the Repowering Construction Financing, as the same may be amended or modified in accordance with this Agreement.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“Construction Class B Investment” </w:t>
      </w:r>
      <w:r>
        <w:rPr>
          <w:rFonts w:ascii="Times New Roman" w:cs="Times New Roman" w:eastAsia="Times New Roman" w:hAnsi="Times New Roman"/>
          <w:sz w:val="22"/>
          <w:szCs w:val="22"/>
          <w:color w:val="auto"/>
        </w:rPr>
        <w:t>is defined in Section 3.3(d).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“Contracts” </w:t>
      </w:r>
      <w:r>
        <w:rPr>
          <w:rFonts w:ascii="Times New Roman" w:cs="Times New Roman" w:eastAsia="Times New Roman" w:hAnsi="Times New Roman"/>
          <w:sz w:val="22"/>
          <w:szCs w:val="22"/>
          <w:color w:val="auto"/>
        </w:rPr>
        <w:t>means contracts, agreements, leases, licenses, notes, indentures, obligations, reinsurance treaties, bonds,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mortgages, instruments, and other binding commitments, arrangements, undertakings and understandings (whether written or oral).</w:t>
      </w:r>
    </w:p>
    <w:p>
      <w:pPr>
        <w:spacing w:after="0" w:line="13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“Control” </w:t>
      </w:r>
      <w:r>
        <w:rPr>
          <w:rFonts w:ascii="Times New Roman" w:cs="Times New Roman" w:eastAsia="Times New Roman" w:hAnsi="Times New Roman"/>
          <w:sz w:val="22"/>
          <w:szCs w:val="22"/>
          <w:color w:val="auto"/>
        </w:rPr>
        <w:t>and the terms</w:t>
      </w:r>
      <w:r>
        <w:rPr>
          <w:rFonts w:ascii="Times New Roman" w:cs="Times New Roman" w:eastAsia="Times New Roman" w:hAnsi="Times New Roman"/>
          <w:sz w:val="22"/>
          <w:szCs w:val="22"/>
          <w:b w:val="1"/>
          <w:bCs w:val="1"/>
          <w:color w:val="auto"/>
        </w:rPr>
        <w:t xml:space="preserve"> “Controlled by”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“under common Control” </w:t>
      </w:r>
      <w:r>
        <w:rPr>
          <w:rFonts w:ascii="Times New Roman" w:cs="Times New Roman" w:eastAsia="Times New Roman" w:hAnsi="Times New Roman"/>
          <w:sz w:val="22"/>
          <w:szCs w:val="22"/>
          <w:color w:val="auto"/>
        </w:rPr>
        <w:t>mean the possession, directly or indirectly,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power to direct or cause the direction of the management and policies of a Person, whether through ownership, by contract, or otherwise.</w:t>
      </w:r>
    </w:p>
    <w:p>
      <w:pPr>
        <w:spacing w:after="0" w:line="12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“Credit Support Obligations” </w:t>
      </w:r>
      <w:r>
        <w:rPr>
          <w:rFonts w:ascii="Times New Roman" w:cs="Times New Roman" w:eastAsia="Times New Roman" w:hAnsi="Times New Roman"/>
          <w:sz w:val="22"/>
          <w:szCs w:val="22"/>
          <w:color w:val="auto"/>
        </w:rPr>
        <w:t>means the terms in any Repowering Financing Document or Tax Equity Document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agreements or arrangements that would, in order to make such Repowering Financing Document or Tax Equity Document or other agreement or arrangement effective or not to cause a default or potential default thereunder, require Members or their Affiliates to provide credit support to the Company, the Pinnacle Project Company, any other subsidiary of the Company or any of their financing parties or in respect of any other obligation of the Company, the Pinnacle Project Company or any other subsidiary of the Company, or any of their financing parties through any equity contribution agreement, guarantee, standby letter of credit, cash collateral or similar arrangement.</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“Damages” </w:t>
      </w:r>
      <w:r>
        <w:rPr>
          <w:rFonts w:ascii="Times New Roman" w:cs="Times New Roman" w:eastAsia="Times New Roman" w:hAnsi="Times New Roman"/>
          <w:sz w:val="22"/>
          <w:szCs w:val="22"/>
          <w:color w:val="auto"/>
        </w:rPr>
        <w:t>is defined in Section 11.1(a).</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“Delaware Certificate” </w:t>
      </w:r>
      <w:r>
        <w:rPr>
          <w:rFonts w:ascii="Times New Roman" w:cs="Times New Roman" w:eastAsia="Times New Roman" w:hAnsi="Times New Roman"/>
          <w:sz w:val="22"/>
          <w:szCs w:val="22"/>
          <w:color w:val="auto"/>
        </w:rPr>
        <w:t>is defined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225" w:name="page226"/>
    <w:bookmarkEnd w:id="225"/>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“Depreciation” </w:t>
      </w:r>
      <w:r>
        <w:rPr>
          <w:rFonts w:ascii="Times New Roman" w:cs="Times New Roman" w:eastAsia="Times New Roman" w:hAnsi="Times New Roman"/>
          <w:sz w:val="22"/>
          <w:szCs w:val="22"/>
          <w:color w:val="auto"/>
        </w:rPr>
        <w:t>means, for each Taxable Year, an amount equal to the depreciation, amortization (including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Sections 197 and 709) or other cost recovery deduction allowable for federal income tax purposes with respect to an Asset for such period, except that if the Value of any Asset differs from its adjusted basis for federal income tax purposes at the beginning of such period, Depreciation shall be an amount which bears the same ratio to such beginning Value as the federal income tax depreciation, amortization or other cost recovery deduction allowable for such Taxable Year bears to such beginning adjusted tax basis; provided, however, that if such Asset has a zero beginning adjusted basis for such Taxable Year, Depreciation shall be determined with reference to such beginning Value using any method selected by the Manager with the Consent of the Members.</w:t>
      </w:r>
    </w:p>
    <w:p>
      <w:pPr>
        <w:spacing w:after="0" w:line="14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“Disqualified Entity” </w:t>
      </w:r>
      <w:r>
        <w:rPr>
          <w:rFonts w:ascii="Times New Roman" w:cs="Times New Roman" w:eastAsia="Times New Roman" w:hAnsi="Times New Roman"/>
          <w:sz w:val="22"/>
          <w:szCs w:val="22"/>
          <w:color w:val="auto"/>
        </w:rPr>
        <w:t>means an entity that is referred to in Section 50(b)(3) or 50(b)(4) of the Code, provided, that if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 owner owns its indirect interest through a taxable C corporation (as defined in the Code), but excluding any entity that is a “tax exempt controlled entity” defined in Section 168(h)(6)(F)(iii) of the Code, then such Person will not be deemed to be a Disqualified Entity.</w:t>
      </w:r>
    </w:p>
    <w:p>
      <w:pPr>
        <w:spacing w:after="0" w:line="14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“Disqualified Transferee” </w:t>
      </w:r>
      <w:r>
        <w:rPr>
          <w:rFonts w:ascii="Times New Roman" w:cs="Times New Roman" w:eastAsia="Times New Roman" w:hAnsi="Times New Roman"/>
          <w:sz w:val="22"/>
          <w:szCs w:val="22"/>
          <w:color w:val="auto"/>
        </w:rPr>
        <w:t>means (a) any Person that is, or whose Affiliate is, then a party adverse in any pending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threatened (in writing or other reasonably satisfactory evidence of such threat) action, suit or proceeding to the Company or any Member or an Affiliate thereof, if the Company (with the Consent of the Members) or such Member (in its sole and absolute discretion), as applicable, shall not have consented to the Transfer to such Person; provided, however, that any foreclosure upon any Membership Interests pursuant to an Encumbrance permitted hereunder shall not be an action, suit or proceeding for the purposes of this clause (a), (b) with respect to any Transfer of a Class A Interest, a Person that is, or whose Affiliate is, a Competitor, (c) a Related Party or a Disqualified Entity, (d) a Person who is, or who is an Affiliate of any Person that is, then Bankrupt, or (e) a Person who, or is an Affiliate of any Person who, is a Sanctioned Person, in each case, other than an existing Member.</w:t>
      </w:r>
    </w:p>
    <w:p>
      <w:pPr>
        <w:spacing w:after="0" w:line="14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“Distribution Date” </w:t>
      </w:r>
      <w:r>
        <w:rPr>
          <w:rFonts w:ascii="Times New Roman" w:cs="Times New Roman" w:eastAsia="Times New Roman" w:hAnsi="Times New Roman"/>
          <w:sz w:val="22"/>
          <w:szCs w:val="22"/>
          <w:color w:val="auto"/>
        </w:rPr>
        <w:t>means each day that is five (5) Business Days following a distribution of cash to the Company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subsidiary of the Company; provided that there shall be at least one Distribution Date per month.</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“EBITDA” </w:t>
      </w:r>
      <w:r>
        <w:rPr>
          <w:rFonts w:ascii="Times New Roman" w:cs="Times New Roman" w:eastAsia="Times New Roman" w:hAnsi="Times New Roman"/>
          <w:sz w:val="22"/>
          <w:szCs w:val="22"/>
          <w:color w:val="auto"/>
        </w:rPr>
        <w:t>means earnings before interest, tax, depreciation and amortization of the Company.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“Effective Date” </w:t>
      </w:r>
      <w:r>
        <w:rPr>
          <w:rFonts w:ascii="Times New Roman" w:cs="Times New Roman" w:eastAsia="Times New Roman" w:hAnsi="Times New Roman"/>
          <w:sz w:val="22"/>
          <w:szCs w:val="22"/>
          <w:color w:val="auto"/>
        </w:rPr>
        <w:t>means the date of this Agreement.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“Encumbrances” </w:t>
      </w:r>
      <w:r>
        <w:rPr>
          <w:rFonts w:ascii="Times New Roman" w:cs="Times New Roman" w:eastAsia="Times New Roman" w:hAnsi="Times New Roman"/>
          <w:sz w:val="21"/>
          <w:szCs w:val="21"/>
          <w:color w:val="auto"/>
        </w:rPr>
        <w:t>means encumbrances, liens, pledges, charges, collateral assignments, options, mortgages, warrants,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deeds of trust, security interests, claims, restrictions (whether on voting, sale, transfer, disposition, or otherwise), assessments, easements, variances, purchase rights, rights of first refusal, reservations, encroachments, irregularities, deficiencies, defaults, defects, adverse claims, interests, and other matters of every type and description whatsoever, whether voluntary or involuntary, choate or inchoate or imposed by Law, agreement (including any agreement to give any of the foregoing or any conditional sale or other title retention agreement), understanding, or otherwise, and whether or not of record, impairing or affecting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8" w:right="339" w:bottom="1440" w:gutter="0" w:footer="0" w:header="0"/>
        </w:sectPr>
      </w:pPr>
    </w:p>
    <w:bookmarkStart w:id="226" w:name="page227"/>
    <w:bookmarkEnd w:id="226"/>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title to real or personal property (including membership interests), and “Encumber” means any action or inaction creating an Encumbrance.</w:t>
      </w:r>
    </w:p>
    <w:p>
      <w:pPr>
        <w:spacing w:after="0" w:line="11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“Energy Regulatory Approvals” </w:t>
      </w:r>
      <w:r>
        <w:rPr>
          <w:rFonts w:ascii="Times New Roman" w:cs="Times New Roman" w:eastAsia="Times New Roman" w:hAnsi="Times New Roman"/>
          <w:sz w:val="22"/>
          <w:szCs w:val="22"/>
          <w:color w:val="auto"/>
        </w:rPr>
        <w:t>means any License and Permit issued by or filed with an Energy Regulatory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is required to be maintained by the Pinnacle Project or the Pinnacle Project Company.</w:t>
      </w:r>
    </w:p>
    <w:p>
      <w:pPr>
        <w:spacing w:after="0" w:line="12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“Energy Regulatory Authority” </w:t>
      </w:r>
      <w:r>
        <w:rPr>
          <w:rFonts w:ascii="Times New Roman" w:cs="Times New Roman" w:eastAsia="Times New Roman" w:hAnsi="Times New Roman"/>
          <w:sz w:val="22"/>
          <w:szCs w:val="22"/>
          <w:color w:val="auto"/>
        </w:rPr>
        <w:t>a Governmental Authority with jurisdiction over public utilities, energy or any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matter.</w:t>
      </w:r>
    </w:p>
    <w:p>
      <w:pPr>
        <w:spacing w:after="0" w:line="1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“Environmental Law” </w:t>
      </w:r>
      <w:r>
        <w:rPr>
          <w:rFonts w:ascii="Times New Roman" w:cs="Times New Roman" w:eastAsia="Times New Roman" w:hAnsi="Times New Roman"/>
          <w:sz w:val="21"/>
          <w:szCs w:val="21"/>
          <w:color w:val="auto"/>
        </w:rPr>
        <w:t>means any Law imposing liability, standards or obligations of conduct concerning pollution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protection of human health and safety (including the health and safety of workers under the U.S. Occupational Safety and Health Act of 1970 (29 U.S.C. §§ 651 et seq.)), flora and fauna, any Environmental Media, including (a) any Law relating to any actual or threatened emission, discharge, release, manufacture, processing, distribution, use, treatment, storage, disposal, transport, or handling of any hazardous waste (as defined by 42 U.S.C. § 6903(5)), hazardous substance (as defined by 42 U.S.C. § 9601(14)), hazardous material (as defined by 49 U.S.C. § 5102(2)), toxic pollutant (as listed pursuant to 33 U.S.C. § 1317), or pollutant or contaminant (as pollutant or contaminant is defined in 42 U.S.C. § 9601(33)), any oil (as defined by 33 U.S.C. § 2701(23)); and</w:t>
      </w:r>
    </w:p>
    <w:p>
      <w:pPr>
        <w:spacing w:after="0" w:line="6" w:lineRule="exact"/>
        <w:rPr>
          <w:sz w:val="20"/>
          <w:szCs w:val="20"/>
          <w:color w:val="auto"/>
        </w:rPr>
      </w:pPr>
    </w:p>
    <w:p>
      <w:pPr>
        <w:jc w:val="both"/>
        <w:ind w:firstLine="8"/>
        <w:spacing w:after="0" w:line="245" w:lineRule="auto"/>
        <w:tabs>
          <w:tab w:leader="none" w:pos="36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Comprehensive Environmental Response, Compensation, and Liability Act of 1980 (42 U.S.C. §§ 9601 et seq.) (“CERCLA”), the Federal Water Pollution Control Act (33 U.S.C. §§ 1251 et seq.) and the Endangered Species Act of 1973 (16 U.S.C. 1531 et seq.) with any amendments or reauthorization thereto or thereof, and any and all regulations promulgated thereunder, and all analogous state and local counterparts or equivalents.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“ERISA” </w:t>
      </w:r>
      <w:r>
        <w:rPr>
          <w:rFonts w:ascii="Times New Roman" w:cs="Times New Roman" w:eastAsia="Times New Roman" w:hAnsi="Times New Roman"/>
          <w:sz w:val="22"/>
          <w:szCs w:val="22"/>
          <w:color w:val="auto"/>
        </w:rPr>
        <w:t>is defined in Section 8.10(h).</w:t>
      </w:r>
    </w:p>
    <w:p>
      <w:pPr>
        <w:spacing w:after="0" w:line="19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“EWG” </w:t>
      </w:r>
      <w:r>
        <w:rPr>
          <w:rFonts w:ascii="Times New Roman" w:cs="Times New Roman" w:eastAsia="Times New Roman" w:hAnsi="Times New Roman"/>
          <w:sz w:val="22"/>
          <w:szCs w:val="22"/>
          <w:color w:val="auto"/>
        </w:rPr>
        <w:t>means “exempt wholesale generator” as defined in Section 1262(6) of PUHCA and the implementing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of FERC.</w:t>
      </w:r>
    </w:p>
    <w:p>
      <w:pPr>
        <w:spacing w:after="0" w:line="10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“Fair Market Value” </w:t>
      </w:r>
      <w:r>
        <w:rPr>
          <w:rFonts w:ascii="Times New Roman" w:cs="Times New Roman" w:eastAsia="Times New Roman" w:hAnsi="Times New Roman"/>
          <w:sz w:val="22"/>
          <w:szCs w:val="22"/>
          <w:color w:val="auto"/>
        </w:rPr>
        <w:t>means, with respect to any Asset, the price at which the Asset would change hands between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willing buyer and a willing seller, neither being under any compulsion to buy or to sell, and both having reasonable knowledge of the relevant facts, and specifically with respect to the Pinnacle Project or any Membership Interest.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“FERC” </w:t>
      </w:r>
      <w:r>
        <w:rPr>
          <w:rFonts w:ascii="Times New Roman" w:cs="Times New Roman" w:eastAsia="Times New Roman" w:hAnsi="Times New Roman"/>
          <w:sz w:val="22"/>
          <w:szCs w:val="22"/>
          <w:color w:val="auto"/>
        </w:rPr>
        <w:t>means the Federal Energy Regulatory Commission and any successor agency.</w:t>
      </w:r>
    </w:p>
    <w:p>
      <w:pPr>
        <w:spacing w:after="0" w:line="19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“Final Completion” </w:t>
      </w:r>
      <w:r>
        <w:rPr>
          <w:rFonts w:ascii="Times New Roman" w:cs="Times New Roman" w:eastAsia="Times New Roman" w:hAnsi="Times New Roman"/>
          <w:sz w:val="22"/>
          <w:szCs w:val="22"/>
          <w:color w:val="auto"/>
        </w:rPr>
        <w:t>means the completion of all relevant construction milestones for the repowering of the Pinnacle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Project under the Repowering Project Documents, including completion of all performance testing and punch list items.</w:t>
      </w:r>
    </w:p>
    <w:p>
      <w:pPr>
        <w:spacing w:after="0" w:line="10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“Financing Required Capital Contribution” </w:t>
      </w:r>
      <w:r>
        <w:rPr>
          <w:rFonts w:ascii="Times New Roman" w:cs="Times New Roman" w:eastAsia="Times New Roman" w:hAnsi="Times New Roman"/>
          <w:sz w:val="22"/>
          <w:szCs w:val="22"/>
          <w:color w:val="auto"/>
        </w:rPr>
        <w:t>means, with respect to any Member, any Subsequent Capital Contribution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from such Member in accordance with the terms of the Repowering Financing Documents or the Tax Equity Documents in addition to the terms of this Agreement, including (if applicable) in respect of the Construction Class B Investment, the Incremental Class A Investment and the Incremental Class B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227" w:name="page228"/>
    <w:bookmarkEnd w:id="227"/>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“Fiscal Quarter” </w:t>
      </w:r>
      <w:r>
        <w:rPr>
          <w:rFonts w:ascii="Times New Roman" w:cs="Times New Roman" w:eastAsia="Times New Roman" w:hAnsi="Times New Roman"/>
          <w:sz w:val="22"/>
          <w:szCs w:val="22"/>
          <w:color w:val="auto"/>
        </w:rPr>
        <w:t>means the calendar quarters each ended March 31st, June 30th, September 30th and December 31st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each Fiscal Year.</w:t>
      </w:r>
    </w:p>
    <w:p>
      <w:pPr>
        <w:spacing w:after="0" w:line="10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“Fiscal Year” </w:t>
      </w:r>
      <w:r>
        <w:rPr>
          <w:rFonts w:ascii="Times New Roman" w:cs="Times New Roman" w:eastAsia="Times New Roman" w:hAnsi="Times New Roman"/>
          <w:sz w:val="22"/>
          <w:szCs w:val="22"/>
          <w:color w:val="auto"/>
        </w:rPr>
        <w:t>means (a) the period commencing on the Effective Date and ending on the immediately succeeding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31, (b) any subsequent calendar year, and (c) the final Fiscal Year of the Company shall end on the date on which the Company is terminated under Article XII hereof.</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“Funding Notice” </w:t>
      </w:r>
      <w:r>
        <w:rPr>
          <w:rFonts w:ascii="Times New Roman" w:cs="Times New Roman" w:eastAsia="Times New Roman" w:hAnsi="Times New Roman"/>
          <w:sz w:val="22"/>
          <w:szCs w:val="22"/>
          <w:color w:val="auto"/>
        </w:rPr>
        <w:t>is defined in Section 3.4(a).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“GAAP” </w:t>
      </w:r>
      <w:r>
        <w:rPr>
          <w:rFonts w:ascii="Times New Roman" w:cs="Times New Roman" w:eastAsia="Times New Roman" w:hAnsi="Times New Roman"/>
          <w:sz w:val="22"/>
          <w:szCs w:val="22"/>
          <w:color w:val="auto"/>
        </w:rPr>
        <w:t>means United States generally accepted accounting principles, as amended, consistently applied.</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Management Standard</w:t>
      </w:r>
      <w:r>
        <w:rPr>
          <w:rFonts w:ascii="Times New Roman" w:cs="Times New Roman" w:eastAsia="Times New Roman" w:hAnsi="Times New Roman"/>
          <w:sz w:val="22"/>
          <w:szCs w:val="22"/>
          <w:color w:val="auto"/>
        </w:rPr>
        <w:t>” means that a Person will perform its management functions in good faith and in a manner it reasonably believes to be in the best interests of the Company. Good Management Standard is not intended to be limited to a single set of practices, methods and acts; provided, however, that under no circumstances shall the Good Management Standard be construed to allow a Person to be held to a lesser standard than is required under applicable Law.</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foreign, domestic, federal, territorial, state or local governmental authority, court, commission, board, bureau, agency or instrumentality, or any regulatory, administrative or other department, agency, or any political or other subdivision, department or branch of any of the foregoing, any Taxing Authority and any electric reliability organization, regional transmission organization or independent system operator or any successor thereto.</w:t>
      </w:r>
    </w:p>
    <w:p>
      <w:pPr>
        <w:spacing w:after="0" w:line="13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“Highest Marginal Rate” </w:t>
      </w:r>
      <w:r>
        <w:rPr>
          <w:rFonts w:ascii="Times New Roman" w:cs="Times New Roman" w:eastAsia="Times New Roman" w:hAnsi="Times New Roman"/>
          <w:sz w:val="22"/>
          <w:szCs w:val="22"/>
          <w:color w:val="auto"/>
        </w:rPr>
        <w:t>means, with respect to any Member, the then highest marginal federal income tax 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to corporations.</w:t>
      </w:r>
    </w:p>
    <w:p>
      <w:pPr>
        <w:spacing w:after="0" w:line="10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“Holder” </w:t>
      </w:r>
      <w:r>
        <w:rPr>
          <w:rFonts w:ascii="Times New Roman" w:cs="Times New Roman" w:eastAsia="Times New Roman" w:hAnsi="Times New Roman"/>
          <w:sz w:val="22"/>
          <w:szCs w:val="22"/>
          <w:color w:val="auto"/>
        </w:rPr>
        <w:t>means, as to a Class A Unit, the Class A Member holding such Class A Unit, and, as to a Class B Unit,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 B Member holding such Class B Unit.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“HSR Act” </w:t>
      </w:r>
      <w:r>
        <w:rPr>
          <w:rFonts w:ascii="Times New Roman" w:cs="Times New Roman" w:eastAsia="Times New Roman" w:hAnsi="Times New Roman"/>
          <w:sz w:val="22"/>
          <w:szCs w:val="22"/>
          <w:color w:val="auto"/>
        </w:rPr>
        <w:t>means the Hart-Scott-Rodino Antitrust Improvements Act of 1976, as amended.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“Incremental Class A Investment” </w:t>
      </w:r>
      <w:r>
        <w:rPr>
          <w:rFonts w:ascii="Times New Roman" w:cs="Times New Roman" w:eastAsia="Times New Roman" w:hAnsi="Times New Roman"/>
          <w:sz w:val="22"/>
          <w:szCs w:val="22"/>
          <w:color w:val="auto"/>
        </w:rPr>
        <w:t>is defined in Section 3.3(e)(i).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“Incremental Class A Investment Cap” </w:t>
      </w:r>
      <w:r>
        <w:rPr>
          <w:rFonts w:ascii="Times New Roman" w:cs="Times New Roman" w:eastAsia="Times New Roman" w:hAnsi="Times New Roman"/>
          <w:sz w:val="22"/>
          <w:szCs w:val="22"/>
          <w:color w:val="auto"/>
        </w:rPr>
        <w:t>means $66,641,185.88.</w:t>
      </w:r>
    </w:p>
    <w:p>
      <w:pPr>
        <w:spacing w:after="0" w:line="193"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“Incremental Class A Investment Cap (Base Only)” </w:t>
      </w:r>
      <w:r>
        <w:rPr>
          <w:rFonts w:ascii="Times New Roman" w:cs="Times New Roman" w:eastAsia="Times New Roman" w:hAnsi="Times New Roman"/>
          <w:sz w:val="22"/>
          <w:szCs w:val="22"/>
          <w:color w:val="auto"/>
        </w:rPr>
        <w:t>means the Incremental Class A Investment Cap, plus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$1,472,260.00.</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“Incremental Class B Investment” </w:t>
      </w:r>
      <w:r>
        <w:rPr>
          <w:rFonts w:ascii="Times New Roman" w:cs="Times New Roman" w:eastAsia="Times New Roman" w:hAnsi="Times New Roman"/>
          <w:sz w:val="22"/>
          <w:szCs w:val="22"/>
          <w:color w:val="auto"/>
        </w:rPr>
        <w:t>is defined in Section 3.3(e)(iii).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“Incremental Class B Investment Cap” </w:t>
      </w:r>
      <w:r>
        <w:rPr>
          <w:rFonts w:ascii="Times New Roman" w:cs="Times New Roman" w:eastAsia="Times New Roman" w:hAnsi="Times New Roman"/>
          <w:sz w:val="22"/>
          <w:szCs w:val="22"/>
          <w:color w:val="auto"/>
        </w:rPr>
        <w:t>is defined in Section 3.3(e)(iii).</w:t>
      </w:r>
    </w:p>
    <w:p>
      <w:pPr>
        <w:spacing w:after="0" w:line="193"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“Indebtedness” </w:t>
      </w:r>
      <w:r>
        <w:rPr>
          <w:rFonts w:ascii="Times New Roman" w:cs="Times New Roman" w:eastAsia="Times New Roman" w:hAnsi="Times New Roman"/>
          <w:sz w:val="22"/>
          <w:szCs w:val="22"/>
          <w:color w:val="auto"/>
        </w:rPr>
        <w:t>means indebtedness for borrowed money and any lease of any property as lessee the obligations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are required to be classified or accounted for as a capital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8" w:right="339" w:bottom="1440" w:gutter="0" w:footer="0" w:header="0"/>
        </w:sectPr>
      </w:pPr>
    </w:p>
    <w:bookmarkStart w:id="228" w:name="page229"/>
    <w:bookmarkEnd w:id="228"/>
    <w:p>
      <w:pPr>
        <w:spacing w:after="0" w:line="271" w:lineRule="auto"/>
        <w:rPr>
          <w:sz w:val="20"/>
          <w:szCs w:val="20"/>
          <w:color w:val="auto"/>
        </w:rPr>
      </w:pPr>
      <w:r>
        <w:rPr>
          <w:rFonts w:ascii="Times New Roman" w:cs="Times New Roman" w:eastAsia="Times New Roman" w:hAnsi="Times New Roman"/>
          <w:sz w:val="22"/>
          <w:szCs w:val="22"/>
          <w:color w:val="auto"/>
        </w:rPr>
        <w:t>on the balance sheet of the applicable Person, off-balance sheet leases, but expressly does not include short-term (i.e., less than one (1) year in maturity) trade payables incurred in the ordinary course of business.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“Indemnified Party” </w:t>
      </w:r>
      <w:r>
        <w:rPr>
          <w:rFonts w:ascii="Times New Roman" w:cs="Times New Roman" w:eastAsia="Times New Roman" w:hAnsi="Times New Roman"/>
          <w:sz w:val="22"/>
          <w:szCs w:val="22"/>
          <w:color w:val="auto"/>
        </w:rPr>
        <w:t>is defined in Section 11.1(b).</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“Indemnifying Member” </w:t>
      </w:r>
      <w:r>
        <w:rPr>
          <w:rFonts w:ascii="Times New Roman" w:cs="Times New Roman" w:eastAsia="Times New Roman" w:hAnsi="Times New Roman"/>
          <w:sz w:val="22"/>
          <w:szCs w:val="22"/>
          <w:color w:val="auto"/>
        </w:rPr>
        <w:t>is defined in Section 11.2.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“Indemnity Claim” </w:t>
      </w:r>
      <w:r>
        <w:rPr>
          <w:rFonts w:ascii="Times New Roman" w:cs="Times New Roman" w:eastAsia="Times New Roman" w:hAnsi="Times New Roman"/>
          <w:sz w:val="22"/>
          <w:szCs w:val="22"/>
          <w:color w:val="auto"/>
        </w:rPr>
        <w:t>is defined in Section 11.1(b).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“Initial Class A Member” </w:t>
      </w:r>
      <w:r>
        <w:rPr>
          <w:rFonts w:ascii="Times New Roman" w:cs="Times New Roman" w:eastAsia="Times New Roman" w:hAnsi="Times New Roman"/>
          <w:sz w:val="22"/>
          <w:szCs w:val="22"/>
          <w:color w:val="auto"/>
        </w:rPr>
        <w:t>means is defined in the introductory paragraph.</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“Initial Class B Member” </w:t>
      </w:r>
      <w:r>
        <w:rPr>
          <w:rFonts w:ascii="Times New Roman" w:cs="Times New Roman" w:eastAsia="Times New Roman" w:hAnsi="Times New Roman"/>
          <w:sz w:val="22"/>
          <w:szCs w:val="22"/>
          <w:color w:val="auto"/>
        </w:rPr>
        <w:t>means is defined in the introductory paragraph.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“Initial Capital Contribution” </w:t>
      </w:r>
      <w:r>
        <w:rPr>
          <w:rFonts w:ascii="Times New Roman" w:cs="Times New Roman" w:eastAsia="Times New Roman" w:hAnsi="Times New Roman"/>
          <w:sz w:val="22"/>
          <w:szCs w:val="22"/>
          <w:color w:val="auto"/>
        </w:rPr>
        <w:t>means a Capital Contribution made on the Effective Date.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Intent Notice</w:t>
      </w:r>
      <w:r>
        <w:rPr>
          <w:rFonts w:ascii="Times New Roman" w:cs="Times New Roman" w:eastAsia="Times New Roman" w:hAnsi="Times New Roman"/>
          <w:sz w:val="22"/>
          <w:szCs w:val="22"/>
          <w:color w:val="auto"/>
        </w:rPr>
        <w:t>” is defined in is defined in Section 9.6(d).</w:t>
      </w:r>
    </w:p>
    <w:p>
      <w:pPr>
        <w:spacing w:after="0" w:line="19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“Investment Documents” </w:t>
      </w:r>
      <w:r>
        <w:rPr>
          <w:rFonts w:ascii="Times New Roman" w:cs="Times New Roman" w:eastAsia="Times New Roman" w:hAnsi="Times New Roman"/>
          <w:sz w:val="22"/>
          <w:szCs w:val="22"/>
          <w:color w:val="auto"/>
        </w:rPr>
        <w:t>means this Agreement and any other documents entered into by the Company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Members acquiring and maintaining their Membership Interests in the Company.</w:t>
      </w:r>
    </w:p>
    <w:p>
      <w:pPr>
        <w:spacing w:after="0" w:line="10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“Investment Grade” </w:t>
      </w:r>
      <w:r>
        <w:rPr>
          <w:rFonts w:ascii="Times New Roman" w:cs="Times New Roman" w:eastAsia="Times New Roman" w:hAnsi="Times New Roman"/>
          <w:sz w:val="22"/>
          <w:szCs w:val="22"/>
          <w:color w:val="auto"/>
        </w:rPr>
        <w:t>means a credit rating of “BBB-” or higher by Standard &amp; Poor’s, “Baa3” or higher by Moody’s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Investors Service or an equivalent rating by a nationally recognized rating agency.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“IRS” </w:t>
      </w:r>
      <w:r>
        <w:rPr>
          <w:rFonts w:ascii="Times New Roman" w:cs="Times New Roman" w:eastAsia="Times New Roman" w:hAnsi="Times New Roman"/>
          <w:sz w:val="22"/>
          <w:szCs w:val="22"/>
          <w:color w:val="auto"/>
        </w:rPr>
        <w:t>means the Internal Revenue Service and any successor Governmental Authority.</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“Law” </w:t>
      </w:r>
      <w:r>
        <w:rPr>
          <w:rFonts w:ascii="Times New Roman" w:cs="Times New Roman" w:eastAsia="Times New Roman" w:hAnsi="Times New Roman"/>
          <w:sz w:val="22"/>
          <w:szCs w:val="22"/>
          <w:color w:val="auto"/>
        </w:rPr>
        <w:t>means any applicable constitution, statute, law, ordinance, regulation, rate, ruling, order, judgment, legally binding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guideline, restriction, requirement, writ, injunction or decree that has been enacted, issued or promulgated by any Governmental Authority.</w:t>
      </w:r>
    </w:p>
    <w:p>
      <w:pPr>
        <w:spacing w:after="0" w:line="12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“Licenses and Permits” </w:t>
      </w:r>
      <w:r>
        <w:rPr>
          <w:rFonts w:ascii="Times New Roman" w:cs="Times New Roman" w:eastAsia="Times New Roman" w:hAnsi="Times New Roman"/>
          <w:sz w:val="22"/>
          <w:szCs w:val="22"/>
          <w:color w:val="auto"/>
        </w:rPr>
        <w:t>means filings and registrations with, and licenses, permits, notices, approvals, grants, easements,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exemptions, variances and authorizations from, any Governmental Authority.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“Liquidating Events” </w:t>
      </w:r>
      <w:r>
        <w:rPr>
          <w:rFonts w:ascii="Times New Roman" w:cs="Times New Roman" w:eastAsia="Times New Roman" w:hAnsi="Times New Roman"/>
          <w:sz w:val="22"/>
          <w:szCs w:val="22"/>
          <w:color w:val="auto"/>
        </w:rPr>
        <w:t>is defined in Section 12.1(a).</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“Manager” </w:t>
      </w:r>
      <w:r>
        <w:rPr>
          <w:rFonts w:ascii="Times New Roman" w:cs="Times New Roman" w:eastAsia="Times New Roman" w:hAnsi="Times New Roman"/>
          <w:sz w:val="22"/>
          <w:szCs w:val="22"/>
          <w:color w:val="auto"/>
        </w:rPr>
        <w:t>means the Person appointed by the Members pursuant to Article VI to manage the affairs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any other Person hereafter appointed as a successor Manager of the Company as provided in Article VI. Pursuant to its appointment by the Members in Section 6.1, the Initial Class A Member shall be the initial Manager of the Company.</w:t>
      </w:r>
    </w:p>
    <w:p>
      <w:pPr>
        <w:spacing w:after="0" w:line="12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“Master Services Provider” </w:t>
      </w:r>
      <w:r>
        <w:rPr>
          <w:rFonts w:ascii="Times New Roman" w:cs="Times New Roman" w:eastAsia="Times New Roman" w:hAnsi="Times New Roman"/>
          <w:sz w:val="22"/>
          <w:szCs w:val="22"/>
          <w:color w:val="auto"/>
        </w:rPr>
        <w:t>means [***], a Delaware limited liability company. For purposes of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Master Services Provider shall be considered an Affiliate of the Class B Member but not an Affiliate of the Class A Member.</w:t>
      </w:r>
    </w:p>
    <w:p>
      <w:pPr>
        <w:spacing w:after="0" w:line="10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“Material Adverse Effect” </w:t>
      </w:r>
      <w:r>
        <w:rPr>
          <w:rFonts w:ascii="Times New Roman" w:cs="Times New Roman" w:eastAsia="Times New Roman" w:hAnsi="Times New Roman"/>
          <w:sz w:val="22"/>
          <w:szCs w:val="22"/>
          <w:color w:val="auto"/>
        </w:rPr>
        <w:t>means any act, event, condition or circumstance that, individually or in the aggregate, is,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could reasonably be expected to be, materially adverse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29" w:name="page230"/>
    <w:bookmarkEnd w:id="229"/>
    <w:p>
      <w:pPr>
        <w:jc w:val="both"/>
        <w:spacing w:after="0" w:line="250" w:lineRule="auto"/>
        <w:rPr>
          <w:sz w:val="20"/>
          <w:szCs w:val="20"/>
          <w:color w:val="auto"/>
        </w:rPr>
      </w:pPr>
      <w:r>
        <w:rPr>
          <w:rFonts w:ascii="Times New Roman" w:cs="Times New Roman" w:eastAsia="Times New Roman" w:hAnsi="Times New Roman"/>
          <w:sz w:val="22"/>
          <w:szCs w:val="22"/>
          <w:color w:val="auto"/>
        </w:rPr>
        <w:t>the business, earnings, Assets, liabilities (contingent or otherwise), results of operations, prospects, condition (financial or otherwise) or properties of the Pinnacle Project Company or any other subsidiary of the Company, or on the ability of the Pinnacle Project Company or any other subsidiary of the Company to timely perform any of its respective obligations under any Transaction Document to which it is a party or the legality, validity, binding effect or enforceability of any such Transaction Document.</w:t>
      </w:r>
    </w:p>
    <w:p>
      <w:pPr>
        <w:spacing w:after="0" w:line="13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“Member” </w:t>
      </w:r>
      <w:r>
        <w:rPr>
          <w:rFonts w:ascii="Times New Roman" w:cs="Times New Roman" w:eastAsia="Times New Roman" w:hAnsi="Times New Roman"/>
          <w:sz w:val="22"/>
          <w:szCs w:val="22"/>
          <w:color w:val="auto"/>
        </w:rPr>
        <w:t>means any Person who executes the signature page of this Agreement as of the Effective Date or thereafter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to be bound hereby and is admitted to the Company as a Member pursuant to this Agreement, excluding any Person that has ceased to be a Member.</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“Member Loan” </w:t>
      </w:r>
      <w:r>
        <w:rPr>
          <w:rFonts w:ascii="Times New Roman" w:cs="Times New Roman" w:eastAsia="Times New Roman" w:hAnsi="Times New Roman"/>
          <w:sz w:val="22"/>
          <w:szCs w:val="22"/>
          <w:color w:val="auto"/>
        </w:rPr>
        <w:t>is defined in Section 3.4(a).</w:t>
      </w:r>
    </w:p>
    <w:p>
      <w:pPr>
        <w:spacing w:after="0" w:line="17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“Member Nonrecourse Debt” </w:t>
      </w:r>
      <w:r>
        <w:rPr>
          <w:rFonts w:ascii="Times New Roman" w:cs="Times New Roman" w:eastAsia="Times New Roman" w:hAnsi="Times New Roman"/>
          <w:sz w:val="22"/>
          <w:szCs w:val="22"/>
          <w:color w:val="auto"/>
        </w:rPr>
        <w:t>has the meaning given the term “partner nonrecourse debt” in Treasury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1.704 2(b)(4).</w:t>
      </w:r>
    </w:p>
    <w:p>
      <w:pPr>
        <w:spacing w:after="0" w:line="10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“Member Nonrecourse Debt Minimum Gain” </w:t>
      </w:r>
      <w:r>
        <w:rPr>
          <w:rFonts w:ascii="Times New Roman" w:cs="Times New Roman" w:eastAsia="Times New Roman" w:hAnsi="Times New Roman"/>
          <w:sz w:val="22"/>
          <w:szCs w:val="22"/>
          <w:color w:val="auto"/>
        </w:rPr>
        <w:t>has the meaning given the term “partner nonrecourse debt minimum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gain” set forth in Treasury Regulations Section 1.704 2(i)(2), and will be computed as provided in Treasury Regulations Section 1.704 2(i)(3).</w:t>
      </w:r>
    </w:p>
    <w:p>
      <w:pPr>
        <w:spacing w:after="0" w:line="13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“Member Nonrecourse Deductions” </w:t>
      </w:r>
      <w:r>
        <w:rPr>
          <w:rFonts w:ascii="Times New Roman" w:cs="Times New Roman" w:eastAsia="Times New Roman" w:hAnsi="Times New Roman"/>
          <w:sz w:val="22"/>
          <w:szCs w:val="22"/>
          <w:color w:val="auto"/>
        </w:rPr>
        <w:t>has the same meaning as the term “partner nonrecourse deductions” in Treasury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Sections 1.704 2(i)(1) and 1.704 2(i)(2).</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“Membership Interest” </w:t>
      </w:r>
      <w:r>
        <w:rPr>
          <w:rFonts w:ascii="Times New Roman" w:cs="Times New Roman" w:eastAsia="Times New Roman" w:hAnsi="Times New Roman"/>
          <w:sz w:val="22"/>
          <w:szCs w:val="22"/>
          <w:color w:val="auto"/>
        </w:rPr>
        <w:t>means either the Class A Interest or the Class B Interest or both, as the context requires.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“Moody’s” </w:t>
      </w:r>
      <w:r>
        <w:rPr>
          <w:rFonts w:ascii="Times New Roman" w:cs="Times New Roman" w:eastAsia="Times New Roman" w:hAnsi="Times New Roman"/>
          <w:sz w:val="22"/>
          <w:szCs w:val="22"/>
          <w:color w:val="auto"/>
        </w:rPr>
        <w:t>means Moody’s Investor Service, or any successor entity.</w:t>
      </w:r>
    </w:p>
    <w:p>
      <w:pPr>
        <w:spacing w:after="0" w:line="19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“Nonrecourse Deductions” </w:t>
      </w:r>
      <w:r>
        <w:rPr>
          <w:rFonts w:ascii="Times New Roman" w:cs="Times New Roman" w:eastAsia="Times New Roman" w:hAnsi="Times New Roman"/>
          <w:sz w:val="22"/>
          <w:szCs w:val="22"/>
          <w:color w:val="auto"/>
        </w:rPr>
        <w:t>has the meaning given to such term in Treasury Regulations Sections 1.704 2(b)(1)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1.704 2(c).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“Nonrecourse Liability” </w:t>
      </w:r>
      <w:r>
        <w:rPr>
          <w:rFonts w:ascii="Times New Roman" w:cs="Times New Roman" w:eastAsia="Times New Roman" w:hAnsi="Times New Roman"/>
          <w:sz w:val="22"/>
          <w:szCs w:val="22"/>
          <w:color w:val="auto"/>
        </w:rPr>
        <w:t>has the meaning given such term in Treasury Regulations Section 1.704 2(b)(3).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NPV</w:t>
      </w:r>
      <w:r>
        <w:rPr>
          <w:rFonts w:ascii="Times New Roman" w:cs="Times New Roman" w:eastAsia="Times New Roman" w:hAnsi="Times New Roman"/>
          <w:sz w:val="22"/>
          <w:szCs w:val="22"/>
          <w:color w:val="auto"/>
        </w:rPr>
        <w:t>” means the value in the cell ‘Transaction Summary’!D18” in the Base Case Model.</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“Officers” </w:t>
      </w:r>
      <w:r>
        <w:rPr>
          <w:rFonts w:ascii="Times New Roman" w:cs="Times New Roman" w:eastAsia="Times New Roman" w:hAnsi="Times New Roman"/>
          <w:sz w:val="22"/>
          <w:szCs w:val="22"/>
          <w:color w:val="auto"/>
        </w:rPr>
        <w:t>is defined in Section 6.4.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Original LLC Agreement</w:t>
      </w:r>
      <w:r>
        <w:rPr>
          <w:rFonts w:ascii="Times New Roman" w:cs="Times New Roman" w:eastAsia="Times New Roman" w:hAnsi="Times New Roman"/>
          <w:sz w:val="22"/>
          <w:szCs w:val="22"/>
          <w:color w:val="auto"/>
        </w:rPr>
        <w:t>” is defined in the preamble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Outside Admission Date</w:t>
      </w:r>
      <w:r>
        <w:rPr>
          <w:rFonts w:ascii="Times New Roman" w:cs="Times New Roman" w:eastAsia="Times New Roman" w:hAnsi="Times New Roman"/>
          <w:sz w:val="22"/>
          <w:szCs w:val="22"/>
          <w:color w:val="auto"/>
        </w:rPr>
        <w:t>” is defined in Section 9.8.</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“Partnership Representative” </w:t>
      </w:r>
      <w:r>
        <w:rPr>
          <w:rFonts w:ascii="Times New Roman" w:cs="Times New Roman" w:eastAsia="Times New Roman" w:hAnsi="Times New Roman"/>
          <w:sz w:val="22"/>
          <w:szCs w:val="22"/>
          <w:color w:val="auto"/>
        </w:rPr>
        <w:t>is defined in Section 8.7(a).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“Party” </w:t>
      </w:r>
      <w:r>
        <w:rPr>
          <w:rFonts w:ascii="Times New Roman" w:cs="Times New Roman" w:eastAsia="Times New Roman" w:hAnsi="Times New Roman"/>
          <w:sz w:val="22"/>
          <w:szCs w:val="22"/>
          <w:color w:val="auto"/>
        </w:rPr>
        <w:t>means the Class B Member, the Company or the Class A Member, as the context requires.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“Permitted Investments” </w:t>
      </w:r>
      <w:r>
        <w:rPr>
          <w:rFonts w:ascii="Times New Roman" w:cs="Times New Roman" w:eastAsia="Times New Roman" w:hAnsi="Times New Roman"/>
          <w:sz w:val="22"/>
          <w:szCs w:val="22"/>
          <w:color w:val="auto"/>
        </w:rPr>
        <w:t>is defined in Section 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30" w:name="page231"/>
    <w:bookmarkEnd w:id="230"/>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“Person” </w:t>
      </w:r>
      <w:r>
        <w:rPr>
          <w:rFonts w:ascii="Times New Roman" w:cs="Times New Roman" w:eastAsia="Times New Roman" w:hAnsi="Times New Roman"/>
          <w:sz w:val="22"/>
          <w:szCs w:val="22"/>
          <w:color w:val="auto"/>
        </w:rPr>
        <w:t>means an individual, a corporation, a limited liability company, a partnership, an association, joint venture,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labor union, a trust or any other entity or organization, including a Governmental Authority.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“Pinnacle Holdco” </w:t>
      </w:r>
      <w:r>
        <w:rPr>
          <w:rFonts w:ascii="Times New Roman" w:cs="Times New Roman" w:eastAsia="Times New Roman" w:hAnsi="Times New Roman"/>
          <w:sz w:val="22"/>
          <w:szCs w:val="22"/>
          <w:color w:val="auto"/>
        </w:rPr>
        <w:t>is defined in the recitals to this Agreement.</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“Pinnacle Project” </w:t>
      </w:r>
      <w:r>
        <w:rPr>
          <w:rFonts w:ascii="Times New Roman" w:cs="Times New Roman" w:eastAsia="Times New Roman" w:hAnsi="Times New Roman"/>
          <w:sz w:val="22"/>
          <w:szCs w:val="22"/>
          <w:color w:val="auto"/>
        </w:rPr>
        <w:t>means the wind-powered electricity generation facility located in Mineral County, West Virginia,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 nameplate rating of 53.7 MW, known as the “Pinnacle” project, including the turbines and related equipment, buildings, collection lines, substation, and other improvements related thereto.</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“Pinnacle Project Company” </w:t>
      </w:r>
      <w:r>
        <w:rPr>
          <w:rFonts w:ascii="Times New Roman" w:cs="Times New Roman" w:eastAsia="Times New Roman" w:hAnsi="Times New Roman"/>
          <w:sz w:val="22"/>
          <w:szCs w:val="22"/>
          <w:color w:val="auto"/>
        </w:rPr>
        <w:t>is defined in the recitals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“Posting Notice” </w:t>
      </w:r>
      <w:r>
        <w:rPr>
          <w:rFonts w:ascii="Times New Roman" w:cs="Times New Roman" w:eastAsia="Times New Roman" w:hAnsi="Times New Roman"/>
          <w:sz w:val="22"/>
          <w:szCs w:val="22"/>
          <w:color w:val="auto"/>
        </w:rPr>
        <w:t>is defined in Section 3.5(a).</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Preliminary Intent Notice</w:t>
      </w:r>
      <w:r>
        <w:rPr>
          <w:rFonts w:ascii="Times New Roman" w:cs="Times New Roman" w:eastAsia="Times New Roman" w:hAnsi="Times New Roman"/>
          <w:sz w:val="22"/>
          <w:szCs w:val="22"/>
          <w:color w:val="auto"/>
        </w:rPr>
        <w:t>” is defined in is defined in Section 9.6(d).</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“Pre-Tax IRR” </w:t>
      </w:r>
      <w:r>
        <w:rPr>
          <w:rFonts w:ascii="Times New Roman" w:cs="Times New Roman" w:eastAsia="Times New Roman" w:hAnsi="Times New Roman"/>
          <w:sz w:val="22"/>
          <w:szCs w:val="22"/>
          <w:color w:val="auto"/>
        </w:rPr>
        <w:t>means, with respect to the Holder of a Class A Unit and at the time of any determination, the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discount rate (calculated and compounded on a daily basis using the Microsoft Excel XIRR function on all pre-tax cash flows) which sets A equal to B, where A is the sum of (a) the present value of all Cash Distributions in respect of such Class A Unit, plus (b) the present value of all indemnity payments received in respect of such Class A Unit, that compensate for loss of any item listed in the foregoing clauses (a) and (b); and B is the present value of the Class A Investment.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“PTCs” </w:t>
      </w:r>
      <w:r>
        <w:rPr>
          <w:rFonts w:ascii="Times New Roman" w:cs="Times New Roman" w:eastAsia="Times New Roman" w:hAnsi="Times New Roman"/>
          <w:sz w:val="22"/>
          <w:szCs w:val="22"/>
          <w:color w:val="auto"/>
        </w:rPr>
        <w:t>mean the renewable energy production tax credits provided for pursuant to Section 45 of the Code.</w:t>
      </w:r>
    </w:p>
    <w:p>
      <w:pPr>
        <w:spacing w:after="0" w:line="19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“PUHCA” </w:t>
      </w:r>
      <w:r>
        <w:rPr>
          <w:rFonts w:ascii="Times New Roman" w:cs="Times New Roman" w:eastAsia="Times New Roman" w:hAnsi="Times New Roman"/>
          <w:sz w:val="22"/>
          <w:szCs w:val="22"/>
          <w:color w:val="auto"/>
        </w:rPr>
        <w:t>means the Public Utility Holding Company Act of 2005, 42 U.S.C. §§ 16451, et seq. and the regulations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FERC thereunder at 18 C.F.R. §§ 366.1, et seq.</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Option</w:t>
      </w:r>
      <w:r>
        <w:rPr>
          <w:rFonts w:ascii="Times New Roman" w:cs="Times New Roman" w:eastAsia="Times New Roman" w:hAnsi="Times New Roman"/>
          <w:sz w:val="22"/>
          <w:szCs w:val="22"/>
          <w:color w:val="auto"/>
        </w:rPr>
        <w:t>” is defined in Section 9.6.</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Option Period</w:t>
      </w:r>
      <w:r>
        <w:rPr>
          <w:rFonts w:ascii="Times New Roman" w:cs="Times New Roman" w:eastAsia="Times New Roman" w:hAnsi="Times New Roman"/>
          <w:sz w:val="22"/>
          <w:szCs w:val="22"/>
          <w:color w:val="auto"/>
        </w:rPr>
        <w:t>” is defined in Section 9.6(a).</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Option Price</w:t>
      </w:r>
      <w:r>
        <w:rPr>
          <w:rFonts w:ascii="Times New Roman" w:cs="Times New Roman" w:eastAsia="Times New Roman" w:hAnsi="Times New Roman"/>
          <w:sz w:val="22"/>
          <w:szCs w:val="22"/>
          <w:color w:val="auto"/>
        </w:rPr>
        <w:t>” is defined in Section 9.6(a).</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“Qualified Transferee” </w:t>
      </w:r>
      <w:r>
        <w:rPr>
          <w:rFonts w:ascii="Times New Roman" w:cs="Times New Roman" w:eastAsia="Times New Roman" w:hAnsi="Times New Roman"/>
          <w:sz w:val="22"/>
          <w:szCs w:val="22"/>
          <w:color w:val="auto"/>
        </w:rPr>
        <w:t>means a nationally recognized Person (or a direct or indirect subsidiary of a Person): (a)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an Encumbrance on a Class B Unit, (i) owns and manages or operates (before giving effect to any Transfer hereunder) not less than [***] of wind projects in the United States (excluding the Pinnacle Project), and such Person (or such Person’s direct or indirect Parent) must have done so for a period of [***] prior to the Transfer or (ii) engages a Person (at its own cost and expense) meeting the qualifications of clause (i) above to act as a non-member manager hereunder, and (b) that (i) has a credit rating of [***], and such parent provides a guaranty in favor of the Members not party to such Encumbrance, in form and substance reasonably acceptable to such Members.</w:t>
      </w:r>
    </w:p>
    <w:p>
      <w:pPr>
        <w:spacing w:after="0" w:line="14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“RECs” </w:t>
      </w:r>
      <w:r>
        <w:rPr>
          <w:rFonts w:ascii="Times New Roman" w:cs="Times New Roman" w:eastAsia="Times New Roman" w:hAnsi="Times New Roman"/>
          <w:sz w:val="22"/>
          <w:szCs w:val="22"/>
          <w:color w:val="auto"/>
        </w:rPr>
        <w:t>means any credits, credit certificates, green tags or similar environmental or green energy attributes (such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those for greenhouse reduction or the generation of green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8" w:right="339" w:bottom="1440" w:gutter="0" w:footer="0" w:header="0"/>
        </w:sectPr>
      </w:pPr>
    </w:p>
    <w:bookmarkStart w:id="231" w:name="page232"/>
    <w:bookmarkEnd w:id="231"/>
    <w:p>
      <w:pPr>
        <w:jc w:val="both"/>
        <w:spacing w:after="0" w:line="257" w:lineRule="auto"/>
        <w:rPr>
          <w:sz w:val="20"/>
          <w:szCs w:val="20"/>
          <w:color w:val="auto"/>
        </w:rPr>
      </w:pPr>
      <w:r>
        <w:rPr>
          <w:rFonts w:ascii="Times New Roman" w:cs="Times New Roman" w:eastAsia="Times New Roman" w:hAnsi="Times New Roman"/>
          <w:sz w:val="22"/>
          <w:szCs w:val="22"/>
          <w:color w:val="auto"/>
        </w:rPr>
        <w:t>or renewable energy) created by a Governmental Authority or independent certification board or group generally recognized in the electric power generation industry, and generated by or associated with the Pinnacle Project or electricity produced therefrom, but excluding PTCs or any other tax benefits.</w:t>
      </w:r>
    </w:p>
    <w:p>
      <w:pPr>
        <w:spacing w:after="0" w:line="12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“Reference Rate” </w:t>
      </w:r>
      <w:r>
        <w:rPr>
          <w:rFonts w:ascii="Times New Roman" w:cs="Times New Roman" w:eastAsia="Times New Roman" w:hAnsi="Times New Roman"/>
          <w:sz w:val="22"/>
          <w:szCs w:val="22"/>
          <w:color w:val="auto"/>
        </w:rPr>
        <w:t>means the rate of interest published in The Wall Street Journal as the prime lending rate or “prime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rate”, with adjustments in that varying rate to be made on the same date as any change in that rate is so published.</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“Register” </w:t>
      </w:r>
      <w:r>
        <w:rPr>
          <w:rFonts w:ascii="Times New Roman" w:cs="Times New Roman" w:eastAsia="Times New Roman" w:hAnsi="Times New Roman"/>
          <w:sz w:val="22"/>
          <w:szCs w:val="22"/>
          <w:color w:val="auto"/>
        </w:rPr>
        <w:t>is defined in Section 2.8.</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“Regulatory Allocations” </w:t>
      </w:r>
      <w:r>
        <w:rPr>
          <w:rFonts w:ascii="Times New Roman" w:cs="Times New Roman" w:eastAsia="Times New Roman" w:hAnsi="Times New Roman"/>
          <w:sz w:val="22"/>
          <w:szCs w:val="22"/>
          <w:color w:val="auto"/>
        </w:rPr>
        <w:t>is defined in Section 4.3(i).</w:t>
      </w:r>
    </w:p>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“Related Party(ies)” </w:t>
      </w:r>
      <w:r>
        <w:rPr>
          <w:rFonts w:ascii="Times New Roman" w:cs="Times New Roman" w:eastAsia="Times New Roman" w:hAnsi="Times New Roman"/>
          <w:sz w:val="21"/>
          <w:szCs w:val="21"/>
          <w:color w:val="auto"/>
        </w:rPr>
        <w:t>means any Person who is considered for federal income tax purposes to be purchasing electricity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generated by the Pinnacle Project Company and who is related to the Pinnacle Project Company within the meaning of Section 267(b) or Section 707(b) of the Code or any successor provision, but excluding any Person that so purchases electricity generated by the Pinnacle Project Company to the extent such Person resells the electricity to another Person who is not related to the Pinnacle Project Company within the meaning of Section 267(b) or Section 707(b) of the Code or any successor provision.</w:t>
      </w:r>
    </w:p>
    <w:p>
      <w:pPr>
        <w:spacing w:after="0" w:line="1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Repowering Capital Contribution</w:t>
      </w:r>
      <w:r>
        <w:rPr>
          <w:rFonts w:ascii="Times New Roman" w:cs="Times New Roman" w:eastAsia="Times New Roman" w:hAnsi="Times New Roman"/>
          <w:sz w:val="22"/>
          <w:szCs w:val="22"/>
          <w:color w:val="auto"/>
        </w:rPr>
        <w:t>” means the Incremental Class A Investment plus the Incremental Class B Investment.</w:t>
      </w:r>
    </w:p>
    <w:p>
      <w:pPr>
        <w:spacing w:after="0" w:line="10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“Repowering Construction Contract” </w:t>
      </w:r>
      <w:r>
        <w:rPr>
          <w:rFonts w:ascii="Times New Roman" w:cs="Times New Roman" w:eastAsia="Times New Roman" w:hAnsi="Times New Roman"/>
          <w:sz w:val="22"/>
          <w:szCs w:val="22"/>
          <w:color w:val="auto"/>
        </w:rPr>
        <w:t>means one or more engineering, procurement, construction, balance of plant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contracts for the repowering of the Pinnacle Project providing a scope of supply and work not otherwise provided under the Repowering TSA.</w:t>
      </w:r>
    </w:p>
    <w:p>
      <w:pPr>
        <w:spacing w:after="0" w:line="12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“Repowering Construction Financing” </w:t>
      </w:r>
      <w:r>
        <w:rPr>
          <w:rFonts w:ascii="Times New Roman" w:cs="Times New Roman" w:eastAsia="Times New Roman" w:hAnsi="Times New Roman"/>
          <w:sz w:val="21"/>
          <w:szCs w:val="21"/>
          <w:color w:val="auto"/>
        </w:rPr>
        <w:t>means one or more construction financing facilities that the Borrower intends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raise secured by all of the assets of the Borrower, the proceeds of which will be used to finance the development, construction and repowering of the Pinnacle Project using the Safe Harbor Equipment and to fund the Tapestry Prepayment Amount.</w:t>
      </w:r>
    </w:p>
    <w:p>
      <w:pPr>
        <w:spacing w:after="0" w:line="12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“Repowering Financing Documents” </w:t>
      </w:r>
      <w:r>
        <w:rPr>
          <w:rFonts w:ascii="Times New Roman" w:cs="Times New Roman" w:eastAsia="Times New Roman" w:hAnsi="Times New Roman"/>
          <w:sz w:val="22"/>
          <w:szCs w:val="22"/>
          <w:color w:val="auto"/>
        </w:rPr>
        <w:t>means, collectively, the definitive financing and security documents,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in connection with the Repowering Construction Financing.</w:t>
      </w:r>
    </w:p>
    <w:p>
      <w:pPr>
        <w:spacing w:after="0" w:line="10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“Repowering Project Documents” </w:t>
      </w:r>
      <w:r>
        <w:rPr>
          <w:rFonts w:ascii="Times New Roman" w:cs="Times New Roman" w:eastAsia="Times New Roman" w:hAnsi="Times New Roman"/>
          <w:sz w:val="22"/>
          <w:szCs w:val="22"/>
          <w:color w:val="auto"/>
        </w:rPr>
        <w:t>means the Repowering TSA, Repowering Construction Contract, the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listed on Exhibit E and the Additional Repowering Project Documents.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“Repowering TSA” </w:t>
      </w:r>
      <w:r>
        <w:rPr>
          <w:rFonts w:ascii="Times New Roman" w:cs="Times New Roman" w:eastAsia="Times New Roman" w:hAnsi="Times New Roman"/>
          <w:sz w:val="22"/>
          <w:szCs w:val="22"/>
          <w:color w:val="auto"/>
        </w:rPr>
        <w:t>means [***].</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“Representatives” </w:t>
      </w:r>
      <w:r>
        <w:rPr>
          <w:rFonts w:ascii="Times New Roman" w:cs="Times New Roman" w:eastAsia="Times New Roman" w:hAnsi="Times New Roman"/>
          <w:sz w:val="22"/>
          <w:szCs w:val="22"/>
          <w:color w:val="auto"/>
        </w:rPr>
        <w:t>is defined in Section 7.7(a).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“S&amp;P” </w:t>
      </w:r>
      <w:r>
        <w:rPr>
          <w:rFonts w:ascii="Times New Roman" w:cs="Times New Roman" w:eastAsia="Times New Roman" w:hAnsi="Times New Roman"/>
          <w:sz w:val="22"/>
          <w:szCs w:val="22"/>
          <w:color w:val="auto"/>
        </w:rPr>
        <w:t>means Standard &amp; Poor’s Ratings Group, a division of McGraw Hill, Inc., or any successor entity.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“Safe Harbor Equipment” </w:t>
      </w:r>
      <w:r>
        <w:rPr>
          <w:rFonts w:ascii="Times New Roman" w:cs="Times New Roman" w:eastAsia="Times New Roman" w:hAnsi="Times New Roman"/>
          <w:sz w:val="22"/>
          <w:szCs w:val="22"/>
          <w:color w:val="auto"/>
        </w:rPr>
        <w:t>means the equipment described on Annex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32" w:name="page233"/>
    <w:bookmarkEnd w:id="232"/>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“Sanctioned Country” </w:t>
      </w:r>
      <w:r>
        <w:rPr>
          <w:rFonts w:ascii="Times New Roman" w:cs="Times New Roman" w:eastAsia="Times New Roman" w:hAnsi="Times New Roman"/>
          <w:sz w:val="22"/>
          <w:szCs w:val="22"/>
          <w:color w:val="auto"/>
        </w:rPr>
        <w:t>means, at any time, a country or territory which is itself the subject or target of any Sanctions.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“Sanctioned Person” </w:t>
      </w:r>
      <w:r>
        <w:rPr>
          <w:rFonts w:ascii="Times New Roman" w:cs="Times New Roman" w:eastAsia="Times New Roman" w:hAnsi="Times New Roman"/>
          <w:sz w:val="22"/>
          <w:szCs w:val="22"/>
          <w:color w:val="auto"/>
        </w:rPr>
        <w:t>means, at any time, (a) any Person listed in any Sanctions related list of designated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maintained by the Office of Foreign Assets Control of the U.S. Department of the Treasury, the U.S. Department of State, the United Nations Security Council, the European Union or any European Union member state, (b) any Person operating, organized or resident in a Sanctioned Country or (c) any Person owned or controlled by any such Person or Persons.</w:t>
      </w:r>
    </w:p>
    <w:p>
      <w:pPr>
        <w:spacing w:after="0" w:line="14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“Sanctions” </w:t>
      </w:r>
      <w:r>
        <w:rPr>
          <w:rFonts w:ascii="Times New Roman" w:cs="Times New Roman" w:eastAsia="Times New Roman" w:hAnsi="Times New Roman"/>
          <w:sz w:val="22"/>
          <w:szCs w:val="22"/>
          <w:color w:val="auto"/>
        </w:rPr>
        <w:t>mean (a) all U.S. and applicable international economic and trade sanctions and embargoes, including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sanctions or regulations administered and enforced by the U.S. Department of State, the U.S. Department of the Treasury (including the Office of Foreign Assets Control) and any executive orders, rules and regulations relating thereto, (b) all applicable Laws concerning exportation, including rules and regulations administered by the U.S. Department of Commerce, the U.S. Department of State or the Bureau of Customs and Border Protection of the U.S. Department of Homeland Security, and (c) any anti-boycott Laws, including any executive orders, rules and regulations.</w:t>
      </w:r>
    </w:p>
    <w:p>
      <w:pPr>
        <w:spacing w:after="0" w:line="14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“Securities” </w:t>
      </w:r>
      <w:r>
        <w:rPr>
          <w:rFonts w:ascii="Times New Roman" w:cs="Times New Roman" w:eastAsia="Times New Roman" w:hAnsi="Times New Roman"/>
          <w:sz w:val="22"/>
          <w:szCs w:val="22"/>
          <w:color w:val="auto"/>
        </w:rPr>
        <w:t>means, with respect to any Person, such Person’s capital stock or limited liability company interests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warrants or other securities which are directly or indirectly convertible into, or exercisable or exchangeable for, such Person’s capital stock or limited liability company interests, whether or not such derivative securities are issued by such Person, and any reference herein to “Securities” refers also to any such derivative securities and all underlying securities directly or indirectly issuable upon conversion, exchange or exercise of such derivative securities.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“Securities Act” </w:t>
      </w:r>
      <w:r>
        <w:rPr>
          <w:rFonts w:ascii="Times New Roman" w:cs="Times New Roman" w:eastAsia="Times New Roman" w:hAnsi="Times New Roman"/>
          <w:sz w:val="22"/>
          <w:szCs w:val="22"/>
          <w:color w:val="auto"/>
        </w:rPr>
        <w:t>means the Securities Act of 1933 or any successor statute, as amended from time to time.</w:t>
      </w:r>
    </w:p>
    <w:p>
      <w:pPr>
        <w:spacing w:after="0" w:line="19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SNL ATC Forward</w:t>
      </w:r>
      <w:r>
        <w:rPr>
          <w:rFonts w:ascii="Times New Roman" w:cs="Times New Roman" w:eastAsia="Times New Roman" w:hAnsi="Times New Roman"/>
          <w:sz w:val="22"/>
          <w:szCs w:val="22"/>
          <w:color w:val="auto"/>
        </w:rPr>
        <w:t>” means S&amp;P Global’s “around-the-clock” weighted average blend of on- and off-peak energy pricing forecasted for a given year.</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“Specified Share” </w:t>
      </w:r>
      <w:r>
        <w:rPr>
          <w:rFonts w:ascii="Times New Roman" w:cs="Times New Roman" w:eastAsia="Times New Roman" w:hAnsi="Times New Roman"/>
          <w:sz w:val="22"/>
          <w:szCs w:val="22"/>
          <w:color w:val="auto"/>
        </w:rPr>
        <w:t>means: (a) for the Class A Members, the Class A Distribution Percentage; and (b) for the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the Class B Distribution Percentage.</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“Subsequent Capital Contribution” </w:t>
      </w:r>
      <w:r>
        <w:rPr>
          <w:rFonts w:ascii="Times New Roman" w:cs="Times New Roman" w:eastAsia="Times New Roman" w:hAnsi="Times New Roman"/>
          <w:sz w:val="22"/>
          <w:szCs w:val="22"/>
          <w:color w:val="auto"/>
        </w:rPr>
        <w:t>means, with respect to a Member, any Capital Contribution by such Member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of the Company other than any Initial Capital Contribution pursuant to Section 3.1 and Section 3.2. For the avoidance of doubt, Subsequent Capital Contributions shall include the Construction Class B Investment and the Repowering Capital Contributions.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“Support Obligations” </w:t>
      </w:r>
      <w:r>
        <w:rPr>
          <w:rFonts w:ascii="Times New Roman" w:cs="Times New Roman" w:eastAsia="Times New Roman" w:hAnsi="Times New Roman"/>
          <w:sz w:val="22"/>
          <w:szCs w:val="22"/>
          <w:color w:val="auto"/>
        </w:rPr>
        <w:t>is defined in Section 3.5(a).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“Support Obligation Notice” </w:t>
      </w:r>
      <w:r>
        <w:rPr>
          <w:rFonts w:ascii="Times New Roman" w:cs="Times New Roman" w:eastAsia="Times New Roman" w:hAnsi="Times New Roman"/>
          <w:sz w:val="22"/>
          <w:szCs w:val="22"/>
          <w:color w:val="auto"/>
        </w:rPr>
        <w:t>is defined in Section 3.5(a).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233" w:name="page234"/>
    <w:bookmarkEnd w:id="233"/>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“Tapestry Indebtedness” </w:t>
      </w:r>
      <w:r>
        <w:rPr>
          <w:rFonts w:ascii="Times New Roman" w:cs="Times New Roman" w:eastAsia="Times New Roman" w:hAnsi="Times New Roman"/>
          <w:sz w:val="22"/>
          <w:szCs w:val="22"/>
          <w:color w:val="auto"/>
        </w:rPr>
        <w:t>means Indebtedness under that certain Credit Agreement, dated as of [***], by and among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Tapestry Wind LLC, [***] and the other lenders party thereto.</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“Tapestry Prepayment Amount” </w:t>
      </w:r>
      <w:r>
        <w:rPr>
          <w:rFonts w:ascii="Times New Roman" w:cs="Times New Roman" w:eastAsia="Times New Roman" w:hAnsi="Times New Roman"/>
          <w:sz w:val="22"/>
          <w:szCs w:val="22"/>
          <w:color w:val="auto"/>
        </w:rPr>
        <w:t>is defined in Section 3.3(c).</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“Tapestry Wind” </w:t>
      </w:r>
      <w:r>
        <w:rPr>
          <w:rFonts w:ascii="Times New Roman" w:cs="Times New Roman" w:eastAsia="Times New Roman" w:hAnsi="Times New Roman"/>
          <w:sz w:val="22"/>
          <w:szCs w:val="22"/>
          <w:color w:val="auto"/>
        </w:rPr>
        <w:t>is defined in the recitals to this Agreement.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“Tax” or “Taxes” </w:t>
      </w:r>
      <w:r>
        <w:rPr>
          <w:rFonts w:ascii="Times New Roman" w:cs="Times New Roman" w:eastAsia="Times New Roman" w:hAnsi="Times New Roman"/>
          <w:sz w:val="22"/>
          <w:szCs w:val="22"/>
          <w:color w:val="auto"/>
        </w:rPr>
        <w:t>means all taxes, charges, fees, levies, penalties or other assessments imposed by any federal, state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local or foreign taxing authority, including, but not limited to, income, excise, ad valorem, real or personal property, sales, transfer, franchise, payroll, withholding, social security, gross receipts, license, stamp, occupation, employment or other taxes, including any interest, penalties or additions attributable thereto.</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“Tax Benefits” </w:t>
      </w:r>
      <w:r>
        <w:rPr>
          <w:rFonts w:ascii="Times New Roman" w:cs="Times New Roman" w:eastAsia="Times New Roman" w:hAnsi="Times New Roman"/>
          <w:sz w:val="22"/>
          <w:szCs w:val="22"/>
          <w:color w:val="auto"/>
        </w:rPr>
        <w:t>means, with respect to a Class A Unit, the periodic federal income tax savings resulting from (a)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distributive share of PTCs allocated by the Company to the Holder of such Class A Unit, and (b) the distributive share of tax losses and deductions allocated by the Company to the Holder of such Class A Unit, in each case, as such federal income tax savings is determined in accordance with the Base Case Model.</w:t>
      </w:r>
    </w:p>
    <w:p>
      <w:pPr>
        <w:spacing w:after="0" w:line="14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“Tax Costs” </w:t>
      </w:r>
      <w:r>
        <w:rPr>
          <w:rFonts w:ascii="Times New Roman" w:cs="Times New Roman" w:eastAsia="Times New Roman" w:hAnsi="Times New Roman"/>
          <w:sz w:val="22"/>
          <w:szCs w:val="22"/>
          <w:color w:val="auto"/>
        </w:rPr>
        <w:t>means, with respect to a Class A Unit, the periodic federal income tax liability (after taking into account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suspended losses of the Class A Members under Section 704(d)) resulting from (a) the distributive share of taxable income and gain allocated by the Company to the Holder of such Class A Unit (including expected chargebacks of Company Minimum Gain pursuant to Section 4.3(a), expected chargebacks of Member Nonrecourse Debt Minimum Gain pursuant to Section 4.3(b), and expected allocations of Items of income pursuant to the first sentence of Section 12.2(a)(v)), and (b) any gain recognized by such Holder under Sections 731(a) of the Code from Cash Distributions in respect of such Class A Unit, in each case, as such federal income tax liability is determined in accordance with the Base Case Model.</w:t>
      </w:r>
    </w:p>
    <w:p>
      <w:pPr>
        <w:spacing w:after="0" w:line="14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“Tax Equity Documents” </w:t>
      </w:r>
      <w:r>
        <w:rPr>
          <w:rFonts w:ascii="Times New Roman" w:cs="Times New Roman" w:eastAsia="Times New Roman" w:hAnsi="Times New Roman"/>
          <w:sz w:val="22"/>
          <w:szCs w:val="22"/>
          <w:color w:val="auto"/>
        </w:rPr>
        <w:t>means that certain Equity Capital Contribution Agreement, to be entered into by and among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Pinnacle Holdco and the Tax Equity Investor in connection with the Tax Equity Financing (the “</w:t>
      </w:r>
      <w:r>
        <w:rPr>
          <w:rFonts w:ascii="Times New Roman" w:cs="Times New Roman" w:eastAsia="Times New Roman" w:hAnsi="Times New Roman"/>
          <w:sz w:val="22"/>
          <w:szCs w:val="22"/>
          <w:b w:val="1"/>
          <w:bCs w:val="1"/>
          <w:color w:val="auto"/>
        </w:rPr>
        <w:t>ECCA</w:t>
      </w:r>
      <w:r>
        <w:rPr>
          <w:rFonts w:ascii="Times New Roman" w:cs="Times New Roman" w:eastAsia="Times New Roman" w:hAnsi="Times New Roman"/>
          <w:sz w:val="22"/>
          <w:szCs w:val="22"/>
          <w:color w:val="auto"/>
        </w:rPr>
        <w:t>”), and related documentation that reflect the terms and conditions of the Tax Equity Financing, including the Beginning of Construction and Repowering Information Certificate (Closing Date) and the Beginning of Construction and Repowering Information Certificate (Funding Date) (each, as defined in the ECCA).</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“Tax Equity Entity” </w:t>
      </w:r>
      <w:r>
        <w:rPr>
          <w:rFonts w:ascii="Times New Roman" w:cs="Times New Roman" w:eastAsia="Times New Roman" w:hAnsi="Times New Roman"/>
          <w:sz w:val="22"/>
          <w:szCs w:val="22"/>
          <w:color w:val="auto"/>
        </w:rPr>
        <w:t>means the Borrower and Pinnacle Holdco.</w:t>
      </w:r>
    </w:p>
    <w:p>
      <w:pPr>
        <w:spacing w:after="0" w:line="19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“Tax Equity Financing” </w:t>
      </w:r>
      <w:r>
        <w:rPr>
          <w:rFonts w:ascii="Times New Roman" w:cs="Times New Roman" w:eastAsia="Times New Roman" w:hAnsi="Times New Roman"/>
          <w:sz w:val="22"/>
          <w:szCs w:val="22"/>
          <w:color w:val="auto"/>
        </w:rPr>
        <w:t>means a tax equity investment to be made on the Tax Equity Funding Date by the Tax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Investor.</w:t>
      </w:r>
    </w:p>
    <w:p>
      <w:pPr>
        <w:spacing w:after="0" w:line="10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“Tax Equity Funding Date” </w:t>
      </w:r>
      <w:r>
        <w:rPr>
          <w:rFonts w:ascii="Times New Roman" w:cs="Times New Roman" w:eastAsia="Times New Roman" w:hAnsi="Times New Roman"/>
          <w:sz w:val="22"/>
          <w:szCs w:val="22"/>
          <w:color w:val="auto"/>
        </w:rPr>
        <w:t>means the date on which the Tax Equity Investor under the Tax Equity Documents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ownership interests in Pinnacle Holdco.</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“Tax Equity Investor” </w:t>
      </w:r>
      <w:r>
        <w:rPr>
          <w:rFonts w:ascii="Times New Roman" w:cs="Times New Roman" w:eastAsia="Times New Roman" w:hAnsi="Times New Roman"/>
          <w:sz w:val="22"/>
          <w:szCs w:val="22"/>
          <w:color w:val="auto"/>
        </w:rPr>
        <w:t>is defined in the recitals to this Agreement.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“Tax Return” </w:t>
      </w:r>
      <w:r>
        <w:rPr>
          <w:rFonts w:ascii="Times New Roman" w:cs="Times New Roman" w:eastAsia="Times New Roman" w:hAnsi="Times New Roman"/>
          <w:sz w:val="22"/>
          <w:szCs w:val="22"/>
          <w:color w:val="auto"/>
        </w:rPr>
        <w:t>means the Company’s federal income tax return for each Taxable Year, including Schedule K 1s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8" w:right="339" w:bottom="1440" w:gutter="0" w:footer="0" w:header="0"/>
        </w:sectPr>
      </w:pPr>
    </w:p>
    <w:bookmarkStart w:id="234" w:name="page235"/>
    <w:bookmarkEnd w:id="234"/>
    <w:p>
      <w:pPr>
        <w:ind w:firstLine="648"/>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“Taxable Year” </w:t>
      </w:r>
      <w:r>
        <w:rPr>
          <w:rFonts w:ascii="Times New Roman" w:cs="Times New Roman" w:eastAsia="Times New Roman" w:hAnsi="Times New Roman"/>
          <w:sz w:val="21"/>
          <w:szCs w:val="21"/>
          <w:color w:val="auto"/>
        </w:rPr>
        <w:t>means the taxable year of the Company for federal income tax purposes, which shall be (a) the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commencing on the Effective Date and ending on the immediately succeeding December 31, (b) any subsequent calendar year or</w:t>
      </w:r>
    </w:p>
    <w:p>
      <w:pPr>
        <w:spacing w:after="0" w:line="2" w:lineRule="exact"/>
        <w:rPr>
          <w:sz w:val="20"/>
          <w:szCs w:val="20"/>
          <w:color w:val="auto"/>
        </w:rPr>
      </w:pPr>
    </w:p>
    <w:p>
      <w:pPr>
        <w:ind w:firstLine="8"/>
        <w:spacing w:after="0" w:line="248" w:lineRule="auto"/>
        <w:tabs>
          <w:tab w:leader="none" w:pos="29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the period described in clause (a) or (b) for which the Company is required to allocate Company Items pursuant to Article IV or Section 12.2(a)(v).</w:t>
      </w:r>
    </w:p>
    <w:p>
      <w:pPr>
        <w:spacing w:after="0" w:line="13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“Taxing Authority” </w:t>
      </w:r>
      <w:r>
        <w:rPr>
          <w:rFonts w:ascii="Times New Roman" w:cs="Times New Roman" w:eastAsia="Times New Roman" w:hAnsi="Times New Roman"/>
          <w:sz w:val="22"/>
          <w:szCs w:val="22"/>
          <w:color w:val="auto"/>
        </w:rPr>
        <w:t>means, with respect to a particular Tax, the agency or department of any Governmental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responsible for the administration and collection of such Tax.</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“Terminated Member” </w:t>
      </w:r>
      <w:r>
        <w:rPr>
          <w:rFonts w:ascii="Times New Roman" w:cs="Times New Roman" w:eastAsia="Times New Roman" w:hAnsi="Times New Roman"/>
          <w:sz w:val="22"/>
          <w:szCs w:val="22"/>
          <w:color w:val="auto"/>
        </w:rPr>
        <w:t>is defined in Section 9.7.</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“Third Party” </w:t>
      </w:r>
      <w:r>
        <w:rPr>
          <w:rFonts w:ascii="Times New Roman" w:cs="Times New Roman" w:eastAsia="Times New Roman" w:hAnsi="Times New Roman"/>
          <w:sz w:val="22"/>
          <w:szCs w:val="22"/>
          <w:color w:val="auto"/>
        </w:rPr>
        <w:t>means a Person other than a Member or an Affiliate of a Member.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“Transaction” </w:t>
      </w:r>
      <w:r>
        <w:rPr>
          <w:rFonts w:ascii="Times New Roman" w:cs="Times New Roman" w:eastAsia="Times New Roman" w:hAnsi="Times New Roman"/>
          <w:sz w:val="22"/>
          <w:szCs w:val="22"/>
          <w:color w:val="auto"/>
        </w:rPr>
        <w:t>means the transactions contemplated and provided for in the Investment Documents.</w:t>
      </w:r>
    </w:p>
    <w:p>
      <w:pPr>
        <w:spacing w:after="0" w:line="19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“Transaction Documents” </w:t>
      </w:r>
      <w:r>
        <w:rPr>
          <w:rFonts w:ascii="Times New Roman" w:cs="Times New Roman" w:eastAsia="Times New Roman" w:hAnsi="Times New Roman"/>
          <w:sz w:val="22"/>
          <w:szCs w:val="22"/>
          <w:color w:val="auto"/>
        </w:rPr>
        <w:t>mean the Repowering Financing Documents, the Repowering Project Documents,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 Equity Documents.</w:t>
      </w:r>
    </w:p>
    <w:p>
      <w:pPr>
        <w:spacing w:after="0" w:line="10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“Transfer” </w:t>
      </w:r>
      <w:r>
        <w:rPr>
          <w:rFonts w:ascii="Times New Roman" w:cs="Times New Roman" w:eastAsia="Times New Roman" w:hAnsi="Times New Roman"/>
          <w:sz w:val="22"/>
          <w:szCs w:val="22"/>
          <w:color w:val="auto"/>
        </w:rPr>
        <w:t>means the sale, transfer, assignment, conveyance, gift, exchange or other disposition of Class A Units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 B Units (and the Membership Interests represented thereby), whether directly by the Member or indirectly, excluding the creation of an Encumbrance, but including any such sale, transfer, assignment, conveyance, gift, exchange or other disposition in connection with, or in lieu of, the foreclosure of an Encumbrance.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“Transferee” </w:t>
      </w:r>
      <w:r>
        <w:rPr>
          <w:rFonts w:ascii="Times New Roman" w:cs="Times New Roman" w:eastAsia="Times New Roman" w:hAnsi="Times New Roman"/>
          <w:sz w:val="22"/>
          <w:szCs w:val="22"/>
          <w:color w:val="auto"/>
        </w:rPr>
        <w:t>means a Person to which a Transfer is or would be made.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Transferring Member</w:t>
      </w:r>
      <w:r>
        <w:rPr>
          <w:rFonts w:ascii="Times New Roman" w:cs="Times New Roman" w:eastAsia="Times New Roman" w:hAnsi="Times New Roman"/>
          <w:sz w:val="22"/>
          <w:szCs w:val="22"/>
          <w:color w:val="auto"/>
        </w:rPr>
        <w:t>” means the Member effecting a Transfer.</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“Treasury Regulations” </w:t>
      </w:r>
      <w:r>
        <w:rPr>
          <w:rFonts w:ascii="Times New Roman" w:cs="Times New Roman" w:eastAsia="Times New Roman" w:hAnsi="Times New Roman"/>
          <w:sz w:val="22"/>
          <w:szCs w:val="22"/>
          <w:color w:val="auto"/>
        </w:rPr>
        <w:t>means the regulations promulgated under the Code by the United States Department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Treasury, as such regulations may be amended from time to time. All references herein to specific sections of the regulations shall be deemed also to refer to any corresponding provisions of succeeding regulations, and any reference to temporary regulations shall be deemed also to refer to any corresponding provisions of final regulations.</w:t>
      </w:r>
    </w:p>
    <w:p>
      <w:pPr>
        <w:spacing w:after="0" w:line="13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UCC</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Uniform Commercial Code</w:t>
      </w:r>
      <w:r>
        <w:rPr>
          <w:rFonts w:ascii="Times New Roman" w:cs="Times New Roman" w:eastAsia="Times New Roman" w:hAnsi="Times New Roman"/>
          <w:sz w:val="22"/>
          <w:szCs w:val="22"/>
          <w:color w:val="auto"/>
        </w:rPr>
        <w:t>” means the Uniform Commercial Code in effect in the State of Delaware from time to time.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“Units” </w:t>
      </w:r>
      <w:r>
        <w:rPr>
          <w:rFonts w:ascii="Times New Roman" w:cs="Times New Roman" w:eastAsia="Times New Roman" w:hAnsi="Times New Roman"/>
          <w:sz w:val="22"/>
          <w:szCs w:val="22"/>
          <w:color w:val="auto"/>
        </w:rPr>
        <w:t>means either the Class A Units or the Class B Units or both, as the context requires.</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“Value” </w:t>
      </w:r>
      <w:r>
        <w:rPr>
          <w:rFonts w:ascii="Times New Roman" w:cs="Times New Roman" w:eastAsia="Times New Roman" w:hAnsi="Times New Roman"/>
          <w:sz w:val="22"/>
          <w:szCs w:val="22"/>
          <w:color w:val="auto"/>
        </w:rPr>
        <w:t>means, with respect to any Asset of the Company, such Asset’s adjusted basis for federal income tax purposes,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follows:</w:t>
      </w:r>
    </w:p>
    <w:p>
      <w:pPr>
        <w:spacing w:after="0" w:line="113" w:lineRule="exact"/>
        <w:rPr>
          <w:sz w:val="20"/>
          <w:szCs w:val="20"/>
          <w:color w:val="auto"/>
        </w:rPr>
      </w:pPr>
    </w:p>
    <w:p>
      <w:pPr>
        <w:ind w:firstLine="656"/>
        <w:spacing w:after="0" w:line="271" w:lineRule="auto"/>
        <w:tabs>
          <w:tab w:leader="none" w:pos="113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Value of any Asset contributed by a Member to the Company shall be the gross fair market value of such Asset, as agreed to by the Members;</w:t>
      </w:r>
    </w:p>
    <w:p>
      <w:pPr>
        <w:spacing w:after="0" w:line="130" w:lineRule="exact"/>
        <w:rPr>
          <w:rFonts w:ascii="Times New Roman" w:cs="Times New Roman" w:eastAsia="Times New Roman" w:hAnsi="Times New Roman"/>
          <w:sz w:val="22"/>
          <w:szCs w:val="22"/>
          <w:color w:val="auto"/>
        </w:rPr>
      </w:pPr>
    </w:p>
    <w:p>
      <w:pPr>
        <w:ind w:firstLine="656"/>
        <w:spacing w:after="0" w:line="271" w:lineRule="auto"/>
        <w:tabs>
          <w:tab w:leader="none" w:pos="117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all Assets of the Company shall be adjusted to equal their respective gross fair market values (taking Code Section 7701(g) into account), as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18" w:right="339" w:bottom="1440" w:gutter="0" w:footer="0" w:header="0"/>
        </w:sectPr>
      </w:pPr>
    </w:p>
    <w:bookmarkStart w:id="235" w:name="page236"/>
    <w:bookmarkEnd w:id="235"/>
    <w:p>
      <w:pPr>
        <w:jc w:val="both"/>
        <w:spacing w:after="0" w:line="246" w:lineRule="auto"/>
        <w:rPr>
          <w:sz w:val="20"/>
          <w:szCs w:val="20"/>
          <w:color w:val="auto"/>
        </w:rPr>
      </w:pPr>
      <w:r>
        <w:rPr>
          <w:rFonts w:ascii="Times New Roman" w:cs="Times New Roman" w:eastAsia="Times New Roman" w:hAnsi="Times New Roman"/>
          <w:sz w:val="22"/>
          <w:szCs w:val="22"/>
          <w:color w:val="auto"/>
        </w:rPr>
        <w:t>Members, in accordance with Treasury Regulations Section 1.704 1(b)(2)(iv)(f), as of the following times: (i) the acquisition of an additional Membership Interest in the Company by any new or existing Member in exchange for more than a de minimis Capital Contribution; (ii) the distribution by the Company to a Member of more than a de minimis amount of Company Assets as consideration for the acquisition of a Membership Interest in the Company; (iii) the grant of a Membership Interest in the Company (other than a de minimis interest) as consideration for the provision of services to or for the benefit of the Company by an existing Member acting in a Member capacity or a new Member acting in a Member capacity or in anticipation of being a Member; and (iv) the liquidation of the Company within the meaning of Treasury Regulations Section 1.704 1(b)(2)(ii)(g); provided that any adjustment described in clauses (i), (ii) or (iii) of this paragraph shall be made only upon the Consent of the Members;</w:t>
      </w:r>
    </w:p>
    <w:p>
      <w:pPr>
        <w:spacing w:after="0" w:line="150" w:lineRule="exact"/>
        <w:rPr>
          <w:sz w:val="20"/>
          <w:szCs w:val="20"/>
          <w:color w:val="auto"/>
        </w:rPr>
      </w:pPr>
    </w:p>
    <w:p>
      <w:pPr>
        <w:ind w:firstLine="656"/>
        <w:spacing w:after="0" w:line="295" w:lineRule="auto"/>
        <w:tabs>
          <w:tab w:leader="none" w:pos="1106"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any Asset distributed to any Member shall be adjusted to equal the gross fair market value of such Asset on the date of distribution (taking Code Section 7701(g) into account), as determined by the Consent of the Members; and</w:t>
      </w:r>
    </w:p>
    <w:p>
      <w:pPr>
        <w:spacing w:after="0" w:line="108" w:lineRule="exact"/>
        <w:rPr>
          <w:rFonts w:ascii="Times New Roman" w:cs="Times New Roman" w:eastAsia="Times New Roman" w:hAnsi="Times New Roman"/>
          <w:sz w:val="21"/>
          <w:szCs w:val="21"/>
          <w:color w:val="auto"/>
        </w:rPr>
      </w:pPr>
    </w:p>
    <w:p>
      <w:pPr>
        <w:jc w:val="both"/>
        <w:ind w:firstLine="656"/>
        <w:spacing w:after="0" w:line="248" w:lineRule="auto"/>
        <w:tabs>
          <w:tab w:leader="none" w:pos="118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Company Assets shall be increased (or decreased) to reflect any adjustments to the adjusted basis of such Assets pursuant to Code Section 734(b) or Code Section 743(b), but only to the extent that such adjustments are taken into account in determining Capital Accounts pursuant to Treasury Regulations Section 1.704 1(b)(2)(iv)(m); provided, however, that the Value shall not be adjusted pursuant to this clause (d) to the extent the Members determine that an adjustment pursuant to clause (b) of this definition is necessary or appropriate in connection with a transaction that would otherwise result in an adjustment pursuant to this clause (d).</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the Value of an Asset has been determined or adjusted pursuant to clause (a), (b) or (d) of this definition, such Value shall thereafter be adjusted by the Depreciation taken into account with respect to such Asset for purposes of determining Company Items and not by the depreciation, amortization, or other cost recovery deductions taken into account with respect to that asset for federal income tax purposes.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“Working Capital Loan” </w:t>
      </w:r>
      <w:r>
        <w:rPr>
          <w:rFonts w:ascii="Times New Roman" w:cs="Times New Roman" w:eastAsia="Times New Roman" w:hAnsi="Times New Roman"/>
          <w:sz w:val="22"/>
          <w:szCs w:val="22"/>
          <w:color w:val="auto"/>
        </w:rPr>
        <w:t>is defined in Section 3.4(a).</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“Working Capital Notice” </w:t>
      </w:r>
      <w:r>
        <w:rPr>
          <w:rFonts w:ascii="Times New Roman" w:cs="Times New Roman" w:eastAsia="Times New Roman" w:hAnsi="Times New Roman"/>
          <w:sz w:val="22"/>
          <w:szCs w:val="22"/>
          <w:color w:val="auto"/>
        </w:rPr>
        <w:t>is defined in Section 3.4(a).</w:t>
      </w:r>
    </w:p>
    <w:p>
      <w:pPr>
        <w:spacing w:after="0" w:line="22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Other Definitional Provisions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71"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As used herein, the singular shall include the plural, the masculine gender shall include the feminine and neuter and the neuter gender shall include the masculine and feminine unless the context otherwise indicates.</w:t>
      </w:r>
    </w:p>
    <w:p>
      <w:pPr>
        <w:spacing w:after="0" w:line="158" w:lineRule="exact"/>
        <w:rPr>
          <w:sz w:val="20"/>
          <w:szCs w:val="20"/>
          <w:color w:val="auto"/>
        </w:rPr>
      </w:pPr>
    </w:p>
    <w:p>
      <w:pPr>
        <w:jc w:val="both"/>
        <w:ind w:firstLine="384"/>
        <w:spacing w:after="0" w:line="250"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Any date specified for action that is not a Business Day shall mean the first Business Day after such date. Any reference to a Person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36" w:name="page237"/>
    <w:bookmarkEnd w:id="236"/>
    <w:p>
      <w:pPr>
        <w:jc w:val="both"/>
        <w:spacing w:after="0" w:line="248" w:lineRule="auto"/>
        <w:rPr>
          <w:sz w:val="20"/>
          <w:szCs w:val="20"/>
          <w:color w:val="auto"/>
        </w:rPr>
      </w:pPr>
      <w:r>
        <w:rPr>
          <w:rFonts w:ascii="Times New Roman" w:cs="Times New Roman" w:eastAsia="Times New Roman" w:hAnsi="Times New Roman"/>
          <w:sz w:val="22"/>
          <w:szCs w:val="22"/>
          <w:color w:val="auto"/>
        </w:rPr>
        <w:t>include such Person’s successors and permitted assigns. Any reference to any document or documents shall be deemed to refer to such document or documents as amended, modified, supplemented or replaced from time to time in accordance with the terms of such document or documents and, as applicable,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82"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Accounting Terms</w:t>
      </w:r>
      <w:r>
        <w:rPr>
          <w:rFonts w:ascii="Times New Roman" w:cs="Times New Roman" w:eastAsia="Times New Roman" w:hAnsi="Times New Roman"/>
          <w:sz w:val="22"/>
          <w:szCs w:val="22"/>
          <w:color w:val="auto"/>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THE COMPANY</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Organization of Limited Liability Company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The Class A Member of the Company is CWEN Pinnacle Repowering Holdco LLC and the Class B Member of the Company is CWSP Pinnacle Holding LLC. The Company was formed as a Delaware limited liability company by the filing of the Delaware Certificate pursuant to the Act. The rights and obligations of the Members shall be as provided in the Act, except as otherwise expressly provided herein. The Manager shall from time to time execute or cause to be executed all such certificates, instruments and other documents, and cause to be done all such filings and other actions, as the Manager may deem necessary or appropriate to operate, continue, or terminate the Company as a limited liability company under the laws of the State of Delaware and to qualify the Company to do business in all jurisdictions other than the State of Delaware in which the Company conducts or proposes to conduct business and in any other jurisdiction where such qualification is necessary or appropriate.</w:t>
      </w:r>
    </w:p>
    <w:p>
      <w:pPr>
        <w:spacing w:after="0" w:line="17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Name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name of the Company is, and the business of the Company shall be conducted under the name of, “Pinnacle Repowering Partnership LLC” or such other name or names as the Manager may designate from time to time, with the Consent of the Members. The Manager shall take any action that it determines is required to comply with the Act, assumed name act, fictitious name act, or similar statute in effect in each jurisdiction or political subdivision in which the Company conducts or proposes to conduct business and the Members agree to execute any documents reasonably requested by the Manager in connection with any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37" w:name="page238"/>
    <w:bookmarkEnd w:id="237"/>
    <w:p>
      <w:pPr>
        <w:spacing w:after="0" w:line="19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Principal Office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shall maintain a principal office at 300 Carnegie Center, Suite 300, Princeton, NJ 08540. The Manager may change the principal office of the Company from time to time upon prior written notice to the Members. The Manager shall maintain all records of the Company at its principal office or such location designated by the Manager in a notice to the Members.</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d.</w:t>
      </w:r>
      <w:r>
        <w:rPr>
          <w:sz w:val="20"/>
          <w:szCs w:val="20"/>
          <w:color w:val="auto"/>
        </w:rPr>
        <w:tab/>
      </w:r>
      <w:r>
        <w:rPr>
          <w:rFonts w:ascii="Times New Roman" w:cs="Times New Roman" w:eastAsia="Times New Roman" w:hAnsi="Times New Roman"/>
          <w:sz w:val="21"/>
          <w:szCs w:val="21"/>
          <w:u w:val="single" w:color="auto"/>
          <w:color w:val="auto"/>
        </w:rPr>
        <w:t>Registered Office; Registered Agent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The name of the registered agent of the Company in the State of Delaware is CT Corporation System. The address of the Company’s registered office in the State of Delaware is at Corporation Trust Center, 1209 Orange Street, Wilmington, DE 19801.</w:t>
      </w:r>
    </w:p>
    <w:p>
      <w:pPr>
        <w:spacing w:after="0" w:line="135"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e.</w:t>
      </w:r>
      <w:r>
        <w:rPr>
          <w:sz w:val="20"/>
          <w:szCs w:val="20"/>
          <w:color w:val="auto"/>
        </w:rPr>
        <w:tab/>
      </w:r>
      <w:r>
        <w:rPr>
          <w:rFonts w:ascii="Times New Roman" w:cs="Times New Roman" w:eastAsia="Times New Roman" w:hAnsi="Times New Roman"/>
          <w:sz w:val="21"/>
          <w:szCs w:val="21"/>
          <w:u w:val="single" w:color="auto"/>
          <w:color w:val="auto"/>
        </w:rPr>
        <w:t>Purposes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purpose of the Company is to directly or indirectly, through its ownership of the membership interests in the Tax Equity Entities and the Pinnacle Project Company, (a) capitalize the Company as provided in Article III and own the Pinnacle Project Company, (b) operate, maintain and repair the Pinnacle Project for the purpose of producing energy, capacity, ancillary services and RECs, (c) sell energy, capacity and ancillary services produced by the Pinnacle Project and to sell RECs generated from the Pinnacle Project, (d) develop, construct and repower the Pinnacle Project, (e) negotiate, execute, deliver and perform each Repowering Project Document in order to achieve the Tax Equity Funding Date, (f) raise Repowering Construction Financing and negotiate, execute, deliver and perform each Repowering Financing Document in order to pay for or reimburse costs associated with the development, construction, repowering and financing of the Pinnacle Project, (g) raise Tax Equity Financing and negotiate, execute, deliver and perform each Tax Equity Financing Document, (h) enter into, comply with and perform its obligations and enforce its rights under this Agreement and each other Transaction Document to which it is a party and to cause the Pinnacle Project Company or any other subsidiary of the Company to comply with, and perform its obligations and enforce its rights under each Transaction Document to which the Pinnacle Project Company or other subsidiary of the Company is a party; and (i) engage in and perform any and all activities necessary, incidental, related or appropriate to accomplish the foregoing that may be engaged in by a limited liability company formed under the Act. The Company shall not engage in any activity or own any Assets that are not directly related to the Company’s purpose as set forth in the first sentence of this Section 2.5.</w:t>
      </w:r>
    </w:p>
    <w:p>
      <w:pPr>
        <w:spacing w:after="0" w:line="18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f.</w:t>
      </w:r>
      <w:r>
        <w:rPr>
          <w:sz w:val="20"/>
          <w:szCs w:val="20"/>
          <w:color w:val="auto"/>
        </w:rPr>
        <w:tab/>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was formed on February 7, 2020, and shall continue in existence until dissolved and terminated in accordance with this Agreement or the Act.</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g.</w:t>
      </w:r>
      <w:r>
        <w:rPr>
          <w:sz w:val="20"/>
          <w:szCs w:val="20"/>
          <w:color w:val="auto"/>
        </w:rPr>
        <w:tab/>
      </w:r>
      <w:r>
        <w:rPr>
          <w:rFonts w:ascii="Times New Roman" w:cs="Times New Roman" w:eastAsia="Times New Roman" w:hAnsi="Times New Roman"/>
          <w:sz w:val="21"/>
          <w:szCs w:val="21"/>
          <w:u w:val="single" w:color="auto"/>
          <w:color w:val="auto"/>
        </w:rPr>
        <w:t>Title to Property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Title to Company Assets, whether tangible or intangible, shall be held in the name of the Company, and no Member, individually, shall have title to or any interest in such property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reason of being a Member. Membership Interests of each Member shall be personal property for all purposes.</w:t>
      </w:r>
    </w:p>
    <w:p>
      <w:pPr>
        <w:spacing w:after="0" w:line="22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h.</w:t>
      </w:r>
      <w:r>
        <w:rPr>
          <w:sz w:val="20"/>
          <w:szCs w:val="20"/>
          <w:color w:val="auto"/>
        </w:rPr>
        <w:tab/>
      </w:r>
      <w:r>
        <w:rPr>
          <w:rFonts w:ascii="Times New Roman" w:cs="Times New Roman" w:eastAsia="Times New Roman" w:hAnsi="Times New Roman"/>
          <w:sz w:val="21"/>
          <w:szCs w:val="21"/>
          <w:u w:val="single" w:color="auto"/>
          <w:color w:val="auto"/>
        </w:rPr>
        <w:t>Units; Certificates of Membership Interest; Applicability of Article 8 of UCC</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Membership Interests shall be represented by Units, divided into Class A Units (in the case of Class A Interest) and Class B Units (in the case of Class B Interest). The Membership Interests represented by Class A Units and Class B Units shall have the respective rights, powers and preferences ascribed to Class A Units and Class B Units in this Agreement. The class of Membership Interest of a Member shall be as provided in Annex I. The Members hereby specify, acknowledge and agree that all Units (and the Membership Interests represented thereby) are securities governed by Article 8 and all other provisions of the Uniform Commercial Code, and pursuant to the terms of Section 8 103(c) of the Uniform Commercial Code, such interests shall be “certificated securities” for all purposes under such Article 8 and under all other provisions of the Uniform Commercial Code. All Units (and the Membership Interests represented thereby) shall be represented by certificates substantially in the form attached hereto as Exhibit B, shall be recorded in a register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thereof maintained by the Company, and shall be subject to such rules for the issuance thereof in compliance with this Agreement and applicable Law.</w:t>
      </w:r>
    </w:p>
    <w:p>
      <w:pPr>
        <w:spacing w:after="0" w:line="18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i.</w:t>
      </w:r>
      <w:r>
        <w:rPr>
          <w:sz w:val="20"/>
          <w:szCs w:val="20"/>
          <w:color w:val="auto"/>
        </w:rPr>
        <w:tab/>
      </w:r>
      <w:r>
        <w:rPr>
          <w:rFonts w:ascii="Times New Roman" w:cs="Times New Roman" w:eastAsia="Times New Roman" w:hAnsi="Times New Roman"/>
          <w:sz w:val="21"/>
          <w:szCs w:val="21"/>
          <w:u w:val="single" w:color="auto"/>
          <w:color w:val="auto"/>
        </w:rPr>
        <w:t>No Partnership</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Members intend that the Company not be a partnership (including a limited partnership) or joint venture, and that no Member be a partner or joint venturer of any other Member, for any purposes other than tax purposes, and this Agreement may not be construed to suggest otherwise.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CAPITAL CONTRIBUTIONS; CREDIT SUPPORT</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Class A Interest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Each Class A Member shall be entitled to the allocations, distributions and other rights as are prescribed for a Class A Member in this Agreement. The Class A Member’s Capital Account balance as of the Effective Date with respect to its Class A Interest is as indicated on Annex I. The number of Class A Units held by the Class A Member with respect to its Class A Interest as of the Effective Date is the number indicated on Annex I.</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Class B Interest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Each Class B Member shall be entitled to the allocations, distributions and other rights as are prescribed for a Class B Member in this Agreement. Each Class B Member’s Capital Account balance as of the Effective Date with respect to its Class B Interest is as indicated on Annex I. The number of Class B Units held by the Class B Member with respect to its Class B Interest as of the Effective Date is the number indicated on 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239" w:name="page240"/>
    <w:bookmarkEnd w:id="239"/>
    <w:p>
      <w:pPr>
        <w:spacing w:after="0" w:line="19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Other Required Capital Contributions; Credit Support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71" w:lineRule="auto"/>
        <w:rPr>
          <w:sz w:val="20"/>
          <w:szCs w:val="20"/>
          <w:color w:val="auto"/>
        </w:rPr>
      </w:pPr>
      <w:r>
        <w:rPr>
          <w:rFonts w:ascii="Times New Roman" w:cs="Times New Roman" w:eastAsia="Times New Roman" w:hAnsi="Times New Roman"/>
          <w:sz w:val="22"/>
          <w:szCs w:val="22"/>
          <w:color w:val="auto"/>
        </w:rPr>
        <w:t>(i)Except as provided in this Section 3.3, Section 3.1, Section 3.2, Section 3.6, Section 6.4(d), Section 6.6(f) and Section 12.3, no Member shall be obligated to make Capital Contributions.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(ii)[Reserved.]</w:t>
      </w:r>
    </w:p>
    <w:p>
      <w:pPr>
        <w:spacing w:after="0" w:line="22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2"/>
          <w:szCs w:val="22"/>
          <w:color w:val="auto"/>
        </w:rPr>
        <w:t>(iii)[***] the Initial Class A Member shall contribute to the Company all of its right, title and interest in and to the equity interests in the Pinnacle Project Company, which equity interests shall constitute all of the outstanding equity interests in the Pinnacle Project Company [***] the Initial Class B Member shall cause Clearway Renew LLC, its Affiliate, to assign all of its rights and obligations under the Repowering TSA, including title to all equipment previously purchased thereunder for which title has passed to Clearway Renew LLC, to the Pinnacle Project Company in exchange for $[***]; [***].</w:t>
      </w:r>
    </w:p>
    <w:p>
      <w:pPr>
        <w:spacing w:after="0" w:line="177"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22"/>
          <w:szCs w:val="22"/>
          <w:color w:val="auto"/>
        </w:rPr>
        <w:t>(iv)The Class B Member shall be obligated to make additional Capital Contributions to the Company (the “</w:t>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Class B Investment</w:t>
      </w:r>
      <w:r>
        <w:rPr>
          <w:rFonts w:ascii="Times New Roman" w:cs="Times New Roman" w:eastAsia="Times New Roman" w:hAnsi="Times New Roman"/>
          <w:sz w:val="22"/>
          <w:szCs w:val="22"/>
          <w:color w:val="auto"/>
        </w:rPr>
        <w:t>”) in cash to fund all construction and post-financial closing development costs and expenses in respect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Pinnacle Project incurred in connection with the repowering of the Pinnacle Project and necessary to reach the Tax Equity Funding Date, to the extent that the proceeds of the Repowering Construction Financing are insufficient to cover such costs and expenses.</w:t>
      </w:r>
    </w:p>
    <w:p>
      <w:pPr>
        <w:spacing w:after="0" w:line="18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22"/>
          <w:szCs w:val="22"/>
          <w:color w:val="auto"/>
        </w:rPr>
        <w:t>(v)Upon each of the dates set forth in Exhibit D, the Members shall make Capital Contributions in an aggregate amount equal to the Repowering Capital Contribution to the Company. The Repowering Capital Contribution shall consist of the following:</w:t>
      </w:r>
    </w:p>
    <w:p>
      <w:pPr>
        <w:spacing w:after="0" w:line="173" w:lineRule="exact"/>
        <w:rPr>
          <w:sz w:val="20"/>
          <w:szCs w:val="20"/>
          <w:color w:val="auto"/>
        </w:rPr>
      </w:pPr>
    </w:p>
    <w:p>
      <w:pPr>
        <w:jc w:val="both"/>
        <w:ind w:firstLine="1952"/>
        <w:spacing w:after="0" w:line="250" w:lineRule="auto"/>
        <w:tabs>
          <w:tab w:leader="none" w:pos="2587"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Tax Equity Funding Date, the Class A Member will be obligated to make Capital Contributions to the Company (the aggregate of all Capital Contributions made pursuant to this Section 3.3(e)(i), the “</w:t>
      </w:r>
      <w:r>
        <w:rPr>
          <w:rFonts w:ascii="Times New Roman" w:cs="Times New Roman" w:eastAsia="Times New Roman" w:hAnsi="Times New Roman"/>
          <w:sz w:val="22"/>
          <w:szCs w:val="22"/>
          <w:b w:val="1"/>
          <w:bCs w:val="1"/>
          <w:color w:val="auto"/>
        </w:rPr>
        <w:t>Incremental Class A Investment</w:t>
      </w:r>
      <w:r>
        <w:rPr>
          <w:rFonts w:ascii="Times New Roman" w:cs="Times New Roman" w:eastAsia="Times New Roman" w:hAnsi="Times New Roman"/>
          <w:sz w:val="22"/>
          <w:szCs w:val="22"/>
          <w:color w:val="auto"/>
        </w:rPr>
        <w:t>”) in an amount equal to the lesser of (x) the Incremental Class A Investment Cap and (y) the sum of (A) the amount required to repay, in full, the lenders under the Repowering Construction Financing and (B) any remaining payments due to vendors to reach Final Completion.</w:t>
      </w:r>
    </w:p>
    <w:p>
      <w:pPr>
        <w:spacing w:after="0" w:line="18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deleted.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336"/>
        <w:spacing w:after="0" w:line="252" w:lineRule="auto"/>
        <w:rPr>
          <w:sz w:val="20"/>
          <w:szCs w:val="20"/>
          <w:color w:val="auto"/>
        </w:rPr>
      </w:pPr>
      <w:r>
        <w:rPr>
          <w:rFonts w:ascii="Times New Roman" w:cs="Times New Roman" w:eastAsia="Times New Roman" w:hAnsi="Times New Roman"/>
          <w:sz w:val="22"/>
          <w:szCs w:val="22"/>
          <w:color w:val="auto"/>
        </w:rPr>
        <w:t>(vi)The Class A Member and the Class B Member acknowledge and agree that Credit Support Obligations specified in this Section 3.3(f) are required in connection with Financing Required Capital Contributions and the Tax Equity Financing. Each Member agrees to satisfy the following Credit Support Obligations required under the Repowering Construction Financing and the Tax Equity Financing, as applicable, on or before the date required therefor under each such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90" w:lineRule="exact"/>
        <w:rPr>
          <w:sz w:val="20"/>
          <w:szCs w:val="20"/>
          <w:color w:val="auto"/>
        </w:rPr>
      </w:pPr>
    </w:p>
    <w:p>
      <w:pPr>
        <w:jc w:val="both"/>
        <w:ind w:left="1300" w:firstLine="1092"/>
        <w:spacing w:after="0" w:line="252" w:lineRule="auto"/>
        <w:rPr>
          <w:sz w:val="20"/>
          <w:szCs w:val="20"/>
          <w:color w:val="auto"/>
        </w:rPr>
      </w:pPr>
      <w:r>
        <w:rPr>
          <w:rFonts w:ascii="Times New Roman" w:cs="Times New Roman" w:eastAsia="Times New Roman" w:hAnsi="Times New Roman"/>
          <w:sz w:val="22"/>
          <w:szCs w:val="22"/>
          <w:color w:val="auto"/>
        </w:rPr>
        <w:t>(i)the Class A Member will execute and deliver to the lenders under the Repowering Construction Financing an equity contribution agreement in respect of the Incremental Class A Investment (it being acknowledged that any such equity contribution agreement shall include a maximum amount of the Class A Member’s funding commitment to the lenders equal to the Incremental Class A Investment Cap),</w:t>
      </w:r>
    </w:p>
    <w:p>
      <w:pPr>
        <w:spacing w:after="0" w:line="71" w:lineRule="exact"/>
        <w:rPr>
          <w:sz w:val="20"/>
          <w:szCs w:val="20"/>
          <w:color w:val="auto"/>
        </w:rPr>
      </w:pPr>
    </w:p>
    <w:p>
      <w:pPr>
        <w:jc w:val="both"/>
        <w:ind w:left="1300" w:firstLine="1032"/>
        <w:spacing w:after="0" w:line="252" w:lineRule="auto"/>
        <w:rPr>
          <w:sz w:val="20"/>
          <w:szCs w:val="20"/>
          <w:color w:val="auto"/>
        </w:rPr>
      </w:pPr>
      <w:r>
        <w:rPr>
          <w:rFonts w:ascii="Times New Roman" w:cs="Times New Roman" w:eastAsia="Times New Roman" w:hAnsi="Times New Roman"/>
          <w:sz w:val="22"/>
          <w:szCs w:val="22"/>
          <w:color w:val="auto"/>
        </w:rPr>
        <w:t>(ii)the Class B Member will execute and deliver to the lenders under the Repowering Construction Financing an equity contribution agreement in respect of the Construction Class B Investment and (if required by the lenders) the Incremental Class B Investment (it being acknowledged that any such equity contribution agreement may include a maximum amount of the Class B Member’s funding commitment to the lenders); and</w:t>
      </w:r>
    </w:p>
    <w:p>
      <w:pPr>
        <w:spacing w:after="0" w:line="71" w:lineRule="exact"/>
        <w:rPr>
          <w:sz w:val="20"/>
          <w:szCs w:val="20"/>
          <w:color w:val="auto"/>
        </w:rPr>
      </w:pPr>
    </w:p>
    <w:p>
      <w:pPr>
        <w:jc w:val="both"/>
        <w:ind w:left="1300" w:firstLine="972"/>
        <w:spacing w:after="0" w:line="257" w:lineRule="auto"/>
        <w:rPr>
          <w:sz w:val="20"/>
          <w:szCs w:val="20"/>
          <w:color w:val="auto"/>
        </w:rPr>
      </w:pPr>
      <w:r>
        <w:rPr>
          <w:rFonts w:ascii="Times New Roman" w:cs="Times New Roman" w:eastAsia="Times New Roman" w:hAnsi="Times New Roman"/>
          <w:sz w:val="22"/>
          <w:szCs w:val="22"/>
          <w:color w:val="auto"/>
        </w:rPr>
        <w:t>(iii)the Class A Member will cause to be executed and delivered to the Tax Equity Investor under the Tax Equity Financing a guaranty in respect of the Borrower’s obligations under the Tax Equity Documents (the “</w:t>
      </w:r>
      <w:r>
        <w:rPr>
          <w:rFonts w:ascii="Times New Roman" w:cs="Times New Roman" w:eastAsia="Times New Roman" w:hAnsi="Times New Roman"/>
          <w:sz w:val="22"/>
          <w:szCs w:val="22"/>
          <w:b w:val="1"/>
          <w:bCs w:val="1"/>
          <w:color w:val="auto"/>
        </w:rPr>
        <w:t>Class A TE Guaranty</w:t>
      </w:r>
      <w:r>
        <w:rPr>
          <w:rFonts w:ascii="Times New Roman" w:cs="Times New Roman" w:eastAsia="Times New Roman" w:hAnsi="Times New Roman"/>
          <w:sz w:val="22"/>
          <w:szCs w:val="22"/>
          <w:color w:val="auto"/>
        </w:rPr>
        <w:t>”).</w:t>
      </w:r>
    </w:p>
    <w:p>
      <w:pPr>
        <w:spacing w:after="0" w:line="65" w:lineRule="exact"/>
        <w:rPr>
          <w:sz w:val="20"/>
          <w:szCs w:val="20"/>
          <w:color w:val="auto"/>
        </w:rPr>
      </w:pPr>
    </w:p>
    <w:p>
      <w:pPr>
        <w:jc w:val="both"/>
        <w:ind w:firstLine="276"/>
        <w:spacing w:after="0" w:line="245" w:lineRule="auto"/>
        <w:rPr>
          <w:sz w:val="20"/>
          <w:szCs w:val="20"/>
          <w:color w:val="auto"/>
        </w:rPr>
      </w:pPr>
      <w:r>
        <w:rPr>
          <w:rFonts w:ascii="Times New Roman" w:cs="Times New Roman" w:eastAsia="Times New Roman" w:hAnsi="Times New Roman"/>
          <w:sz w:val="22"/>
          <w:szCs w:val="22"/>
          <w:color w:val="auto"/>
        </w:rPr>
        <w:t>(vii)To the extent that the Tax Equity Funding Date occurs and the Class A Members fail to make any Incremental Class A Investments, in addition to any other rights and remedies that the Class B Members may have at law or in equity, amounts paid by the Class B Members in lieu of the Incremental Class A Investment shall be treated as a loan from the Class B Members to the Class A Members. Each of the Class A Members will be treated as making a Capital Contribution in the amount of the loan received from the Class B Members. Each such loan shall accrue interest at [***]%, calculated and compounded on December 31 of each year. Commencing on the first Distribution Date after the Tax Equity Funding Date, any Available Cash Flow that a Class A Member would otherwise be entitled to shall not be paid to such Class A Member (but for the sake of clarity shall be deemed to have been distributed to the Class A Member, but further directed to the Class B Member to satisfy such loan), and all such Available Cash Flow shall be paid to the Class B Member until the loan has been repaid in full with interest. Any such loan may be assigned or collaterally assigned by the Class B Member, and the Class A Member shall execute and deliver notes, agreements, consents, estoppels, opinions and other documentation reasonably requested by the Class B Member in connection with such an assignment or collateral assignment.</w:t>
      </w:r>
    </w:p>
    <w:p>
      <w:pPr>
        <w:spacing w:after="0" w:line="19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d.</w:t>
      </w:r>
      <w:r>
        <w:rPr>
          <w:sz w:val="20"/>
          <w:szCs w:val="20"/>
          <w:color w:val="auto"/>
        </w:rPr>
        <w:tab/>
      </w:r>
      <w:r>
        <w:rPr>
          <w:rFonts w:ascii="Times New Roman" w:cs="Times New Roman" w:eastAsia="Times New Roman" w:hAnsi="Times New Roman"/>
          <w:sz w:val="21"/>
          <w:szCs w:val="21"/>
          <w:u w:val="single" w:color="auto"/>
          <w:color w:val="auto"/>
        </w:rPr>
        <w:t>Member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48" w:lineRule="auto"/>
        <w:rPr>
          <w:sz w:val="20"/>
          <w:szCs w:val="20"/>
          <w:color w:val="auto"/>
        </w:rPr>
      </w:pPr>
      <w:r>
        <w:rPr>
          <w:rFonts w:ascii="Times New Roman" w:cs="Times New Roman" w:eastAsia="Times New Roman" w:hAnsi="Times New Roman"/>
          <w:sz w:val="22"/>
          <w:szCs w:val="22"/>
          <w:color w:val="auto"/>
        </w:rPr>
        <w:t>(i)In the event that, from time to time after the Effective Date, additional working capital is needed to enable the Company to cause the Assets of the Company and the Pinnacle Project Company to be properly operated and maintained (and to pay and perform the costs, expenses, obligations and liabilities of the Company or the Pinnacle Project Company) and such additional working capital is not required to be funded by the Members pursuant to an additional Capital Contribution pursuant to Section 3.3, then, at the discretion of the Manager, the Manager may give notice to the Members thereof (the “</w:t>
      </w:r>
      <w:r>
        <w:rPr>
          <w:rFonts w:ascii="Times New Roman" w:cs="Times New Roman" w:eastAsia="Times New Roman" w:hAnsi="Times New Roman"/>
          <w:sz w:val="22"/>
          <w:szCs w:val="22"/>
          <w:b w:val="1"/>
          <w:bCs w:val="1"/>
          <w:color w:val="auto"/>
        </w:rPr>
        <w:t>Working Capital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and each Member shall have the right (but not the obligation) to advance all or part of the needed funds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Within ten (10) Business Days following the date of the Working Capital Notice,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241" w:name="page242"/>
    <w:bookmarkEnd w:id="241"/>
    <w:p>
      <w:pPr>
        <w:jc w:val="both"/>
        <w:spacing w:after="0" w:line="248" w:lineRule="auto"/>
        <w:rPr>
          <w:sz w:val="20"/>
          <w:szCs w:val="20"/>
          <w:color w:val="auto"/>
        </w:rPr>
      </w:pPr>
      <w:r>
        <w:rPr>
          <w:rFonts w:ascii="Times New Roman" w:cs="Times New Roman" w:eastAsia="Times New Roman" w:hAnsi="Times New Roman"/>
          <w:sz w:val="22"/>
          <w:szCs w:val="22"/>
          <w:color w:val="auto"/>
        </w:rPr>
        <w:t>participating Members shall give notice to the Manager and the other Members stating their election whether to provide such funding to the Company (the “</w:t>
      </w:r>
      <w:r>
        <w:rPr>
          <w:rFonts w:ascii="Times New Roman" w:cs="Times New Roman" w:eastAsia="Times New Roman" w:hAnsi="Times New Roman"/>
          <w:sz w:val="22"/>
          <w:szCs w:val="22"/>
          <w:b w:val="1"/>
          <w:bCs w:val="1"/>
          <w:color w:val="auto"/>
        </w:rPr>
        <w:t>Funding Notice</w:t>
      </w:r>
      <w:r>
        <w:rPr>
          <w:rFonts w:ascii="Times New Roman" w:cs="Times New Roman" w:eastAsia="Times New Roman" w:hAnsi="Times New Roman"/>
          <w:sz w:val="22"/>
          <w:szCs w:val="22"/>
          <w:color w:val="auto"/>
        </w:rPr>
        <w:t>”). If more than one Member states in the Funding Notice that it elects to provide such funds, then each Member shall provide an equal amount of funds (or such other amount as the Members decide) to the Company within five (5) Business Days after the date of the Funding Notice. Amounts advanced by any Member pursuant to this Section 3.4(a) shall be considered “</w:t>
      </w:r>
      <w:r>
        <w:rPr>
          <w:rFonts w:ascii="Times New Roman" w:cs="Times New Roman" w:eastAsia="Times New Roman" w:hAnsi="Times New Roman"/>
          <w:sz w:val="22"/>
          <w:szCs w:val="22"/>
          <w:b w:val="1"/>
          <w:bCs w:val="1"/>
          <w:color w:val="auto"/>
        </w:rPr>
        <w:t>Member Loans</w:t>
      </w:r>
      <w:r>
        <w:rPr>
          <w:rFonts w:ascii="Times New Roman" w:cs="Times New Roman" w:eastAsia="Times New Roman" w:hAnsi="Times New Roman"/>
          <w:sz w:val="22"/>
          <w:szCs w:val="22"/>
          <w:color w:val="auto"/>
        </w:rPr>
        <w:t>;” provided, however, that no Member Loan may impair the ability of the Company to distribute Available Cash Flow pursuant to Article 5.</w:t>
      </w:r>
    </w:p>
    <w:p>
      <w:pPr>
        <w:spacing w:after="0" w:line="187"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22"/>
          <w:szCs w:val="22"/>
          <w:color w:val="auto"/>
        </w:rPr>
        <w:t>(ii)Any Member Loan shall be unsecured and shall bear interest at a rate equal to the lesser of (A) the Reference Rate plus [***]% or (B) the highest rate of interest that may be charged by a Member in accordance with applicable Law, unless a lower rate of interest is otherwise agreed to by such Member in its sole discretion. Member Loans shall be repaid by the Company out of Available Cash Flow in accordance with the provisions of Section 5.1(f). Interest on each Member Loan pursuant to this Section 3.4 shall accrue and, if not paid in accordance with the immediately preceding sentence of this Section 3.4(b), be compounded to the principal amount thereof on each Distribution Date.</w:t>
      </w:r>
    </w:p>
    <w:p>
      <w:pPr>
        <w:spacing w:after="0" w:line="18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e.</w:t>
      </w:r>
      <w:r>
        <w:rPr>
          <w:sz w:val="20"/>
          <w:szCs w:val="20"/>
          <w:color w:val="auto"/>
        </w:rPr>
        <w:tab/>
      </w:r>
      <w:r>
        <w:rPr>
          <w:rFonts w:ascii="Times New Roman" w:cs="Times New Roman" w:eastAsia="Times New Roman" w:hAnsi="Times New Roman"/>
          <w:sz w:val="21"/>
          <w:szCs w:val="21"/>
          <w:u w:val="single" w:color="auto"/>
          <w:color w:val="auto"/>
        </w:rPr>
        <w:t>Support Obligations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8" w:lineRule="auto"/>
        <w:rPr>
          <w:sz w:val="20"/>
          <w:szCs w:val="20"/>
          <w:color w:val="auto"/>
        </w:rPr>
      </w:pPr>
      <w:r>
        <w:rPr>
          <w:rFonts w:ascii="Times New Roman" w:cs="Times New Roman" w:eastAsia="Times New Roman" w:hAnsi="Times New Roman"/>
          <w:sz w:val="21"/>
          <w:szCs w:val="21"/>
          <w:color w:val="auto"/>
        </w:rPr>
        <w:t>(i)In the event that, from time to time after the Effective Date, the Company or a Project Company or any other subsidiary of the Company is required to provide a letter of credit or other credit support under a Repowering Project Document, excluding the Credit Support Obligations set forth in Section 3.3(f) (for which the obligations of the Members are addressed exclusively in accordance with Section 3.3(f)) (a “</w:t>
      </w:r>
      <w:r>
        <w:rPr>
          <w:rFonts w:ascii="Times New Roman" w:cs="Times New Roman" w:eastAsia="Times New Roman" w:hAnsi="Times New Roman"/>
          <w:sz w:val="21"/>
          <w:szCs w:val="21"/>
          <w:b w:val="1"/>
          <w:bCs w:val="1"/>
          <w:color w:val="auto"/>
        </w:rPr>
        <w:t>Support Obligation</w:t>
      </w:r>
      <w:r>
        <w:rPr>
          <w:rFonts w:ascii="Times New Roman" w:cs="Times New Roman" w:eastAsia="Times New Roman" w:hAnsi="Times New Roman"/>
          <w:sz w:val="21"/>
          <w:szCs w:val="21"/>
          <w:color w:val="auto"/>
        </w:rPr>
        <w:t>”), then, at the discretion of the Manager, the Manager may give notice to the Members thereof (the “</w:t>
      </w:r>
      <w:r>
        <w:rPr>
          <w:rFonts w:ascii="Times New Roman" w:cs="Times New Roman" w:eastAsia="Times New Roman" w:hAnsi="Times New Roman"/>
          <w:sz w:val="21"/>
          <w:szCs w:val="21"/>
          <w:b w:val="1"/>
          <w:bCs w:val="1"/>
          <w:color w:val="auto"/>
        </w:rPr>
        <w:t>Support Obligation Notice</w:t>
      </w:r>
      <w:r>
        <w:rPr>
          <w:rFonts w:ascii="Times New Roman" w:cs="Times New Roman" w:eastAsia="Times New Roman" w:hAnsi="Times New Roman"/>
          <w:sz w:val="21"/>
          <w:szCs w:val="21"/>
          <w:color w:val="auto"/>
        </w:rPr>
        <w:t>”), and each Member shall have the right (but not the obligation) to provide the Support Obligation. Within ten (10) Business Days following the date of the Support Obligation Notice, the participating Members shall give notice to the Manager and the other Members stating their election whether to provide such Support Obligation (the “</w:t>
      </w:r>
      <w:r>
        <w:rPr>
          <w:rFonts w:ascii="Times New Roman" w:cs="Times New Roman" w:eastAsia="Times New Roman" w:hAnsi="Times New Roman"/>
          <w:sz w:val="21"/>
          <w:szCs w:val="21"/>
          <w:b w:val="1"/>
          <w:bCs w:val="1"/>
          <w:color w:val="auto"/>
        </w:rPr>
        <w:t>Posting Notice</w:t>
      </w:r>
      <w:r>
        <w:rPr>
          <w:rFonts w:ascii="Times New Roman" w:cs="Times New Roman" w:eastAsia="Times New Roman" w:hAnsi="Times New Roman"/>
          <w:sz w:val="21"/>
          <w:szCs w:val="21"/>
          <w:color w:val="auto"/>
        </w:rPr>
        <w:t>”). If more than one Member states in the Posting Notice that it elects to provide such Support Obligation, then each Member shall provide an equal amount of the Support Obligation (or such other amount as the Members decide) to the Company within five (5) Business Days after the date of the Posting Notice; provided, however, that no Support Obligation may impair the ability of the Company to distribute Available Cash Flow pursuant to Article 5.</w:t>
      </w:r>
    </w:p>
    <w:p>
      <w:pPr>
        <w:spacing w:after="0" w:line="182" w:lineRule="exact"/>
        <w:rPr>
          <w:sz w:val="20"/>
          <w:szCs w:val="20"/>
          <w:color w:val="auto"/>
        </w:rPr>
      </w:pPr>
    </w:p>
    <w:p>
      <w:pPr>
        <w:jc w:val="both"/>
        <w:ind w:firstLine="384"/>
        <w:spacing w:after="0" w:line="263" w:lineRule="auto"/>
        <w:rPr>
          <w:sz w:val="20"/>
          <w:szCs w:val="20"/>
          <w:color w:val="auto"/>
        </w:rPr>
      </w:pPr>
      <w:r>
        <w:rPr>
          <w:rFonts w:ascii="Times New Roman" w:cs="Times New Roman" w:eastAsia="Times New Roman" w:hAnsi="Times New Roman"/>
          <w:sz w:val="21"/>
          <w:szCs w:val="21"/>
          <w:color w:val="auto"/>
        </w:rPr>
        <w:t>(ii)In the event that a Member causes to be provided Support Obligations, then all reasonable out-of-pocket fees, costs and expenses incurred in connection therewith, in each case to the extent that such fees, costs and expenses are included in the annual budget for the Company or the Pinnacle Project Company, shall be paid and reimbursed to the Member by the Company solely out of Available Cash Flow that would otherwise be distributed to the Members prior to distributions pursuant to the provisions of Section 5.1. If a Member is obligated to pay or reimburse any amount drawn or paid under such Support Obligations, the Member shall be deemed to have made a Member Loan to the Company in accordance with Section 3.4(b) equal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242" w:name="page243"/>
    <w:bookmarkEnd w:id="242"/>
    <w:p>
      <w:pPr>
        <w:spacing w:after="0" w:line="271" w:lineRule="auto"/>
        <w:rPr>
          <w:sz w:val="20"/>
          <w:szCs w:val="20"/>
          <w:color w:val="auto"/>
        </w:rPr>
      </w:pPr>
      <w:r>
        <w:rPr>
          <w:rFonts w:ascii="Times New Roman" w:cs="Times New Roman" w:eastAsia="Times New Roman" w:hAnsi="Times New Roman"/>
          <w:sz w:val="22"/>
          <w:szCs w:val="22"/>
          <w:color w:val="auto"/>
        </w:rPr>
        <w:t>to the amount so paid or reimbursed by the Member. A Member shall give notice thereof to the Manager promptly after such loan is deemed to be made.</w:t>
      </w:r>
    </w:p>
    <w:p>
      <w:pPr>
        <w:spacing w:after="0" w:line="15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f.</w:t>
      </w:r>
      <w:r>
        <w:rPr>
          <w:sz w:val="20"/>
          <w:szCs w:val="20"/>
          <w:color w:val="auto"/>
        </w:rPr>
        <w:tab/>
      </w:r>
      <w:r>
        <w:rPr>
          <w:rFonts w:ascii="Times New Roman" w:cs="Times New Roman" w:eastAsia="Times New Roman" w:hAnsi="Times New Roman"/>
          <w:sz w:val="21"/>
          <w:szCs w:val="21"/>
          <w:u w:val="single" w:color="auto"/>
          <w:color w:val="auto"/>
        </w:rPr>
        <w:t>Obligations Under Tax Equity Documents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52"/>
        <w:spacing w:after="0" w:line="248" w:lineRule="auto"/>
        <w:tabs>
          <w:tab w:leader="none" w:pos="71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a Class A TE Obligation, then, in each case, (x) the Class A Member hereby irrevocably commits to contribute to the Borrower an amount equal to such payment obligation as and when required or contemplated pursuant to the Tax Equity Document and (y) the Manager shall cause the amount to be applied to the payment or reimbursement of such obligation.</w:t>
      </w:r>
    </w:p>
    <w:p>
      <w:pPr>
        <w:spacing w:after="0" w:line="187"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22"/>
          <w:szCs w:val="22"/>
          <w:color w:val="auto"/>
        </w:rPr>
        <w:t>(ii)In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a Class B TE Obligation, then, in each case, (x) the Class B Member hereby irrevocably commits to contribute to the Borrower an amount equal to such payment obligation as and when required or contemplated pursuant to the Tax Equity Document and (y) the Manager shall cause the amount to be applied to the payment or reimbursement of such obligation.</w:t>
      </w:r>
    </w:p>
    <w:p>
      <w:pPr>
        <w:spacing w:after="0" w:line="187"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21"/>
          <w:szCs w:val="21"/>
          <w:color w:val="auto"/>
        </w:rPr>
        <w:t>(iii)In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neither a Class A TE Obligation nor a Class B TE Obligation, then, in each case, (x) each Member hereby irrevocably commits to contribute to the Borrower an amount equal to its Specified Share of such payment obligation as and when required or contemplated pursuant to the Tax Equity Document and (y) the Manager shall cause the amount to be applied to the payment or reimbursement of such obligation.</w:t>
      </w:r>
    </w:p>
    <w:p>
      <w:pPr>
        <w:spacing w:after="0" w:line="16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g.</w:t>
      </w:r>
      <w:r>
        <w:rPr>
          <w:sz w:val="20"/>
          <w:szCs w:val="20"/>
          <w:color w:val="auto"/>
        </w:rPr>
        <w:tab/>
      </w:r>
      <w:r>
        <w:rPr>
          <w:rFonts w:ascii="Times New Roman" w:cs="Times New Roman" w:eastAsia="Times New Roman" w:hAnsi="Times New Roman"/>
          <w:sz w:val="21"/>
          <w:szCs w:val="21"/>
          <w:u w:val="single" w:color="auto"/>
          <w:color w:val="auto"/>
        </w:rPr>
        <w:t>No Right to Return of Capital Contributions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Except as otherwise provided in this Agreement, no Member may require a return of any part of its Capital Contributions or the payment of interest thereon from the Company or from another Member. An unrepaid Capital Contribution is not a liability of the Company or any Member.</w:t>
      </w:r>
    </w:p>
    <w:p>
      <w:pPr>
        <w:spacing w:after="0" w:line="17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h.</w:t>
      </w:r>
      <w:r>
        <w:rPr>
          <w:sz w:val="20"/>
          <w:szCs w:val="20"/>
          <w:color w:val="auto"/>
        </w:rPr>
        <w:tab/>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CAPITAL ACCOUNTS; ALLOCATIONS</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Capital Accounts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243" w:name="page244"/>
    <w:bookmarkEnd w:id="243"/>
    <w:p>
      <w:pPr>
        <w:jc w:val="both"/>
        <w:ind w:firstLine="444"/>
        <w:spacing w:after="0" w:line="271" w:lineRule="auto"/>
        <w:rPr>
          <w:sz w:val="20"/>
          <w:szCs w:val="20"/>
          <w:color w:val="auto"/>
        </w:rPr>
      </w:pPr>
      <w:r>
        <w:rPr>
          <w:rFonts w:ascii="Times New Roman" w:cs="Times New Roman" w:eastAsia="Times New Roman" w:hAnsi="Times New Roman"/>
          <w:sz w:val="22"/>
          <w:szCs w:val="22"/>
          <w:color w:val="auto"/>
        </w:rPr>
        <w:t>(i)The Company shall maintain for each Member a separate Capital Account in accordance with the rules of Treasury Regulations Section 1.704 l(b)(2)(iv).</w:t>
      </w:r>
    </w:p>
    <w:p>
      <w:pPr>
        <w:spacing w:after="0" w:line="15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21"/>
          <w:szCs w:val="21"/>
          <w:color w:val="auto"/>
        </w:rPr>
        <w:t>(ii)A Member’s Capital Account will be increased by (i) such Member’s Capital Contributions, and (ii) the income and gain the Member is allocated by the Company, including any income and gain that is exempted from tax and including any income and gain described in Treasury Regulations Section 1.704 1(b)(2)(iv)(g), but excluding tax items of income and gain described in Treasury Regulations Section 1.704 1(b)(4)(i). A Member’s Capital Account will be decreased by (i) the amount of money distributed to the Member by the Company, (ii) the net value of any property other than money distributed to the Member by the Company (i.e., the fair market value of the property net of any liabilities secured by the property that the Member is considered to assume or take subject to under Section 752 of the Code), (iii) any expenditures of the Company described in Section 705(a)(2)</w:t>
      </w:r>
    </w:p>
    <w:p>
      <w:pPr>
        <w:spacing w:after="0" w:line="2" w:lineRule="exact"/>
        <w:rPr>
          <w:sz w:val="20"/>
          <w:szCs w:val="20"/>
          <w:color w:val="auto"/>
        </w:rPr>
      </w:pPr>
    </w:p>
    <w:p>
      <w:pPr>
        <w:jc w:val="both"/>
        <w:ind w:firstLine="8"/>
        <w:spacing w:after="0" w:line="245" w:lineRule="auto"/>
        <w:tabs>
          <w:tab w:leader="none" w:pos="35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(i.e., that cannot be capitalized or deducted in computing taxable income) that are allocated to the Member, (iv) losses and deductions that are allocated to the Member, but excluding tax items of loss or deduction described in Treasury Regulations Section 1.704 1(b)(4)(i), and (v) an amount equal to an allocation of downward basis adjustment to such Member as described in Treasury Regulations Section 1.704-1(b)(2)(iv)(j).</w:t>
      </w:r>
    </w:p>
    <w:p>
      <w:pPr>
        <w:spacing w:after="0" w:line="185"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2"/>
          <w:szCs w:val="22"/>
          <w:color w:val="auto"/>
        </w:rPr>
        <w:t>(iii)In the event Units are Transferred in accordance with the terms of this Agreement, the Transferee shall succeed to the Capital Account of the Transferring Member to the extent it relates to the Units so Transferred.</w:t>
      </w:r>
    </w:p>
    <w:p>
      <w:pPr>
        <w:spacing w:after="0" w:line="158" w:lineRule="exact"/>
        <w:rPr>
          <w:sz w:val="20"/>
          <w:szCs w:val="20"/>
          <w:color w:val="auto"/>
        </w:rPr>
      </w:pPr>
    </w:p>
    <w:p>
      <w:pPr>
        <w:jc w:val="both"/>
        <w:ind w:firstLine="336"/>
        <w:spacing w:after="0" w:line="271" w:lineRule="auto"/>
        <w:rPr>
          <w:sz w:val="20"/>
          <w:szCs w:val="20"/>
          <w:color w:val="auto"/>
        </w:rPr>
      </w:pPr>
      <w:r>
        <w:rPr>
          <w:rFonts w:ascii="Times New Roman" w:cs="Times New Roman" w:eastAsia="Times New Roman" w:hAnsi="Times New Roman"/>
          <w:sz w:val="22"/>
          <w:szCs w:val="22"/>
          <w:color w:val="auto"/>
        </w:rPr>
        <w:t>(iv)In determining the amount of any liability for purposes of Section 4.1(b) there shall be taken into account Code Section 752(c) and any other applicable provisions of the Code and Treasury Regulations.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(v)The Members’ Initial Capital Contributions and initial Capital Accounts are set forth on Annex I.</w:t>
      </w:r>
    </w:p>
    <w:p>
      <w:pPr>
        <w:spacing w:after="0" w:line="220" w:lineRule="exact"/>
        <w:rPr>
          <w:sz w:val="20"/>
          <w:szCs w:val="20"/>
          <w:color w:val="auto"/>
        </w:rPr>
      </w:pPr>
    </w:p>
    <w:p>
      <w:pPr>
        <w:jc w:val="both"/>
        <w:ind w:firstLine="336"/>
        <w:spacing w:after="0" w:line="257" w:lineRule="auto"/>
        <w:rPr>
          <w:sz w:val="20"/>
          <w:szCs w:val="20"/>
          <w:color w:val="auto"/>
        </w:rPr>
      </w:pPr>
      <w:r>
        <w:rPr>
          <w:rFonts w:ascii="Times New Roman" w:cs="Times New Roman" w:eastAsia="Times New Roman" w:hAnsi="Times New Roman"/>
          <w:sz w:val="22"/>
          <w:szCs w:val="22"/>
          <w:color w:val="auto"/>
        </w:rPr>
        <w:t>(vi)This Section 4.1 and the other provisions of this Agreement relating to the maintenance of Capital Accounts are intended to comply with Treasury Regulations Section 1.704 1(b), and shall be interpreted and applied in a manner consistent with such Treasury Regulations.</w:t>
      </w:r>
    </w:p>
    <w:p>
      <w:pPr>
        <w:spacing w:after="0" w:line="17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Allocations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purposes of maintaining Capital Accounts, all Company Items for any Taxable Year shall be allocated among the Members as follows:</w:t>
      </w:r>
    </w:p>
    <w:p>
      <w:pPr>
        <w:spacing w:after="0" w:line="158"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General Allocations</w:t>
      </w:r>
      <w:r>
        <w:rPr>
          <w:rFonts w:ascii="Times New Roman" w:cs="Times New Roman" w:eastAsia="Times New Roman" w:hAnsi="Times New Roman"/>
          <w:sz w:val="22"/>
          <w:szCs w:val="22"/>
          <w:color w:val="auto"/>
        </w:rPr>
        <w:t>. Subject to Section 4.2(b), Section 4.3 and Section 12.2(a)(v), all Company Items attributable to the Pinnacle Project for any Taxable Year or relevant portion thereof shall be allocated among the Members as follows: the Class A Distribution Percentage to the Class A Members, pro rata in accordance with their Class A Units, and the Class B Distribution Percentage to the Class B Members, pro rata in accordance with their Class B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244" w:name="page245"/>
    <w:bookmarkEnd w:id="244"/>
    <w:p>
      <w:pPr>
        <w:jc w:val="both"/>
        <w:ind w:firstLine="384"/>
        <w:spacing w:after="0" w:line="257"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Items in Connection with Liquidation</w:t>
      </w:r>
      <w:r>
        <w:rPr>
          <w:rFonts w:ascii="Times New Roman" w:cs="Times New Roman" w:eastAsia="Times New Roman" w:hAnsi="Times New Roman"/>
          <w:sz w:val="22"/>
          <w:szCs w:val="22"/>
          <w:color w:val="auto"/>
        </w:rPr>
        <w:t>. Company Items for the Taxable Year in which there is a disposition or deemed disposition of all or substantially all of the Assets of the Company pursuant to Section 12.2(a)(iii) shall be allocated pursuant to Section 12.2(a)(v).</w:t>
      </w:r>
    </w:p>
    <w:p>
      <w:pPr>
        <w:spacing w:after="0" w:line="173"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following adjustments shall be made to the allocations set forth in Section 4.2 in the following order of priority in order to comply with Treasury Regulations Sections 1.704 1(b) and 1.704 2:</w:t>
      </w:r>
    </w:p>
    <w:p>
      <w:pPr>
        <w:spacing w:after="0" w:line="158" w:lineRule="exact"/>
        <w:rPr>
          <w:sz w:val="20"/>
          <w:szCs w:val="20"/>
          <w:color w:val="auto"/>
        </w:rPr>
      </w:pPr>
    </w:p>
    <w:p>
      <w:pPr>
        <w:jc w:val="both"/>
        <w:ind w:firstLine="444"/>
        <w:spacing w:after="0" w:line="246"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Company Minimum Gain Chargeback</w:t>
      </w:r>
      <w:r>
        <w:rPr>
          <w:rFonts w:ascii="Times New Roman" w:cs="Times New Roman" w:eastAsia="Times New Roman" w:hAnsi="Times New Roman"/>
          <w:sz w:val="22"/>
          <w:szCs w:val="22"/>
          <w:color w:val="auto"/>
        </w:rPr>
        <w:t>. Notwithstanding the other provisions of this Article IV, except as provided in Treasury Regulations Section 1.704 2(f), if there is a net decrease in Company Minimum Gain during any taxable year of the Company, each Member shall be allocated Company Items of income and gain for such taxable year (and, if necessary subsequent taxable years) in an amount equal to such Member’s share of the net decrease in Company Minimum Gain, determined in accordance with Treasury Regulations Section 1.704 2(g). Allocations pursuant to the previous sentence shall be made in proportion to the respective amounts required to be allocated to each Member pursuant thereto. The Company Items to be so allocated shall be determined in accordance with Treasury Regulations Sections 1.704 2(f)(6) and 1.704 2(j)(2). This Section 4.3(a) is intended to comply with the minimum gain chargeback requirement in Treasury Regulations Section 1.704 2(f) and shall be interpreted consistently therewith.</w:t>
      </w:r>
    </w:p>
    <w:p>
      <w:pPr>
        <w:spacing w:after="0" w:line="191"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21"/>
          <w:szCs w:val="21"/>
          <w:color w:val="auto"/>
        </w:rPr>
        <w:t>(ii)</w:t>
      </w:r>
      <w:r>
        <w:rPr>
          <w:rFonts w:ascii="Times New Roman" w:cs="Times New Roman" w:eastAsia="Times New Roman" w:hAnsi="Times New Roman"/>
          <w:sz w:val="21"/>
          <w:szCs w:val="21"/>
          <w:u w:val="single" w:color="auto"/>
          <w:color w:val="auto"/>
        </w:rPr>
        <w:t>Chargeback of Minimum Gain Attributable to Member Nonrecourse Debt</w:t>
      </w:r>
      <w:r>
        <w:rPr>
          <w:rFonts w:ascii="Times New Roman" w:cs="Times New Roman" w:eastAsia="Times New Roman" w:hAnsi="Times New Roman"/>
          <w:sz w:val="21"/>
          <w:szCs w:val="21"/>
          <w:color w:val="auto"/>
        </w:rPr>
        <w:t>. Notwithstanding the other provisions of this Article IV, except as provided in Treasury Regulations Section 1.704 2(i)(4), if there is a net decrease in Member Nonrecourse Debt Minimum Gain attributable to a Member Nonrecourse Debt during any taxable year of the Company, each Member who has a share of the Member Nonrecourse Debt Minimum Gain attributable to such Member Nonrecourse Debt, determined in accordance with Treasury Regulations Section 1.704 2(i)(5), shall be allocated Company Items of income and gain for such taxable year (and, if necessary, subsequent taxable year) in an amount equal to such Member’s share of the net decrease in Member Nonrecourse Debt, determined in accordance with Treasury Regulations Section 1.704 2(i)(4). Allocations pursuant to the previous sentence shall be made in proportion to the respective amounts required to be allocated to each Member pursuant thereto. The Company Items to be so allocated shall be determined in accordance with Treasury Regulations Sections 1.704 2(i)</w:t>
      </w:r>
    </w:p>
    <w:p>
      <w:pPr>
        <w:spacing w:after="0" w:line="5" w:lineRule="exact"/>
        <w:rPr>
          <w:sz w:val="20"/>
          <w:szCs w:val="20"/>
          <w:color w:val="auto"/>
        </w:rPr>
      </w:pPr>
    </w:p>
    <w:p>
      <w:pPr>
        <w:ind w:right="20" w:firstLine="8"/>
        <w:spacing w:after="0" w:line="248" w:lineRule="auto"/>
        <w:tabs>
          <w:tab w:leader="none" w:pos="33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1.704 2(j)(2). This Section 4.3(b) is intended to comply with the partner nonrecourse debt minimum gain chargeback requirement in Treasury Regulations Section 1.704 2(i)(4) and shall be interpreted consistently therewith.</w:t>
      </w:r>
    </w:p>
    <w:p>
      <w:pPr>
        <w:spacing w:after="0" w:line="182"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Limitation on Losses and Deductions</w:t>
      </w:r>
      <w:r>
        <w:rPr>
          <w:rFonts w:ascii="Times New Roman" w:cs="Times New Roman" w:eastAsia="Times New Roman" w:hAnsi="Times New Roman"/>
          <w:sz w:val="22"/>
          <w:szCs w:val="22"/>
          <w:color w:val="auto"/>
        </w:rPr>
        <w:t>. No items of loss or deduction may be allocated to any Member to the extent the allocation would result in or increase an Adjusted Capital Account Deficit at the end of any Taxable Year. In the event some but not all of the Members would have Adjusted Capital Account Deficits as a consequence of an allocation of items of loss or deduction, this limitation shall be applied on a Member-by-Member basis and items of loss or deduction not allocable to any Member as a result of such limitation shall be allocated to the other Members in the manner otherwise required pursuant to Section 4.2 and Section 12.2(a)(v)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245" w:name="page246"/>
    <w:bookmarkEnd w:id="245"/>
    <w:p>
      <w:pPr>
        <w:jc w:val="both"/>
        <w:spacing w:after="0" w:line="271" w:lineRule="auto"/>
        <w:rPr>
          <w:sz w:val="20"/>
          <w:szCs w:val="20"/>
          <w:color w:val="auto"/>
        </w:rPr>
      </w:pPr>
      <w:r>
        <w:rPr>
          <w:rFonts w:ascii="Times New Roman" w:cs="Times New Roman" w:eastAsia="Times New Roman" w:hAnsi="Times New Roman"/>
          <w:sz w:val="22"/>
          <w:szCs w:val="22"/>
          <w:color w:val="auto"/>
        </w:rPr>
        <w:t>to the extent such other Members may be allocated such items of loss or deduction without producing an Adjusted Capital Account Deficit.</w:t>
      </w:r>
    </w:p>
    <w:p>
      <w:pPr>
        <w:spacing w:after="0" w:line="158" w:lineRule="exact"/>
        <w:rPr>
          <w:sz w:val="20"/>
          <w:szCs w:val="20"/>
          <w:color w:val="auto"/>
        </w:rPr>
      </w:pPr>
    </w:p>
    <w:p>
      <w:pPr>
        <w:jc w:val="both"/>
        <w:ind w:firstLine="336"/>
        <w:spacing w:after="0" w:line="248"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Qualified Income Offset</w:t>
      </w:r>
      <w:r>
        <w:rPr>
          <w:rFonts w:ascii="Times New Roman" w:cs="Times New Roman" w:eastAsia="Times New Roman" w:hAnsi="Times New Roman"/>
          <w:sz w:val="22"/>
          <w:szCs w:val="22"/>
          <w:color w:val="auto"/>
        </w:rPr>
        <w:t>. In the event any Member unexpectedly receives any adjustments, allocations or distributions described in Treasury Regulations Sections 1.704 1(b)(2)(ii)(d)(4), (5) or (6), Company Items of income and gain shall be allocated to such Member in an amount and manner sufficient to eliminate as quickly as possible, to the extent required by the Treasury Regulations, any Adjusted Capital Account Deficit; provided that an allocation pursuant to this Section 4.3(d) shall be made only if and to the extent that such Member would have such a deficit Capital Account after all other adjustments provided for in this Section 4.3 have been tentatively made as if this Section 4.3(d) were not in this Agreement.</w:t>
      </w:r>
    </w:p>
    <w:p>
      <w:pPr>
        <w:spacing w:after="0" w:line="187" w:lineRule="exact"/>
        <w:rPr>
          <w:sz w:val="20"/>
          <w:szCs w:val="20"/>
          <w:color w:val="auto"/>
        </w:rPr>
      </w:pPr>
    </w:p>
    <w:p>
      <w:pPr>
        <w:jc w:val="both"/>
        <w:ind w:firstLine="396"/>
        <w:spacing w:after="0" w:line="263" w:lineRule="auto"/>
        <w:rPr>
          <w:sz w:val="20"/>
          <w:szCs w:val="20"/>
          <w:color w:val="auto"/>
        </w:rPr>
      </w:pPr>
      <w:r>
        <w:rPr>
          <w:rFonts w:ascii="Times New Roman" w:cs="Times New Roman" w:eastAsia="Times New Roman" w:hAnsi="Times New Roman"/>
          <w:sz w:val="21"/>
          <w:szCs w:val="21"/>
          <w:color w:val="auto"/>
        </w:rPr>
        <w:t>(v)</w:t>
      </w:r>
      <w:r>
        <w:rPr>
          <w:rFonts w:ascii="Times New Roman" w:cs="Times New Roman" w:eastAsia="Times New Roman" w:hAnsi="Times New Roman"/>
          <w:sz w:val="21"/>
          <w:szCs w:val="21"/>
          <w:u w:val="single" w:color="auto"/>
          <w:color w:val="auto"/>
        </w:rPr>
        <w:t>Gross Income Allocation</w:t>
      </w:r>
      <w:r>
        <w:rPr>
          <w:rFonts w:ascii="Times New Roman" w:cs="Times New Roman" w:eastAsia="Times New Roman" w:hAnsi="Times New Roman"/>
          <w:sz w:val="21"/>
          <w:szCs w:val="21"/>
          <w:color w:val="auto"/>
        </w:rPr>
        <w:t>. In the event any Member has a deficit Capital Account at the end of any Taxable Year that is in excess of the amount such Member is deemed obligated to restore pursuant to the penultimate sentences of Treasury Regulations Sections 1.704 2(g)(1) and 1.704 2(i)(5), each such Member shall be specially allocated Company Items of income and gain in the amount of such excess as quickly as possible; provided that an allocation pursuant to this Section 4.3(e) shall be made only if and to the extent that such Member would have a deficit Capital Account in excess of such sum after all other special allocations provided for in this Section 4.3 have been made as if Section 4.3(d) and this Section 4.3(e) were not in this Agreement.</w:t>
      </w:r>
    </w:p>
    <w:p>
      <w:pPr>
        <w:spacing w:after="0" w:line="167" w:lineRule="exact"/>
        <w:rPr>
          <w:sz w:val="20"/>
          <w:szCs w:val="20"/>
          <w:color w:val="auto"/>
        </w:rPr>
      </w:pPr>
    </w:p>
    <w:p>
      <w:pPr>
        <w:jc w:val="both"/>
        <w:ind w:firstLine="336"/>
        <w:spacing w:after="0" w:line="258" w:lineRule="auto"/>
        <w:rPr>
          <w:sz w:val="20"/>
          <w:szCs w:val="20"/>
          <w:color w:val="auto"/>
        </w:rPr>
      </w:pPr>
      <w:r>
        <w:rPr>
          <w:rFonts w:ascii="Times New Roman" w:cs="Times New Roman" w:eastAsia="Times New Roman" w:hAnsi="Times New Roman"/>
          <w:sz w:val="21"/>
          <w:szCs w:val="21"/>
          <w:color w:val="auto"/>
        </w:rPr>
        <w:t>(vi)</w:t>
      </w:r>
      <w:r>
        <w:rPr>
          <w:rFonts w:ascii="Times New Roman" w:cs="Times New Roman" w:eastAsia="Times New Roman" w:hAnsi="Times New Roman"/>
          <w:sz w:val="21"/>
          <w:szCs w:val="21"/>
          <w:u w:val="single" w:color="auto"/>
          <w:color w:val="auto"/>
        </w:rPr>
        <w:t>Section 754 Adjustments</w:t>
      </w:r>
      <w:r>
        <w:rPr>
          <w:rFonts w:ascii="Times New Roman" w:cs="Times New Roman" w:eastAsia="Times New Roman" w:hAnsi="Times New Roman"/>
          <w:sz w:val="21"/>
          <w:szCs w:val="21"/>
          <w:color w:val="auto"/>
        </w:rPr>
        <w:t>. To the extent an adjustment to the adjusted tax basis of any Company Asset pursuant to Code Section 734(b) or Section 743(b) is required pursuant to Treasury Regulations Section 1.704 1(b)(2)(iv)(m)(2) or Section 1.704 1(b)(2)(iv)(m)(4) to be taken into account in determining Capital Accounts as the result of a distribution to a Member in complete liquidation of such Member’s interest in the Company or a distribution to a Member other than in complete liquidation of such Member’s interest in the Company, the amount of such adjustment to Capital Accounts shall be treated as an item of gain (if the adjustment increases the basis of the Asset) or loss (if the adjustment decreases such basis). Such gain or loss shall be specially allocated to the Members as follows: (A) to the Member to whom such distribution was made in the event the first sentence of Treasury Regulations Section 1.704 1(b)(2)(iv)(m)(4) applies; (B) in accordance with how the corresponding item of “displaced” gain or loss would be allocated to the Members pursuant to Section 4.2 to the extent the second sentence of Treasury Regulations Section 1.704 1(b)(2)(iv)(m)(4) applies; and (C) in accordance with the Members’ “interests in the Company” under Treasury Regulations Section 1.704 1(b)(3) in the event Treasury Regulations Section 1.704 1(b)(2)(iv)(m)(2) applies.</w:t>
      </w:r>
    </w:p>
    <w:p>
      <w:pPr>
        <w:spacing w:after="0" w:line="182" w:lineRule="exact"/>
        <w:rPr>
          <w:sz w:val="20"/>
          <w:szCs w:val="20"/>
          <w:color w:val="auto"/>
        </w:rPr>
      </w:pPr>
    </w:p>
    <w:p>
      <w:pPr>
        <w:jc w:val="both"/>
        <w:ind w:firstLine="276"/>
        <w:spacing w:after="0" w:line="257"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22"/>
          <w:szCs w:val="22"/>
          <w:u w:val="single" w:color="auto"/>
          <w:color w:val="auto"/>
        </w:rPr>
        <w:t>Nonrecourse Deductions</w:t>
      </w:r>
      <w:r>
        <w:rPr>
          <w:rFonts w:ascii="Times New Roman" w:cs="Times New Roman" w:eastAsia="Times New Roman" w:hAnsi="Times New Roman"/>
          <w:sz w:val="22"/>
          <w:szCs w:val="22"/>
          <w:color w:val="auto"/>
        </w:rPr>
        <w:t>. Nonrecourse Deductions for any Taxable Year shall be allocated to the Members in accordance with (i) Section 4.2, as in effect at the time the Nonrecourse Deduction arises, or (ii) if applicable, Section 12.2(a)(v), as in effect at the time the Nonrecourse Deduction arises.</w:t>
      </w:r>
    </w:p>
    <w:p>
      <w:pPr>
        <w:spacing w:after="0" w:line="173" w:lineRule="exact"/>
        <w:rPr>
          <w:sz w:val="20"/>
          <w:szCs w:val="20"/>
          <w:color w:val="auto"/>
        </w:rPr>
      </w:pPr>
    </w:p>
    <w:p>
      <w:pPr>
        <w:jc w:val="both"/>
        <w:ind w:firstLine="216"/>
        <w:spacing w:after="0" w:line="271"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22"/>
          <w:szCs w:val="22"/>
          <w:u w:val="single" w:color="auto"/>
          <w:color w:val="auto"/>
        </w:rPr>
        <w:t>Member Nonrecourse Deductions</w:t>
      </w:r>
      <w:r>
        <w:rPr>
          <w:rFonts w:ascii="Times New Roman" w:cs="Times New Roman" w:eastAsia="Times New Roman" w:hAnsi="Times New Roman"/>
          <w:sz w:val="22"/>
          <w:szCs w:val="22"/>
          <w:color w:val="auto"/>
        </w:rPr>
        <w:t>. Any Member Nonrecourse Deductions for any Taxable Year shall be allocated to the Member who bears the economic risk of loss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246" w:name="page247"/>
    <w:bookmarkEnd w:id="246"/>
    <w:p>
      <w:pPr>
        <w:jc w:val="both"/>
        <w:spacing w:after="0" w:line="271" w:lineRule="auto"/>
        <w:rPr>
          <w:sz w:val="20"/>
          <w:szCs w:val="20"/>
          <w:color w:val="auto"/>
        </w:rPr>
      </w:pPr>
      <w:r>
        <w:rPr>
          <w:rFonts w:ascii="Times New Roman" w:cs="Times New Roman" w:eastAsia="Times New Roman" w:hAnsi="Times New Roman"/>
          <w:sz w:val="22"/>
          <w:szCs w:val="22"/>
          <w:color w:val="auto"/>
        </w:rPr>
        <w:t>to the Member Nonrecourse Debt to which such Member Nonrecourse Deductions are attributable in accordance with Treasury Regulations Section 1.704 2(i)(1).</w:t>
      </w:r>
    </w:p>
    <w:p>
      <w:pPr>
        <w:spacing w:after="0" w:line="154" w:lineRule="exact"/>
        <w:rPr>
          <w:sz w:val="20"/>
          <w:szCs w:val="20"/>
          <w:color w:val="auto"/>
        </w:rPr>
      </w:pPr>
    </w:p>
    <w:p>
      <w:pPr>
        <w:jc w:val="both"/>
        <w:ind w:firstLine="336"/>
        <w:spacing w:after="0" w:line="247" w:lineRule="auto"/>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22"/>
          <w:szCs w:val="22"/>
          <w:u w:val="single" w:color="auto"/>
          <w:color w:val="auto"/>
        </w:rPr>
        <w:t>Regulatory Allocations</w:t>
      </w:r>
      <w:r>
        <w:rPr>
          <w:rFonts w:ascii="Times New Roman" w:cs="Times New Roman" w:eastAsia="Times New Roman" w:hAnsi="Times New Roman"/>
          <w:sz w:val="22"/>
          <w:szCs w:val="22"/>
          <w:color w:val="auto"/>
        </w:rPr>
        <w:t>. The allocations required in Section 4.3(a) through Section 4.3(h) (the “</w:t>
      </w:r>
      <w:r>
        <w:rPr>
          <w:rFonts w:ascii="Times New Roman" w:cs="Times New Roman" w:eastAsia="Times New Roman" w:hAnsi="Times New Roman"/>
          <w:sz w:val="22"/>
          <w:szCs w:val="22"/>
          <w:b w:val="1"/>
          <w:bCs w:val="1"/>
          <w:color w:val="auto"/>
        </w:rPr>
        <w:t>Regulatory Allocations</w:t>
      </w:r>
      <w:r>
        <w:rPr>
          <w:rFonts w:ascii="Times New Roman" w:cs="Times New Roman" w:eastAsia="Times New Roman" w:hAnsi="Times New Roman"/>
          <w:sz w:val="22"/>
          <w:szCs w:val="22"/>
          <w:color w:val="auto"/>
        </w:rPr>
        <w:t>”) are intended to comply with certain requirements of the Treasury Regulations. It is the intent of the Members that, to the extent consistent with the Treasury Regulations, all Regulatory Allocations shall be offset either with other Regulatory Allocations or with allocations of other Company Items. Therefore, notwithstanding any other provisions of this Article IV, the Regulatory Allocations shall be taken into account in allocating other Company Items among the Members such that, to the extent consistent with the Treasury Regulations, the net amount of allocations of such items and the Regulatory Allocations to each Member shall be equal to the net amount that would have been allocated to each Member if the Regulatory Allocations had not occurred and all Company Items were allocated pursuant to Section 4.2, this Section 4.3 (excluding the Regulatory Allocations) and this Section 4.3(i) and Section 12.2(a)(v).</w:t>
      </w:r>
    </w:p>
    <w:p>
      <w:pPr>
        <w:spacing w:after="0" w:line="18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d.</w:t>
      </w:r>
      <w:r>
        <w:rPr>
          <w:sz w:val="20"/>
          <w:szCs w:val="20"/>
          <w:color w:val="auto"/>
        </w:rPr>
        <w:tab/>
      </w:r>
      <w:r>
        <w:rPr>
          <w:rFonts w:ascii="Times New Roman" w:cs="Times New Roman" w:eastAsia="Times New Roman" w:hAnsi="Times New Roman"/>
          <w:sz w:val="21"/>
          <w:szCs w:val="21"/>
          <w:u w:val="single" w:color="auto"/>
          <w:color w:val="auto"/>
        </w:rPr>
        <w:t>Tax Allocations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22"/>
          <w:szCs w:val="22"/>
          <w:color w:val="auto"/>
        </w:rPr>
        <w:t>(i)Except as otherwise provided in this Section 4.4, for federal, state and local income tax purposes each item of the Company’s income, gain, loss, deduction and credit as determined for federal income tax purposes shall be allocated to the Members in the same manner as the correlative Company Items are allocated for book purposes pursuant to Section 4.2, Section 4.3 and Section 12.2(a)(v).</w:t>
      </w:r>
    </w:p>
    <w:p>
      <w:pPr>
        <w:spacing w:after="0" w:line="179" w:lineRule="exact"/>
        <w:rPr>
          <w:sz w:val="20"/>
          <w:szCs w:val="20"/>
          <w:color w:val="auto"/>
        </w:rPr>
      </w:pPr>
    </w:p>
    <w:p>
      <w:pPr>
        <w:jc w:val="both"/>
        <w:ind w:firstLine="384"/>
        <w:spacing w:after="0" w:line="250" w:lineRule="auto"/>
        <w:rPr>
          <w:sz w:val="20"/>
          <w:szCs w:val="20"/>
          <w:color w:val="auto"/>
        </w:rPr>
      </w:pPr>
      <w:r>
        <w:rPr>
          <w:rFonts w:ascii="Times New Roman" w:cs="Times New Roman" w:eastAsia="Times New Roman" w:hAnsi="Times New Roman"/>
          <w:sz w:val="22"/>
          <w:szCs w:val="22"/>
          <w:color w:val="auto"/>
        </w:rPr>
        <w:t>(ii)In accordance with Code Section 704(c) and the Treasury Regulations thereunder, items of the Company’s income, gain, loss, deduction and credit as determined for federal income tax purposes that are attributable to any non-cash property contributed to the capital of the Company shall, solely for tax purposes, be allocated among the Members so as to take account of any variation between the adjusted basis of such property to the Company for federal income tax purposes and its initial Value using the “traditional” method permitted by Treasury Regulations Section 1.704 3(d).</w:t>
      </w:r>
    </w:p>
    <w:p>
      <w:pPr>
        <w:spacing w:after="0" w:line="18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2"/>
          <w:szCs w:val="22"/>
          <w:color w:val="auto"/>
        </w:rPr>
        <w:t>(iii)In the event the Value of any Company Asset is adjusted pursuant to subparagraph (b) of the definition of Value, subsequent allocations of Company Items with respect to such Asset shall take account of any variation between the adjusted basis of such Asset for federal income tax purposes and its Value in the same manner as under Code Section 704(c) and the Treasury Regulations thereunder.</w:t>
      </w:r>
    </w:p>
    <w:p>
      <w:pPr>
        <w:spacing w:after="0" w:line="179" w:lineRule="exact"/>
        <w:rPr>
          <w:sz w:val="20"/>
          <w:szCs w:val="20"/>
          <w:color w:val="auto"/>
        </w:rPr>
      </w:pPr>
    </w:p>
    <w:p>
      <w:pPr>
        <w:jc w:val="both"/>
        <w:ind w:firstLine="336"/>
        <w:spacing w:after="0" w:line="257" w:lineRule="auto"/>
        <w:rPr>
          <w:sz w:val="20"/>
          <w:szCs w:val="20"/>
          <w:color w:val="auto"/>
        </w:rPr>
      </w:pPr>
      <w:r>
        <w:rPr>
          <w:rFonts w:ascii="Times New Roman" w:cs="Times New Roman" w:eastAsia="Times New Roman" w:hAnsi="Times New Roman"/>
          <w:sz w:val="22"/>
          <w:szCs w:val="22"/>
          <w:color w:val="auto"/>
        </w:rPr>
        <w:t>(iv)Allocations pursuant to this Section 4.4 are solely for federal, state, and local income taxes and shall not affect, or in any way be taken into account in computing, any Member’s Capital Account or distributive share of Company Items or distributions pursuant to any provision of this Agreement.</w:t>
      </w:r>
    </w:p>
    <w:p>
      <w:pPr>
        <w:spacing w:after="0" w:line="173"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e.</w:t>
      </w:r>
      <w:r>
        <w:rPr>
          <w:sz w:val="20"/>
          <w:szCs w:val="20"/>
          <w:color w:val="auto"/>
        </w:rPr>
        <w:tab/>
      </w:r>
      <w:r>
        <w:rPr>
          <w:rFonts w:ascii="Times New Roman" w:cs="Times New Roman" w:eastAsia="Times New Roman" w:hAnsi="Times New Roman"/>
          <w:sz w:val="21"/>
          <w:szCs w:val="21"/>
          <w:u w:val="single" w:color="auto"/>
          <w:color w:val="auto"/>
        </w:rPr>
        <w:t>Other Allocation Rules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247" w:name="page248"/>
    <w:bookmarkEnd w:id="247"/>
    <w:p>
      <w:pPr>
        <w:jc w:val="both"/>
        <w:ind w:firstLine="444"/>
        <w:spacing w:after="0" w:line="246" w:lineRule="auto"/>
        <w:rPr>
          <w:sz w:val="20"/>
          <w:szCs w:val="20"/>
          <w:color w:val="auto"/>
        </w:rPr>
      </w:pPr>
      <w:r>
        <w:rPr>
          <w:rFonts w:ascii="Times New Roman" w:cs="Times New Roman" w:eastAsia="Times New Roman" w:hAnsi="Times New Roman"/>
          <w:sz w:val="22"/>
          <w:szCs w:val="22"/>
          <w:color w:val="auto"/>
        </w:rPr>
        <w:t>(i)The Members are aware of the income tax consequences of the allocations made by this Article IV and Section 12.2(a) and hereby agree to be bound by the provisions of this Article IV and by Section 12.2(a) in reporting their distributive shares of Company Items for income tax purposes, unless otherwise required by applicable Law. If the respective Membership Interests or allocation ratios described in this Article IV of the existing Members in the Company change or if a Membership Interest is Transferred in compliance with this Agreement to any other Person, then, for the Taxable Year in which the change or Transfer occurs, all Company Items resulting from the operations of the Company shall be allocated, as between the Members for the Taxable Year in which the change occurs or between the Transferring Member and the Transferee, by taking into account their varying interests using the interim closing of the books method permitted by Treasury Regulations Section 1.706 1(c)(2)(ii), unless otherwise agreed in writing by all the Members.</w:t>
      </w:r>
    </w:p>
    <w:p>
      <w:pPr>
        <w:spacing w:after="0" w:line="191"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22"/>
          <w:szCs w:val="22"/>
          <w:color w:val="auto"/>
        </w:rPr>
        <w:t>(ii)The Members agree that solely for purposes of determining a Member’s proportionate share of the “excess nonrecourse liabilities” of the Company within the meaning of Treasury Regulations Section 1.752 3(a)(3), the Members’ interests in Company profits are in accordance with Section 4.2 as in effect at the time the excess nonrecourse liability arises.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2"/>
          <w:szCs w:val="22"/>
          <w:color w:val="auto"/>
        </w:rPr>
        <w:t>(iii)Each Member agrees to provide the Company with information in connection with a transaction subject to Sections 734 and 743 of the Code and the elections permitted and provisions required thereunder, including Treasury Regulations Section 1.743 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Distributions of Available Cash Flow</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Available Cash Flow shall be distributed to the Members as follows:</w:t>
      </w:r>
    </w:p>
    <w:p>
      <w:pPr>
        <w:spacing w:after="0" w:line="220" w:lineRule="exact"/>
        <w:rPr>
          <w:sz w:val="20"/>
          <w:szCs w:val="20"/>
          <w:color w:val="auto"/>
        </w:rPr>
      </w:pPr>
    </w:p>
    <w:p>
      <w:pPr>
        <w:jc w:val="both"/>
        <w:ind w:right="20" w:firstLine="444"/>
        <w:spacing w:after="0" w:line="295" w:lineRule="auto"/>
        <w:rPr>
          <w:sz w:val="20"/>
          <w:szCs w:val="20"/>
          <w:color w:val="auto"/>
        </w:rPr>
      </w:pPr>
      <w:r>
        <w:rPr>
          <w:rFonts w:ascii="Times New Roman" w:cs="Times New Roman" w:eastAsia="Times New Roman" w:hAnsi="Times New Roman"/>
          <w:sz w:val="21"/>
          <w:szCs w:val="21"/>
          <w:color w:val="auto"/>
        </w:rPr>
        <w:t>(i)Subject to Sections 3.3(g), 3.5(b) and 5.1(e), from and after the Effective Date, Available Cash Flow shall be distributed to the Members on each Distribution Date on which the Company has Available Cash Flow, in the following order and priority:</w:t>
      </w:r>
    </w:p>
    <w:p>
      <w:pPr>
        <w:spacing w:after="0" w:line="135" w:lineRule="exact"/>
        <w:rPr>
          <w:sz w:val="20"/>
          <w:szCs w:val="20"/>
          <w:color w:val="auto"/>
        </w:rPr>
      </w:pPr>
    </w:p>
    <w:p>
      <w:pPr>
        <w:ind w:firstLine="1952"/>
        <w:spacing w:after="0" w:line="271" w:lineRule="auto"/>
        <w:tabs>
          <w:tab w:leader="none" w:pos="258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and after the Effective Date until the Tax Equity Funding Date, 100% to the Class A Members, pro rata in accordance with their Class A Units; and</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and after the Tax Equity Funding Date, the Class A Distribution Percentage to the Class A Members, pro rata in accordance with their Class A Units, and the Class B Distribution Percentage to the Class B Members, pro rata in accordance with their Class B Units.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(ii)Intentionally deleted.</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(iii)Intentionally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248" w:name="page249"/>
    <w:bookmarkEnd w:id="248"/>
    <w:p>
      <w:pPr>
        <w:ind w:left="340"/>
        <w:spacing w:after="0"/>
        <w:rPr>
          <w:sz w:val="20"/>
          <w:szCs w:val="20"/>
          <w:color w:val="auto"/>
        </w:rPr>
      </w:pPr>
      <w:r>
        <w:rPr>
          <w:rFonts w:ascii="Times New Roman" w:cs="Times New Roman" w:eastAsia="Times New Roman" w:hAnsi="Times New Roman"/>
          <w:sz w:val="22"/>
          <w:szCs w:val="22"/>
          <w:color w:val="auto"/>
        </w:rPr>
        <w:t>(iv)Intentionally deleted.</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(v)[***].</w:t>
      </w:r>
    </w:p>
    <w:p>
      <w:pPr>
        <w:spacing w:after="0" w:line="220" w:lineRule="exact"/>
        <w:rPr>
          <w:sz w:val="20"/>
          <w:szCs w:val="20"/>
          <w:color w:val="auto"/>
        </w:rPr>
      </w:pPr>
    </w:p>
    <w:p>
      <w:pPr>
        <w:jc w:val="both"/>
        <w:ind w:firstLine="336"/>
        <w:spacing w:after="0" w:line="252" w:lineRule="auto"/>
        <w:rPr>
          <w:sz w:val="20"/>
          <w:szCs w:val="20"/>
          <w:color w:val="auto"/>
        </w:rPr>
      </w:pPr>
      <w:r>
        <w:rPr>
          <w:rFonts w:ascii="Times New Roman" w:cs="Times New Roman" w:eastAsia="Times New Roman" w:hAnsi="Times New Roman"/>
          <w:sz w:val="22"/>
          <w:szCs w:val="22"/>
          <w:color w:val="auto"/>
        </w:rPr>
        <w:t>(vi)Once all amounts have been distributed pursuant to Section 5.1(a) above on any Distribution Date, then if on such Distribution Date on which there is an unpaid balance on any Member Loan made by a Member in accordance with Section 3.4, any remaining Available Cash Flow shall be repaid to the Members participating in such Member Loan on such Distribution Date in an amount not to exceed the outstanding balance of such Member Loan.</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Limitation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distributions described in this Article V shall be made only from Available Cash Flow and only to the extent that there shall be sufficient Available Cash Flow to enable the Manager to make payments in accordance with the terms hereof. Notwithstanding any provision to the contrary contained in this Agreement, the Company shall not make a distribution to a Member on account of its Membership Interest if such distribution (including a return of Capital Contributions) would violate the Act or any other applicable Law.</w:t>
      </w:r>
    </w:p>
    <w:p>
      <w:pPr>
        <w:spacing w:after="0" w:line="181"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Notwithstanding any other provision of this Agreement, the Company shall comply with any withholding requirements under any Law and shall remit amounts withheld to, and file required forms with, applicable taxing authorities. To the extent that the Company is required to withhold and pay over any amounts to any taxing authority with respect to distributions or allocations to any Member, the amount withheld shall be treated as a distribution of cash to such Member in the amount of such withholding. The Company shall notify the Member and permit the Member, if permitted by applicable Law, to contest the applicability of the underlying Tax prior to making such withholding, provided that the Company shall not incur any interest, penalties or additions to tax (unless the contesting Member shall have agreed to indemnify and hold harmless the Company for any such additional liabilities). If an amount required to be withheld was not withheld from an actual distribution, the Company may reduce subsequent distributions by the amount of such required withholding and any penalties or interest thereon. Each Member agrees to furnish to the Company such forms or other documentation as is reasonably necessary to assist the Company in determining the extent of, and in fulfilling, its withholding obligations.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MANAGEMENT</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Manager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22"/>
          <w:szCs w:val="22"/>
          <w:color w:val="auto"/>
        </w:rPr>
        <w:t>(i)The Initial Class A Member is hereby appointed by the Members as the initial Manager of the Company. Except as provided in Section 6.2 or as otherwise expressly provided in this Agreement, the Manager shall conduct, direct and exercise control over all activities of the Company, and shall have full power and authority on behalf of the Company to manage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249" w:name="page250"/>
    <w:bookmarkEnd w:id="249"/>
    <w:p>
      <w:pPr>
        <w:jc w:val="both"/>
        <w:spacing w:after="0" w:line="245" w:lineRule="auto"/>
        <w:rPr>
          <w:sz w:val="20"/>
          <w:szCs w:val="20"/>
          <w:color w:val="auto"/>
        </w:rPr>
      </w:pPr>
      <w:r>
        <w:rPr>
          <w:rFonts w:ascii="Times New Roman" w:cs="Times New Roman" w:eastAsia="Times New Roman" w:hAnsi="Times New Roman"/>
          <w:sz w:val="22"/>
          <w:szCs w:val="22"/>
          <w:color w:val="auto"/>
        </w:rPr>
        <w:t>administer the business and affairs of the Company and to do or cause to be done any and all acts reasonably considered by the Manager to be necessary or appropriate to conduct the business of the Company (including, without limitation, taking all necessary actions to cause the Company to cause the Pinnacle Project Company (and any other subsidiary of the Company) to distribute any Available Cash Flow in a timely manner and to perform its obligations and enforce its rights under the Repowering Project Documents to which it is a party and to otherwise carry out its purposes) without the need for approval by or any other consent from any Member, including the authority to bind the Company in making contracts and incurring obligations in the Company’s name in the course of the Company’s business. The Manager may delegate its management duties and obligations to third parties, including the Master Services Provider, or Officers but such delegation shall not relieve the Manager of its primary obligation with respect to such duties and obligations. Except to the extent that a Member is also the Manager or authority is delegated from the Manager, no Member shall have any authority to bind the Company. Without limiting the generality of the foregoing, the Manager shall (provided that, in each case as it relates to the Pinnacle Project Company or any other subsidiary of the Company, only to the extent that the Company has (directly or indirectly) the authority to control the management of the Pinnacle Project Company or other subsidiary of the Company):</w:t>
      </w:r>
    </w:p>
    <w:p>
      <w:pPr>
        <w:spacing w:after="0" w:line="193" w:lineRule="exact"/>
        <w:rPr>
          <w:sz w:val="20"/>
          <w:szCs w:val="20"/>
          <w:color w:val="auto"/>
        </w:rPr>
      </w:pPr>
    </w:p>
    <w:p>
      <w:pPr>
        <w:jc w:val="both"/>
        <w:ind w:firstLine="1952"/>
        <w:spacing w:after="0" w:line="257" w:lineRule="auto"/>
        <w:tabs>
          <w:tab w:leader="none" w:pos="258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Article VIII hereof, keep and maintain books of account that are true and correct in all material respects and prepare and timely file all necessary tax returns and make all necessary or desirable tax elections for the Company and the Pinnacle Project Company and any other subsidiary of the Company;</w:t>
      </w:r>
    </w:p>
    <w:p>
      <w:pPr>
        <w:spacing w:after="0" w:line="17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submit all filings of any nature that are required to be made by the Company and the Pinnacle Project Company and other subsidiary of the Company under any laws, regulations, ordinances or otherwise applicable to the Company, the Pinnacle Project Company and/or other subsidiary of the Company, or the Pinnacle Project;</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procure and maintain all Licenses and Permits (if any) required for the Company and the Pinnacle Project Company and any other subsidiary of the Company;</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the terms and conditions of this Agreement, the Transaction Documents, the Licenses and Permits and applicable Law;</w:t>
      </w:r>
    </w:p>
    <w:p>
      <w:pPr>
        <w:spacing w:after="0" w:line="157" w:lineRule="exact"/>
        <w:rPr>
          <w:rFonts w:ascii="Times New Roman" w:cs="Times New Roman" w:eastAsia="Times New Roman" w:hAnsi="Times New Roman"/>
          <w:sz w:val="22"/>
          <w:szCs w:val="22"/>
          <w:color w:val="auto"/>
        </w:rPr>
      </w:pPr>
    </w:p>
    <w:p>
      <w:pPr>
        <w:ind w:right="20" w:firstLine="1952"/>
        <w:spacing w:after="0" w:line="271" w:lineRule="auto"/>
        <w:tabs>
          <w:tab w:leader="none" w:pos="258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procure and maintain, or cause to be procured and maintained, all insurance required to be maintained pursuant to the Repowering Project Documents and Repowering Financing Documents;</w:t>
      </w:r>
    </w:p>
    <w:p>
      <w:pPr>
        <w:spacing w:after="0" w:line="157"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 the Company’s and the Pinnacle Project Company’s and any other subsidiary of the Company’s, and any counterparty’s, compliance with the terms and conditions of all Contracts under which the Company or the Pinnacle Project Company or other subsidiary of the Company has any obligations or rights, including this Agreement, the Repowering Financing Documents, the Repowering Project Documents and ensure compliance with applicable Laws, including Environmental Laws, Anti-Corruption Laws and Laws relating to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250" w:name="page251"/>
    <w:bookmarkEnd w:id="250"/>
    <w:p>
      <w:pPr>
        <w:jc w:val="both"/>
        <w:ind w:firstLine="1952"/>
        <w:spacing w:after="0" w:line="257" w:lineRule="auto"/>
        <w:tabs>
          <w:tab w:leader="none" w:pos="258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required actions to cause the Company and the Pinnacle Project Company and any other direct or indirect subsidiaries of the Company to distribute upstream to their respective members all Available Cash Flow as promptly as possible;</w:t>
      </w:r>
    </w:p>
    <w:p>
      <w:pPr>
        <w:spacing w:after="0" w:line="172"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 the Company’s and the Pinnacle Project Company’s and any other subsidiary of the Company’s cash according to investment guidelines set forth in Section 8.5 and make distributions out of available cash as provided under the relevant provisions of this Agreement, the Pinnacle Project Company’s (or other subsidiary’s, as applicable) organizational documents, including the prompt distribution of cash from the Pinnacle Project Company (and any other subsidiary of the Company) to the Company;</w:t>
      </w:r>
    </w:p>
    <w:p>
      <w:pPr>
        <w:spacing w:after="0" w:line="18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deliver all of the reports and other information set forth in Section 8.4; and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and maintain the Register, including to reflect any Encumbrance on or Transfer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Membership Interests.</w:t>
      </w:r>
    </w:p>
    <w:p>
      <w:pPr>
        <w:spacing w:after="0" w:line="196" w:lineRule="exact"/>
        <w:rPr>
          <w:sz w:val="20"/>
          <w:szCs w:val="20"/>
          <w:color w:val="auto"/>
        </w:rPr>
      </w:pPr>
    </w:p>
    <w:p>
      <w:pPr>
        <w:jc w:val="both"/>
        <w:ind w:firstLine="384"/>
        <w:spacing w:after="0" w:line="250" w:lineRule="auto"/>
        <w:rPr>
          <w:sz w:val="20"/>
          <w:szCs w:val="20"/>
          <w:color w:val="auto"/>
        </w:rPr>
      </w:pPr>
      <w:r>
        <w:rPr>
          <w:rFonts w:ascii="Times New Roman" w:cs="Times New Roman" w:eastAsia="Times New Roman" w:hAnsi="Times New Roman"/>
          <w:sz w:val="22"/>
          <w:szCs w:val="22"/>
          <w:color w:val="auto"/>
        </w:rPr>
        <w:t>(ii)In addition to the actions required pursuant to Section 6.1(a), and in no event in limitation thereof, the Manager shall provide the following services to the Company and the Pinnacle Project Company or all other subsidiaries of the Company, as applicable (provided that, in each case as it relates to either Pinnacle Project Company or other subsidiary, only to the extent that the Company has (directly or indirectly) the authority to control the management of the Pinnacle Project Company or other subsidiary):</w:t>
      </w:r>
    </w:p>
    <w:p>
      <w:pPr>
        <w:spacing w:after="0" w:line="181" w:lineRule="exact"/>
        <w:rPr>
          <w:sz w:val="20"/>
          <w:szCs w:val="20"/>
          <w:color w:val="auto"/>
        </w:rPr>
      </w:pPr>
    </w:p>
    <w:p>
      <w:pPr>
        <w:jc w:val="both"/>
        <w:ind w:firstLine="1952"/>
        <w:spacing w:after="0" w:line="257" w:lineRule="auto"/>
        <w:tabs>
          <w:tab w:leader="none" w:pos="2587"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Services</w:t>
      </w:r>
      <w:r>
        <w:rPr>
          <w:rFonts w:ascii="Times New Roman" w:cs="Times New Roman" w:eastAsia="Times New Roman" w:hAnsi="Times New Roman"/>
          <w:sz w:val="22"/>
          <w:szCs w:val="22"/>
          <w:color w:val="auto"/>
        </w:rPr>
        <w:t>. The Manager shall and/or shall cause the Master Services Provider to provide accounting and administrative support for all operations, including the following accounting services, to the Company and the Pinnacle Project Company and to any other subsidiaries of the Company, as applicable:</w:t>
      </w:r>
    </w:p>
    <w:p>
      <w:pPr>
        <w:spacing w:after="0" w:line="173" w:lineRule="exact"/>
        <w:rPr>
          <w:sz w:val="20"/>
          <w:szCs w:val="20"/>
          <w:color w:val="auto"/>
        </w:rPr>
      </w:pPr>
    </w:p>
    <w:p>
      <w:pPr>
        <w:jc w:val="both"/>
        <w:ind w:left="1300" w:firstLine="1092"/>
        <w:spacing w:after="0" w:line="275" w:lineRule="auto"/>
        <w:rPr>
          <w:sz w:val="20"/>
          <w:szCs w:val="20"/>
          <w:color w:val="auto"/>
        </w:rPr>
      </w:pPr>
      <w:r>
        <w:rPr>
          <w:rFonts w:ascii="Times New Roman" w:cs="Times New Roman" w:eastAsia="Times New Roman" w:hAnsi="Times New Roman"/>
          <w:sz w:val="21"/>
          <w:szCs w:val="21"/>
          <w:color w:val="auto"/>
        </w:rPr>
        <w:t>(i)preparation, filing, storage and dissemination of all necessary documentation of each such Person’s actions and transactions as required by law, by the applicable Transaction Documents (including all reporting required thereunder) and of all documentation reasonably deemed necessary or appropriate by the Manager;</w:t>
      </w:r>
    </w:p>
    <w:p>
      <w:pPr>
        <w:spacing w:after="0" w:line="47" w:lineRule="exact"/>
        <w:rPr>
          <w:sz w:val="20"/>
          <w:szCs w:val="20"/>
          <w:color w:val="auto"/>
        </w:rPr>
      </w:pPr>
    </w:p>
    <w:p>
      <w:pPr>
        <w:jc w:val="both"/>
        <w:ind w:left="1300" w:firstLine="1032"/>
        <w:spacing w:after="0" w:line="271" w:lineRule="auto"/>
        <w:rPr>
          <w:sz w:val="20"/>
          <w:szCs w:val="20"/>
          <w:color w:val="auto"/>
        </w:rPr>
      </w:pPr>
      <w:r>
        <w:rPr>
          <w:rFonts w:ascii="Times New Roman" w:cs="Times New Roman" w:eastAsia="Times New Roman" w:hAnsi="Times New Roman"/>
          <w:sz w:val="22"/>
          <w:szCs w:val="22"/>
          <w:color w:val="auto"/>
        </w:rPr>
        <w:t>(ii)maintenance of accounting and tax records of each such Person’s transactions in accordance with the accounting standards set forth in the applicable Transaction Documents and this Agreement;</w:t>
      </w:r>
    </w:p>
    <w:p>
      <w:pPr>
        <w:spacing w:after="0" w:line="50" w:lineRule="exact"/>
        <w:rPr>
          <w:sz w:val="20"/>
          <w:szCs w:val="20"/>
          <w:color w:val="auto"/>
        </w:rPr>
      </w:pPr>
    </w:p>
    <w:p>
      <w:pPr>
        <w:jc w:val="both"/>
        <w:ind w:left="1300" w:firstLine="972"/>
        <w:spacing w:after="0" w:line="250" w:lineRule="auto"/>
        <w:rPr>
          <w:sz w:val="20"/>
          <w:szCs w:val="20"/>
          <w:color w:val="auto"/>
        </w:rPr>
      </w:pPr>
      <w:r>
        <w:rPr>
          <w:rFonts w:ascii="Times New Roman" w:cs="Times New Roman" w:eastAsia="Times New Roman" w:hAnsi="Times New Roman"/>
          <w:sz w:val="22"/>
          <w:szCs w:val="22"/>
          <w:color w:val="auto"/>
        </w:rPr>
        <w:t>(iii)facilitation of payment by the Company and the Pinnacle Project Company and any other subsidiary of the Company of all reasonable expenses of the Company, the Pinnacle Project Company or such other subsidiary, as applicable, in accordance with the applicable Transaction Documents and this Agreement, as reflected in the annual budget for the Company and the Pinnacle Project Company (or such other subsidiary), or reasonably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251" w:name="page252"/>
    <w:bookmarkEnd w:id="251"/>
    <w:p>
      <w:pPr>
        <w:spacing w:after="0" w:line="90" w:lineRule="exact"/>
        <w:rPr>
          <w:sz w:val="20"/>
          <w:szCs w:val="20"/>
          <w:color w:val="auto"/>
        </w:rPr>
      </w:pPr>
    </w:p>
    <w:p>
      <w:pPr>
        <w:jc w:val="both"/>
        <w:ind w:left="1080" w:firstLine="984"/>
        <w:spacing w:after="0" w:line="271" w:lineRule="auto"/>
        <w:rPr>
          <w:sz w:val="20"/>
          <w:szCs w:val="20"/>
          <w:color w:val="auto"/>
        </w:rPr>
      </w:pPr>
      <w:r>
        <w:rPr>
          <w:rFonts w:ascii="Times New Roman" w:cs="Times New Roman" w:eastAsia="Times New Roman" w:hAnsi="Times New Roman"/>
          <w:sz w:val="22"/>
          <w:szCs w:val="22"/>
          <w:color w:val="auto"/>
        </w:rPr>
        <w:t>(iv)preparation and distribution of all applicable financial reports, financial models and accompanying certificates in accordance with the applicable Transaction Documents and this Agreement;</w:t>
      </w:r>
    </w:p>
    <w:p>
      <w:pPr>
        <w:spacing w:after="0" w:line="50" w:lineRule="exact"/>
        <w:rPr>
          <w:sz w:val="20"/>
          <w:szCs w:val="20"/>
          <w:color w:val="auto"/>
        </w:rPr>
      </w:pPr>
    </w:p>
    <w:p>
      <w:pPr>
        <w:jc w:val="both"/>
        <w:ind w:left="1080" w:firstLine="1044"/>
        <w:spacing w:after="0" w:line="271" w:lineRule="auto"/>
        <w:rPr>
          <w:sz w:val="20"/>
          <w:szCs w:val="20"/>
          <w:color w:val="auto"/>
        </w:rPr>
      </w:pPr>
      <w:r>
        <w:rPr>
          <w:rFonts w:ascii="Times New Roman" w:cs="Times New Roman" w:eastAsia="Times New Roman" w:hAnsi="Times New Roman"/>
          <w:sz w:val="22"/>
          <w:szCs w:val="22"/>
          <w:color w:val="auto"/>
        </w:rPr>
        <w:t>(v)preparation and distribution of an annual budget for the Pinnacle Project Company and as may be required by the Transaction Documents and this Agreement (including Section 6.7 hereof);</w:t>
      </w:r>
    </w:p>
    <w:p>
      <w:pPr>
        <w:spacing w:after="0" w:line="50" w:lineRule="exact"/>
        <w:rPr>
          <w:sz w:val="20"/>
          <w:szCs w:val="20"/>
          <w:color w:val="auto"/>
        </w:rPr>
      </w:pPr>
    </w:p>
    <w:p>
      <w:pPr>
        <w:jc w:val="both"/>
        <w:ind w:left="1080" w:firstLine="984"/>
        <w:spacing w:after="0" w:line="271" w:lineRule="auto"/>
        <w:rPr>
          <w:sz w:val="20"/>
          <w:szCs w:val="20"/>
          <w:color w:val="auto"/>
        </w:rPr>
      </w:pPr>
      <w:r>
        <w:rPr>
          <w:rFonts w:ascii="Times New Roman" w:cs="Times New Roman" w:eastAsia="Times New Roman" w:hAnsi="Times New Roman"/>
          <w:sz w:val="22"/>
          <w:szCs w:val="22"/>
          <w:color w:val="auto"/>
        </w:rPr>
        <w:t>(vi)negotiation and administration of an engagement letter with the Certified Public Accountant for annual audit (if required) and tax return review services; and</w:t>
      </w:r>
    </w:p>
    <w:p>
      <w:pPr>
        <w:spacing w:after="0" w:line="50" w:lineRule="exact"/>
        <w:rPr>
          <w:sz w:val="20"/>
          <w:szCs w:val="20"/>
          <w:color w:val="auto"/>
        </w:rPr>
      </w:pPr>
    </w:p>
    <w:p>
      <w:pPr>
        <w:jc w:val="both"/>
        <w:ind w:left="1080" w:firstLine="924"/>
        <w:spacing w:after="0" w:line="257" w:lineRule="auto"/>
        <w:rPr>
          <w:sz w:val="20"/>
          <w:szCs w:val="20"/>
          <w:color w:val="auto"/>
        </w:rPr>
      </w:pPr>
      <w:r>
        <w:rPr>
          <w:rFonts w:ascii="Times New Roman" w:cs="Times New Roman" w:eastAsia="Times New Roman" w:hAnsi="Times New Roman"/>
          <w:sz w:val="22"/>
          <w:szCs w:val="22"/>
          <w:color w:val="auto"/>
        </w:rPr>
        <w:t>(vii)preparation, facilitation and / or distribution of all other reports, certificates, or transactional information or analysis as reasonably required by the Pinnacle Project Company or any other subsidiary of the Company.</w:t>
      </w:r>
    </w:p>
    <w:p>
      <w:pPr>
        <w:spacing w:after="0" w:line="65" w:lineRule="exact"/>
        <w:rPr>
          <w:sz w:val="20"/>
          <w:szCs w:val="20"/>
          <w:color w:val="auto"/>
        </w:rPr>
      </w:pPr>
    </w:p>
    <w:p>
      <w:pPr>
        <w:jc w:val="both"/>
        <w:ind w:left="-220" w:firstLine="1952"/>
        <w:spacing w:after="0" w:line="248" w:lineRule="auto"/>
        <w:tabs>
          <w:tab w:leader="none" w:pos="2367"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Subject to Article VIII and other more specific provisions of this Agreement and the related provisions contained in the Tax Equity Documents, the Manager shall provide, or cause to be provided, the following tax services to the Company and the Pinnacle Project Company and to any other subsidiaries of the Company in accordance with its obligations required by the Tax Equity Documents, as applicable (provided that, in each case as it relates to the Pinnacle Project Company or such other subsidiary, only to the extent that the Company has (directly or indirectly) the authority to control the management of the Pinnacle Project Company or other subsidiary):</w:t>
      </w:r>
    </w:p>
    <w:p>
      <w:pPr>
        <w:spacing w:after="0" w:line="187" w:lineRule="exact"/>
        <w:rPr>
          <w:sz w:val="20"/>
          <w:szCs w:val="20"/>
          <w:color w:val="auto"/>
        </w:rPr>
      </w:pPr>
    </w:p>
    <w:p>
      <w:pPr>
        <w:jc w:val="both"/>
        <w:ind w:left="1080" w:firstLine="1092"/>
        <w:spacing w:after="0" w:line="252" w:lineRule="auto"/>
        <w:rPr>
          <w:sz w:val="20"/>
          <w:szCs w:val="20"/>
          <w:color w:val="auto"/>
        </w:rPr>
      </w:pPr>
      <w:r>
        <w:rPr>
          <w:rFonts w:ascii="Times New Roman" w:cs="Times New Roman" w:eastAsia="Times New Roman" w:hAnsi="Times New Roman"/>
          <w:sz w:val="22"/>
          <w:szCs w:val="22"/>
          <w:color w:val="auto"/>
        </w:rPr>
        <w:t>(i)preparation and timely filing of all applicable federal, state, local and / or other Tax returns, including income, franchise, excise, gross receipts, sales and use tax returns and / or reports in accordance with the terms and conditions of the Transaction Documents and this Agreement, including the performance or coordination of any tax law research to support such filing;</w:t>
      </w:r>
    </w:p>
    <w:p>
      <w:pPr>
        <w:spacing w:after="0" w:line="71" w:lineRule="exact"/>
        <w:rPr>
          <w:sz w:val="20"/>
          <w:szCs w:val="20"/>
          <w:color w:val="auto"/>
        </w:rPr>
      </w:pPr>
    </w:p>
    <w:p>
      <w:pPr>
        <w:jc w:val="both"/>
        <w:ind w:left="1080" w:firstLine="1032"/>
        <w:spacing w:after="0" w:line="275" w:lineRule="auto"/>
        <w:rPr>
          <w:sz w:val="20"/>
          <w:szCs w:val="20"/>
          <w:color w:val="auto"/>
        </w:rPr>
      </w:pPr>
      <w:r>
        <w:rPr>
          <w:rFonts w:ascii="Times New Roman" w:cs="Times New Roman" w:eastAsia="Times New Roman" w:hAnsi="Times New Roman"/>
          <w:sz w:val="21"/>
          <w:szCs w:val="21"/>
          <w:color w:val="auto"/>
        </w:rPr>
        <w:t>(ii)administration, invoicing and coordination of property taxes including preparation of all applicable business property tax returns; the review of any property tax assessment on the Pinnacle Project; the review and timely payment of property tax bills; and administration of any property tax agreement, if applicable; and</w:t>
      </w:r>
    </w:p>
    <w:p>
      <w:pPr>
        <w:spacing w:after="0" w:line="47" w:lineRule="exact"/>
        <w:rPr>
          <w:sz w:val="20"/>
          <w:szCs w:val="20"/>
          <w:color w:val="auto"/>
        </w:rPr>
      </w:pPr>
    </w:p>
    <w:p>
      <w:pPr>
        <w:jc w:val="both"/>
        <w:ind w:left="1080" w:firstLine="972"/>
        <w:spacing w:after="0" w:line="250" w:lineRule="auto"/>
        <w:rPr>
          <w:sz w:val="20"/>
          <w:szCs w:val="20"/>
          <w:color w:val="auto"/>
        </w:rPr>
      </w:pPr>
      <w:r>
        <w:rPr>
          <w:rFonts w:ascii="Times New Roman" w:cs="Times New Roman" w:eastAsia="Times New Roman" w:hAnsi="Times New Roman"/>
          <w:sz w:val="22"/>
          <w:szCs w:val="22"/>
          <w:color w:val="auto"/>
        </w:rPr>
        <w:t>(iii)cause the Partnership Representative to represent the Company, and cause the partnership representative of the Pinnacle Project Company and each other subsidiary of the Company to represent the Pinnacle Project Company and other subsidiary, in any audit, examination, or review conducted by an appropriate taxing authority of any of the Company’s or the Pinnacle Project Company’s or other subsidiary’s federal, state, provincial, or local income, franchise, gross receipts, sales and use, or property tax filings.</w:t>
      </w:r>
    </w:p>
    <w:p>
      <w:pPr>
        <w:spacing w:after="0" w:line="73" w:lineRule="exact"/>
        <w:rPr>
          <w:sz w:val="20"/>
          <w:szCs w:val="20"/>
          <w:color w:val="auto"/>
        </w:rPr>
      </w:pPr>
    </w:p>
    <w:p>
      <w:pPr>
        <w:jc w:val="both"/>
        <w:ind w:left="-220" w:firstLine="1952"/>
        <w:spacing w:after="0" w:line="275" w:lineRule="auto"/>
        <w:tabs>
          <w:tab w:leader="none" w:pos="2367"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Treasury Services</w:t>
      </w:r>
      <w:r>
        <w:rPr>
          <w:rFonts w:ascii="Times New Roman" w:cs="Times New Roman" w:eastAsia="Times New Roman" w:hAnsi="Times New Roman"/>
          <w:sz w:val="21"/>
          <w:szCs w:val="21"/>
          <w:color w:val="auto"/>
        </w:rPr>
        <w:t>. The Manager shall provide, or cause to be provided, the following treasury services, to the extent necessary, to the Company and the Pinnacle Project Company and to any other subsidiaries of the Company, as applicable (provided that, in each case as it relates to the Pinnacle Project Company or such other subsidiary,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020"/>
          </w:cols>
          <w:pgMar w:left="540" w:top="1440" w:right="339" w:bottom="1440" w:gutter="0" w:footer="0" w:header="0"/>
        </w:sectPr>
      </w:pPr>
    </w:p>
    <w:bookmarkStart w:id="252" w:name="page253"/>
    <w:bookmarkEnd w:id="252"/>
    <w:p>
      <w:pPr>
        <w:spacing w:after="0" w:line="271" w:lineRule="auto"/>
        <w:rPr>
          <w:sz w:val="20"/>
          <w:szCs w:val="20"/>
          <w:color w:val="auto"/>
        </w:rPr>
      </w:pPr>
      <w:r>
        <w:rPr>
          <w:rFonts w:ascii="Times New Roman" w:cs="Times New Roman" w:eastAsia="Times New Roman" w:hAnsi="Times New Roman"/>
          <w:sz w:val="22"/>
          <w:szCs w:val="22"/>
          <w:color w:val="auto"/>
        </w:rPr>
        <w:t>the extent that the Company has (directly or indirectly) the authority to control the management of the Pinnacle Project Company or other subsidiary):</w:t>
      </w:r>
    </w:p>
    <w:p>
      <w:pPr>
        <w:spacing w:after="0" w:line="158" w:lineRule="exact"/>
        <w:rPr>
          <w:sz w:val="20"/>
          <w:szCs w:val="20"/>
          <w:color w:val="auto"/>
        </w:rPr>
      </w:pPr>
    </w:p>
    <w:p>
      <w:pPr>
        <w:jc w:val="both"/>
        <w:ind w:left="1300" w:firstLine="1092"/>
        <w:spacing w:after="0" w:line="250" w:lineRule="auto"/>
        <w:rPr>
          <w:sz w:val="20"/>
          <w:szCs w:val="20"/>
          <w:color w:val="auto"/>
        </w:rPr>
      </w:pPr>
      <w:r>
        <w:rPr>
          <w:rFonts w:ascii="Times New Roman" w:cs="Times New Roman" w:eastAsia="Times New Roman" w:hAnsi="Times New Roman"/>
          <w:sz w:val="22"/>
          <w:szCs w:val="22"/>
          <w:color w:val="auto"/>
        </w:rPr>
        <w:t>(i)establishment, maintenance, and administration of one or more bank accounts in the name of the Company and the Pinnacle Project Company and any other subsidiary of the Company (with respect to the Pinnacle Project Company and other subsidiaries, if and as required) in which to deposit the Company’s or the Pinnacle Project Company’s or other subsidiary’s receipts, and from which to draw upon for the payment of all reasonable expenses of the Company or the Pinnacle Project Company or other such other subsidiary;</w:t>
      </w:r>
    </w:p>
    <w:p>
      <w:pPr>
        <w:spacing w:after="0" w:line="73" w:lineRule="exact"/>
        <w:rPr>
          <w:sz w:val="20"/>
          <w:szCs w:val="20"/>
          <w:color w:val="auto"/>
        </w:rPr>
      </w:pPr>
    </w:p>
    <w:p>
      <w:pPr>
        <w:jc w:val="both"/>
        <w:ind w:left="1300" w:firstLine="1032"/>
        <w:spacing w:after="0" w:line="252" w:lineRule="auto"/>
        <w:rPr>
          <w:sz w:val="20"/>
          <w:szCs w:val="20"/>
          <w:color w:val="auto"/>
        </w:rPr>
      </w:pPr>
      <w:r>
        <w:rPr>
          <w:rFonts w:ascii="Times New Roman" w:cs="Times New Roman" w:eastAsia="Times New Roman" w:hAnsi="Times New Roman"/>
          <w:sz w:val="22"/>
          <w:szCs w:val="22"/>
          <w:color w:val="auto"/>
        </w:rPr>
        <w:t>(ii)investment and distribution of the Company and the Pinnacle Project Company’s or any other subsidiary of the Company’s funds in association with reasonable and customary cash forecast and cash management practices and in accordance with the terms, conditions, and limitations of all applicable Transaction Documents and this Agreement;</w:t>
      </w:r>
    </w:p>
    <w:p>
      <w:pPr>
        <w:spacing w:after="0" w:line="71" w:lineRule="exact"/>
        <w:rPr>
          <w:sz w:val="20"/>
          <w:szCs w:val="20"/>
          <w:color w:val="auto"/>
        </w:rPr>
      </w:pPr>
    </w:p>
    <w:p>
      <w:pPr>
        <w:jc w:val="both"/>
        <w:ind w:left="1300" w:firstLine="972"/>
        <w:spacing w:after="0" w:line="257" w:lineRule="auto"/>
        <w:rPr>
          <w:sz w:val="20"/>
          <w:szCs w:val="20"/>
          <w:color w:val="auto"/>
        </w:rPr>
      </w:pPr>
      <w:r>
        <w:rPr>
          <w:rFonts w:ascii="Times New Roman" w:cs="Times New Roman" w:eastAsia="Times New Roman" w:hAnsi="Times New Roman"/>
          <w:sz w:val="22"/>
          <w:szCs w:val="22"/>
          <w:color w:val="auto"/>
        </w:rPr>
        <w:t>(iii)maintenance and administration of any revolving lines of credit available to the Company or the Pinnacle Project Company or of any other subsidiary of the Company subject to the terms and conditions of all applicable Transaction Documents and this Agreement;</w:t>
      </w:r>
    </w:p>
    <w:p>
      <w:pPr>
        <w:spacing w:after="0" w:line="65" w:lineRule="exact"/>
        <w:rPr>
          <w:sz w:val="20"/>
          <w:szCs w:val="20"/>
          <w:color w:val="auto"/>
        </w:rPr>
      </w:pPr>
    </w:p>
    <w:p>
      <w:pPr>
        <w:jc w:val="both"/>
        <w:ind w:left="1300" w:firstLine="984"/>
        <w:spacing w:after="0" w:line="257" w:lineRule="auto"/>
        <w:rPr>
          <w:sz w:val="20"/>
          <w:szCs w:val="20"/>
          <w:color w:val="auto"/>
        </w:rPr>
      </w:pPr>
      <w:r>
        <w:rPr>
          <w:rFonts w:ascii="Times New Roman" w:cs="Times New Roman" w:eastAsia="Times New Roman" w:hAnsi="Times New Roman"/>
          <w:sz w:val="22"/>
          <w:szCs w:val="22"/>
          <w:color w:val="auto"/>
        </w:rPr>
        <w:t>(iv)maintenance and administration of any letters of credit issued by, on behalf of, or for the benefit of the Company or the Pinnacle Project Company or any other subsidiary of the Company subject to the terms and conditions of all applicable Transaction Documents and this Agreement;</w:t>
      </w:r>
    </w:p>
    <w:p>
      <w:pPr>
        <w:spacing w:after="0" w:line="65" w:lineRule="exact"/>
        <w:rPr>
          <w:sz w:val="20"/>
          <w:szCs w:val="20"/>
          <w:color w:val="auto"/>
        </w:rPr>
      </w:pPr>
    </w:p>
    <w:p>
      <w:pPr>
        <w:jc w:val="both"/>
        <w:ind w:left="1300" w:firstLine="1044"/>
        <w:spacing w:after="0" w:line="257" w:lineRule="auto"/>
        <w:rPr>
          <w:sz w:val="20"/>
          <w:szCs w:val="20"/>
          <w:color w:val="auto"/>
        </w:rPr>
      </w:pPr>
      <w:r>
        <w:rPr>
          <w:rFonts w:ascii="Times New Roman" w:cs="Times New Roman" w:eastAsia="Times New Roman" w:hAnsi="Times New Roman"/>
          <w:sz w:val="22"/>
          <w:szCs w:val="22"/>
          <w:color w:val="auto"/>
        </w:rPr>
        <w:t>(v)maintenance by the Manager of the Company’s and the Pinnacle Project Company’s or any other subsidiary of the Company’s relationships with its banks, bondholders, rating agencies and/or other financial institutions, and their respective legal counsels; and</w:t>
      </w:r>
    </w:p>
    <w:p>
      <w:pPr>
        <w:spacing w:after="0" w:line="6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(vi)periodic maintenance and analysis of the Pinnacle Project’s long- term economic projections.</w:t>
      </w:r>
    </w:p>
    <w:p>
      <w:pPr>
        <w:spacing w:after="0" w:line="112" w:lineRule="exact"/>
        <w:rPr>
          <w:sz w:val="20"/>
          <w:szCs w:val="20"/>
          <w:color w:val="auto"/>
        </w:rPr>
      </w:pPr>
    </w:p>
    <w:p>
      <w:pPr>
        <w:jc w:val="both"/>
        <w:ind w:firstLine="1952"/>
        <w:spacing w:after="0" w:line="248" w:lineRule="auto"/>
        <w:tabs>
          <w:tab w:leader="none" w:pos="2587"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w:t>
      </w:r>
      <w:r>
        <w:rPr>
          <w:rFonts w:ascii="Times New Roman" w:cs="Times New Roman" w:eastAsia="Times New Roman" w:hAnsi="Times New Roman"/>
          <w:sz w:val="22"/>
          <w:szCs w:val="22"/>
          <w:color w:val="auto"/>
        </w:rPr>
        <w:t>. The Manager shall coordinate legal services, in the name of and on behalf of the Company and the Pinnacle Project Company and any other subsidiary of the Company for whom the Company has (directly or indirectly) management authority, as it deems necessary to ensure the proper administration and management of the Pinnacle Project. In coordinating these legal services, the Manager will determine whether such legal services are to be performed by in-house legal staff (if at the time such legal services are performed during the term of this Agreement the Manager has in its employ any in-house legal staff), outside legal counsel, or any combination thereof.</w:t>
      </w:r>
    </w:p>
    <w:p>
      <w:pPr>
        <w:spacing w:after="0" w:line="186"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If required under any of the Transaction Documents, the Manager shall procure insurance coverage for, and in the name of, the Company and (to the extent the Company has (directly or indirectly) management authority for the Pinnacle Project Company or other subsidiary of the Company) shall cause the Pinnacle Project Company or other subsidiary to procure, at the Company’s or the Pinnacle Project Company’s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253" w:name="page254"/>
    <w:bookmarkEnd w:id="253"/>
    <w:p>
      <w:pPr>
        <w:jc w:val="both"/>
        <w:spacing w:after="0" w:line="252" w:lineRule="auto"/>
        <w:rPr>
          <w:sz w:val="20"/>
          <w:szCs w:val="20"/>
          <w:color w:val="auto"/>
        </w:rPr>
      </w:pPr>
      <w:r>
        <w:rPr>
          <w:rFonts w:ascii="Times New Roman" w:cs="Times New Roman" w:eastAsia="Times New Roman" w:hAnsi="Times New Roman"/>
          <w:sz w:val="22"/>
          <w:szCs w:val="22"/>
          <w:color w:val="auto"/>
        </w:rPr>
        <w:t>subsidiary’s expense, as applicable, and shall enforce its rights to such insurance coverage, defense and indemnification; provided, however, that if any such insurance (after consultation with a reputable insurance broker) is not available on commercially reasonable terms only such insurance shall then be required to be carried pursuant to this Agreement as is then available on commercially reasonable terms.</w:t>
      </w:r>
    </w:p>
    <w:p>
      <w:pPr>
        <w:spacing w:after="0" w:line="179" w:lineRule="exact"/>
        <w:rPr>
          <w:sz w:val="20"/>
          <w:szCs w:val="20"/>
          <w:color w:val="auto"/>
        </w:rPr>
      </w:pPr>
    </w:p>
    <w:p>
      <w:pPr>
        <w:jc w:val="both"/>
        <w:ind w:firstLine="1952"/>
        <w:spacing w:after="0" w:line="248" w:lineRule="auto"/>
        <w:tabs>
          <w:tab w:leader="none" w:pos="258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 Claims</w:t>
      </w:r>
      <w:r>
        <w:rPr>
          <w:rFonts w:ascii="Times New Roman" w:cs="Times New Roman" w:eastAsia="Times New Roman" w:hAnsi="Times New Roman"/>
          <w:sz w:val="22"/>
          <w:szCs w:val="22"/>
          <w:color w:val="auto"/>
        </w:rPr>
        <w:t>. The Manager shall adjust insurance claims of the Company and (to the extent the Company has (directly or indirectly) management authority for the Pinnacle Project Company or any other subsidiary of the Company) the Pinnacle Project Company or other subsidiary, with insurance carriers, as applicable, to ensure equitable recovery for property damage and business interruption claims. Adjustment of such a claim shall include: (A) filing proof of loss with all applicable supporting documentation, (B) site inspection, (C) negotiations with insurance carriers and (D) ensuring that insurance proceeds be deposited and distributed in accordance with the terms and conditions of this Agreement and the Transaction Documents. In the event of a liability claim, the Manager shall oversee the defense of the claim.</w:t>
      </w:r>
    </w:p>
    <w:p>
      <w:pPr>
        <w:spacing w:after="0" w:line="181"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During any such time during which the Company or (to the extent the Company has (directly or indirectly) management authority for the Pinnacle Project Company or any other subsidiary of the Company), the Pinnacle Project Company or subsidiary has Indebtedness that remains outstanding, the Manager shall cause the Company and the Pinnacle Project Company to:</w:t>
      </w:r>
    </w:p>
    <w:p>
      <w:pPr>
        <w:spacing w:after="0" w:line="179" w:lineRule="exact"/>
        <w:rPr>
          <w:sz w:val="20"/>
          <w:szCs w:val="20"/>
          <w:color w:val="auto"/>
        </w:rPr>
      </w:pPr>
    </w:p>
    <w:p>
      <w:pPr>
        <w:jc w:val="both"/>
        <w:ind w:left="1300" w:firstLine="1092"/>
        <w:spacing w:after="0" w:line="271" w:lineRule="auto"/>
        <w:rPr>
          <w:sz w:val="20"/>
          <w:szCs w:val="20"/>
          <w:color w:val="auto"/>
        </w:rPr>
      </w:pPr>
      <w:r>
        <w:rPr>
          <w:rFonts w:ascii="Times New Roman" w:cs="Times New Roman" w:eastAsia="Times New Roman" w:hAnsi="Times New Roman"/>
          <w:sz w:val="22"/>
          <w:szCs w:val="22"/>
          <w:color w:val="auto"/>
        </w:rPr>
        <w:t>(i)comply with the applicable financing documents, including, without limitation, by repaying such Indebtedness in the amounts and at the times required under such financing documents; and</w:t>
      </w:r>
    </w:p>
    <w:p>
      <w:pPr>
        <w:spacing w:after="0" w:line="50" w:lineRule="exact"/>
        <w:rPr>
          <w:sz w:val="20"/>
          <w:szCs w:val="20"/>
          <w:color w:val="auto"/>
        </w:rPr>
      </w:pPr>
    </w:p>
    <w:p>
      <w:pPr>
        <w:jc w:val="both"/>
        <w:ind w:left="1300" w:firstLine="1032"/>
        <w:spacing w:after="0" w:line="248" w:lineRule="auto"/>
        <w:rPr>
          <w:sz w:val="20"/>
          <w:szCs w:val="20"/>
          <w:color w:val="auto"/>
        </w:rPr>
      </w:pPr>
      <w:r>
        <w:rPr>
          <w:rFonts w:ascii="Times New Roman" w:cs="Times New Roman" w:eastAsia="Times New Roman" w:hAnsi="Times New Roman"/>
          <w:sz w:val="22"/>
          <w:szCs w:val="22"/>
          <w:color w:val="auto"/>
        </w:rPr>
        <w:t>(ii)as soon as practicable following the occurrence or existence of a default or an event of default under any financing documents, use cash or reserves of the Pinnacle Project Company or applicable subsidiary to effect (or make commercially reasonable efforts to effect) a cure (or request a waiver) of such a default or an event of default in accordance with the applicable financing documents. For the avoidance of doubt, any such cash used by the Company to cure (or attempt to cure or waive) such default or event of default shall be an expense of the Company and shall not be Available Cash Flow available for distribution to the Members pursuant to this Article VI.</w:t>
      </w:r>
    </w:p>
    <w:p>
      <w:pPr>
        <w:spacing w:after="0" w:line="74" w:lineRule="exact"/>
        <w:rPr>
          <w:sz w:val="20"/>
          <w:szCs w:val="20"/>
          <w:color w:val="auto"/>
        </w:rPr>
      </w:pPr>
    </w:p>
    <w:p>
      <w:pPr>
        <w:jc w:val="both"/>
        <w:ind w:firstLine="1952"/>
        <w:spacing w:after="0" w:line="247" w:lineRule="auto"/>
        <w:tabs>
          <w:tab w:leader="none" w:pos="2587"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Manager shall cause the Company to maintain in effect and enforce policies and procedures designed to ensure compliance by the Company and the Pinnacle Project Company and all other subsidiaries of the Company, and their respective directors, officers, employees and agents, with Anti-Corruption Laws and applicable Sanctions. The Manager shall cause the Company and (to the extent the Company has (directly or indirectly) management authority for the Pinnacle Project Company or any other subsidiary of the Company) the Pinnacle Project Company and each such subsidiary, and their respective directors, officers, employees and agents, not to use any Company or Pinnacle Project Company or other subsidiary’s funds (A) in furtherance of an offer, payment, promise to pay, or authorization of the payment or giving of money, or anything else of value,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254" w:name="page255"/>
    <w:bookmarkEnd w:id="254"/>
    <w:p>
      <w:pPr>
        <w:jc w:val="both"/>
        <w:spacing w:after="0" w:line="257" w:lineRule="auto"/>
        <w:rPr>
          <w:sz w:val="20"/>
          <w:szCs w:val="20"/>
          <w:color w:val="auto"/>
        </w:rPr>
      </w:pPr>
      <w:r>
        <w:rPr>
          <w:rFonts w:ascii="Times New Roman" w:cs="Times New Roman" w:eastAsia="Times New Roman" w:hAnsi="Times New Roman"/>
          <w:sz w:val="22"/>
          <w:szCs w:val="22"/>
          <w:color w:val="auto"/>
        </w:rPr>
        <w:t>any Person in violation of any Anti-Corruption Laws, (B) for the purpose of funding, financing or facilitating any activities, business or transaction of or with any Sanctioned Person or in any Sanctioned Country or (C) in any manner that would result in the violation of any Sanctions.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For the avoidance of doubt, all services required to be performed by the Manager pursuant to this Section 6.1 shall be provided by the Manager at no cost or expense to the Company, except to the extent otherwise provided in this Agreement or the Approved Budget, including fees and expenses incurred pursuant to any subcontract entered into for the provision of such services in accordance with this Agreement.</w:t>
      </w:r>
    </w:p>
    <w:p>
      <w:pPr>
        <w:spacing w:after="0" w:line="13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2"/>
          <w:szCs w:val="22"/>
          <w:color w:val="auto"/>
        </w:rPr>
        <w:t>(iii)A Member shall not be deemed to be participating in the control of the business of the Company by virtue of its possessing or exercising any rights set forth in this Agreement or the Act or any other Contract relating to the Company.</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Standard of Care; Required Consents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22"/>
          <w:szCs w:val="22"/>
          <w:color w:val="auto"/>
        </w:rPr>
        <w:t>(i)In carrying out its duties hereunder, the Manager shall perform its duties and obligations hereunder in accordance in all material respects with the Transaction Documents, Licenses and Permits, applicable Laws, the purposes set forth in Section 2.5 and in accordance with the Good Management Standard.</w:t>
      </w:r>
    </w:p>
    <w:p>
      <w:pPr>
        <w:spacing w:after="0" w:line="173" w:lineRule="exact"/>
        <w:rPr>
          <w:sz w:val="20"/>
          <w:szCs w:val="20"/>
          <w:color w:val="auto"/>
        </w:rPr>
      </w:pPr>
    </w:p>
    <w:p>
      <w:pPr>
        <w:jc w:val="both"/>
        <w:ind w:firstLine="384"/>
        <w:spacing w:after="0" w:line="252" w:lineRule="auto"/>
        <w:rPr>
          <w:sz w:val="20"/>
          <w:szCs w:val="20"/>
          <w:color w:val="auto"/>
        </w:rPr>
      </w:pPr>
      <w:r>
        <w:rPr>
          <w:rFonts w:ascii="Times New Roman" w:cs="Times New Roman" w:eastAsia="Times New Roman" w:hAnsi="Times New Roman"/>
          <w:sz w:val="22"/>
          <w:szCs w:val="22"/>
          <w:color w:val="auto"/>
        </w:rPr>
        <w:t>(ii)Notwithstanding any other provision of this Agreement to the contrary, the Manager may not take, or cause or permit the Company or (to the extent the Company has (directly or indirectly) management authority for the Pinnacle Project Company or any other subsidiary of the Company) the Pinnacle Project Company or such subsidiary to take, any of the following actions without having first obtained the Consent of the Members:</w:t>
      </w:r>
    </w:p>
    <w:p>
      <w:pPr>
        <w:spacing w:after="0" w:line="179" w:lineRule="exact"/>
        <w:rPr>
          <w:sz w:val="20"/>
          <w:szCs w:val="20"/>
          <w:color w:val="auto"/>
        </w:rPr>
      </w:pPr>
    </w:p>
    <w:p>
      <w:pPr>
        <w:ind w:firstLine="1952"/>
        <w:spacing w:after="0" w:line="271" w:lineRule="auto"/>
        <w:tabs>
          <w:tab w:leader="none" w:pos="2587"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any act in contravention of this Agreement or of the organizational documents of the Company or the Pinnacle Project Company or other such subsidiary;</w:t>
      </w:r>
    </w:p>
    <w:p>
      <w:pPr>
        <w:spacing w:after="0" w:line="157"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the Company, engage in any business or activity that is not within the purpose of the Company, as set forth in Section 2.5, or to change such purpose, and (B) the Pinnacle Project Company or any other subsidiary of the Company, engage in any business or activity that is not within the purpose of the Pinnacle Project Company’s or other subsidiary’s organizational documents, or to change such purpose;</w:t>
      </w:r>
    </w:p>
    <w:p>
      <w:pPr>
        <w:spacing w:after="0" w:line="17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be treated other than as a partnership for tax purposes or cause the Pinnacle Project Company or any other subsidiary of the Company to be treated other than as set forth in its Tax Equity Documents and Repowering Financing Documents, in each case for United States federal income tax purposes (including by electing under Treasury Regulations Section 301.7701 3 to be classified as an association);</w:t>
      </w:r>
    </w:p>
    <w:p>
      <w:pPr>
        <w:spacing w:after="0" w:line="17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(unless such action is taken pursuant to the express terms of any Tax Equity Document or any Repowering Financing Document) (A) possession of property of the Company or the Pinnacle Project Company or any other subsidiary of the Company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255" w:name="page256"/>
    <w:bookmarkEnd w:id="255"/>
    <w:p>
      <w:pPr>
        <w:jc w:val="both"/>
        <w:spacing w:after="0" w:line="250" w:lineRule="auto"/>
        <w:rPr>
          <w:sz w:val="20"/>
          <w:szCs w:val="20"/>
          <w:color w:val="auto"/>
        </w:rPr>
      </w:pPr>
      <w:r>
        <w:rPr>
          <w:rFonts w:ascii="Times New Roman" w:cs="Times New Roman" w:eastAsia="Times New Roman" w:hAnsi="Times New Roman"/>
          <w:sz w:val="22"/>
          <w:szCs w:val="22"/>
          <w:color w:val="auto"/>
        </w:rPr>
        <w:t>Member, (B) the assignment, transfer, Encumbrance or pledge of rights of the Company or the Pinnacle Project Company or any other subsidiary of the Company in specific property of the Company or the Pinnacle Project Company for other than a Company or Pinnacle Project Company purpose, as applicable, or other than for the benefit of the Company or such Pinnacle Project Company or subsidiary, or (C) any commingling of the funds of the Company or the Pinnacle Project Company or any other subsidiary of the Company with the funds of any other Person;</w:t>
      </w:r>
    </w:p>
    <w:p>
      <w:pPr>
        <w:spacing w:after="0" w:line="181" w:lineRule="exact"/>
        <w:rPr>
          <w:sz w:val="20"/>
          <w:szCs w:val="20"/>
          <w:color w:val="auto"/>
        </w:rPr>
      </w:pPr>
    </w:p>
    <w:p>
      <w:pPr>
        <w:jc w:val="both"/>
        <w:ind w:firstLine="1952"/>
        <w:spacing w:after="0" w:line="257" w:lineRule="auto"/>
        <w:tabs>
          <w:tab w:leader="none" w:pos="258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Delaware Certificate or the certificate of formation, certificate of incorporation, limited liability company agreement or other formation document, as applicable, of the Pinnacle Project Company or any other subsidiary of the Company, in any way that would be materially adverse to any Member;</w:t>
      </w:r>
    </w:p>
    <w:p>
      <w:pPr>
        <w:spacing w:after="0" w:line="172"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or the Pinnacle Project Company or any other subsidiary of the Company to be deemed Bankrupt, serve as one of the three (3) petitioning creditors in connection with an involuntary bankruptcy petition against the Company or the Pinnacle Project Company or any other subsidiary of the Company, cooperate with creditors in an effort to commence an involuntary bankruptcy petition, guarantee such creditors’ claims, or take any action to encourage or assist in any way with the commencement of an involuntary bankruptcy petition against the Company or the Pinnacle Project Company or any other subsidiary of the Company;</w:t>
      </w:r>
    </w:p>
    <w:p>
      <w:pPr>
        <w:spacing w:after="0" w:line="18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distribution to any Member, except as specified in this Agreement;</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redeem or convert any membership interests in, or other securities of, the Company;</w:t>
      </w:r>
    </w:p>
    <w:p>
      <w:pPr>
        <w:spacing w:after="0" w:line="219" w:lineRule="exact"/>
        <w:rPr>
          <w:rFonts w:ascii="Times New Roman" w:cs="Times New Roman" w:eastAsia="Times New Roman" w:hAnsi="Times New Roman"/>
          <w:sz w:val="22"/>
          <w:szCs w:val="22"/>
          <w:color w:val="auto"/>
        </w:rPr>
      </w:pPr>
    </w:p>
    <w:p>
      <w:pPr>
        <w:jc w:val="both"/>
        <w:ind w:firstLine="1952"/>
        <w:spacing w:after="0" w:line="275" w:lineRule="auto"/>
        <w:tabs>
          <w:tab w:leader="none" w:pos="2587"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loan, contract or agreement with any Affiliate of the Manager other than as permitted by this Agreement or to loan any funds of the Company or the Pinnacle Project Company or any other subsidiary of the Company to any Person or make any advance payments of compensation or other consideration to the Manager or any of its Affiliates;</w:t>
      </w:r>
    </w:p>
    <w:p>
      <w:pPr>
        <w:spacing w:after="0" w:line="155" w:lineRule="exact"/>
        <w:rPr>
          <w:rFonts w:ascii="Times New Roman" w:cs="Times New Roman" w:eastAsia="Times New Roman" w:hAnsi="Times New Roman"/>
          <w:sz w:val="21"/>
          <w:szCs w:val="21"/>
          <w:color w:val="auto"/>
        </w:rPr>
      </w:pPr>
    </w:p>
    <w:p>
      <w:pPr>
        <w:jc w:val="both"/>
        <w:ind w:firstLine="1952"/>
        <w:spacing w:after="0" w:line="247" w:lineRule="auto"/>
        <w:tabs>
          <w:tab w:leader="none" w:pos="258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 any money in the name or on behalf of the Company or the Pinnacle Project Company or any other subsidiary of the Company, as applicable, in excess of $[***] in the aggregate (other than pursuant to the Repowering Financing Documents), or execute and issue promissory notes and other negotiable or non-negotiable instruments and evidences of indebtedness in excess of $[***] in the aggregate, except the Manager may borrow, or cause the Company or the Pinnacle Project Company or any other subsidiary of the Company to borrow money in the name and on behalf of the Company or the Pinnacle Project Company or any other subsidiary of the Company, as applicable, in such amounts as the Manager shall reasonably determine are necessary to preserve and protect the Company’s or the Pinnacle Project Company’s or any other subsidiary of the Company’s property upon the occurrence of an accident, catastrophe or similar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256" w:name="page257"/>
    <w:bookmarkEnd w:id="256"/>
    <w:p>
      <w:pPr>
        <w:jc w:val="both"/>
        <w:ind w:left="-8" w:firstLine="1952"/>
        <w:spacing w:after="0" w:line="245" w:lineRule="auto"/>
        <w:tabs>
          <w:tab w:leader="none" w:pos="2571"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Mortgage, pledge, assign in trust or otherwise encumber any Company or Pinnacle Project Company’s or any other subsidiary of the Company’s property, or assign any monies owing or to be owing to the Company or the Pinnacle Project Company or any other subsidiary of the Company (other than in respect of the Repowering Financing Documents and the Tax Equity Documents) except: (A) to secure the payment of any other borrowing permitted hereunder, (B) for customary liens contained in or arising under any operating agreements, construction contracts and similar agreements executed by or binding on the Company or the Pinnacle Project Company or any other subsidiary of the Company with respect to amounts not yet due or not yet delinquent (or, if delinquent, that are being contested by the Manager, the Company or the Pinnacle Project Company or any other subsidiary of the Company in good faith and for which adequate reserves have been set aside in accordance with GAAP), or (C) for statutory liens for amounts not yet due or not yet delinquent (or, if delinquent, that are being contested by the Manager, the Company or the Pinnacle Project Company or any other subsidiary of the Company in good faith and for which adequate reserves have been set aside in accordance with GAAP); provided, that in no event shall the Manager mortgage, pledge, assign in trust or otherwise encumber (x) the Company’s right to receive Capital Contributions from the Members or (y) distributions from the Pinnacle Project Company, unless such encumbrance is required under the Repowering Financing Documents or Tax Equity Documents;</w:t>
      </w:r>
    </w:p>
    <w:p>
      <w:pPr>
        <w:spacing w:after="0" w:line="191" w:lineRule="exact"/>
        <w:rPr>
          <w:rFonts w:ascii="Times New Roman" w:cs="Times New Roman" w:eastAsia="Times New Roman" w:hAnsi="Times New Roman"/>
          <w:sz w:val="22"/>
          <w:szCs w:val="22"/>
          <w:color w:val="auto"/>
        </w:rPr>
      </w:pPr>
    </w:p>
    <w:p>
      <w:pPr>
        <w:jc w:val="both"/>
        <w:ind w:left="-8" w:firstLine="1952"/>
        <w:spacing w:after="0" w:line="248" w:lineRule="auto"/>
        <w:tabs>
          <w:tab w:leader="none" w:pos="2579"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transfer, assign or distribute any interest in (A) the Pinnacle Project Company or the Pinnacle Project or any other subsidiary of the Company (except as contemplated by the Tax Equity Documents or the Repowering Financing Documents) or (B) any Asset or related group of Assets with a fair market value [***] in the aggregate in one or a related series of transactions, except for (1) the sale of energy, (2) the sale of RECs (3) otherwise in the ordinary course of the Pinnacle Project Company’s business and in accordance with the applicable Tax Equity Documents and the Repowering Financing Documents, (4) as contemplated in the Repowering TSA, or (5) as required under any security agreement in connection with a borrowing permitted hereunder;</w:t>
      </w:r>
    </w:p>
    <w:p>
      <w:pPr>
        <w:spacing w:after="0" w:line="181" w:lineRule="exact"/>
        <w:rPr>
          <w:rFonts w:ascii="Times New Roman" w:cs="Times New Roman" w:eastAsia="Times New Roman" w:hAnsi="Times New Roman"/>
          <w:sz w:val="22"/>
          <w:szCs w:val="22"/>
          <w:color w:val="auto"/>
        </w:rPr>
      </w:pPr>
    </w:p>
    <w:p>
      <w:pPr>
        <w:jc w:val="both"/>
        <w:ind w:left="-8" w:firstLine="1952"/>
        <w:spacing w:after="0" w:line="266" w:lineRule="auto"/>
        <w:tabs>
          <w:tab w:leader="none" w:pos="2579"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 in the name or on behalf of the Company or the Pinnacle Project Company or any other subsidiary of the Company, the payment of money or the performance of any contract or other obligation of any Person except,</w:t>
      </w:r>
    </w:p>
    <w:p>
      <w:pPr>
        <w:spacing w:after="0" w:line="1" w:lineRule="exact"/>
        <w:rPr>
          <w:rFonts w:ascii="Times New Roman" w:cs="Times New Roman" w:eastAsia="Times New Roman" w:hAnsi="Times New Roman"/>
          <w:sz w:val="21"/>
          <w:szCs w:val="21"/>
          <w:color w:val="auto"/>
        </w:rPr>
      </w:pPr>
    </w:p>
    <w:p>
      <w:pPr>
        <w:jc w:val="both"/>
        <w:ind w:left="-8" w:firstLine="8"/>
        <w:spacing w:after="0" w:line="263" w:lineRule="auto"/>
        <w:tabs>
          <w:tab w:leader="none" w:pos="392"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Tax Equity Documents and the Repowering Financing Documents, for responsibilities customarily assumed under operating agreements considered standard in the wind power industry, or (B) guarantees made by Pinnacle Holdco or the Pinnacle Project Company for performance by the Borrower of its obligations under a borrowing permitted hereunder;</w:t>
      </w:r>
    </w:p>
    <w:p>
      <w:pPr>
        <w:spacing w:after="0" w:line="167" w:lineRule="exact"/>
        <w:rPr>
          <w:rFonts w:ascii="Times New Roman" w:cs="Times New Roman" w:eastAsia="Times New Roman" w:hAnsi="Times New Roman"/>
          <w:sz w:val="21"/>
          <w:szCs w:val="21"/>
          <w:color w:val="auto"/>
        </w:rPr>
      </w:pPr>
    </w:p>
    <w:p>
      <w:pPr>
        <w:jc w:val="both"/>
        <w:ind w:left="-8" w:firstLine="1952"/>
        <w:spacing w:after="0" w:line="248" w:lineRule="auto"/>
        <w:tabs>
          <w:tab w:leader="none" w:pos="2579"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Approved Budget or the Construction Budget to increase projected expenditures or expend funds in excess of the Approved Budget or the Construction Budget for any Fiscal Year, except for (A) amendments or expenditures that do not increase the aggregate spending under the Approved Budget above [***] of the aggregate expense amount reflected in the Approved Budget for the Fiscal Year, (B) with respect to the Pinnacle Project Company, expenditures that, after taking into account amounts theretofore paid in such Fiscal Year, do not exceed [***] the amount budgeted to be expended in such Fiscal Year in the Approved Budget for the Pinnacle Project Company, (C) expenditures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32"/>
          </w:cols>
          <w:pgMar w:left="328" w:top="1422" w:right="339" w:bottom="1440" w:gutter="0" w:footer="0" w:header="0"/>
        </w:sectPr>
      </w:pPr>
    </w:p>
    <w:bookmarkStart w:id="257" w:name="page258"/>
    <w:bookmarkEnd w:id="257"/>
    <w:p>
      <w:pPr>
        <w:spacing w:after="0" w:line="271" w:lineRule="auto"/>
        <w:rPr>
          <w:sz w:val="20"/>
          <w:szCs w:val="20"/>
          <w:color w:val="auto"/>
        </w:rPr>
      </w:pPr>
      <w:r>
        <w:rPr>
          <w:rFonts w:ascii="Times New Roman" w:cs="Times New Roman" w:eastAsia="Times New Roman" w:hAnsi="Times New Roman"/>
          <w:sz w:val="22"/>
          <w:szCs w:val="22"/>
          <w:color w:val="auto"/>
        </w:rPr>
        <w:t>made under Tax Equity Documents and Repowering Financing Documents and (D) in connection with the Tax Equity Financing and the Repowering Financing Documents;</w:t>
      </w:r>
    </w:p>
    <w:p>
      <w:pPr>
        <w:spacing w:after="0" w:line="158" w:lineRule="exact"/>
        <w:rPr>
          <w:sz w:val="20"/>
          <w:szCs w:val="20"/>
          <w:color w:val="auto"/>
        </w:rPr>
      </w:pPr>
    </w:p>
    <w:p>
      <w:pPr>
        <w:jc w:val="both"/>
        <w:ind w:firstLine="1952"/>
        <w:spacing w:after="0" w:line="250" w:lineRule="auto"/>
        <w:tabs>
          <w:tab w:leader="none" w:pos="258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or consolidate the Company or the Pinnacle Project Company or any other subsidiary of the Company with any Member or other Person or entity, convert the Company or either Pinnacle Project Company or any other subsidiary of the Company to a general partnership or other entity, or agree to an exchange of interests with any other Person, or acquire all or substantially all of the assets, stock or interests of any other Person other than as contemplated by the Tax Equity Financing or the Repowering Financing Documents;</w:t>
      </w:r>
    </w:p>
    <w:p>
      <w:pPr>
        <w:spacing w:after="0" w:line="180"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Compromise or settle any lawsuit, administrative matter or other dispute where the amount the Company or the Pinnacle Project Company or any other subsidiary of the Company may recover or might be obligated to pay, as applicable, is in excess of $[***] in the aggregate, or which includes consent to the award of an injunction, specific performance or other equitable relief;</w:t>
      </w:r>
    </w:p>
    <w:p>
      <w:pPr>
        <w:spacing w:after="0" w:line="179" w:lineRule="exact"/>
        <w:rPr>
          <w:rFonts w:ascii="Times New Roman" w:cs="Times New Roman" w:eastAsia="Times New Roman" w:hAnsi="Times New Roman"/>
          <w:sz w:val="22"/>
          <w:szCs w:val="22"/>
          <w:color w:val="auto"/>
        </w:rPr>
      </w:pPr>
    </w:p>
    <w:p>
      <w:pPr>
        <w:jc w:val="both"/>
        <w:ind w:firstLine="1952"/>
        <w:spacing w:after="0" w:line="246" w:lineRule="auto"/>
        <w:tabs>
          <w:tab w:leader="none" w:pos="258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 any additional Member to the Company except pursuant to the Tax Equity Financing or as permitted under Article IX hereof, cause any additional member to be admitted to a Tax Equity Entity or the Pinnacle Project Company or any other subsidiary of the Company except pursuant to the Tax Equity Financing, the Repowering Construction Financing and in accordance with the Pinnacle Project Company’s (or such other subsidiary’s) operating agreement, or otherwise issue, or permit the issuance of, any additional membership interests in the Company or the Pinnacle Project Company or any other subsidiary of the Company except pursuant to the Tax Equity Financing, the Repowering Construction Financing and except in accordance with the Pinnacle Project Company’s (or other subsidiary’s) operating agreement; provided that the Manager may not permit the issuance of additional Class A Units at any time during the term of this Agreement without having first obtained the Consent of the Class A Members;</w:t>
      </w:r>
    </w:p>
    <w:p>
      <w:pPr>
        <w:spacing w:after="0" w:line="190"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Hire any employees, enter into or adopt any bonus, profit sharing, thrift, compensation, option, pension, retirement, savings, welfare, deferred compensation, employment, termination, severance or other employee benefit plan, agreement, trust, fund, policy or arrangement for the benefit or welfare of any directors, officers or employees of the Company or the Pinnacle Project Company or any other subsidiary of the Company, as the case may be or (B) transfer any Company Assets or the Assets of the Pinnacle Project Company or other subsidiary of the Company to satisfy any liabilities of any Class A Member or its Affiliates arising from ERISA;</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Company’s or the Pinnacle Project Company’s or any other subsidiary of the Company’s methods of accounting as in effect on the Effective Date, except as required by GAAP, or take any action, other than reasonable and usual actions in the ordinary course of business or specifically contemplated under the Tax Equity Documents or the Repowering Financing Documents to which it is a party, with respect to accounting policies or procedures, unless required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258" w:name="page259"/>
    <w:bookmarkEnd w:id="258"/>
    <w:p>
      <w:pPr>
        <w:jc w:val="both"/>
        <w:ind w:left="-220" w:firstLine="1952"/>
        <w:spacing w:after="0" w:line="257" w:lineRule="auto"/>
        <w:tabs>
          <w:tab w:leader="none" w:pos="236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that would result in a material breach or an event of default, or that would permit or result in the acceleration of any obligation or termination of any right, under any Transaction Document, which acceleration or termination would cause a Material Adverse Effect;</w:t>
      </w:r>
    </w:p>
    <w:p>
      <w:pPr>
        <w:spacing w:after="0" w:line="172" w:lineRule="exact"/>
        <w:rPr>
          <w:rFonts w:ascii="Times New Roman" w:cs="Times New Roman" w:eastAsia="Times New Roman" w:hAnsi="Times New Roman"/>
          <w:sz w:val="22"/>
          <w:szCs w:val="22"/>
          <w:color w:val="auto"/>
        </w:rPr>
      </w:pPr>
    </w:p>
    <w:p>
      <w:pPr>
        <w:jc w:val="both"/>
        <w:ind w:left="-220" w:firstLine="1952"/>
        <w:spacing w:after="0" w:line="246" w:lineRule="auto"/>
        <w:tabs>
          <w:tab w:leader="none" w:pos="236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 any Transaction Document (other than a power purchase agreement) or any amendment, modification, waiver or termination of any Transaction Document, or organizational document of the Pinnacle Project Company or any other subsidiary of the Company, including the Pinnacle Project Company’s or other subsidiary’s limited liability company agreement, or any Licenses or Permits, (B) any purchase order, notice to proceed or similar arrangement contemplated under any Repowering Project Document, (C) any substitution or replacement of any such document, (D) any Additional Project Document not contemplated by the then current Approved Budget or that could reasonably be expected to have a Material Adverse Effect, (E) any new agreement with an Affiliate other than in accordance with this Agreement or amend any economic provision or otherwise materially amend any existing contract with an Affiliate, or (F) any power purchase agreement which involves more than $1,000,000, or any material amendment, modification, substitution, extension or replacement of such power purchase agreement;</w:t>
      </w:r>
    </w:p>
    <w:p>
      <w:pPr>
        <w:spacing w:after="0" w:line="187" w:lineRule="exact"/>
        <w:rPr>
          <w:rFonts w:ascii="Times New Roman" w:cs="Times New Roman" w:eastAsia="Times New Roman" w:hAnsi="Times New Roman"/>
          <w:sz w:val="22"/>
          <w:szCs w:val="22"/>
          <w:color w:val="auto"/>
        </w:rPr>
      </w:pPr>
    </w:p>
    <w:p>
      <w:pPr>
        <w:jc w:val="both"/>
        <w:ind w:left="-220" w:firstLine="1952"/>
        <w:spacing w:after="0" w:line="252" w:lineRule="auto"/>
        <w:tabs>
          <w:tab w:leader="none" w:pos="236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Remove the Master Services Provider or appoint a new Person to act in a similar capacity to the Master Services Provider or consent to or allow the assignment by the Master Services Provider of the agreement pursuant to which the Master Services Provider provides services to the Company, or any of its rights or obligations thereunder, other than to an Affiliate;</w:t>
      </w:r>
    </w:p>
    <w:p>
      <w:pPr>
        <w:spacing w:after="0" w:line="179" w:lineRule="exact"/>
        <w:rPr>
          <w:rFonts w:ascii="Times New Roman" w:cs="Times New Roman" w:eastAsia="Times New Roman" w:hAnsi="Times New Roman"/>
          <w:sz w:val="22"/>
          <w:szCs w:val="22"/>
          <w:color w:val="auto"/>
        </w:rPr>
      </w:pPr>
    </w:p>
    <w:p>
      <w:pPr>
        <w:jc w:val="both"/>
        <w:ind w:left="-220" w:firstLine="1952"/>
        <w:spacing w:after="0" w:line="252" w:lineRule="auto"/>
        <w:tabs>
          <w:tab w:leader="none" w:pos="236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Allow the total proceeds borrowed, including, without limitation, borrowings under the Repowering Financing Documents, to at any time exceed an amount equal to the lesser of (a) $[***] and (b) the Construction Budget approved by the lenders under the Repowering Financing Documents. The determination of the Construction Budget shall be made at the time of the financial close of the Pinnacle Project.</w:t>
      </w:r>
    </w:p>
    <w:p>
      <w:pPr>
        <w:spacing w:after="0" w:line="179" w:lineRule="exact"/>
        <w:rPr>
          <w:rFonts w:ascii="Times New Roman" w:cs="Times New Roman" w:eastAsia="Times New Roman" w:hAnsi="Times New Roman"/>
          <w:sz w:val="22"/>
          <w:szCs w:val="22"/>
          <w:color w:val="auto"/>
        </w:rPr>
      </w:pPr>
    </w:p>
    <w:p>
      <w:pPr>
        <w:jc w:val="both"/>
        <w:ind w:left="-220" w:firstLine="1952"/>
        <w:spacing w:after="0" w:line="250" w:lineRule="auto"/>
        <w:tabs>
          <w:tab w:leader="none" w:pos="236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any insurance proceeds received by the Company or the Pinnacle Project Company following damage to Company property or the Pinnacle Project Company property for any purpose other than restoration or replacement of such property, or, in the case of business interruption or similar insurance, to be treated as Available Cash Flow; provided, that the Consent of the Members shall not be required to use any insurance proceeds as required by the Repowering Financing Documents (as reasonably determined by the Manager);</w:t>
      </w:r>
    </w:p>
    <w:p>
      <w:pPr>
        <w:spacing w:after="0" w:line="180" w:lineRule="exact"/>
        <w:rPr>
          <w:rFonts w:ascii="Times New Roman" w:cs="Times New Roman" w:eastAsia="Times New Roman" w:hAnsi="Times New Roman"/>
          <w:sz w:val="22"/>
          <w:szCs w:val="22"/>
          <w:color w:val="auto"/>
        </w:rPr>
      </w:pPr>
    </w:p>
    <w:p>
      <w:pPr>
        <w:jc w:val="both"/>
        <w:ind w:left="-220" w:firstLine="1952"/>
        <w:spacing w:after="0" w:line="257" w:lineRule="auto"/>
        <w:tabs>
          <w:tab w:leader="none" w:pos="236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or cause the Company to cause the Pinnacle Project Company or any other subsidiary of the Company to change its respective legal form, recapitalize, liquidate, wind up or dissolve (other than in accordance with this Agreement), or declare itself Bankrupt;</w:t>
      </w:r>
    </w:p>
    <w:p>
      <w:pPr>
        <w:spacing w:after="0" w:line="172" w:lineRule="exact"/>
        <w:rPr>
          <w:rFonts w:ascii="Times New Roman" w:cs="Times New Roman" w:eastAsia="Times New Roman" w:hAnsi="Times New Roman"/>
          <w:sz w:val="22"/>
          <w:szCs w:val="22"/>
          <w:color w:val="auto"/>
        </w:rPr>
      </w:pPr>
    </w:p>
    <w:p>
      <w:pPr>
        <w:jc w:val="both"/>
        <w:ind w:left="-220" w:firstLine="1952"/>
        <w:spacing w:after="0" w:line="257" w:lineRule="auto"/>
        <w:tabs>
          <w:tab w:leader="none" w:pos="236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or the Pinnacle Project Company or any other subsidiary of the Company to hire legal advisors to act on such company’s behalf; provided that all legal advisors currently used by such company as of the Effective Date are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020"/>
          </w:cols>
          <w:pgMar w:left="540" w:top="1422" w:right="339" w:bottom="1440" w:gutter="0" w:footer="0" w:header="0"/>
        </w:sectPr>
      </w:pPr>
    </w:p>
    <w:bookmarkStart w:id="259" w:name="page260"/>
    <w:bookmarkEnd w:id="259"/>
    <w:p>
      <w:pPr>
        <w:jc w:val="both"/>
        <w:ind w:firstLine="1952"/>
        <w:spacing w:after="0" w:line="257" w:lineRule="auto"/>
        <w:tabs>
          <w:tab w:leader="none" w:pos="2587"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agreement prohibiting or restricting the ability of the Company or the Pinnacle Project Company or any other direct or indirect subsidiary of the Company from authorizing or making any distributions to Members (or the members of such entity), other than the Repowering Financing Documents and the Tax Equity Documents; or</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in this Agreement, pay, grant, authorize or approve the payment of any compensation to or for the Manager for serving in his or her capacity as Manager.</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2"/>
          <w:szCs w:val="22"/>
          <w:color w:val="auto"/>
        </w:rPr>
        <w:t>(iii)Prior to the dissolution of the Company under the terms of this Agreement, the Manager shall devote such time and effort to the Company’s business as may be necessary to adequately promote the interests of the Company and the mutual interests of the Members.</w:t>
      </w:r>
    </w:p>
    <w:p>
      <w:pPr>
        <w:spacing w:after="0" w:line="173" w:lineRule="exact"/>
        <w:rPr>
          <w:sz w:val="20"/>
          <w:szCs w:val="20"/>
          <w:color w:val="auto"/>
        </w:rPr>
      </w:pPr>
    </w:p>
    <w:p>
      <w:pPr>
        <w:jc w:val="both"/>
        <w:ind w:firstLine="336"/>
        <w:spacing w:after="0" w:line="248" w:lineRule="auto"/>
        <w:rPr>
          <w:sz w:val="20"/>
          <w:szCs w:val="20"/>
          <w:color w:val="auto"/>
        </w:rPr>
      </w:pPr>
      <w:r>
        <w:rPr>
          <w:rFonts w:ascii="Times New Roman" w:cs="Times New Roman" w:eastAsia="Times New Roman" w:hAnsi="Times New Roman"/>
          <w:sz w:val="22"/>
          <w:szCs w:val="22"/>
          <w:color w:val="auto"/>
        </w:rPr>
        <w:t>(iv)With respect to any actions described in this Agreement that require the Consent of the Members (including, without limitation, those actions set forth in this Section 6.2), the Manager shall use commercially reasonable efforts to request such consent or approval from each Member no later than thirty (30) days prior to the proposed date for the taking of such action, and such request shall include, to the extent applicable, copies of all material documentation relating to the proposed action. The failure of any Member to deliver a response either approving or disapproving any action requiring the Consent of the Members within the thirty (30) day period after such Member’s receipt of such request shall be deemed such Member’s consent to the proposed action.</w:t>
      </w:r>
    </w:p>
    <w:p>
      <w:pPr>
        <w:spacing w:after="0" w:line="182"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Removal and Election of Manager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22"/>
          <w:szCs w:val="22"/>
          <w:color w:val="auto"/>
        </w:rPr>
        <w:t>(i)The Manager shall not have a right to resign unless and until a successor manager is elected or appointed as specified under this Section 6.3 and assumes the obligations of the Manager under this Agreement. If the Manager so resigns, the resigning Manager shall reasonably cooperate with the Members and the replacement Manager to effect an orderly transition of responsibilities and duties to the replacement Manager. Such replacement Manager shall be elected by a majority vote of the Class B Members, subject to subparagraph (b) below.</w:t>
      </w:r>
    </w:p>
    <w:p>
      <w:pPr>
        <w:spacing w:after="0" w:line="181" w:lineRule="exact"/>
        <w:rPr>
          <w:sz w:val="20"/>
          <w:szCs w:val="20"/>
          <w:color w:val="auto"/>
        </w:rPr>
      </w:pPr>
    </w:p>
    <w:p>
      <w:pPr>
        <w:jc w:val="both"/>
        <w:ind w:firstLine="384"/>
        <w:spacing w:after="0" w:line="266" w:lineRule="auto"/>
        <w:rPr>
          <w:sz w:val="20"/>
          <w:szCs w:val="20"/>
          <w:color w:val="auto"/>
        </w:rPr>
      </w:pPr>
      <w:r>
        <w:rPr>
          <w:rFonts w:ascii="Times New Roman" w:cs="Times New Roman" w:eastAsia="Times New Roman" w:hAnsi="Times New Roman"/>
          <w:sz w:val="21"/>
          <w:szCs w:val="21"/>
          <w:color w:val="auto"/>
        </w:rPr>
        <w:t>(ii)The Manager will be subject to removal as Manager by Consent of the Members (excluding any Member who is the Manager or an Affiliate of the Manager), if the Manager (in its capacity as Manager or its capacity as Partnership Representative)</w:t>
      </w:r>
    </w:p>
    <w:p>
      <w:pPr>
        <w:spacing w:after="0" w:line="2" w:lineRule="exact"/>
        <w:rPr>
          <w:sz w:val="20"/>
          <w:szCs w:val="20"/>
          <w:color w:val="auto"/>
        </w:rPr>
      </w:pPr>
    </w:p>
    <w:p>
      <w:pPr>
        <w:jc w:val="both"/>
        <w:ind w:firstLine="8"/>
        <w:spacing w:after="0" w:line="243" w:lineRule="auto"/>
        <w:tabs>
          <w:tab w:leader="none" w:pos="27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engaged in gross negligence, willful misconduct or fraud, (ii) has intentionally violated any Law, or (iii) has performed any action that is in breach or violation of this Agreement or any Transaction Document to which it is a party and that has or is reasonably expected to have a Material Adverse Effect; provided, however, that in the case of this clause (iii), for any breach or violation other than a failure to make a cash distribution when due under this Agreement, the Manager shall have the opportunity to cure such breach or violation within thirty (30) days of receiving notice of such breach; provided, further, that if such breach cannot be cured within such period, and the Manager is proceeding with diligence to cure such breach, the 30-day cure period shall be extended by an additional sixty (60) days, for a total cure period of ninety (90) days; provided, further, that during such cure period the Manager may continue as the Manager (and Partnership Representative). In addition, the Manager shall be removed automatically without further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260" w:name="page261"/>
    <w:bookmarkEnd w:id="260"/>
    <w:p>
      <w:pPr>
        <w:jc w:val="both"/>
        <w:spacing w:after="0" w:line="257" w:lineRule="auto"/>
        <w:rPr>
          <w:sz w:val="20"/>
          <w:szCs w:val="20"/>
          <w:color w:val="auto"/>
        </w:rPr>
      </w:pPr>
      <w:r>
        <w:rPr>
          <w:rFonts w:ascii="Times New Roman" w:cs="Times New Roman" w:eastAsia="Times New Roman" w:hAnsi="Times New Roman"/>
          <w:sz w:val="22"/>
          <w:szCs w:val="22"/>
          <w:color w:val="auto"/>
        </w:rPr>
        <w:t>action or notice by any Member in the event of a Bankruptcy of the Manager, the Partnership Representative (if it is an Affiliate of the Manager) or any Member who is an Affiliate of the Manager, unless those Members who are not Affiliates of the Manager elect otherwise upon written notice.</w:t>
      </w:r>
    </w:p>
    <w:p>
      <w:pPr>
        <w:spacing w:after="0" w:line="173"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21"/>
          <w:szCs w:val="21"/>
          <w:color w:val="auto"/>
        </w:rPr>
        <w:t>(iii)If the Manager is removed under subparagraph (b) above, the Consent of the Members (excluding any Member who is the Manager or an Affiliate of the Manager) shall be required to elect or appoint a successor Manager to succeed to all the rights, and to perform all of the obligations, set forth for the Manager hereunder. If the Manager is so removed, the removed Manager shall reasonably cooperate with the Members and the replacement Manager to effect an orderly transition of responsibilities and duties to the replacement Manager. The Person selected as the successor Manager shall be an entity that is experienced and reputable in operating wind facilities similar to the Pinnacle Project and shall execute a counterpart to this Agreement.</w:t>
      </w:r>
    </w:p>
    <w:p>
      <w:pPr>
        <w:spacing w:after="0" w:line="16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d.</w:t>
      </w:r>
      <w:r>
        <w:rPr>
          <w:sz w:val="20"/>
          <w:szCs w:val="20"/>
          <w:color w:val="auto"/>
        </w:rPr>
        <w:tab/>
      </w:r>
      <w:r>
        <w:rPr>
          <w:rFonts w:ascii="Times New Roman" w:cs="Times New Roman" w:eastAsia="Times New Roman" w:hAnsi="Times New Roman"/>
          <w:sz w:val="21"/>
          <w:szCs w:val="21"/>
          <w:u w:val="single" w:color="auto"/>
          <w:color w:val="auto"/>
        </w:rPr>
        <w:t>Indemnification and Exculpation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22"/>
          <w:szCs w:val="22"/>
          <w:color w:val="auto"/>
        </w:rPr>
        <w:t>(i)To the fullest extent permitted by Law, the Manager and the Partnership Representative and their respective officers, directors, employees and agents shall be exculpated from, and the Company shall indemnify, from Available Cash Flow, such Persons from and against, all Damages any of them incur by reason of any act or omission performed or omitted by such Person in a manner reasonably believed to be consistent with its rights and obligations under Law and this Agreement; [***].</w:t>
      </w:r>
    </w:p>
    <w:p>
      <w:pPr>
        <w:spacing w:after="0" w:line="179" w:lineRule="exact"/>
        <w:rPr>
          <w:sz w:val="20"/>
          <w:szCs w:val="20"/>
          <w:color w:val="auto"/>
        </w:rPr>
      </w:pPr>
    </w:p>
    <w:p>
      <w:pPr>
        <w:jc w:val="both"/>
        <w:ind w:firstLine="384"/>
        <w:spacing w:after="0" w:line="252" w:lineRule="auto"/>
        <w:rPr>
          <w:sz w:val="20"/>
          <w:szCs w:val="20"/>
          <w:color w:val="auto"/>
        </w:rPr>
      </w:pPr>
      <w:r>
        <w:rPr>
          <w:rFonts w:ascii="Times New Roman" w:cs="Times New Roman" w:eastAsia="Times New Roman" w:hAnsi="Times New Roman"/>
          <w:sz w:val="22"/>
          <w:szCs w:val="22"/>
          <w:color w:val="auto"/>
        </w:rPr>
        <w:t>(ii)To the fullest extent permitted by Law, reasonable and documented expenses to be incurred by an indemnified Person under this Section 6.4 shall, from time to time, be advanced by the Company prior to the final disposition of any matter upon receipt by the Company of an undertaking from a Person with sufficient credit capacity to repay such amount if it shall be determined that the indemnified Person is not entitled to be indemnified under this Agreement.</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2"/>
          <w:szCs w:val="22"/>
          <w:color w:val="auto"/>
        </w:rPr>
        <w:t>(iii)Provided that the same is reflected in the Approved Budget, the Company may purchase and maintain insurance covering Damages as may be asserted or awarded against the Persons indemnified hereunder, whether or not the Company would have the obligation to indemnify the Person against liability for such Damages under the provisions of this Section 6.4.</w:t>
      </w:r>
    </w:p>
    <w:p>
      <w:pPr>
        <w:spacing w:after="0" w:line="173" w:lineRule="exact"/>
        <w:rPr>
          <w:sz w:val="20"/>
          <w:szCs w:val="20"/>
          <w:color w:val="auto"/>
        </w:rPr>
      </w:pPr>
    </w:p>
    <w:p>
      <w:pPr>
        <w:jc w:val="both"/>
        <w:ind w:firstLine="336"/>
        <w:spacing w:after="0" w:line="252" w:lineRule="auto"/>
        <w:rPr>
          <w:sz w:val="20"/>
          <w:szCs w:val="20"/>
          <w:color w:val="auto"/>
        </w:rPr>
      </w:pPr>
      <w:r>
        <w:rPr>
          <w:rFonts w:ascii="Times New Roman" w:cs="Times New Roman" w:eastAsia="Times New Roman" w:hAnsi="Times New Roman"/>
          <w:sz w:val="22"/>
          <w:szCs w:val="22"/>
          <w:color w:val="auto"/>
        </w:rPr>
        <w:t xml:space="preserve">(iv)Monies to fund the indemnification obligations hereunder (including advances under Section 6.4(b)) shall, (i) until the Tax Equity Funding Date, be sourced from Available Cash Flow, and (ii) thereafter shall be sourced by Capital Contributions from the Members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based on their respective Specified Share (and shall not limit the ability of the Company to make distributions from Available Cash Flow pursuant to Section 5.1(a)).</w:t>
      </w:r>
    </w:p>
    <w:p>
      <w:pPr>
        <w:spacing w:after="0" w:line="179"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e.</w:t>
      </w:r>
      <w:r>
        <w:rPr>
          <w:sz w:val="20"/>
          <w:szCs w:val="20"/>
          <w:color w:val="auto"/>
        </w:rPr>
        <w:tab/>
      </w:r>
      <w:r>
        <w:rPr>
          <w:rFonts w:ascii="Times New Roman" w:cs="Times New Roman" w:eastAsia="Times New Roman" w:hAnsi="Times New Roman"/>
          <w:sz w:val="21"/>
          <w:szCs w:val="21"/>
          <w:u w:val="single" w:color="auto"/>
          <w:color w:val="auto"/>
        </w:rPr>
        <w:t>Company Reimbursement; Fund Formation Expenses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shall directly pay and reimburse the Manager for all Company Reimbursable Expenses incurred from time to time.</w:t>
      </w:r>
    </w:p>
    <w:p>
      <w:pPr>
        <w:spacing w:after="0" w:line="231"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f.</w:t>
      </w:r>
      <w:r>
        <w:rPr>
          <w:sz w:val="20"/>
          <w:szCs w:val="20"/>
          <w:color w:val="auto"/>
        </w:rPr>
        <w:tab/>
      </w:r>
      <w:r>
        <w:rPr>
          <w:rFonts w:ascii="Times New Roman" w:cs="Times New Roman" w:eastAsia="Times New Roman" w:hAnsi="Times New Roman"/>
          <w:sz w:val="21"/>
          <w:szCs w:val="21"/>
          <w:u w:val="single" w:color="auto"/>
          <w:color w:val="auto"/>
        </w:rPr>
        <w:t>Officers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261" w:name="page262"/>
    <w:bookmarkEnd w:id="261"/>
    <w:p>
      <w:pPr>
        <w:jc w:val="both"/>
        <w:ind w:firstLine="444"/>
        <w:spacing w:after="0" w:line="257"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The officers of the Company shall be a President, a Secretary and any number of Vice Presidents or Assistant Secretaries or other officers (each an “</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color w:val="auto"/>
        </w:rPr>
        <w:t>Officers</w:t>
      </w:r>
      <w:r>
        <w:rPr>
          <w:rFonts w:ascii="Times New Roman" w:cs="Times New Roman" w:eastAsia="Times New Roman" w:hAnsi="Times New Roman"/>
          <w:sz w:val="22"/>
          <w:szCs w:val="22"/>
          <w:color w:val="auto"/>
        </w:rPr>
        <w:t>”) as may be elected by the Manager. Any two (2) or more offices may be held by the same person.</w:t>
      </w:r>
    </w:p>
    <w:p>
      <w:pPr>
        <w:spacing w:after="0" w:line="173" w:lineRule="exact"/>
        <w:rPr>
          <w:sz w:val="20"/>
          <w:szCs w:val="20"/>
          <w:color w:val="auto"/>
        </w:rPr>
      </w:pPr>
    </w:p>
    <w:p>
      <w:pPr>
        <w:jc w:val="both"/>
        <w:ind w:firstLine="384"/>
        <w:spacing w:after="0" w:line="252"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Election and Term of Office</w:t>
      </w:r>
      <w:r>
        <w:rPr>
          <w:rFonts w:ascii="Times New Roman" w:cs="Times New Roman" w:eastAsia="Times New Roman" w:hAnsi="Times New Roman"/>
          <w:sz w:val="22"/>
          <w:szCs w:val="22"/>
          <w:color w:val="auto"/>
        </w:rPr>
        <w:t>. The Officers of the Company shall be elected or appointed by the Manager. Vacancies may be filled or new offices created and filled by the Manager. Each Officer shall hold office until his successor shall have been duly elected or appointed or until his death or until he shall resign or shall have been removed in the manner hereinafter provided. Election of an Officer shall not of itself create contract rights.</w:t>
      </w:r>
    </w:p>
    <w:p>
      <w:pPr>
        <w:spacing w:after="0" w:line="179" w:lineRule="exact"/>
        <w:rPr>
          <w:sz w:val="20"/>
          <w:szCs w:val="20"/>
          <w:color w:val="auto"/>
        </w:rPr>
      </w:pPr>
    </w:p>
    <w:p>
      <w:pPr>
        <w:jc w:val="both"/>
        <w:ind w:right="20" w:firstLine="324"/>
        <w:spacing w:after="0" w:line="271"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vacancy in any office because of death, resignation, removal, disqualification or otherwise, may be filled by the Manager for the unexpired portion of the term.</w:t>
      </w:r>
    </w:p>
    <w:p>
      <w:pPr>
        <w:spacing w:after="0" w:line="158" w:lineRule="exact"/>
        <w:rPr>
          <w:sz w:val="20"/>
          <w:szCs w:val="20"/>
          <w:color w:val="auto"/>
        </w:rPr>
      </w:pPr>
    </w:p>
    <w:p>
      <w:pPr>
        <w:jc w:val="both"/>
        <w:ind w:firstLine="336"/>
        <w:spacing w:after="0" w:line="257"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Any Officer elected or appointed by the Manager may be removed by the Manager whenever in its judgment the best interests of the Company would be served thereby, but such removal shall be without prejudice to the contract rights, if any, of the person so removed.</w:t>
      </w:r>
    </w:p>
    <w:p>
      <w:pPr>
        <w:spacing w:after="0" w:line="173" w:lineRule="exact"/>
        <w:rPr>
          <w:sz w:val="20"/>
          <w:szCs w:val="20"/>
          <w:color w:val="auto"/>
        </w:rPr>
      </w:pPr>
    </w:p>
    <w:p>
      <w:pPr>
        <w:jc w:val="both"/>
        <w:ind w:firstLine="396"/>
        <w:spacing w:after="0" w:line="252" w:lineRule="auto"/>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22"/>
          <w:szCs w:val="22"/>
          <w:u w:val="single" w:color="auto"/>
          <w:color w:val="auto"/>
        </w:rPr>
        <w:t>Duties; Standard of Care</w:t>
      </w:r>
      <w:r>
        <w:rPr>
          <w:rFonts w:ascii="Times New Roman" w:cs="Times New Roman" w:eastAsia="Times New Roman" w:hAnsi="Times New Roman"/>
          <w:sz w:val="22"/>
          <w:szCs w:val="22"/>
          <w:color w:val="auto"/>
        </w:rPr>
        <w:t>. Each Officer is only authorized to perform the duties specifically enumerated herein or as may be specifically assigned to such Officer in accordance with the terms of this Agreement. Each Officer shall be subject to the same standard of care applicable to the Manager as set forth in Section 6.2(a) in carrying out any of their relevant duties whatsoever and shall be required to obtain the necessary prior consents for actions specified in Section 6.2(b).</w:t>
      </w:r>
    </w:p>
    <w:p>
      <w:pPr>
        <w:spacing w:after="0" w:line="179" w:lineRule="exact"/>
        <w:rPr>
          <w:sz w:val="20"/>
          <w:szCs w:val="20"/>
          <w:color w:val="auto"/>
        </w:rPr>
      </w:pPr>
    </w:p>
    <w:p>
      <w:pPr>
        <w:jc w:val="both"/>
        <w:ind w:firstLine="336"/>
        <w:spacing w:after="0" w:line="257" w:lineRule="auto"/>
        <w:rPr>
          <w:sz w:val="20"/>
          <w:szCs w:val="20"/>
          <w:color w:val="auto"/>
        </w:rPr>
      </w:pPr>
      <w:r>
        <w:rPr>
          <w:rFonts w:ascii="Times New Roman" w:cs="Times New Roman" w:eastAsia="Times New Roman" w:hAnsi="Times New Roman"/>
          <w:sz w:val="21"/>
          <w:szCs w:val="21"/>
          <w:color w:val="auto"/>
        </w:rPr>
        <w:t>(vi)</w:t>
      </w:r>
      <w:r>
        <w:rPr>
          <w:rFonts w:ascii="Times New Roman" w:cs="Times New Roman" w:eastAsia="Times New Roman" w:hAnsi="Times New Roman"/>
          <w:sz w:val="21"/>
          <w:szCs w:val="21"/>
          <w:u w:val="single" w:color="auto"/>
          <w:color w:val="auto"/>
        </w:rPr>
        <w:t>Indemnification of Officers</w:t>
      </w:r>
      <w:r>
        <w:rPr>
          <w:rFonts w:ascii="Times New Roman" w:cs="Times New Roman" w:eastAsia="Times New Roman" w:hAnsi="Times New Roman"/>
          <w:sz w:val="21"/>
          <w:szCs w:val="21"/>
          <w:color w:val="auto"/>
        </w:rPr>
        <w:t>. To the greatest extent allowed by the Act, the Officers shall not be liable to the Company or any Member because any taxing authorities disallow or adjust income, deduction or credits in the Company tax returns. Furthermore, the Officers shall not have any liability for the repayment of the capital contributions of any Member. In addition, the doing of any act or the omission to do any act by the Officers the effect of which may cause or result in loss or damage to the Company, if done in good faith and otherwise in accordance with the terms of this Agreement, shall not subject the Officers or their successors and assigns to any liability to the greatest extent allowed by the Act. To the greatest extent allowed by the Act, the Company will indemnify and hold harmless the Officers and their successors, delegees and assigns from any claim, loss, expense, liability, action or damage resulting from any such act or omission, including reasonable costs and expenses of litigation and appeal of such litigation (including reasonable fees and expenses of attorneys engaged by any of the Officers in defense of such act or omission), but the Officers shall not be entitled to be indemnified or held harmless due to, or arising from, their fraud, gross negligence, bad faith or willful malfeasance. Provided that the same is reflected in the Approved Budget, the Company may purchase and maintain insurance covering liability as may be asserted or awarded against the Persons indemnified hereunder, whether or not the Company would have the obligation to indemnify the Person against the liability under the provisions hereof. Notwithstanding anything herein to the contrary, (i) the foregoing indemnification is limited to liabilities that are not already covered by any existing insurance policy (whether such policy is owned by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262" w:name="page263"/>
    <w:bookmarkEnd w:id="262"/>
    <w:p>
      <w:pPr>
        <w:jc w:val="both"/>
        <w:ind w:firstLine="8"/>
        <w:spacing w:after="0" w:line="257" w:lineRule="auto"/>
        <w:tabs>
          <w:tab w:leader="none" w:pos="34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indemnity will be funded from Available Cash Flow until the Tax Equity Funding Date, and (ii) thereafter shall be sourced by Capital Contributions from the Members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based on their respective Specified Share and shall not limit the ability of the Company to make distributions from Available Cash Flow pursuant to Section 5.1(a).</w:t>
      </w:r>
    </w:p>
    <w:p>
      <w:pPr>
        <w:spacing w:after="0" w:line="17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g.</w:t>
      </w:r>
      <w:r>
        <w:rPr>
          <w:sz w:val="20"/>
          <w:szCs w:val="20"/>
          <w:color w:val="auto"/>
        </w:rPr>
        <w:tab/>
      </w:r>
      <w:r>
        <w:rPr>
          <w:rFonts w:ascii="Times New Roman" w:cs="Times New Roman" w:eastAsia="Times New Roman" w:hAnsi="Times New Roman"/>
          <w:sz w:val="21"/>
          <w:szCs w:val="21"/>
          <w:u w:val="single" w:color="auto"/>
          <w:color w:val="auto"/>
        </w:rPr>
        <w:t>Approved Budgets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Manager shall prepare or cause to be prepared for each Fiscal Year of the Company and the Pinnacle Project Company an operating budget on a consolidated basis setting forth the anticipated revenues and expenses of the Company and the Pinnacle Project Company for such Fiscal Year. For each Fiscal Year, the Manager shall, not later than the first day of the month preceding the month in which the then current Fiscal Year ends (currently November 1), submit the proposed operating budget for such succeeding Fiscal Year to the Members for their review. If the aggregate expense amount reflected in the proposed operating budget is not more than [***]% above the annual spending projected in the Base Case Model for the applicable Fiscal Year and [***]% above the aggregate expense amount reflected in the Approved Budget for the previous Fiscal Year (and in each case, does not include expenditures exceeding $[***] in aggregate of a type not included in the Base Case Model for the applicable Fiscal Year or in the Approved Budget for the previous Fiscal Year, as the case may be), then the Consent of the Members shall not be required and such proposed operating budget shall be deemed approved by all of the Members. If such Consent of the Members is required and if either the Consent of the Members is received or if no Member objects to such proposed operating budget by the last day of the month preceding the month in which the then current Fiscal Year ends (currently November 30), then not later than such date, such operating budget shall be deemed approved by all of the Members (each budget as attached hereto, approved or deemed approved, an “</w:t>
      </w:r>
      <w:r>
        <w:rPr>
          <w:rFonts w:ascii="Times New Roman" w:cs="Times New Roman" w:eastAsia="Times New Roman" w:hAnsi="Times New Roman"/>
          <w:sz w:val="22"/>
          <w:szCs w:val="22"/>
          <w:b w:val="1"/>
          <w:bCs w:val="1"/>
          <w:color w:val="auto"/>
        </w:rPr>
        <w:t>Approved Budget</w:t>
      </w:r>
      <w:r>
        <w:rPr>
          <w:rFonts w:ascii="Times New Roman" w:cs="Times New Roman" w:eastAsia="Times New Roman" w:hAnsi="Times New Roman"/>
          <w:sz w:val="22"/>
          <w:szCs w:val="22"/>
          <w:color w:val="auto"/>
        </w:rPr>
        <w:t>”). If the Consent of the Members is required and not obtained as provided above, then the Manager shall prepare or cause to be prepared a revised operating budget, which shall be submitted to the Members for their approval as set forth in the preceding sentences, and, upon final approval of such operating budget by the Consent of the Members, such budget shall become an Approved Budget hereunder. To the extent that amounts relating to any items of a proposed budget are not approved, the corresponding amounts for the items in the previous Fiscal Year’s Approved Budget will continue as part of the Approved Budget for such year, until a more current amount for such item is approved in accordance with this Section 6.7. The Manager may from time to time during the Fiscal Year propose to amend the Approved Budget to decrease expected expenditures, or, subject to Section 6.2(b)(xiv), to increase expected expenditures and as so amended, any such amended budget shall be the Approved Budget hereunder.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RIGHTS AND RESPONSIBILITIES OF MEMBERS</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rights and responsibilities of the Members shall be as provided in the Delaware Certificate, this Agreement and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263" w:name="page264"/>
    <w:bookmarkEnd w:id="263"/>
    <w:p>
      <w:pPr>
        <w:spacing w:after="0" w:line="19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Member Consent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Except as provided in Section 6.2(b) and as otherwise expressly provided in this Agreement, the Consent of the Members shall constitute the approval by, or the authorization of, any action by or on behalf of the Company that requires a vote, consent, approval or action of or an election by the Members; provided, that, without the prior written approval of each Member adversely affected thereby, no such consent shall (a) modify the limited liability of a Member; (b) require a Member to provide funds to the Company, by loan, contribution or otherwise (or amend any of the conditions to making any loan or contribution); (c) alter the interest of any Member in Capital Accounts, Company Items, PTCs, distributions of Available Cash Flow; or (d) amend, supplement or otherwise modify Section 6.2(b), or this Section 7.2, or, in each case, any of the definitions of capitalized terms used therein.</w:t>
      </w:r>
    </w:p>
    <w:p>
      <w:pPr>
        <w:spacing w:after="0" w:line="185"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Member Liability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22"/>
          <w:szCs w:val="22"/>
          <w:color w:val="auto"/>
        </w:rPr>
        <w:t>(i)To the fullest extent permitted under the Act and any other applicable Law as currently or hereafter in effect, no Member shall have any personal liability whatsoever, whether to the Company or to its creditors for the debts, obligations, expenses or liabilities of the Company, whether arising in contract, tort or otherwise, which shall be solely the debts, obligations, expenses or liabilities of the Company, or for any of its losses, in excess of the value of such Member’s Capital Account, except as expressly provided herein.</w:t>
      </w:r>
    </w:p>
    <w:p>
      <w:pPr>
        <w:spacing w:after="0" w:line="181"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22"/>
          <w:szCs w:val="22"/>
          <w:color w:val="auto"/>
        </w:rPr>
        <w:t>(ii)A Member shall be liable only to make its Capital Contributions as provided herein and, other than as specifically provided in Section 12.3, shall not be required to restore a deficit balance in its Capital Account. Except as provided in Section 3.3 no Member shall be required to make any additional contributions or to lend any funds to the Company. The failure of the Company to observe any formalities or requirements relating to the exercise of its powers or management of its business or affairs under this Agreement or the Act shall not be grounds for imposing personal liability on the Members or the Manager for liabilities of the Company.</w:t>
      </w:r>
    </w:p>
    <w:p>
      <w:pPr>
        <w:spacing w:after="0" w:line="187"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22"/>
          <w:szCs w:val="22"/>
          <w:color w:val="auto"/>
        </w:rPr>
        <w:t>(iii)To the fullest extent permitted by Law, each Member and its respective officers, directors, managers, employees and attorneys shall be exculpated from, and the Company shall indemnify, defend and hold harmless such Persons from and against, all Damages from Third Parties that result by virtue of the Member’s ownership of its Membership Interest; provided, however, that this indemnity does not apply: (i) to Damages that are attributable to the proven gross negligence, willful misconduct or fraud of such Person, violation of Law or breach of such Member’s obligations under this Agreement, or (ii) to a Member acting in a capacity other than solely as a Member, in the event that any such Claim is asserted against any Member in its capacity in more than one role (such as, for the avoidance of doubt, the Class A Member’s role as Member and Manager).</w:t>
      </w:r>
    </w:p>
    <w:p>
      <w:pPr>
        <w:spacing w:after="0" w:line="182" w:lineRule="exact"/>
        <w:rPr>
          <w:sz w:val="20"/>
          <w:szCs w:val="20"/>
          <w:color w:val="auto"/>
        </w:rPr>
      </w:pPr>
    </w:p>
    <w:p>
      <w:pPr>
        <w:jc w:val="both"/>
        <w:ind w:firstLine="336"/>
        <w:spacing w:after="0" w:line="257" w:lineRule="auto"/>
        <w:rPr>
          <w:sz w:val="20"/>
          <w:szCs w:val="20"/>
          <w:color w:val="auto"/>
        </w:rPr>
      </w:pPr>
      <w:r>
        <w:rPr>
          <w:rFonts w:ascii="Times New Roman" w:cs="Times New Roman" w:eastAsia="Times New Roman" w:hAnsi="Times New Roman"/>
          <w:sz w:val="22"/>
          <w:szCs w:val="22"/>
          <w:color w:val="auto"/>
        </w:rPr>
        <w:t>(iv)To the fullest extent permitted by Law, reasonable and documented expenses actually incurred by an indemnified Person under this Section 7.3 shall, from time to time, be advanced by or on behalf of the Company from Available Cash Flow, prior to the final disposition of any matter upon receipt by the Company of an undertaking from a Person with sufficient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264" w:name="page265"/>
    <w:bookmarkEnd w:id="264"/>
    <w:p>
      <w:pPr>
        <w:jc w:val="both"/>
        <w:spacing w:after="0" w:line="271" w:lineRule="auto"/>
        <w:rPr>
          <w:sz w:val="20"/>
          <w:szCs w:val="20"/>
          <w:color w:val="auto"/>
        </w:rPr>
      </w:pPr>
      <w:r>
        <w:rPr>
          <w:rFonts w:ascii="Times New Roman" w:cs="Times New Roman" w:eastAsia="Times New Roman" w:hAnsi="Times New Roman"/>
          <w:sz w:val="22"/>
          <w:szCs w:val="22"/>
          <w:color w:val="auto"/>
        </w:rPr>
        <w:t>capacity to repay such amount if it shall be determined that the indemnified Person is not entitled to be indemnified under this Agreement.</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d.</w:t>
      </w:r>
      <w:r>
        <w:rPr>
          <w:sz w:val="20"/>
          <w:szCs w:val="20"/>
          <w:color w:val="auto"/>
        </w:rPr>
        <w:tab/>
      </w:r>
      <w:r>
        <w:rPr>
          <w:rFonts w:ascii="Times New Roman" w:cs="Times New Roman" w:eastAsia="Times New Roman" w:hAnsi="Times New Roman"/>
          <w:sz w:val="21"/>
          <w:szCs w:val="21"/>
          <w:u w:val="single" w:color="auto"/>
          <w:color w:val="auto"/>
        </w:rPr>
        <w:t>Withdrawal</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Except as otherwise provided in this Agreement, no Member shall be entitled to: (a) voluntarily withdraw or resign from the Company; (b) withdraw any part of such Member’s Capital Contributions from the Company; (c) demand the return of such Member’s Capital Contributions; or (d) receive property other than cash in return for such Member’s Capital Contribution.</w:t>
      </w:r>
    </w:p>
    <w:p>
      <w:pPr>
        <w:spacing w:after="0" w:line="173"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e.</w:t>
      </w:r>
      <w:r>
        <w:rPr>
          <w:sz w:val="20"/>
          <w:szCs w:val="20"/>
          <w:color w:val="auto"/>
        </w:rPr>
        <w:tab/>
      </w:r>
      <w:r>
        <w:rPr>
          <w:rFonts w:ascii="Times New Roman" w:cs="Times New Roman" w:eastAsia="Times New Roman" w:hAnsi="Times New Roman"/>
          <w:sz w:val="21"/>
          <w:szCs w:val="21"/>
          <w:u w:val="single" w:color="auto"/>
          <w:color w:val="auto"/>
        </w:rPr>
        <w:t>Member Compensation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 Member shall receive any interest, compensation or drawing with respect to its Capital Contributions or its Capital Account or for services rendered on behalf of the Company or otherwise in its capacity as a Member, except as otherwise provided in this Agreement.</w:t>
      </w:r>
    </w:p>
    <w:p>
      <w:pPr>
        <w:spacing w:after="0" w:line="173"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f.</w:t>
      </w:r>
      <w:r>
        <w:rPr>
          <w:sz w:val="20"/>
          <w:szCs w:val="20"/>
          <w:color w:val="auto"/>
        </w:rPr>
        <w:tab/>
      </w:r>
      <w:r>
        <w:rPr>
          <w:rFonts w:ascii="Times New Roman" w:cs="Times New Roman" w:eastAsia="Times New Roman" w:hAnsi="Times New Roman"/>
          <w:sz w:val="21"/>
          <w:szCs w:val="21"/>
          <w:u w:val="single" w:color="auto"/>
          <w:color w:val="auto"/>
        </w:rPr>
        <w:t>Other Ventures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Notwithstanding any other provision of this Agreement or any duty existing at law or in equity, the Members and their respective Affiliates at any time and from time to time may engage in and possess interests in other business ventures of any and every type and description, including other business ventures competitive with, or of the same type and description as, the Company and the Pinnacle Project Company, independently or with others, as long as such venture does not cause the Pinnacle Project Company to cease to hold any Energy Regulatory Approval or to become subject to regulation under PUHCA, other than with respect to regulations pertaining to maintaining EWG status, in each case with no obligation to offer to the Pinnacle Project Company, the Company, any Member or any of their respective Affiliates the right to participate in, or share the results or profits of, those activities (even if those activities may be made possible or more profitable by reason of the Company’s or the Pinnacle Project Company’s activities), except any activity that would cause a Member to be a Related Party.</w:t>
      </w:r>
    </w:p>
    <w:p>
      <w:pPr>
        <w:spacing w:after="0" w:line="19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g.</w:t>
      </w:r>
      <w:r>
        <w:rPr>
          <w:sz w:val="20"/>
          <w:szCs w:val="20"/>
          <w:color w:val="auto"/>
        </w:rPr>
        <w:tab/>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8" w:lineRule="auto"/>
        <w:rPr>
          <w:sz w:val="20"/>
          <w:szCs w:val="20"/>
          <w:color w:val="auto"/>
        </w:rPr>
      </w:pPr>
      <w:r>
        <w:rPr>
          <w:rFonts w:ascii="Times New Roman" w:cs="Times New Roman" w:eastAsia="Times New Roman" w:hAnsi="Times New Roman"/>
          <w:sz w:val="21"/>
          <w:szCs w:val="21"/>
          <w:color w:val="auto"/>
        </w:rPr>
        <w:t>(i)With respect to each of the Company, the Members and the Manager, except to the extent necessary for the exercise of its rights and remedies and the performance of its obligations under this Agreement, the Company, such Member and the Manager will not itself use or intentionally disclose (and will not permit the use or disclosure by any of its Affiliates, any of the officers, directors or employees of it or its Affiliates (collectively, “</w:t>
      </w:r>
      <w:r>
        <w:rPr>
          <w:rFonts w:ascii="Times New Roman" w:cs="Times New Roman" w:eastAsia="Times New Roman" w:hAnsi="Times New Roman"/>
          <w:sz w:val="21"/>
          <w:szCs w:val="21"/>
          <w:b w:val="1"/>
          <w:bCs w:val="1"/>
          <w:color w:val="auto"/>
        </w:rPr>
        <w:t>Representative</w:t>
      </w:r>
      <w:r>
        <w:rPr>
          <w:rFonts w:ascii="Times New Roman" w:cs="Times New Roman" w:eastAsia="Times New Roman" w:hAnsi="Times New Roman"/>
          <w:sz w:val="21"/>
          <w:szCs w:val="21"/>
          <w:color w:val="auto"/>
        </w:rPr>
        <w:t>s”), or any of its advisors, counsel and public accountants (collectively, “</w:t>
      </w:r>
      <w:r>
        <w:rPr>
          <w:rFonts w:ascii="Times New Roman" w:cs="Times New Roman" w:eastAsia="Times New Roman" w:hAnsi="Times New Roman"/>
          <w:sz w:val="21"/>
          <w:szCs w:val="21"/>
          <w:b w:val="1"/>
          <w:bCs w:val="1"/>
          <w:color w:val="auto"/>
        </w:rPr>
        <w:t>Advisors</w:t>
      </w:r>
      <w:r>
        <w:rPr>
          <w:rFonts w:ascii="Times New Roman" w:cs="Times New Roman" w:eastAsia="Times New Roman" w:hAnsi="Times New Roman"/>
          <w:sz w:val="21"/>
          <w:szCs w:val="21"/>
          <w:color w:val="auto"/>
        </w:rPr>
        <w:t>”)), directly or indirectly, any of the terms and conditions of the Transaction Documents, this Agreement or other information in respect of the transactions contemplated hereby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provided, that</w:t>
      </w:r>
    </w:p>
    <w:p>
      <w:pPr>
        <w:spacing w:after="0" w:line="5" w:lineRule="exact"/>
        <w:rPr>
          <w:sz w:val="20"/>
          <w:szCs w:val="20"/>
          <w:color w:val="auto"/>
        </w:rPr>
      </w:pPr>
    </w:p>
    <w:p>
      <w:pPr>
        <w:jc w:val="both"/>
        <w:ind w:firstLine="8"/>
        <w:spacing w:after="0" w:line="245" w:lineRule="auto"/>
        <w:tabs>
          <w:tab w:leader="none" w:pos="31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any such Member, the Manager and its Affiliates, Representatives and Advisors may use and disclose Confidential Information to its Affiliates, Representatives and Advisors and to the Company, any other Member, the Manager and its Affiliates, Representatives and Advisors provided such use or disclosure is in connection with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265" w:name="page266"/>
    <w:bookmarkEnd w:id="265"/>
    <w:p>
      <w:pPr>
        <w:jc w:val="both"/>
        <w:spacing w:after="0" w:line="244" w:lineRule="auto"/>
        <w:rPr>
          <w:sz w:val="20"/>
          <w:szCs w:val="20"/>
          <w:color w:val="auto"/>
        </w:rPr>
      </w:pPr>
      <w:r>
        <w:rPr>
          <w:rFonts w:ascii="Times New Roman" w:cs="Times New Roman" w:eastAsia="Times New Roman" w:hAnsi="Times New Roman"/>
          <w:sz w:val="22"/>
          <w:szCs w:val="22"/>
          <w:color w:val="auto"/>
        </w:rPr>
        <w:t>administration of its interests under this Agreement, (ii) the Company, any such Member, the Manager and its Affiliates, Representatives and Advisors may disclose Confidential Information to any Governmental Authority having jurisdiction over the Company, such Member, the Manager or its Affiliates or as may be required by law, (iii) the Company, any such Member, the Manager and its Affiliates, Representatives and Advisors may use and disclose Confidential Information that (A) has been publicly disclosed or is publicly known (other than by the Company, such Member, the Manager or any of its Affiliates, Representatives or Advisors in breach of this Section 7.7), (B) has come into the possession of the Company, such Member, the Manager or any of its Affiliates, Representatives or Advisors other than from the Company, another Member or a Person acting on such other Member’s behalf or the Manager under circumstances not involving to the knowledge of the Company, such Member or the Manager any breach of any confidentiality obligation, or (C) has been independently developed by the Company, such Member, the Manager or any of its Affiliates, Representatives or Advisors without use of information obtained under this Agreement, (iv) to the extent that such disclosure is (A) required by law, a subpoena or any other applicable legal process or (B) by request of any Governmental Authority having jurisdiction over such Party or its Affiliates, any stock exchange on which such Party’s or its Affiliates Securities are traded or any self-regulatory body having jurisdiction over such Party (including, to the extent applicable, the Financial Industry Regulatory Authority, Inc.), the Company, such Member, the Manager or its Affiliates may disclose Confidential Information provided that in such case the Company, such Member and the Manager shall, unless otherwise prohibited by law, (1) give prompt notice to the Company, the other Members or Manager that such disclosure is or may be required and (2) cooperate in protecting such confidential or proprietary nature of the Confidential Information which must so be disclosed; provided that no such notification shall be required in respect of any disclosure to FERC, any Energy Regulatory Authority or bank, insurance or financial industry regulatory authorities having jurisdiction over the Company, such Member, the Manager or its Affiliates, (v) disclosures to lenders, potential lenders, potential tax equity investors or other Persons providing financing to the Company or the Pinnacle Project Company or any other subsidiary of the Company or to their respective representatives and advisors, the Company, any Member, the Manager or its Affiliates and potential purchasers of equity interests in the Company, the Company, any Member, the Manager or its Affiliates are permitted, any Person to which such Member sells or offers to sell its investment in the Company or any portion thereof, if such Persons have agreed to abide by the terms of this Section 7.7 or have otherwise entered into an agreement with restrictions on disclosure substantially similar to the terms of this Section 7.7 (or in the case of advisors, are otherwise bound by professional or legal obligations of confidentiality), (vi) the Company, any such Member, the Manager and its Affiliates, Representatives and Advisors may disclose Confidential Information, and make such filings, as may be required by this Agreement or the Transaction Documents, (vii) any Member which is an insurance company or an Affiliate thereof may disclose such information to the National Association of Insurance Commissioners and any rating agency requiring access to its portfolio, (viii) any Member and its Affiliates, Representatives and Advisors may disclose Confidential Information relating to the Pinnacle Project (but not Confidential Information relating to any other Member) to lenders, potential lenders, potential tax equity investors or other Persons providing financing to any Person developing or proposing to develop or construct the Pinnacle Project and potential purchasers of equity interests in such Person or potential power or REC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266" w:name="page267"/>
    <w:bookmarkEnd w:id="266"/>
    <w:p>
      <w:pPr>
        <w:jc w:val="both"/>
        <w:spacing w:after="0" w:line="246" w:lineRule="auto"/>
        <w:rPr>
          <w:sz w:val="20"/>
          <w:szCs w:val="20"/>
          <w:color w:val="auto"/>
        </w:rPr>
      </w:pPr>
      <w:r>
        <w:rPr>
          <w:rFonts w:ascii="Times New Roman" w:cs="Times New Roman" w:eastAsia="Times New Roman" w:hAnsi="Times New Roman"/>
          <w:sz w:val="22"/>
          <w:szCs w:val="22"/>
          <w:color w:val="auto"/>
        </w:rPr>
        <w:t>purchasers from such Persons, or to any Person in connection with the operation of the Pinnacle Project if, in each case described in this clause (viii), such Persons have agreed to abide by the terms of this Section 7.7 or have otherwise entered into a Contract with restrictions on disclosure substantially the same (and for not less than two (2) years in duration) as the terms of this Section 7.7 (or in the case of Advisors, are otherwise bound by professional or legal obligations of confidentiality), and (ix) any such Member may disclose Confidential Information to the IRS or any state taxing authority in connection with any communication regarding the tax consequences of the Pinnacle Project, the Pinnacle Project Company’s ownership and operation of the Pinnacle Project or such Member’s ownership of an interest in the Company; provided that such Member shall, as soon as practicable, notify the other Members of such disclosure, furnish a copy of any written material provided to the IRS or any state taxing authority to the other Members and, if practicable, afford the other Members reasonable opportunity to comment on the proposed disclosure (but for the avoidance of doubt the other Members will not have the right to consent to such proposed disclosure). A Member’s obligations pursuant to this Article VII shall survive the Transfer of its Units.</w:t>
      </w:r>
    </w:p>
    <w:p>
      <w:pPr>
        <w:spacing w:after="0" w:line="185" w:lineRule="exact"/>
        <w:rPr>
          <w:sz w:val="20"/>
          <w:szCs w:val="20"/>
          <w:color w:val="auto"/>
        </w:rPr>
      </w:pPr>
    </w:p>
    <w:p>
      <w:pPr>
        <w:jc w:val="both"/>
        <w:ind w:firstLine="384"/>
        <w:spacing w:after="0" w:line="245" w:lineRule="auto"/>
        <w:rPr>
          <w:sz w:val="20"/>
          <w:szCs w:val="20"/>
          <w:color w:val="auto"/>
        </w:rPr>
      </w:pPr>
      <w:r>
        <w:rPr>
          <w:rFonts w:ascii="Times New Roman" w:cs="Times New Roman" w:eastAsia="Times New Roman" w:hAnsi="Times New Roman"/>
          <w:sz w:val="22"/>
          <w:szCs w:val="22"/>
          <w:color w:val="auto"/>
        </w:rPr>
        <w:t>(ii)The foregoing obligations shall not apply to the tax treatment or tax structure of the transactions contemplated hereby and each Member (and any employee, representative, or agent of any Member) may disclose to any and all Persons of any kind, the tax treatment and tax structure of the transactions contemplated hereby and all other materials of any kind (including opinions or other tax analysis) that are provided to any Member relating to such tax treatment and tax structure (all such information that may be disclosed being the “</w:t>
      </w:r>
      <w:r>
        <w:rPr>
          <w:rFonts w:ascii="Times New Roman" w:cs="Times New Roman" w:eastAsia="Times New Roman" w:hAnsi="Times New Roman"/>
          <w:sz w:val="22"/>
          <w:szCs w:val="22"/>
          <w:b w:val="1"/>
          <w:bCs w:val="1"/>
          <w:color w:val="auto"/>
        </w:rPr>
        <w:t>Tax Information</w:t>
      </w:r>
      <w:r>
        <w:rPr>
          <w:rFonts w:ascii="Times New Roman" w:cs="Times New Roman" w:eastAsia="Times New Roman" w:hAnsi="Times New Roman"/>
          <w:sz w:val="22"/>
          <w:szCs w:val="22"/>
          <w:color w:val="auto"/>
        </w:rPr>
        <w:t>”). However, any such Tax Information is required to be kept confidential to the extent necessary to comply with any applicable securities laws. The preceding sentences are intended to cause the transactions contemplated hereby not to be treated as having been offered under conditions of confidentiality for purposes of Treasury Regulations Sections 1.6011 4(b)(3) and 301.6111 2(a)(2)(ii) and shall be construed in a manner consistent with such purpose. For purposes of this provision, the Tax Information includes only those facts that may be relevant to understanding the purported or claimed U.S. federal income tax treatment or tax structure of the transactions contemplated hereby and, to eliminate any doubt, therefore specifically does not include information that either reveals or standing alone or in the aggregate with other information so disclosed tends of itself to reveal or allow the recipient of the information to ascertain the identity of the Company or any Member or the Class B Member (or potential member), or any other third parties involved in any of the transactions contemplated hereby or any other potential transactions with any of the foregoing.</w:t>
      </w:r>
    </w:p>
    <w:p>
      <w:pPr>
        <w:spacing w:after="0" w:line="19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2"/>
          <w:szCs w:val="22"/>
          <w:color w:val="auto"/>
        </w:rPr>
        <w:t>(iii)Except as otherwise permitted by this Section 7.7, no Member shall include in a press release or otherwise disclose (other than as required to be included in a filing to FERC, any Energy Regulatory Authority or any bank, insurance or financial industry regulatory authority having jurisdiction over such Member, its affiliates or permitted transferees) the name of any Member as an equity investor or potential equity investor or the name of any tax equity investor without the prior written consent of such Member or such tax equity investor which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2" w:right="339" w:bottom="1440" w:gutter="0" w:footer="0" w:header="0"/>
        </w:sectPr>
      </w:pPr>
    </w:p>
    <w:bookmarkStart w:id="267" w:name="page268"/>
    <w:bookmarkEnd w:id="267"/>
    <w:p>
      <w:pPr>
        <w:jc w:val="both"/>
        <w:ind w:firstLine="336"/>
        <w:spacing w:after="0" w:line="246" w:lineRule="auto"/>
        <w:rPr>
          <w:sz w:val="20"/>
          <w:szCs w:val="20"/>
          <w:color w:val="auto"/>
        </w:rPr>
      </w:pPr>
      <w:r>
        <w:rPr>
          <w:rFonts w:ascii="Times New Roman" w:cs="Times New Roman" w:eastAsia="Times New Roman" w:hAnsi="Times New Roman"/>
          <w:sz w:val="22"/>
          <w:szCs w:val="22"/>
          <w:color w:val="auto"/>
        </w:rPr>
        <w:t>(iv)If the Company or any subsidiary thereof is required at any time to make any regulatory filing to the FERC or any Energy Regulatory Authority that identifies by name, or otherwise relates specifically to, any Member or any of its affiliates or permitted transferees, then the Company shall submit (or the Company shall cause its subsidiary to submit) an advance draft of such regulatory filing to such Member or its affiliate or permitted transferee, as applicable, as early as practicable in advance of the specified deadline imposed by FERC or such Energy Regulatory Authority or its regulations. Such Member (or its affiliate or permitted transferee, as applicable) shall have the right to provide comments to such regulatory filing as it relates to such Member (or its affiliate or permitted transferee), and the Company or its subsidiary shall incorporate or accommodate, prior to submitting such filing, such comments timely received. A Member’s failure to promptly provide such comments shall constitute approval of the making of such regulatory filing by the Company or subsidiary thereof.</w:t>
      </w:r>
    </w:p>
    <w:p>
      <w:pPr>
        <w:spacing w:after="0" w:line="19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22"/>
          <w:szCs w:val="22"/>
          <w:color w:val="auto"/>
        </w:rPr>
        <w:t>(v)If any Member is required at any time to make any regulatory filing (other than a filing to any bank, insurance or financial industry regulatory authority having jurisdiction over such Member or its affiliates) that identifies by name, or otherwise relates specifically to, any other Member, then such Member shall submit an advance draft of the relevant portions of such regulatory filing to such other Member. Such other Member shall have the right to provide comments to such regulatory filing as it relates to such other Member, and the Member making such filing shall incorporate or accommodate, prior to submitting such filing, such reasonable comments. The Parties acknowledge and agree that from time to time a Member may be required to submit a regulatory filing or reporting that may be subject to the Freedom of Information Act.</w:t>
      </w:r>
    </w:p>
    <w:p>
      <w:pPr>
        <w:spacing w:after="0" w:line="18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h.</w:t>
      </w:r>
      <w:r>
        <w:rPr>
          <w:sz w:val="20"/>
          <w:szCs w:val="20"/>
          <w:color w:val="auto"/>
        </w:rPr>
        <w:tab/>
      </w:r>
      <w:r>
        <w:rPr>
          <w:rFonts w:ascii="Times New Roman" w:cs="Times New Roman" w:eastAsia="Times New Roman" w:hAnsi="Times New Roman"/>
          <w:sz w:val="21"/>
          <w:szCs w:val="21"/>
          <w:u w:val="single" w:color="auto"/>
          <w:color w:val="auto"/>
        </w:rPr>
        <w:t>Company Property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All property owned by the Company, whether real or personal, tangible or intangible and wherever located, shall be deemed to be owned by the Company, and no Member, individually, shall have any ownership of such property.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ADMINISTRATIVE AND TAX MATTERS</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Intent for Income Tax Purposes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Members intend that the Company be treated as a partnership for federal, state and local income tax purposes and that it be operated in a manner consistent with such treatment, but that the Company not be operated or treated as a “partnership” for any other purpose, including, but not limited to, Section 303 of the Federal Bankruptcy Code, and the provisions of this Agreement may not be construed to suggest otherwise.</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Books and Records; Bank Accounts; Company Procedures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22"/>
          <w:szCs w:val="22"/>
          <w:color w:val="auto"/>
        </w:rPr>
        <w:t>(i)The Company’s books of account shall be prepared and maintained in accordance with GAAP for the type of business of the Company. The Manager shall cause to be kept, at the principal place of business of the Company, full, proper, complete and accurate ledgers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268" w:name="page269"/>
    <w:bookmarkEnd w:id="268"/>
    <w:p>
      <w:pPr>
        <w:spacing w:after="0" w:line="271" w:lineRule="auto"/>
        <w:rPr>
          <w:sz w:val="20"/>
          <w:szCs w:val="20"/>
          <w:color w:val="auto"/>
        </w:rPr>
      </w:pPr>
      <w:r>
        <w:rPr>
          <w:rFonts w:ascii="Times New Roman" w:cs="Times New Roman" w:eastAsia="Times New Roman" w:hAnsi="Times New Roman"/>
          <w:sz w:val="22"/>
          <w:szCs w:val="22"/>
          <w:color w:val="auto"/>
        </w:rPr>
        <w:t>books of account and records of all receipts and disbursements and other financial activities of the Company in accordance with prudent business practices and as required by Law, including the following documents:</w:t>
      </w:r>
    </w:p>
    <w:p>
      <w:pPr>
        <w:spacing w:after="0" w:line="158" w:lineRule="exact"/>
        <w:rPr>
          <w:sz w:val="20"/>
          <w:szCs w:val="20"/>
          <w:color w:val="auto"/>
        </w:rPr>
      </w:pPr>
    </w:p>
    <w:p>
      <w:pPr>
        <w:ind w:firstLine="1952"/>
        <w:spacing w:after="0" w:line="271" w:lineRule="auto"/>
        <w:tabs>
          <w:tab w:leader="none" w:pos="2587"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Delaware Certificate and all certificates of amendment thereto, together with executed copies of any powers of attorney pursuant to which any certificate has been executed;</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Company’s and the Pinnacle Project Company’s and each other Company subsidiary’s federal, state and local income tax or information returns and reports, if any, for the six (6) most recent Taxable Years or, if later, until the statute of limitations expires on any IRS, state, or local tax audit of such returns or reports;</w:t>
      </w:r>
    </w:p>
    <w:p>
      <w:pPr>
        <w:spacing w:after="0" w:line="17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this Agreement and all amendments thereto;</w:t>
      </w:r>
    </w:p>
    <w:p>
      <w:pPr>
        <w:spacing w:after="0" w:line="219" w:lineRule="exact"/>
        <w:rPr>
          <w:rFonts w:ascii="Times New Roman" w:cs="Times New Roman" w:eastAsia="Times New Roman" w:hAnsi="Times New Roman"/>
          <w:sz w:val="22"/>
          <w:szCs w:val="22"/>
          <w:color w:val="auto"/>
        </w:rPr>
      </w:pPr>
    </w:p>
    <w:p>
      <w:pPr>
        <w:ind w:right="20" w:firstLine="1952"/>
        <w:spacing w:after="0" w:line="271" w:lineRule="auto"/>
        <w:tabs>
          <w:tab w:leader="none" w:pos="2587"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formation documents and operating agreement of the Pinnacle Project Company and each other subsidiary of the Company;</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statements, including a balance sheet and statements of income (or loss), of the Company for, to the extent applicable, each of the six (6) most recent Fiscal Years, including quarterly and monthly internal financial statements of the Company;</w:t>
      </w:r>
    </w:p>
    <w:p>
      <w:pPr>
        <w:spacing w:after="0" w:line="17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books and records for at least the current and, to the extent applicable, the past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(3) Fiscal Years;</w:t>
      </w:r>
    </w:p>
    <w:p>
      <w:pPr>
        <w:spacing w:after="0" w:line="19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minutes of meetings of the Members; and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all Transaction Documents.</w:t>
      </w:r>
    </w:p>
    <w:p>
      <w:pPr>
        <w:spacing w:after="0" w:line="220" w:lineRule="exact"/>
        <w:rPr>
          <w:sz w:val="20"/>
          <w:szCs w:val="20"/>
          <w:color w:val="auto"/>
        </w:rPr>
      </w:pPr>
    </w:p>
    <w:p>
      <w:pPr>
        <w:jc w:val="both"/>
        <w:ind w:firstLine="384"/>
        <w:spacing w:after="0" w:line="271" w:lineRule="auto"/>
        <w:rPr>
          <w:sz w:val="20"/>
          <w:szCs w:val="20"/>
          <w:color w:val="auto"/>
        </w:rPr>
      </w:pPr>
      <w:r>
        <w:rPr>
          <w:rFonts w:ascii="Times New Roman" w:cs="Times New Roman" w:eastAsia="Times New Roman" w:hAnsi="Times New Roman"/>
          <w:sz w:val="22"/>
          <w:szCs w:val="22"/>
          <w:color w:val="auto"/>
        </w:rPr>
        <w:t>(ii)The books of account of the Company shall be (i) maintained on the basis of a Fiscal Year and (ii) maintained on an accrual basis in accordance with GAAP.</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2"/>
          <w:szCs w:val="22"/>
          <w:color w:val="auto"/>
        </w:rPr>
        <w:t>(iii)Funds of the Company shall be deposited in such banks or other depositories, and withdrawals from any such depository shall be made as determined by the Manager. All monies in bank accounts shall be retained in cash or invested in Permitted Investments.</w:t>
      </w:r>
    </w:p>
    <w:p>
      <w:pPr>
        <w:spacing w:after="0" w:line="173" w:lineRule="exact"/>
        <w:rPr>
          <w:sz w:val="20"/>
          <w:szCs w:val="20"/>
          <w:color w:val="auto"/>
        </w:rPr>
      </w:pPr>
    </w:p>
    <w:p>
      <w:pPr>
        <w:jc w:val="both"/>
        <w:ind w:right="20" w:firstLine="336"/>
        <w:spacing w:after="0" w:line="271" w:lineRule="auto"/>
        <w:rPr>
          <w:sz w:val="20"/>
          <w:szCs w:val="20"/>
          <w:color w:val="auto"/>
        </w:rPr>
      </w:pPr>
      <w:r>
        <w:rPr>
          <w:rFonts w:ascii="Times New Roman" w:cs="Times New Roman" w:eastAsia="Times New Roman" w:hAnsi="Times New Roman"/>
          <w:sz w:val="22"/>
          <w:szCs w:val="22"/>
          <w:color w:val="auto"/>
        </w:rPr>
        <w:t>(iv)The Manager shall cause the Company to maintain its existence separate and distinct from any other Person, including causing the Company to take the following actions:</w:t>
      </w:r>
    </w:p>
    <w:p>
      <w:pPr>
        <w:spacing w:after="0" w:line="158" w:lineRule="exact"/>
        <w:rPr>
          <w:sz w:val="20"/>
          <w:szCs w:val="20"/>
          <w:color w:val="auto"/>
        </w:rPr>
      </w:pPr>
    </w:p>
    <w:p>
      <w:pPr>
        <w:jc w:val="both"/>
        <w:ind w:firstLine="1952"/>
        <w:spacing w:after="0" w:line="252" w:lineRule="auto"/>
        <w:tabs>
          <w:tab w:leader="none" w:pos="2587"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in full effect its existence, rights and franchises as a limited liability company under the laws of its jurisdiction of formation and obtaining and preserving its qualification to do business in each jurisdiction in which such qualification is or will be necessary to protect the validity and enforceability of its applicable operating agreement and each other Contract necessary or appropriate to properly administer its applicable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22"/>
          <w:szCs w:val="22"/>
          <w:color w:val="auto"/>
        </w:rPr>
        <w:t>agreement and permit and effectuate the transactions contemplated in its applicable operating agreement;</w:t>
      </w:r>
    </w:p>
    <w:p>
      <w:pPr>
        <w:spacing w:after="0" w:line="220" w:lineRule="exact"/>
        <w:rPr>
          <w:sz w:val="20"/>
          <w:szCs w:val="20"/>
          <w:color w:val="auto"/>
        </w:rPr>
      </w:pPr>
    </w:p>
    <w:p>
      <w:pPr>
        <w:ind w:firstLine="1952"/>
        <w:spacing w:after="0" w:line="271" w:lineRule="auto"/>
        <w:tabs>
          <w:tab w:leader="none" w:pos="2587"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its affairs separately from those of the Manager and its Affiliates and maintaining accurate and separate books and records;</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solely in its own limited liability company name and not that of any other Person, including the Manager and its Affiliates;</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holding itself out as having agreed to pay, or as being liable for, the obligations of any other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w:t>
      </w:r>
    </w:p>
    <w:p>
      <w:pPr>
        <w:spacing w:after="0" w:line="19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commingling its Assets with those of any other Person;</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observing all limited liability company formalities required in this Agreement and the Delaware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w:t>
      </w:r>
    </w:p>
    <w:p>
      <w:pPr>
        <w:spacing w:after="0" w:line="19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the salaries of its own employees, if any;</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acquiring obligations of its Members, the Manager or their respective Affiliates;</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 itself out as a separate entity; and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correcting any known misunderstanding regarding its separate identity.</w:t>
      </w:r>
    </w:p>
    <w:p>
      <w:pPr>
        <w:spacing w:after="0" w:line="220"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Information and Access Rights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Members and their respective agents also will have the right, at their sole risk and expense and upon reasonable prior notice to the Manager, to inspect the Pinnacle Project, and the Company’s Assets at any time and to audit, examine and make copies of all relevant documents, books and records of the Company no more than twice per Taxable Year. Any such inspection will be conducted during normal business hours and so as not to unreasonably interfere with the business of the Manager. The foregoing rights may be exercised through any agent or employee of such Member designated in writing by it or by an independent public accountant, engineer, attorney or other consultant so designated. Any inspection of Pinnacle Project shall be subject to all restrictions and conditions included in the operating agreement of the Pinnacle Project Company</w:t>
      </w:r>
      <w:r>
        <w:rPr>
          <w:rFonts w:ascii="Times New Roman" w:cs="Times New Roman" w:eastAsia="Times New Roman" w:hAnsi="Times New Roman"/>
          <w:sz w:val="22"/>
          <w:szCs w:val="22"/>
          <w:b w:val="1"/>
          <w:bCs w:val="1"/>
          <w:i w:val="1"/>
          <w:iCs w:val="1"/>
          <w:color w:val="auto"/>
        </w:rPr>
        <w:t>.</w:t>
      </w:r>
    </w:p>
    <w:p>
      <w:pPr>
        <w:spacing w:after="0" w:line="18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d.</w:t>
      </w:r>
      <w:r>
        <w:rPr>
          <w:sz w:val="20"/>
          <w:szCs w:val="20"/>
          <w:color w:val="auto"/>
        </w:rPr>
        <w:tab/>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Manager shall, at the Company’s expense, deliver, or caused to be delivered, to each Member, the following reports, information and consolidated financial statements for the Company and its consolidated subsidiaries, at the times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270" w:name="page271"/>
    <w:bookmarkEnd w:id="270"/>
    <w:p>
      <w:pPr>
        <w:jc w:val="both"/>
        <w:ind w:firstLine="444"/>
        <w:spacing w:after="0" w:line="250" w:lineRule="auto"/>
        <w:rPr>
          <w:sz w:val="20"/>
          <w:szCs w:val="20"/>
          <w:color w:val="auto"/>
        </w:rPr>
      </w:pPr>
      <w:r>
        <w:rPr>
          <w:rFonts w:ascii="Times New Roman" w:cs="Times New Roman" w:eastAsia="Times New Roman" w:hAnsi="Times New Roman"/>
          <w:sz w:val="22"/>
          <w:szCs w:val="22"/>
          <w:color w:val="auto"/>
        </w:rPr>
        <w:t>(i)Annually, within [***] days after the end of each Fiscal Year (and, for the avoidance of doubt, the first such Fiscal Year for which financial statements shall be delivered shall be the Fiscal Year ending December 31, 2020), unaudited consolidated financial statements for the Company and its consolidated subsidiaries prepared on a GAAP basis effective as of the end of the immediately-preceding year, including a consolidated balance sheet and consolidated statements of income, Members’ equity and changes in cash flows;</w:t>
      </w:r>
    </w:p>
    <w:p>
      <w:pPr>
        <w:spacing w:after="0" w:line="181" w:lineRule="exact"/>
        <w:rPr>
          <w:sz w:val="20"/>
          <w:szCs w:val="20"/>
          <w:color w:val="auto"/>
        </w:rPr>
      </w:pPr>
    </w:p>
    <w:p>
      <w:pPr>
        <w:jc w:val="both"/>
        <w:ind w:firstLine="384"/>
        <w:spacing w:after="0" w:line="250" w:lineRule="auto"/>
        <w:rPr>
          <w:sz w:val="20"/>
          <w:szCs w:val="20"/>
          <w:color w:val="auto"/>
        </w:rPr>
      </w:pPr>
      <w:r>
        <w:rPr>
          <w:rFonts w:ascii="Times New Roman" w:cs="Times New Roman" w:eastAsia="Times New Roman" w:hAnsi="Times New Roman"/>
          <w:sz w:val="22"/>
          <w:szCs w:val="22"/>
          <w:color w:val="auto"/>
        </w:rPr>
        <w:t>(ii)Quarterly within [***] days after the end of each Fiscal Quarter other than the fourth Fiscal Quarter, unaudited quarterly consolidated financial statements of the Company and its consolidated subsidiaries for the Fiscal Quarter and portion of the Fiscal Year then ended (including a balance sheet, income statement, statement of cash flows and statement of changes in Member’s capital schedule) all in reasonable detail and fairly presenting the consolidated financial position of the Company as of the end of such quarter, prepared on a GAAP basis, subject to lack of footnotes and normal year-end adjustment;</w:t>
      </w:r>
    </w:p>
    <w:p>
      <w:pPr>
        <w:spacing w:after="0" w:line="18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2"/>
          <w:szCs w:val="22"/>
          <w:color w:val="auto"/>
        </w:rPr>
        <w:t>(iii)Promptly following any request therefor, such other reports and information in the possession of the Manager as reasonably requested by the Members and such other reports reasonably requested by and paid for by the requesting Member to the extent external costs are incurred with respect to the preparation of such reports;</w:t>
      </w:r>
    </w:p>
    <w:p>
      <w:pPr>
        <w:spacing w:after="0" w:line="173" w:lineRule="exact"/>
        <w:rPr>
          <w:sz w:val="20"/>
          <w:szCs w:val="20"/>
          <w:color w:val="auto"/>
        </w:rPr>
      </w:pPr>
    </w:p>
    <w:p>
      <w:pPr>
        <w:jc w:val="both"/>
        <w:ind w:firstLine="336"/>
        <w:spacing w:after="0" w:line="257" w:lineRule="auto"/>
        <w:rPr>
          <w:sz w:val="20"/>
          <w:szCs w:val="20"/>
          <w:color w:val="auto"/>
        </w:rPr>
      </w:pPr>
      <w:r>
        <w:rPr>
          <w:rFonts w:ascii="Times New Roman" w:cs="Times New Roman" w:eastAsia="Times New Roman" w:hAnsi="Times New Roman"/>
          <w:sz w:val="22"/>
          <w:szCs w:val="22"/>
          <w:color w:val="auto"/>
        </w:rPr>
        <w:t>(iv)Promptly after such delivery, copies of all material reports or (without duplication of any other provisions of this Section 8.4) material notices delivered to or by the Company or the Pinnacle Project Company or any other subsidiary of the Company under any Transaction Document;</w:t>
      </w:r>
    </w:p>
    <w:p>
      <w:pPr>
        <w:spacing w:after="0" w:line="17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22"/>
          <w:szCs w:val="22"/>
          <w:color w:val="auto"/>
        </w:rPr>
        <w:t>(v)[***] reports detailing for the Company and the Pinnacle Project (i) total expenditures, including Company Reimbursable Expenses, incurred by the Company; (ii) the amount of loan funds remaining under the Repowering Construction Financing; (iii) the amount of Capital Contributions of each Member expended and projected to be required in the ensuing ninety (90) day period; and (iv) the total equity percentages held in the Company by each of the Members at that time and as are projected based upon the aforesaid projected Capital Contributions; and</w:t>
      </w:r>
    </w:p>
    <w:p>
      <w:pPr>
        <w:spacing w:after="0" w:line="181" w:lineRule="exact"/>
        <w:rPr>
          <w:sz w:val="20"/>
          <w:szCs w:val="20"/>
          <w:color w:val="auto"/>
        </w:rPr>
      </w:pPr>
    </w:p>
    <w:p>
      <w:pPr>
        <w:jc w:val="both"/>
        <w:ind w:firstLine="336"/>
        <w:spacing w:after="0" w:line="257" w:lineRule="auto"/>
        <w:rPr>
          <w:sz w:val="20"/>
          <w:szCs w:val="20"/>
          <w:color w:val="auto"/>
        </w:rPr>
      </w:pPr>
      <w:r>
        <w:rPr>
          <w:rFonts w:ascii="Times New Roman" w:cs="Times New Roman" w:eastAsia="Times New Roman" w:hAnsi="Times New Roman"/>
          <w:sz w:val="22"/>
          <w:szCs w:val="22"/>
          <w:color w:val="auto"/>
        </w:rPr>
        <w:t>(vi)Within thirty (30) days after renewal, certificates of insurance evidencing fire, liabilities, workers’ compensation and other forms of insurance owned or held by or on behalf of the Company or the Pinnacle Project Company, and promptly following receipt, any notices of nonpayment of premium, nonrenewal or cancellation; and</w:t>
      </w:r>
    </w:p>
    <w:p>
      <w:pPr>
        <w:spacing w:after="0" w:line="173" w:lineRule="exact"/>
        <w:rPr>
          <w:sz w:val="20"/>
          <w:szCs w:val="20"/>
          <w:color w:val="auto"/>
        </w:rPr>
      </w:pPr>
    </w:p>
    <w:p>
      <w:pPr>
        <w:jc w:val="both"/>
        <w:ind w:firstLine="276"/>
        <w:spacing w:after="0" w:line="248" w:lineRule="auto"/>
        <w:rPr>
          <w:sz w:val="20"/>
          <w:szCs w:val="20"/>
          <w:color w:val="auto"/>
        </w:rPr>
      </w:pPr>
      <w:r>
        <w:rPr>
          <w:rFonts w:ascii="Times New Roman" w:cs="Times New Roman" w:eastAsia="Times New Roman" w:hAnsi="Times New Roman"/>
          <w:sz w:val="22"/>
          <w:szCs w:val="22"/>
          <w:color w:val="auto"/>
        </w:rPr>
        <w:t>(vii)[***], a copy of: (i) any amendment, modification, waiver or termination of any Transaction Documents; (ii) any new, or substitution or replacement of a Transaction Document; (iii) any new Contract between the Company or the Pinnacle Project Company or any other subsidiary of the Company and an Affiliate thereof and any amendment or modification of any existing Contract between the Company or the Pinnacle Project Company or any other subsidiary of the Company and an Affiliate thereof; and (iv) any new Contract having a term in excess of one year, or providing for payments by, or revenues to, the Company or the Pinnacle Project Company or any other subsidiary of the Company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22" w:right="339" w:bottom="1440" w:gutter="0" w:footer="0" w:header="0"/>
        </w:sectPr>
      </w:pPr>
    </w:p>
    <w:bookmarkStart w:id="271" w:name="page272"/>
    <w:bookmarkEnd w:id="271"/>
    <w:p>
      <w:pPr>
        <w:spacing w:after="0" w:line="19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e.</w:t>
      </w:r>
      <w:r>
        <w:rPr>
          <w:sz w:val="20"/>
          <w:szCs w:val="20"/>
          <w:color w:val="auto"/>
        </w:rPr>
        <w:tab/>
      </w:r>
      <w:r>
        <w:rPr>
          <w:rFonts w:ascii="Times New Roman" w:cs="Times New Roman" w:eastAsia="Times New Roman" w:hAnsi="Times New Roman"/>
          <w:sz w:val="21"/>
          <w:szCs w:val="21"/>
          <w:u w:val="single" w:color="auto"/>
          <w:color w:val="auto"/>
        </w:rPr>
        <w:t>Permitted Investments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444"/>
        <w:spacing w:after="0" w:line="271" w:lineRule="auto"/>
        <w:rPr>
          <w:sz w:val="20"/>
          <w:szCs w:val="20"/>
          <w:color w:val="auto"/>
        </w:rPr>
      </w:pPr>
      <w:r>
        <w:rPr>
          <w:rFonts w:ascii="Times New Roman" w:cs="Times New Roman" w:eastAsia="Times New Roman" w:hAnsi="Times New Roman"/>
          <w:sz w:val="22"/>
          <w:szCs w:val="22"/>
          <w:color w:val="auto"/>
        </w:rPr>
        <w:t>(i)All cash of the Company may only be invested and reinvested in one of the following investment alternatives (“</w:t>
      </w:r>
      <w:r>
        <w:rPr>
          <w:rFonts w:ascii="Times New Roman" w:cs="Times New Roman" w:eastAsia="Times New Roman" w:hAnsi="Times New Roman"/>
          <w:sz w:val="22"/>
          <w:szCs w:val="22"/>
          <w:b w:val="1"/>
          <w:bCs w:val="1"/>
          <w:color w:val="auto"/>
        </w:rPr>
        <w:t>Permitted Investments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952"/>
        <w:spacing w:after="0" w:line="257" w:lineRule="auto"/>
        <w:tabs>
          <w:tab w:leader="none" w:pos="258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the United States of America (including obligations issued or held in book-entry form on the books of the Department of the Treasury of the United States of America) or obligations the timely payment of the principal of and interest on which are fully guaranteed by the United States of America;</w:t>
      </w:r>
    </w:p>
    <w:p>
      <w:pPr>
        <w:spacing w:after="0" w:line="17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debentures, notes or other evidence of Indebtedness issued or guaranteed by any of the following: Export-Import Bank of the United States, Federal Housing Administration or other agency or instrumentality of the United States;</w:t>
      </w:r>
    </w:p>
    <w:p>
      <w:pPr>
        <w:spacing w:after="0" w:line="172"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Interest-bearing demand or time deposits (including certificates of deposit) that are either (A) insured by the Federal Deposit Insurance Corporation, or (B) held in banks and savings and loan associations, having general obligations rated at least “A-” or equivalent by S&amp;P and Moody’s, or if not so rated, secured at all times, in the manner and to the extent provided by Law, by collateral security described in clauses (i) or (iii) of this Section 8.5(a), of a market value of no less than the amount of moneys so invested;</w:t>
      </w:r>
    </w:p>
    <w:p>
      <w:pPr>
        <w:spacing w:after="0" w:line="180"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of any state of the United States or any agency or instrumentality of any of the foregoing which are rated at least “AA” by S&amp;P or at least “Aa” by Moody’s;</w:t>
      </w:r>
    </w:p>
    <w:p>
      <w:pPr>
        <w:spacing w:after="0" w:line="157"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7"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paper rated (on the date of acquisition thereof) at least “A-1” or “P-1” or equivalent by S&amp;P or Moody’s, respectively (or an equivalent rating by another nationally recognized credit rating agency of similar standing if neither of such corporations is then in the business of rating commercial paper), maturing not more than ninety (90) days from the date of creation thereof but excluding any such commercial paper issued by any Member or any Affiliate of the Manager;</w:t>
      </w:r>
    </w:p>
    <w:p>
      <w:pPr>
        <w:spacing w:after="0" w:line="163" w:lineRule="exact"/>
        <w:rPr>
          <w:rFonts w:ascii="Times New Roman" w:cs="Times New Roman" w:eastAsia="Times New Roman" w:hAnsi="Times New Roman"/>
          <w:sz w:val="21"/>
          <w:szCs w:val="21"/>
          <w:color w:val="auto"/>
        </w:rPr>
      </w:pPr>
    </w:p>
    <w:p>
      <w:pPr>
        <w:jc w:val="both"/>
        <w:ind w:firstLine="1952"/>
        <w:spacing w:after="0" w:line="250" w:lineRule="auto"/>
        <w:tabs>
          <w:tab w:leader="none" w:pos="258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mutual funds that are registered with the Securities and Exchange Commission under the Investment Company Act of 1940, as amended, and operated in accordance with Rule 2a-7 and that at the time of such investment are rated “Aaa” by Moody’s and/or “AAA” by S&amp;P, including such funds for which the Trustee or an affiliate provides investment advice or other services, each of which must have capital in excess of $[***] and at no point in time will aggregate investments under this Section 8.5(a)(vi) constitute more than [***]% of any such fund’s capital; or</w:t>
      </w:r>
    </w:p>
    <w:p>
      <w:pPr>
        <w:spacing w:after="0" w:line="18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investments agreed to by the Members and the Manager.</w:t>
      </w:r>
    </w:p>
    <w:p>
      <w:pPr>
        <w:spacing w:after="0" w:line="220"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f.</w:t>
      </w:r>
      <w:r>
        <w:rPr>
          <w:sz w:val="20"/>
          <w:szCs w:val="20"/>
          <w:color w:val="auto"/>
        </w:rPr>
        <w:tab/>
      </w:r>
      <w:r>
        <w:rPr>
          <w:rFonts w:ascii="Times New Roman" w:cs="Times New Roman" w:eastAsia="Times New Roman" w:hAnsi="Times New Roman"/>
          <w:sz w:val="21"/>
          <w:szCs w:val="21"/>
          <w:u w:val="single" w:color="auto"/>
          <w:color w:val="auto"/>
        </w:rPr>
        <w:t>Tax Elections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(i)The Manager shall make the following federal income tax elections on the appropriate Company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bookmarkStart w:id="272" w:name="page273"/>
    <w:bookmarkEnd w:id="272"/>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color w:val="auto"/>
        </w:rPr>
        <w:t>To the extent permitted under Code Section 706, to elect the calendar year as the Company’s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Taxable Year;</w:t>
      </w:r>
    </w:p>
    <w:p>
      <w:pPr>
        <w:spacing w:after="0" w:line="196" w:lineRule="exact"/>
        <w:rPr>
          <w:sz w:val="20"/>
          <w:szCs w:val="20"/>
          <w:color w:val="auto"/>
        </w:rPr>
      </w:pPr>
    </w:p>
    <w:p>
      <w:pPr>
        <w:ind w:left="2600" w:hanging="648"/>
        <w:spacing w:after="0"/>
        <w:tabs>
          <w:tab w:leader="none" w:pos="26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elect the accrual method of accounting;</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elect to amortize any organizational and start-up expenses of the Company ratably over a period of one hundred eighty (180) months as permitted by Code Section 709(b); and</w:t>
      </w:r>
    </w:p>
    <w:p>
      <w:pPr>
        <w:spacing w:after="0" w:line="157"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valid election to adjust the basis of the Company’s properties under Code Section 754 is not already in effect, to elect and to reelect, as necessary, pursuant to Code Section 754, to adjust the basis of the Company’s properties, including for any Taxable Year in which a distribution of the Company’s property as described in Code Section 734 occurs, or a transfer of a Membership Interest as described in Section 743 of the Code occurs.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Manager shall not make, or cause the Company or the Pinnacle Project Company or any other subsidiary of the Company (to the extent the Company has (directly or indirectly) management authority for the Pinnacle Project Company or for such subsidiary) to make, any tax election for the Company or the Pinnacle Project Company or any other subsidiary of the Company, except as otherwise provided herein, without the Consent of the Members if such tax election would materially affect the economic consequences to the Class A Members as set forth in the Base Case Model. The Manager, with the Consent of the Members, may elect to extend the time for filing any Company tax return as provided for under the Code and applicable state statutes. Neither the Company nor any Member may make an election for the Company to be excluded from the application of the provisions of subchapter K of chapter 1 of subtitle A of the Code or any similar provisions of applicable state Law. No Member, Manager, officer or agent of the Company is authorized to, or may, file IRS Form 8832 (or alternative or successor form) to elect to have the Company or the Pinnacle Project Company or any other subsidiary of the Company classified as an association taxable as a corporation for federal income tax purposes under Treasury Regulations Section 301.7701-3. The Manager shall, in addition, affirmatively take such action within its control as may be necessary or required to maintain the status of the Company as a partnership for federal, state and local income tax purposes.</w:t>
      </w:r>
    </w:p>
    <w:p>
      <w:pPr>
        <w:spacing w:after="0" w:line="19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g.</w:t>
      </w:r>
      <w:r>
        <w:rPr>
          <w:sz w:val="20"/>
          <w:szCs w:val="20"/>
          <w:color w:val="auto"/>
        </w:rPr>
        <w:tab/>
      </w:r>
      <w:r>
        <w:rPr>
          <w:rFonts w:ascii="Times New Roman" w:cs="Times New Roman" w:eastAsia="Times New Roman" w:hAnsi="Times New Roman"/>
          <w:sz w:val="21"/>
          <w:szCs w:val="21"/>
          <w:u w:val="single" w:color="auto"/>
          <w:color w:val="auto"/>
        </w:rPr>
        <w:t>Partnership Representative and Company Tax Filings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46" w:lineRule="auto"/>
        <w:rPr>
          <w:sz w:val="20"/>
          <w:szCs w:val="20"/>
          <w:color w:val="auto"/>
        </w:rPr>
      </w:pPr>
      <w:r>
        <w:rPr>
          <w:rFonts w:ascii="Times New Roman" w:cs="Times New Roman" w:eastAsia="Times New Roman" w:hAnsi="Times New Roman"/>
          <w:sz w:val="22"/>
          <w:szCs w:val="22"/>
          <w:color w:val="auto"/>
        </w:rPr>
        <w:t>(i)The Class A Member is hereby appointed by the Members as the initial “partnership representative” of the Company pursuant to Section 6223(a) of the Code (the “</w:t>
      </w:r>
      <w:r>
        <w:rPr>
          <w:rFonts w:ascii="Times New Roman" w:cs="Times New Roman" w:eastAsia="Times New Roman" w:hAnsi="Times New Roman"/>
          <w:sz w:val="22"/>
          <w:szCs w:val="22"/>
          <w:b w:val="1"/>
          <w:bCs w:val="1"/>
          <w:color w:val="auto"/>
        </w:rPr>
        <w:t>Partnership Representative</w:t>
      </w:r>
      <w:r>
        <w:rPr>
          <w:rFonts w:ascii="Times New Roman" w:cs="Times New Roman" w:eastAsia="Times New Roman" w:hAnsi="Times New Roman"/>
          <w:sz w:val="22"/>
          <w:szCs w:val="22"/>
          <w:color w:val="auto"/>
        </w:rPr>
        <w:t>"). In the event of resignation or removal of Manager pursuant to Section 6.3, the replacement Manager shall nominate a Member to become the new Partnership Representative and such Member shall become the new Partnership Representative. In the event of any pending tax action, investigation, claim or controversy involving the Company which proposes or may result in an adjustment to any item reported on a federal tax return, the Partnership Representative, shall keep the other Members fully and timely informed by written notice of any audit, administrative or judicial proceedings, meetings or conferences with the IRS or other similar matters that come to its attention in its capacity as Partnership Representative. Furthermore, the Members shall have the right to review and comment on any submissions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2" w:right="339" w:bottom="1440" w:gutter="0" w:footer="0" w:header="0"/>
        </w:sectPr>
      </w:pPr>
    </w:p>
    <w:bookmarkStart w:id="273" w:name="page274"/>
    <w:bookmarkEnd w:id="273"/>
    <w:p>
      <w:pPr>
        <w:jc w:val="both"/>
        <w:spacing w:after="0" w:line="268" w:lineRule="auto"/>
        <w:rPr>
          <w:sz w:val="20"/>
          <w:szCs w:val="20"/>
          <w:color w:val="auto"/>
        </w:rPr>
      </w:pPr>
      <w:r>
        <w:rPr>
          <w:rFonts w:ascii="Times New Roman" w:cs="Times New Roman" w:eastAsia="Times New Roman" w:hAnsi="Times New Roman"/>
          <w:sz w:val="21"/>
          <w:szCs w:val="21"/>
          <w:color w:val="auto"/>
        </w:rPr>
        <w:t>IRS, and attend and jointly participate in any meetings or conferences with the IRS at their own expense. Each Member agrees to promptly provide to the Partnership Representative any information requested by the Partnership Representative so as to enable the Company to make any election under Section 6225 or 6226 of the Code, comply with any documentation requirements in connection with any such election, and modify any “imputed underpayment” within the meaning of Code Section 6225.</w:t>
      </w:r>
    </w:p>
    <w:p>
      <w:pPr>
        <w:spacing w:after="0" w:line="163"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21"/>
          <w:szCs w:val="21"/>
          <w:color w:val="auto"/>
        </w:rPr>
        <w:t>(ii)The Partnership Representative shall not take any action contemplated by Code Sections 6225 through 6234 unless the Partnership Representative has first given the Members timely written notice of the contemplated action. For any issue or matter relating to any Taxable Year, the Partnership Representative shall not, without the consent of each Member, (i) commence a judicial action with respect to a federal income tax matter or appeal any adverse determination of a judicial tribunal; (ii) enter into a settlement agreement with the IRS relating to any Company Item for any Taxable Year; (iii) file any request contemplated in Sections 6225 and 6234 of the Code; or (iv) enter into an agreement extending the period of limitations with respect to the Company. Any cost or expense incurred by the Partnership Representative in connection with its duties, including, if relevant, the preparation for or pursuance of administrative or judicial proceedings, shall be paid by the Company.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1"/>
          <w:szCs w:val="21"/>
          <w:color w:val="auto"/>
        </w:rPr>
        <w:t>(iii)Any taxes, penalties, and interest payable by the Company or any fiscally transparent entity in which the Company owns an interest under Code Sections 6221 through 6235 will be treated as specifically attributable to the Members, and the Partnership Representative will use reasonable best efforts to allocate the burden of (or any diminution in distributable proceeds resulting from) any such taxes, penalties or interest to those Members to whom such amounts are specifically attributable (whether as a result of their status, actions, inactions or otherwise), as determined by the Partnership Representative; provided, however, that in the event a Member disagrees with the Partnership Representative's allocation of the burden of (or any diminution in distributable proceeds resulting from) any such taxes, penalties or interest, then the Members and the Partnership Representative shall jointly select an accounting firm to review and determine the appropriate allocation, which allocation shall be binding on the Partnership Representative and the Members. In connection with the foregoing, to the extent that the Company is assessed amounts under Section 6221(a) of the Code, each current or former Member to which the assessment relates will remit to the Company, within thirty (30) days’ written notice by the Partnership Representative, an amount equal to such Member’s allocable share of the assessment, including such Member’s allocable share of any interest imposed on the Company.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(iv)Tax Returns.</w:t>
      </w:r>
    </w:p>
    <w:p>
      <w:pPr>
        <w:spacing w:after="0" w:line="220" w:lineRule="exact"/>
        <w:rPr>
          <w:sz w:val="20"/>
          <w:szCs w:val="20"/>
          <w:color w:val="auto"/>
        </w:rPr>
      </w:pPr>
    </w:p>
    <w:p>
      <w:pPr>
        <w:jc w:val="both"/>
        <w:ind w:firstLine="1952"/>
        <w:spacing w:after="0" w:line="250" w:lineRule="auto"/>
        <w:tabs>
          <w:tab w:leader="none" w:pos="258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Preparation of Tax Returns</w:t>
      </w:r>
      <w:r>
        <w:rPr>
          <w:rFonts w:ascii="Times New Roman" w:cs="Times New Roman" w:eastAsia="Times New Roman" w:hAnsi="Times New Roman"/>
          <w:sz w:val="22"/>
          <w:szCs w:val="22"/>
          <w:color w:val="auto"/>
        </w:rPr>
        <w:t>. The Partnership Representative shall prepare, or cause to be prepared by the Certified Public Accountant, and timely file (on behalf of the Company) all federal, state and local tax returns required to be filed by the Company. Each Member shall furnish to the Partnership Representative all pertinent information in its possession relating to the Company’s operations that is reasonably necessary to enable the Company’s tax returns to be timely prepared and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2" w:right="339" w:bottom="1440" w:gutter="0" w:footer="0" w:header="0"/>
        </w:sectPr>
      </w:pPr>
    </w:p>
    <w:bookmarkStart w:id="274" w:name="page275"/>
    <w:bookmarkEnd w:id="274"/>
    <w:p>
      <w:pPr>
        <w:jc w:val="both"/>
        <w:ind w:firstLine="1952"/>
        <w:spacing w:after="0" w:line="248" w:lineRule="auto"/>
        <w:tabs>
          <w:tab w:leader="none" w:pos="2587"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Furnishing Returns</w:t>
      </w:r>
      <w:r>
        <w:rPr>
          <w:rFonts w:ascii="Times New Roman" w:cs="Times New Roman" w:eastAsia="Times New Roman" w:hAnsi="Times New Roman"/>
          <w:sz w:val="22"/>
          <w:szCs w:val="22"/>
          <w:color w:val="auto"/>
        </w:rPr>
        <w:t>. The Partnership Representative shall use commercially reasonable efforts to furnish to the Members, (A) by no later than March 10th of each year, an estimate of all items of Company income, gain, loss, deduction, and credit (including PTCs) of the Company and the Members’ respective allocable shares thereof expected by the Partnership Representative to be reported on the Tax Return to be filed by the Partnership Representative for the immediately preceding Taxable Year, and (B) by no later than June 30 of each Taxable Year (or, if earlier, thirty (30) days prior to the date on which the Partnership Representative intends to file the Tax Return), the Tax Return proposed to be filed by the Partnership Representative.</w:t>
      </w:r>
    </w:p>
    <w:p>
      <w:pPr>
        <w:spacing w:after="0" w:line="181" w:lineRule="exact"/>
        <w:rPr>
          <w:rFonts w:ascii="Times New Roman" w:cs="Times New Roman" w:eastAsia="Times New Roman" w:hAnsi="Times New Roman"/>
          <w:sz w:val="22"/>
          <w:szCs w:val="22"/>
          <w:color w:val="auto"/>
        </w:rPr>
      </w:pPr>
    </w:p>
    <w:p>
      <w:pPr>
        <w:ind w:right="20" w:firstLine="1952"/>
        <w:spacing w:after="0" w:line="271" w:lineRule="auto"/>
        <w:tabs>
          <w:tab w:leader="none" w:pos="2587"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of Preparation</w:t>
      </w:r>
      <w:r>
        <w:rPr>
          <w:rFonts w:ascii="Times New Roman" w:cs="Times New Roman" w:eastAsia="Times New Roman" w:hAnsi="Times New Roman"/>
          <w:sz w:val="22"/>
          <w:szCs w:val="22"/>
          <w:color w:val="auto"/>
        </w:rPr>
        <w:t>. The Company shall bear the costs of the preparation and filing of its returns, including the fees of the independent public accounting firm.</w:t>
      </w:r>
    </w:p>
    <w:p>
      <w:pPr>
        <w:spacing w:after="0" w:line="158" w:lineRule="exact"/>
        <w:rPr>
          <w:sz w:val="20"/>
          <w:szCs w:val="20"/>
          <w:color w:val="auto"/>
        </w:rPr>
      </w:pPr>
    </w:p>
    <w:p>
      <w:pPr>
        <w:jc w:val="both"/>
        <w:ind w:firstLine="396"/>
        <w:spacing w:after="0" w:line="252" w:lineRule="auto"/>
        <w:rPr>
          <w:sz w:val="20"/>
          <w:szCs w:val="20"/>
          <w:color w:val="auto"/>
        </w:rPr>
      </w:pPr>
      <w:r>
        <w:rPr>
          <w:rFonts w:ascii="Times New Roman" w:cs="Times New Roman" w:eastAsia="Times New Roman" w:hAnsi="Times New Roman"/>
          <w:sz w:val="22"/>
          <w:szCs w:val="22"/>
          <w:color w:val="auto"/>
        </w:rPr>
        <w:t>(v)The provisions of this Article VIII will survive the termination of the Company or the termination of any Member’s interest in the Company and will remain binding on the Member for the period of time necessary to resolve with the IRS or other federal tax agency any and all federal income tax matters relating to the Company that are subject to Code Sections 6221 through 6235.</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(vi)Additional Requirements for an Indemnified Tax Claim.</w:t>
      </w:r>
    </w:p>
    <w:p>
      <w:pPr>
        <w:spacing w:after="0" w:line="220" w:lineRule="exact"/>
        <w:rPr>
          <w:sz w:val="20"/>
          <w:szCs w:val="20"/>
          <w:color w:val="auto"/>
        </w:rPr>
      </w:pPr>
    </w:p>
    <w:p>
      <w:pPr>
        <w:jc w:val="both"/>
        <w:ind w:firstLine="1952"/>
        <w:spacing w:after="0" w:line="252" w:lineRule="auto"/>
        <w:tabs>
          <w:tab w:leader="none" w:pos="2587"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Representative will notify the other Members of (A) any written communication it receives from the IRS, the Pinnacle Project Company, any other subsidiary of the Company, or a Tax Equity Entity that, if sustained may require a Member to make a contribution to the Company or otherwise indemnify another Member or any counterparty to any Tax Equity Document or Pinnacle Project Company (an “</w:t>
      </w:r>
      <w:r>
        <w:rPr>
          <w:rFonts w:ascii="Times New Roman" w:cs="Times New Roman" w:eastAsia="Times New Roman" w:hAnsi="Times New Roman"/>
          <w:sz w:val="22"/>
          <w:szCs w:val="22"/>
          <w:b w:val="1"/>
          <w:bCs w:val="1"/>
          <w:color w:val="auto"/>
        </w:rPr>
        <w:t>Indemnified Tax Claim</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issue or matter relating to any Taxable Year, the Partnership Representative shall not, without the consent of each Member, (i) control any IRS audit (including selection of counsel); (ii) commence a judicial action or appeal any adverse determination of a judicial tribunal; or (iii) enter into a settlement agreement with the IRS, with respect to an Indemnified Claim.</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h.</w:t>
      </w:r>
      <w:r>
        <w:rPr>
          <w:sz w:val="20"/>
          <w:szCs w:val="20"/>
          <w:color w:val="auto"/>
        </w:rPr>
        <w:tab/>
      </w:r>
      <w:r>
        <w:rPr>
          <w:rFonts w:ascii="Times New Roman" w:cs="Times New Roman" w:eastAsia="Times New Roman" w:hAnsi="Times New Roman"/>
          <w:sz w:val="21"/>
          <w:szCs w:val="21"/>
          <w:u w:val="single" w:color="auto"/>
          <w:color w:val="auto"/>
        </w:rPr>
        <w:t>Financial Accounting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Each Member may report the transactions contemplated hereby for financial accounting purposes in such manner as the Member and its accountants may determine appropriate.</w:t>
      </w:r>
    </w:p>
    <w:p>
      <w:pPr>
        <w:spacing w:after="0" w:line="15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i.</w:t>
      </w:r>
      <w:r>
        <w:rPr>
          <w:sz w:val="20"/>
          <w:szCs w:val="20"/>
          <w:color w:val="auto"/>
        </w:rPr>
        <w:tab/>
      </w:r>
      <w:r>
        <w:rPr>
          <w:rFonts w:ascii="Times New Roman" w:cs="Times New Roman" w:eastAsia="Times New Roman" w:hAnsi="Times New Roman"/>
          <w:sz w:val="21"/>
          <w:szCs w:val="21"/>
          <w:u w:val="single" w:color="auto"/>
          <w:color w:val="auto"/>
        </w:rPr>
        <w:t>Membership Interest Legend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22"/>
          <w:szCs w:val="22"/>
          <w:color w:val="auto"/>
        </w:rPr>
        <w:t>(i)Until (i) the securities representing ownership of membership interests in the Company are effectively registered under the Securities Act, or (ii) the holder of such securities delivers to the Company a written opinion of counsel of such holder to the effect that such legend is no longer necessary under the Securities Act, the Company will cause each certificate representing its securities to be stamped or otherwise imprinted with the following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2" w:right="339" w:bottom="1440" w:gutter="0" w:footer="0" w:header="0"/>
        </w:sectPr>
      </w:pPr>
    </w:p>
    <w:bookmarkStart w:id="275" w:name="page276"/>
    <w:bookmarkEnd w:id="275"/>
    <w:p>
      <w:pPr>
        <w:jc w:val="both"/>
        <w:spacing w:after="0" w:line="252" w:lineRule="auto"/>
        <w:rPr>
          <w:sz w:val="20"/>
          <w:szCs w:val="20"/>
          <w:color w:val="auto"/>
        </w:rPr>
      </w:pPr>
      <w:r>
        <w:rPr>
          <w:rFonts w:ascii="Times New Roman" w:cs="Times New Roman" w:eastAsia="Times New Roman" w:hAnsi="Times New Roman"/>
          <w:sz w:val="22"/>
          <w:szCs w:val="22"/>
          <w:color w:val="auto"/>
        </w:rPr>
        <w:t>THE MEMBERSHIP INTEREST REPRESENTED BY THIS CERTIFICATE HAS NOT BEEN REGISTERED UNDER THE SECURITIES ACT OF 1933, AS AMENDED, OR UNDER THE SECURITIES LAW OF ANY STATE. SUCH MEMBERSHIP INTEREST MAY NOT BE SOLD OR TRANSFERRED UNLESS SUBSEQUENTLY REGISTERED OR UNLESS AN EXEMPTION FROM REGISTRATION IS AVAILABLE.</w:t>
      </w:r>
    </w:p>
    <w:p>
      <w:pPr>
        <w:spacing w:after="0" w:line="139" w:lineRule="exact"/>
        <w:rPr>
          <w:sz w:val="20"/>
          <w:szCs w:val="20"/>
          <w:color w:val="auto"/>
        </w:rPr>
      </w:pPr>
    </w:p>
    <w:p>
      <w:pPr>
        <w:jc w:val="both"/>
        <w:ind w:firstLine="384"/>
        <w:spacing w:after="0" w:line="271" w:lineRule="auto"/>
        <w:rPr>
          <w:sz w:val="20"/>
          <w:szCs w:val="20"/>
          <w:color w:val="auto"/>
        </w:rPr>
      </w:pPr>
      <w:r>
        <w:rPr>
          <w:rFonts w:ascii="Times New Roman" w:cs="Times New Roman" w:eastAsia="Times New Roman" w:hAnsi="Times New Roman"/>
          <w:sz w:val="22"/>
          <w:szCs w:val="22"/>
          <w:color w:val="auto"/>
        </w:rPr>
        <w:t>(ii)The Company will also cause each certificate representing its securities to be stamped or otherwise imprinted with the following legend:</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MEMBERSHIP INTEREST AND UNITS REPRESENTED BY THIS CERTIFICATE ARE, AND SHALL BE, FOR ALL PURPOSES, “CERTIFIED SECURITIES” UNDER AND GOVERNED BY ARTICLE 8 (INCLUDING SECTION 8 103(c)</w:t>
      </w:r>
    </w:p>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THEREOF) AND ALL OTHER PROVISIONS OF THE UNIFORM COMMERCIAL CODE IN EFFECT FROM TIME TO TIME IN THE STATE OF DELAWARE.</w:t>
      </w:r>
    </w:p>
    <w:p>
      <w:pPr>
        <w:spacing w:after="0" w:line="182"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j.</w:t>
      </w:r>
      <w:r>
        <w:rPr>
          <w:sz w:val="20"/>
          <w:szCs w:val="20"/>
          <w:color w:val="auto"/>
        </w:rPr>
        <w:tab/>
      </w:r>
      <w:r>
        <w:rPr>
          <w:rFonts w:ascii="Times New Roman" w:cs="Times New Roman" w:eastAsia="Times New Roman" w:hAnsi="Times New Roman"/>
          <w:sz w:val="21"/>
          <w:szCs w:val="21"/>
          <w:u w:val="single" w:color="auto"/>
          <w:color w:val="auto"/>
        </w:rPr>
        <w:t>Representations, Warranties and Covenants of the Members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Each Member, severally but not jointly, represents, warrants, and with respect to clauses (f) and (g) below, covenants to the Company and each other Member with respect to itself only, that: (I) (x) the following statements are true and correct as of, with respect to the Member, the Effective Date, (y) the following statements are true and correct as of, with respect to any other Person hereafter admitted as a Member pursuant to this Agreement, the date such Person is so admitted as a Member, and (II) with respect to clauses (f) and (g) below, shall be true and correct at all times that such Person is a Member: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(i)It is an entity duly organized, validly existing and in good standing under the laws of its jurisdiction of organization.</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(ii)It has the full right, power and authority to perform its obligations hereunder.</w:t>
      </w:r>
    </w:p>
    <w:p>
      <w:pPr>
        <w:spacing w:after="0" w:line="220"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22"/>
          <w:szCs w:val="22"/>
          <w:color w:val="auto"/>
        </w:rPr>
        <w:t>(iii)The execution and delivery of this Agreement by the Member and the consummation by such Member of the transactions contemplated hereby have been duly authorized by all necessary entity action required on the part of such Member, its respective members and their respective managing members (as applicable). This Agreement has been duly executed and delivered by such Member. This Agreement is a legal valid and binding obligation of such Member enforceable against it in accordance with its terms, except as such enforceability may be limited by applicable bankruptcy, insolvency or similar laws affecting creditors’ rights generally and by general equitable principles.</w:t>
      </w:r>
    </w:p>
    <w:p>
      <w:pPr>
        <w:spacing w:after="0" w:line="187" w:lineRule="exact"/>
        <w:rPr>
          <w:sz w:val="20"/>
          <w:szCs w:val="20"/>
          <w:color w:val="auto"/>
        </w:rPr>
      </w:pPr>
    </w:p>
    <w:p>
      <w:pPr>
        <w:jc w:val="both"/>
        <w:ind w:firstLine="336"/>
        <w:spacing w:after="0" w:line="248" w:lineRule="auto"/>
        <w:rPr>
          <w:sz w:val="20"/>
          <w:szCs w:val="20"/>
          <w:color w:val="auto"/>
        </w:rPr>
      </w:pPr>
      <w:r>
        <w:rPr>
          <w:rFonts w:ascii="Times New Roman" w:cs="Times New Roman" w:eastAsia="Times New Roman" w:hAnsi="Times New Roman"/>
          <w:sz w:val="22"/>
          <w:szCs w:val="22"/>
          <w:color w:val="auto"/>
        </w:rPr>
        <w:t>(iv)It has such sophistication, knowledge and experience in financial and business matters that it is capable of evaluating the merits, risks and suitability of entering into the Transaction. It is acquiring its Membership Interest for its own account and not as a nominee or agent. It understands its Membership Interest have not been, and will not be, registered under the Securities Act and are being acquired in a transaction not involving a public offering by reason of a specific exemption from the registration provisions of the Securities Act, the availability of which depends upon, among other things, the bona fide nature of each Member’s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2" w:right="339" w:bottom="1440" w:gutter="0" w:footer="0" w:header="0"/>
        </w:sectPr>
      </w:pPr>
    </w:p>
    <w:bookmarkStart w:id="276" w:name="page277"/>
    <w:bookmarkEnd w:id="276"/>
    <w:p>
      <w:pPr>
        <w:jc w:val="both"/>
        <w:spacing w:after="0" w:line="252" w:lineRule="auto"/>
        <w:rPr>
          <w:sz w:val="20"/>
          <w:szCs w:val="20"/>
          <w:color w:val="auto"/>
        </w:rPr>
      </w:pPr>
      <w:r>
        <w:rPr>
          <w:rFonts w:ascii="Times New Roman" w:cs="Times New Roman" w:eastAsia="Times New Roman" w:hAnsi="Times New Roman"/>
          <w:sz w:val="22"/>
          <w:szCs w:val="22"/>
          <w:color w:val="auto"/>
        </w:rPr>
        <w:t>intent and the accuracy of the Members’ respective representations as expressed herein. It understands that no public market now exists for the Membership Interests or any of the securities of the Company and that neither the Company nor any Member or Affiliate thereof has made any assurances that a public market will ever exist for the Membership Interests or the Company’s securities.</w:t>
      </w:r>
    </w:p>
    <w:p>
      <w:pPr>
        <w:spacing w:after="0" w:line="179"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22"/>
          <w:szCs w:val="22"/>
          <w:color w:val="auto"/>
        </w:rPr>
        <w:t>(v)It has discussed the Transaction and the accounting and tax treatment that it intends to accord the Transaction with its independent advisors. It is solely responsible for deciding to enter into the Transaction and has not relied on any other party (save for any representations made in this Agreement), other than its independent advisors, in respect of the accounting or tax treatment to be applied to the Transaction, or the overall suitability of the Transaction. It is an “accredited investor” within the meaning of Rule 501(a)(1), (2), (3) or (7) of the Securities Act, and is able to bear the economic risk of losing its entire investment in the Company.</w:t>
      </w:r>
    </w:p>
    <w:p>
      <w:pPr>
        <w:spacing w:after="0" w:line="187" w:lineRule="exact"/>
        <w:rPr>
          <w:sz w:val="20"/>
          <w:szCs w:val="20"/>
          <w:color w:val="auto"/>
        </w:rPr>
      </w:pPr>
    </w:p>
    <w:p>
      <w:pPr>
        <w:jc w:val="both"/>
        <w:ind w:firstLine="336"/>
        <w:spacing w:after="0" w:line="271" w:lineRule="auto"/>
        <w:rPr>
          <w:sz w:val="20"/>
          <w:szCs w:val="20"/>
          <w:color w:val="auto"/>
        </w:rPr>
      </w:pPr>
      <w:r>
        <w:rPr>
          <w:rFonts w:ascii="Times New Roman" w:cs="Times New Roman" w:eastAsia="Times New Roman" w:hAnsi="Times New Roman"/>
          <w:sz w:val="22"/>
          <w:szCs w:val="22"/>
          <w:color w:val="auto"/>
        </w:rPr>
        <w:t>(vi)It will report the Transaction in accordance with this Agreement and its own applicable regulatory requirements, including the accounting and tax treatment to be accorded to the Transaction.</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(vii)It is not now and it shall not become a Disqualified Entity or Related Party.</w:t>
      </w:r>
    </w:p>
    <w:p>
      <w:pPr>
        <w:spacing w:after="0" w:line="220" w:lineRule="exact"/>
        <w:rPr>
          <w:sz w:val="20"/>
          <w:szCs w:val="20"/>
          <w:color w:val="auto"/>
        </w:rPr>
      </w:pPr>
    </w:p>
    <w:p>
      <w:pPr>
        <w:jc w:val="both"/>
        <w:ind w:firstLine="216"/>
        <w:spacing w:after="0" w:line="250" w:lineRule="auto"/>
        <w:rPr>
          <w:sz w:val="20"/>
          <w:szCs w:val="20"/>
          <w:color w:val="auto"/>
        </w:rPr>
      </w:pPr>
      <w:r>
        <w:rPr>
          <w:rFonts w:ascii="Times New Roman" w:cs="Times New Roman" w:eastAsia="Times New Roman" w:hAnsi="Times New Roman"/>
          <w:sz w:val="22"/>
          <w:szCs w:val="22"/>
          <w:color w:val="auto"/>
        </w:rPr>
        <w:t>(viii)That no part of the aggregate Capital Contributions made by such Member and used by such Member to acquire any Units, constitutes Assets of any “employee benefit plan” within the meaning of Section 3(3) of the Employee Retirement Income Security Act of 1974, as amended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or other “benefit plan investor” (as defined in U.S. Department of Labor Reg. §§ 2510.3-101 et seq. and Section 3(42) of ERISA) or Assets allocated to any insurance company separate account or general account in which any such employee benefit plan or benefit plan investor (or related trust) has any interest.</w:t>
      </w:r>
    </w:p>
    <w:p>
      <w:pPr>
        <w:spacing w:after="0" w:line="181" w:lineRule="exact"/>
        <w:rPr>
          <w:sz w:val="20"/>
          <w:szCs w:val="20"/>
          <w:color w:val="auto"/>
        </w:rPr>
      </w:pPr>
    </w:p>
    <w:p>
      <w:pPr>
        <w:jc w:val="both"/>
        <w:ind w:firstLine="336"/>
        <w:spacing w:after="0" w:line="257" w:lineRule="auto"/>
        <w:rPr>
          <w:sz w:val="20"/>
          <w:szCs w:val="20"/>
          <w:color w:val="auto"/>
        </w:rPr>
      </w:pPr>
      <w:r>
        <w:rPr>
          <w:rFonts w:ascii="Times New Roman" w:cs="Times New Roman" w:eastAsia="Times New Roman" w:hAnsi="Times New Roman"/>
          <w:sz w:val="22"/>
          <w:szCs w:val="22"/>
          <w:color w:val="auto"/>
        </w:rPr>
        <w:t>(ix)It (or, if it is a disregarded entity for federal income tax purposes, the Person treated for federal income tax purposes as the owner of its assets) is a “United States person” as defined in Section 7701(a)(30) of the Code and is not subject to withholding under Section 1446 of the Code.</w:t>
      </w:r>
    </w:p>
    <w:p>
      <w:pPr>
        <w:spacing w:after="0" w:line="173" w:lineRule="exact"/>
        <w:rPr>
          <w:sz w:val="20"/>
          <w:szCs w:val="20"/>
          <w:color w:val="auto"/>
        </w:rPr>
      </w:pPr>
    </w:p>
    <w:p>
      <w:pPr>
        <w:jc w:val="both"/>
        <w:ind w:firstLine="396"/>
        <w:spacing w:after="0" w:line="271" w:lineRule="auto"/>
        <w:rPr>
          <w:sz w:val="20"/>
          <w:szCs w:val="20"/>
          <w:color w:val="auto"/>
        </w:rPr>
      </w:pPr>
      <w:r>
        <w:rPr>
          <w:rFonts w:ascii="Times New Roman" w:cs="Times New Roman" w:eastAsia="Times New Roman" w:hAnsi="Times New Roman"/>
          <w:sz w:val="22"/>
          <w:szCs w:val="22"/>
          <w:color w:val="auto"/>
        </w:rPr>
        <w:t>(x)It will not take any action or change its status if such action or change would result in a breach of a Company covenant or is otherwise prohibited by the terms of the Transaction Documents.</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k.</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representations, warranties and covenants herein shall be continuing agreements of the Members that made them and shall survive the termination of this Agreement and the Company.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TRANSFERS OF INTERESTS; PURCHASE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2" w:right="339" w:bottom="1440" w:gutter="0" w:footer="0" w:header="0"/>
        </w:sectPr>
      </w:pPr>
    </w:p>
    <w:bookmarkStart w:id="277" w:name="page278"/>
    <w:bookmarkEnd w:id="277"/>
    <w:p>
      <w:pPr>
        <w:spacing w:after="0" w:line="19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Transfer Restrictions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 Member may not Transfer or Encumber all or any portion of its Membership Interest, except in strict accordance with this Article IX. References in this Agreement to Transfers or Encumbrances of a “Membership Interest” shall also refer to Transfers or Encumbrances of a portion of a Membership Interest. Any attempted Transfer or Encumbrance of any Membership Interest, other than in strict accordance with this Article IX, shall be, and is hereby declared,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The Members agree that a breach of the provisions of this Article IX may cause irreparable injury to the Company and to the other Members for which monetary damages (or other remedy at Law) are inadequate in view of (a) the complexities and uncertainties in measuring the actual damages that would be sustained by reason of the failure of a Member to comply with such provision and (b) the uniqueness of the Company’s business and the relationship among the Members. Accordingly, the Members agree that the provisions of this Article IX may be enforced by specific performance.</w:t>
      </w:r>
    </w:p>
    <w:p>
      <w:pPr>
        <w:spacing w:after="0" w:line="19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Permitted Transfers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Member may Transfer all or part of its Units (and Membership Interest represented thereby) to a Person that is not a Disqualified Transferee, provided that it satisfies the requirements of Section 9.3. Notwithstanding anything in this Section 9.2 to the contrary, a Transfer upon foreclosure (or in lieu of such foreclosure) under an Encumbrance on such Member’s Units permitted in accordance with Section 9.4 shall not require the approval by the Consent of the Members.</w:t>
      </w:r>
    </w:p>
    <w:p>
      <w:pPr>
        <w:spacing w:after="0" w:line="179"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Conditions to Transfers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Except as otherwise provided in this Article IX, all Transfers permitted hereby shall be subject to the satisfaction of the following requirements:</w:t>
      </w:r>
    </w:p>
    <w:p>
      <w:pPr>
        <w:spacing w:after="0" w:line="158" w:lineRule="exact"/>
        <w:rPr>
          <w:sz w:val="20"/>
          <w:szCs w:val="20"/>
          <w:color w:val="auto"/>
        </w:rPr>
      </w:pPr>
    </w:p>
    <w:p>
      <w:pPr>
        <w:jc w:val="both"/>
        <w:ind w:right="20" w:firstLine="444"/>
        <w:spacing w:after="0" w:line="271"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Transfer Documents</w:t>
      </w:r>
      <w:r>
        <w:rPr>
          <w:rFonts w:ascii="Times New Roman" w:cs="Times New Roman" w:eastAsia="Times New Roman" w:hAnsi="Times New Roman"/>
          <w:sz w:val="22"/>
          <w:szCs w:val="22"/>
          <w:color w:val="auto"/>
        </w:rPr>
        <w:t>. The following documents shall have been delivered by the Transferring Member to the Manager and each other Member:</w:t>
      </w:r>
    </w:p>
    <w:p>
      <w:pPr>
        <w:spacing w:after="0" w:line="158" w:lineRule="exact"/>
        <w:rPr>
          <w:sz w:val="20"/>
          <w:szCs w:val="20"/>
          <w:color w:val="auto"/>
        </w:rPr>
      </w:pPr>
    </w:p>
    <w:p>
      <w:pPr>
        <w:ind w:left="2600" w:hanging="648"/>
        <w:spacing w:after="0"/>
        <w:tabs>
          <w:tab w:leader="none" w:pos="260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Written notice not less than ten (10) Business Days prior to the proposed effective date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Transfer.</w:t>
      </w:r>
    </w:p>
    <w:p>
      <w:pPr>
        <w:spacing w:after="0" w:line="196" w:lineRule="exact"/>
        <w:rPr>
          <w:sz w:val="20"/>
          <w:szCs w:val="20"/>
          <w:color w:val="auto"/>
        </w:rPr>
      </w:pPr>
    </w:p>
    <w:p>
      <w:pPr>
        <w:jc w:val="both"/>
        <w:ind w:firstLine="1952"/>
        <w:spacing w:after="0" w:line="258" w:lineRule="auto"/>
        <w:tabs>
          <w:tab w:leader="none" w:pos="2587"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Instrument</w:t>
      </w:r>
      <w:r>
        <w:rPr>
          <w:rFonts w:ascii="Times New Roman" w:cs="Times New Roman" w:eastAsia="Times New Roman" w:hAnsi="Times New Roman"/>
          <w:sz w:val="21"/>
          <w:szCs w:val="21"/>
          <w:color w:val="auto"/>
        </w:rPr>
        <w:t>. An instrument executed by the Transferring Member and the Transferee implementing the Transfer, in substantially the form of Exhibit C hereto or such other form that is reasonably satisfactory to the Manager (which approval shall not be unreasonably withheld or delayed) and which contains: (A) the notice address of the Transferee; (B) if applicable, the Parent of the Transferee; (C) the number of Units as to each class of Membership Interest held by the Transferring Member and held by the Transferee after the Transfer (which must total the number of Units as to each class of Membership Interest held by the Transferring Member before the Transfer); (D) the Transferee’s ratification of this Agreement and its confirmation that the representations and warranties in Article VIII applicable to it are true and correct with respect to it;</w:t>
      </w:r>
    </w:p>
    <w:p>
      <w:pPr>
        <w:spacing w:after="0" w:line="2" w:lineRule="exact"/>
        <w:rPr>
          <w:rFonts w:ascii="Times New Roman" w:cs="Times New Roman" w:eastAsia="Times New Roman" w:hAnsi="Times New Roman"/>
          <w:sz w:val="21"/>
          <w:szCs w:val="21"/>
          <w:color w:val="auto"/>
        </w:rPr>
      </w:pPr>
    </w:p>
    <w:p>
      <w:pPr>
        <w:ind w:right="20" w:firstLine="8"/>
        <w:spacing w:after="0" w:line="248" w:lineRule="auto"/>
        <w:tabs>
          <w:tab w:leader="none" w:pos="342"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Transferee’s ratification of the Investment Documents to which the Transferring Member is a party and agreement to be bound by them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278" w:name="page279"/>
    <w:bookmarkEnd w:id="278"/>
    <w:p>
      <w:pPr>
        <w:jc w:val="both"/>
        <w:spacing w:after="0" w:line="248" w:lineRule="auto"/>
        <w:rPr>
          <w:sz w:val="20"/>
          <w:szCs w:val="20"/>
          <w:color w:val="auto"/>
        </w:rPr>
      </w:pPr>
      <w:r>
        <w:rPr>
          <w:rFonts w:ascii="Times New Roman" w:cs="Times New Roman" w:eastAsia="Times New Roman" w:hAnsi="Times New Roman"/>
          <w:sz w:val="22"/>
          <w:szCs w:val="22"/>
          <w:color w:val="auto"/>
        </w:rPr>
        <w:t>the same extent that the Transferring Member was bound by them prior to the Transfer, including the assumptions of all liabilities and obligations thereunder with respect to the Transferred Membership Interest; and (F) representations and warranties by the Transferring Member and its Transferee that the Transfer and the admission of the Transferee as a Member is being made in accordance with all applicable Law, and that the applicable conditions set forth in this Section 9.3 have been satisfied. Upon any such Transfer, the Manager shall update Annex I and the Register appropriately, and shall provide such updated Register to each Member.</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Transaction and Tax Equity Documents</w:t>
      </w:r>
      <w:r>
        <w:rPr>
          <w:rFonts w:ascii="Times New Roman" w:cs="Times New Roman" w:eastAsia="Times New Roman" w:hAnsi="Times New Roman"/>
          <w:sz w:val="22"/>
          <w:szCs w:val="22"/>
          <w:color w:val="auto"/>
        </w:rPr>
        <w:t>. Such Transfer does not breach any provision of any Transaction Document.</w:t>
      </w:r>
    </w:p>
    <w:p>
      <w:pPr>
        <w:spacing w:after="0" w:line="220"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Applicable Law; Securities Law</w:t>
      </w:r>
      <w:r>
        <w:rPr>
          <w:rFonts w:ascii="Times New Roman" w:cs="Times New Roman" w:eastAsia="Times New Roman" w:hAnsi="Times New Roman"/>
          <w:sz w:val="22"/>
          <w:szCs w:val="22"/>
          <w:color w:val="auto"/>
        </w:rPr>
        <w:t>. Such Transfer does not violate any provision of applicable Law, including, without limitation, applicable securities Law.</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952"/>
        <w:spacing w:after="0" w:line="257" w:lineRule="auto"/>
        <w:tabs>
          <w:tab w:leader="none" w:pos="2587"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Entity Classification</w:t>
      </w:r>
      <w:r>
        <w:rPr>
          <w:rFonts w:ascii="Times New Roman" w:cs="Times New Roman" w:eastAsia="Times New Roman" w:hAnsi="Times New Roman"/>
          <w:sz w:val="22"/>
          <w:szCs w:val="22"/>
          <w:color w:val="auto"/>
        </w:rPr>
        <w:t>. Such Transfer does not cause the Company to be classified as an entity other than a partnership (or cause the Company to be treated as a publicly traded partnership taxable as a corporation) for purposes of the Code.</w:t>
      </w:r>
    </w:p>
    <w:p>
      <w:pPr>
        <w:spacing w:after="0" w:line="17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Such Transfer is not to a Person that is related within the meaning of Sections 168(h), 267(b) or 707(b)(1) of the Code to the offtaker and the Transfer will not cause any Member to be related (within the meaning of Sections 168(h), 267(b) or 707(b)(1) of the Code) to the offtaker.</w:t>
      </w:r>
    </w:p>
    <w:p>
      <w:pPr>
        <w:spacing w:after="0" w:line="172"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7"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Tax-Exempt Entity</w:t>
      </w:r>
      <w:r>
        <w:rPr>
          <w:rFonts w:ascii="Times New Roman" w:cs="Times New Roman" w:eastAsia="Times New Roman" w:hAnsi="Times New Roman"/>
          <w:sz w:val="22"/>
          <w:szCs w:val="22"/>
          <w:color w:val="auto"/>
        </w:rPr>
        <w:t>. Such Transfer is not to a tax-exempt entity (or, if the transferee is a disregarded entity for federal income tax purposes, the Person treated for federal income tax purposes as the owner of its assets is not a tax-exempt entity) (within the meaning of Section 168(h)(2) of the Code) and such Transfer, in the reasonable determination of the Company, does not present a material risk that any property of the Company or the Pinnacle Project Company or any other subsidiary of the Company would thereby become “tax-exempt use property” within the meaning of Section 168(h)(6) of the Code.</w:t>
      </w:r>
    </w:p>
    <w:p>
      <w:pPr>
        <w:spacing w:after="0" w:line="187" w:lineRule="exact"/>
        <w:rPr>
          <w:sz w:val="20"/>
          <w:szCs w:val="20"/>
          <w:color w:val="auto"/>
        </w:rPr>
      </w:pPr>
    </w:p>
    <w:p>
      <w:pPr>
        <w:jc w:val="both"/>
        <w:ind w:firstLine="396"/>
        <w:spacing w:after="0" w:line="252" w:lineRule="auto"/>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22"/>
          <w:szCs w:val="22"/>
          <w:u w:val="single" w:color="auto"/>
          <w:color w:val="auto"/>
        </w:rPr>
        <w:t>Payment of Expenses</w:t>
      </w:r>
      <w:r>
        <w:rPr>
          <w:rFonts w:ascii="Times New Roman" w:cs="Times New Roman" w:eastAsia="Times New Roman" w:hAnsi="Times New Roman"/>
          <w:sz w:val="22"/>
          <w:szCs w:val="22"/>
          <w:color w:val="auto"/>
        </w:rPr>
        <w:t>. The Transferring Member and the Transferee shall have paid or reimbursed the Company and each Member for all reasonable costs and expenses incurred by the Company and such Members in connection with the Transfer and admission, on or before the tenth (10th) day after the receipt by such Persons of the Company’s or any such Member’s invoice for the amount due.</w:t>
      </w:r>
    </w:p>
    <w:p>
      <w:pPr>
        <w:spacing w:after="0" w:line="179" w:lineRule="exact"/>
        <w:rPr>
          <w:sz w:val="20"/>
          <w:szCs w:val="20"/>
          <w:color w:val="auto"/>
        </w:rPr>
      </w:pPr>
    </w:p>
    <w:p>
      <w:pPr>
        <w:jc w:val="both"/>
        <w:ind w:firstLine="336"/>
        <w:spacing w:after="0" w:line="271"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22"/>
          <w:szCs w:val="22"/>
          <w:u w:val="single" w:color="auto"/>
          <w:color w:val="auto"/>
        </w:rPr>
        <w:t>No Release</w:t>
      </w:r>
      <w:r>
        <w:rPr>
          <w:rFonts w:ascii="Times New Roman" w:cs="Times New Roman" w:eastAsia="Times New Roman" w:hAnsi="Times New Roman"/>
          <w:sz w:val="22"/>
          <w:szCs w:val="22"/>
          <w:color w:val="auto"/>
        </w:rPr>
        <w:t>. Such Transfer shall not effect a release of the Transferring Member from any liabilities to the Company or the other Members arising from events occurring prior to or in connection with the Transfer.</w:t>
      </w:r>
    </w:p>
    <w:p>
      <w:pPr>
        <w:spacing w:after="0" w:line="158" w:lineRule="exact"/>
        <w:rPr>
          <w:sz w:val="20"/>
          <w:szCs w:val="20"/>
          <w:color w:val="auto"/>
        </w:rPr>
      </w:pPr>
    </w:p>
    <w:p>
      <w:pPr>
        <w:jc w:val="both"/>
        <w:ind w:firstLine="276"/>
        <w:spacing w:after="0" w:line="271"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22"/>
          <w:szCs w:val="22"/>
          <w:u w:val="single" w:color="auto"/>
          <w:color w:val="auto"/>
        </w:rPr>
        <w:t>Regulatory Matters</w:t>
      </w:r>
      <w:r>
        <w:rPr>
          <w:rFonts w:ascii="Times New Roman" w:cs="Times New Roman" w:eastAsia="Times New Roman" w:hAnsi="Times New Roman"/>
          <w:sz w:val="22"/>
          <w:szCs w:val="22"/>
          <w:color w:val="auto"/>
        </w:rPr>
        <w:t>. Such Transfer shall not result in (a) the Pinnacle Project Company ceasing to be an EWG, (b) the Pinnacle Project Company becoming subject to regulation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279" w:name="page280"/>
    <w:bookmarkEnd w:id="279"/>
    <w:p>
      <w:pPr>
        <w:jc w:val="both"/>
        <w:spacing w:after="0" w:line="271" w:lineRule="auto"/>
        <w:rPr>
          <w:sz w:val="20"/>
          <w:szCs w:val="20"/>
          <w:color w:val="auto"/>
        </w:rPr>
      </w:pPr>
      <w:r>
        <w:rPr>
          <w:rFonts w:ascii="Times New Roman" w:cs="Times New Roman" w:eastAsia="Times New Roman" w:hAnsi="Times New Roman"/>
          <w:sz w:val="22"/>
          <w:szCs w:val="22"/>
          <w:color w:val="auto"/>
        </w:rPr>
        <w:t>PUHCA other than with respect to regulations pertaining to maintaining EWG status or (c) the Pinnacle Project Company ceasing to hold any other Energy Regulatory Approval.</w:t>
      </w:r>
    </w:p>
    <w:p>
      <w:pPr>
        <w:spacing w:after="0" w:line="158" w:lineRule="exact"/>
        <w:rPr>
          <w:sz w:val="20"/>
          <w:szCs w:val="20"/>
          <w:color w:val="auto"/>
        </w:rPr>
      </w:pPr>
    </w:p>
    <w:p>
      <w:pPr>
        <w:jc w:val="both"/>
        <w:ind w:firstLine="216"/>
        <w:spacing w:after="0" w:line="271"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22"/>
          <w:szCs w:val="22"/>
          <w:u w:val="single" w:color="auto"/>
          <w:color w:val="auto"/>
        </w:rPr>
        <w:t>Consents and Permits</w:t>
      </w:r>
      <w:r>
        <w:rPr>
          <w:rFonts w:ascii="Times New Roman" w:cs="Times New Roman" w:eastAsia="Times New Roman" w:hAnsi="Times New Roman"/>
          <w:sz w:val="22"/>
          <w:szCs w:val="22"/>
          <w:color w:val="auto"/>
        </w:rPr>
        <w:t>. All consents, approvals and Licenses and Permits with respect to such Transfer shall have been obtained.</w:t>
      </w:r>
    </w:p>
    <w:p>
      <w:pPr>
        <w:spacing w:after="0" w:line="158" w:lineRule="exact"/>
        <w:rPr>
          <w:sz w:val="20"/>
          <w:szCs w:val="20"/>
          <w:color w:val="auto"/>
        </w:rPr>
      </w:pPr>
    </w:p>
    <w:p>
      <w:pPr>
        <w:jc w:val="both"/>
        <w:ind w:firstLine="336"/>
        <w:spacing w:after="0" w:line="271" w:lineRule="auto"/>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Such Transfer does not require the Company to register as an “investment company” under the Investment Company Act of 1940, as amended.</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d.</w:t>
      </w:r>
      <w:r>
        <w:rPr>
          <w:sz w:val="20"/>
          <w:szCs w:val="20"/>
          <w:color w:val="auto"/>
        </w:rPr>
        <w:tab/>
      </w:r>
      <w:r>
        <w:rPr>
          <w:rFonts w:ascii="Times New Roman" w:cs="Times New Roman" w:eastAsia="Times New Roman" w:hAnsi="Times New Roman"/>
          <w:sz w:val="21"/>
          <w:szCs w:val="21"/>
          <w:u w:val="single" w:color="auto"/>
          <w:color w:val="auto"/>
        </w:rPr>
        <w:t>Encumbrances of Membership Interest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 Member may Encumber its Membership Interest, and any Parent of a Member may Encumber such Membership Interest indirectly, so long as the instrument creating such Encumbrance provides that any Transfer upon foreclosure of such Encumbrance (or Transfer in lieu of such foreclosure) shall, and the actual Transfer relating to such Encumbrance (whether through foreclosure or in lieu of foreclosure) shall (a) not be to a Disqualified Transferee, (b) shall only be to a Qualified Transferee and (c) otherwise comply with the requirements of Section 9.3. Notwithstanding the foregoing provisions of this Section 9.4 (a) the Members agree to act in a commercially reasonable manner in connection with a financing in which a Member intends to grant a security interest in its Units and take such actions (or refrain from taking such actions) as are reasonably requested by such Member to facilitate the closing of such financing, including reasonably cooperating with such Member to enter into a consent to assignment, provided that such consent to assignment is reasonably acceptable to the Members, with such Member’s financing parties and (b) such Member may Encumber its Membership Interests pursuant to and subject to the terms of any such consent.</w:t>
      </w:r>
    </w:p>
    <w:p>
      <w:pPr>
        <w:spacing w:after="0" w:line="185"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e.</w:t>
      </w:r>
      <w:r>
        <w:rPr>
          <w:sz w:val="20"/>
          <w:szCs w:val="20"/>
          <w:color w:val="auto"/>
        </w:rPr>
        <w:tab/>
      </w:r>
      <w:r>
        <w:rPr>
          <w:rFonts w:ascii="Times New Roman" w:cs="Times New Roman" w:eastAsia="Times New Roman" w:hAnsi="Times New Roman"/>
          <w:sz w:val="21"/>
          <w:szCs w:val="21"/>
          <w:u w:val="single" w:color="auto"/>
          <w:color w:val="auto"/>
        </w:rPr>
        <w:t>Admission of Transferee as a Member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Any Transferee in a Transfer permitted under Section 9.2 shall be admitted to the Company as a Member, with the Membership Interest so transferred to such Transferee, to the extent that (a) the Transferring Member making the Transfer has granted the Transferee the Transferring Member’s entire Membership Interest, or, in the case of Transfer of a part of such Member’s Membership Interest, the express right to be so admitted as a Member and (b) such Transfer is effected in strict compliance with Section 9.3.</w:t>
      </w:r>
    </w:p>
    <w:p>
      <w:pPr>
        <w:spacing w:after="0" w:line="181"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f.</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g.</w:t>
      </w:r>
      <w:r>
        <w:rPr>
          <w:sz w:val="20"/>
          <w:szCs w:val="20"/>
          <w:color w:val="auto"/>
        </w:rPr>
        <w:tab/>
      </w:r>
      <w:r>
        <w:rPr>
          <w:rFonts w:ascii="Times New Roman" w:cs="Times New Roman" w:eastAsia="Times New Roman" w:hAnsi="Times New Roman"/>
          <w:sz w:val="21"/>
          <w:szCs w:val="21"/>
          <w:u w:val="single" w:color="auto"/>
          <w:color w:val="auto"/>
        </w:rPr>
        <w:t>Terminated Member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Upon the closing of a Transfer by a Member of all of its Membership Interest in the Company in accordance with this Article IX, the following provisions shall apply to the Transferring Member (now a “</w:t>
      </w:r>
      <w:r>
        <w:rPr>
          <w:rFonts w:ascii="Times New Roman" w:cs="Times New Roman" w:eastAsia="Times New Roman" w:hAnsi="Times New Roman"/>
          <w:sz w:val="22"/>
          <w:szCs w:val="22"/>
          <w:b w:val="1"/>
          <w:bCs w:val="1"/>
          <w:color w:val="auto"/>
        </w:rPr>
        <w:t>Terminated Member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(i)The Terminated Member shall cease to be a Member immediately upon the occurrence of such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280" w:name="page281"/>
    <w:bookmarkEnd w:id="280"/>
    <w:p>
      <w:pPr>
        <w:jc w:val="both"/>
        <w:ind w:firstLine="384"/>
        <w:spacing w:after="0" w:line="257" w:lineRule="auto"/>
        <w:rPr>
          <w:sz w:val="20"/>
          <w:szCs w:val="20"/>
          <w:color w:val="auto"/>
        </w:rPr>
      </w:pPr>
      <w:r>
        <w:rPr>
          <w:rFonts w:ascii="Times New Roman" w:cs="Times New Roman" w:eastAsia="Times New Roman" w:hAnsi="Times New Roman"/>
          <w:sz w:val="22"/>
          <w:szCs w:val="22"/>
          <w:color w:val="auto"/>
        </w:rPr>
        <w:t>(ii)The Terminated Member shall no longer be entitled to receive any distributions (including liquidating distributions pursuant to Section 12.2) or allocations from the Company, and it shall not be entitled to exercise any voting or consent rights or to receive any further information (or access to information) from the Company (other than any required tax information).</w:t>
      </w:r>
    </w:p>
    <w:p>
      <w:pPr>
        <w:spacing w:after="0" w:line="17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2"/>
          <w:szCs w:val="22"/>
          <w:color w:val="auto"/>
        </w:rPr>
        <w:t>(iii)The Terminated Member must pay (i) to the Company all amounts owed to the Company by the Terminated Member and (ii) to each other Member all amounts owed to such Member by the Terminated Member.</w:t>
      </w:r>
    </w:p>
    <w:p>
      <w:pPr>
        <w:spacing w:after="0" w:line="158" w:lineRule="exact"/>
        <w:rPr>
          <w:sz w:val="20"/>
          <w:szCs w:val="20"/>
          <w:color w:val="auto"/>
        </w:rPr>
      </w:pPr>
    </w:p>
    <w:p>
      <w:pPr>
        <w:jc w:val="both"/>
        <w:ind w:firstLine="336"/>
        <w:spacing w:after="0" w:line="271" w:lineRule="auto"/>
        <w:rPr>
          <w:sz w:val="20"/>
          <w:szCs w:val="20"/>
          <w:color w:val="auto"/>
        </w:rPr>
      </w:pPr>
      <w:r>
        <w:rPr>
          <w:rFonts w:ascii="Times New Roman" w:cs="Times New Roman" w:eastAsia="Times New Roman" w:hAnsi="Times New Roman"/>
          <w:sz w:val="22"/>
          <w:szCs w:val="22"/>
          <w:color w:val="auto"/>
        </w:rPr>
        <w:t>(iv)The Terminated Member shall remain obligated for all liabilities it may have under this Agreement or otherwise with respect to the Company that accrue prior to the closing.</w:t>
      </w:r>
    </w:p>
    <w:p>
      <w:pPr>
        <w:spacing w:after="0" w:line="158" w:lineRule="exact"/>
        <w:rPr>
          <w:sz w:val="20"/>
          <w:szCs w:val="20"/>
          <w:color w:val="auto"/>
        </w:rPr>
      </w:pPr>
    </w:p>
    <w:p>
      <w:pPr>
        <w:jc w:val="both"/>
        <w:ind w:firstLine="396"/>
        <w:spacing w:after="0" w:line="271" w:lineRule="auto"/>
        <w:rPr>
          <w:sz w:val="20"/>
          <w:szCs w:val="20"/>
          <w:color w:val="auto"/>
        </w:rPr>
      </w:pPr>
      <w:r>
        <w:rPr>
          <w:rFonts w:ascii="Times New Roman" w:cs="Times New Roman" w:eastAsia="Times New Roman" w:hAnsi="Times New Roman"/>
          <w:sz w:val="22"/>
          <w:szCs w:val="22"/>
          <w:color w:val="auto"/>
        </w:rPr>
        <w:t>(v)The Membership Interest, including the Capital Account balance attributable thereto, of the Terminated Member shall be allocated among the applicable Transferees in proportion to the relative Transferred Units acquired by such Transferee.</w:t>
      </w:r>
    </w:p>
    <w:p>
      <w:pPr>
        <w:spacing w:after="0" w:line="17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h.</w:t>
      </w:r>
      <w:r>
        <w:rPr>
          <w:sz w:val="20"/>
          <w:szCs w:val="20"/>
          <w:color w:val="auto"/>
        </w:rPr>
        <w:tab/>
      </w:r>
      <w:r>
        <w:rPr>
          <w:rFonts w:ascii="Times New Roman" w:cs="Times New Roman" w:eastAsia="Times New Roman" w:hAnsi="Times New Roman"/>
          <w:sz w:val="21"/>
          <w:szCs w:val="21"/>
          <w:u w:val="single" w:color="auto"/>
          <w:color w:val="auto"/>
        </w:rPr>
        <w:t>Class B Member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Class B Member agrees that it shall cause [***] to be admitted as a member of Class B Member no later than [***] (the “</w:t>
      </w:r>
      <w:r>
        <w:rPr>
          <w:rFonts w:ascii="Times New Roman" w:cs="Times New Roman" w:eastAsia="Times New Roman" w:hAnsi="Times New Roman"/>
          <w:sz w:val="22"/>
          <w:szCs w:val="22"/>
          <w:u w:val="single" w:color="auto"/>
          <w:color w:val="auto"/>
        </w:rPr>
        <w:t>Outside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Admission Date</w:t>
      </w:r>
      <w:r>
        <w:rPr>
          <w:rFonts w:ascii="Times New Roman" w:cs="Times New Roman" w:eastAsia="Times New Roman" w:hAnsi="Times New Roman"/>
          <w:sz w:val="22"/>
          <w:szCs w:val="22"/>
          <w:color w:val="auto"/>
        </w:rPr>
        <w:t xml:space="preserve">”), and Class B Member shall cause, contemporaneously with such an admission of the [***] as a member to Class B Member, [***] to contribute to Class B Member the Safe Harbor Equipment. Dissolution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12(a)(iv)</w:t>
      </w:r>
      <w:r>
        <w:rPr>
          <w:rFonts w:ascii="Times New Roman" w:cs="Times New Roman" w:eastAsia="Times New Roman" w:hAnsi="Times New Roman"/>
          <w:sz w:val="22"/>
          <w:szCs w:val="22"/>
          <w:color w:val="auto"/>
        </w:rPr>
        <w:t xml:space="preserve"> shall be the sole and exclusive remedy of the other Members for the failure of the Class B Member to satisfy its obligations under this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4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Indemnification by the Class B Member</w:t>
      </w:r>
      <w:r>
        <w:rPr>
          <w:rFonts w:ascii="Times New Roman" w:cs="Times New Roman" w:eastAsia="Times New Roman" w:hAnsi="Times New Roman"/>
          <w:sz w:val="22"/>
          <w:szCs w:val="22"/>
          <w:color w:val="auto"/>
        </w:rPr>
        <w:t>. Subject to the terms and conditions of this Article 11, each Class B Member shall indemnify, defend, reimburse and hold harmless each Class A Member and its respective parent or subsidiary companies, shareholders, partners, members and other Affiliates, and each of their respective officers, directors, managers, employees, attorneys, contractors and agents (collectively, the “</w:t>
      </w:r>
      <w:r>
        <w:rPr>
          <w:rFonts w:ascii="Times New Roman" w:cs="Times New Roman" w:eastAsia="Times New Roman" w:hAnsi="Times New Roman"/>
          <w:sz w:val="22"/>
          <w:szCs w:val="22"/>
          <w:b w:val="1"/>
          <w:bCs w:val="1"/>
          <w:color w:val="auto"/>
        </w:rPr>
        <w:t>Class A Parties</w:t>
      </w:r>
      <w:r>
        <w:rPr>
          <w:rFonts w:ascii="Times New Roman" w:cs="Times New Roman" w:eastAsia="Times New Roman" w:hAnsi="Times New Roman"/>
          <w:sz w:val="22"/>
          <w:szCs w:val="22"/>
          <w:color w:val="auto"/>
        </w:rPr>
        <w:t>”), from and against: (i) any and all assessments, losses, damages, liabilities, judgments, settlements, Taxes, penalties, costs, and expenses (including reasonable attorneys’ fees and expenses, including such fees and expenses at trial and on any appeal), of any nature whatsoever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281" w:name="page282"/>
    <w:bookmarkEnd w:id="281"/>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Damages</w:t>
      </w:r>
      <w:r>
        <w:rPr>
          <w:rFonts w:ascii="Times New Roman" w:cs="Times New Roman" w:eastAsia="Times New Roman" w:hAnsi="Times New Roman"/>
          <w:sz w:val="21"/>
          <w:szCs w:val="21"/>
          <w:color w:val="auto"/>
        </w:rPr>
        <w:t>”) asserted against, resulting to, imposed upon, or incurred by the Class A Parties, directly or indirectly, by reason of or resulting from any breach or failure by the Class B Member of any of its representations, warranties, covenants, obligations or agreements contained in this Agreement or any other Investment Document or any certificate delivered thereunder or hereunder;</w:t>
      </w:r>
    </w:p>
    <w:p>
      <w:pPr>
        <w:spacing w:after="0" w:line="1" w:lineRule="exact"/>
        <w:rPr>
          <w:sz w:val="20"/>
          <w:szCs w:val="20"/>
          <w:color w:val="auto"/>
        </w:rPr>
      </w:pPr>
    </w:p>
    <w:p>
      <w:pPr>
        <w:jc w:val="both"/>
        <w:ind w:firstLine="8"/>
        <w:spacing w:after="0" w:line="244" w:lineRule="auto"/>
        <w:tabs>
          <w:tab w:leader="none" w:pos="328"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Damages asserted against, resulting to, imposed upon, or incurred by the Class A Parties, directly or indirectly, by reason of or resulting from a payment under the Class A TE Guaranty that pertains to a Class B TE Obligation; and (iii) its pro rata share (in accordance with its Class B Units) of the Class B Member’s Specified Share of Damages asserted against, resulting to, imposed upon, or incurred by the Class A Parties, directly or indirectly, by reason of or resulting from a payment under the Class A TE Guaranty that pertains to neither a Class A TE Obligation nor a Class B TE Obligation (collectively, “</w:t>
      </w:r>
      <w:r>
        <w:rPr>
          <w:rFonts w:ascii="Times New Roman" w:cs="Times New Roman" w:eastAsia="Times New Roman" w:hAnsi="Times New Roman"/>
          <w:sz w:val="22"/>
          <w:szCs w:val="22"/>
          <w:b w:val="1"/>
          <w:bCs w:val="1"/>
          <w:color w:val="auto"/>
        </w:rPr>
        <w:t>Class A Claims</w:t>
      </w:r>
      <w:r>
        <w:rPr>
          <w:rFonts w:ascii="Times New Roman" w:cs="Times New Roman" w:eastAsia="Times New Roman" w:hAnsi="Times New Roman"/>
          <w:sz w:val="22"/>
          <w:szCs w:val="22"/>
          <w:color w:val="auto"/>
        </w:rPr>
        <w:t>”). To the extent that any such Damages remain unpaid after a claim has been properly made therefor pursuant to this Section 11.1(a) that is not a bona fide dispute, any distributions otherwise payable to the Class B Members under this Agreement shall be used to satisfy the obligations of each Class B Member hereunder.</w:t>
      </w:r>
    </w:p>
    <w:p>
      <w:pPr>
        <w:spacing w:after="0" w:line="186" w:lineRule="exact"/>
        <w:rPr>
          <w:sz w:val="20"/>
          <w:szCs w:val="20"/>
          <w:color w:val="auto"/>
        </w:rPr>
      </w:pPr>
    </w:p>
    <w:p>
      <w:pPr>
        <w:jc w:val="both"/>
        <w:ind w:firstLine="384"/>
        <w:spacing w:after="0" w:line="245"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Indemnification by the Class A Member</w:t>
      </w:r>
      <w:r>
        <w:rPr>
          <w:rFonts w:ascii="Times New Roman" w:cs="Times New Roman" w:eastAsia="Times New Roman" w:hAnsi="Times New Roman"/>
          <w:sz w:val="22"/>
          <w:szCs w:val="22"/>
          <w:color w:val="auto"/>
        </w:rPr>
        <w:t>. Subject to the terms and conditions of this Article 11, each Class A Member shall indemnify, defend, reimburse and hold harmless each Class B Member and its respective parent or subsidiary companies, shareholders, partners, members and other Affiliates, and each of their respective officers, directors, managers, employees, attorneys, contractors and agents (collectively, the “</w:t>
      </w:r>
      <w:r>
        <w:rPr>
          <w:rFonts w:ascii="Times New Roman" w:cs="Times New Roman" w:eastAsia="Times New Roman" w:hAnsi="Times New Roman"/>
          <w:sz w:val="22"/>
          <w:szCs w:val="22"/>
          <w:b w:val="1"/>
          <w:bCs w:val="1"/>
          <w:color w:val="auto"/>
        </w:rPr>
        <w:t>Class B Parties</w:t>
      </w:r>
      <w:r>
        <w:rPr>
          <w:rFonts w:ascii="Times New Roman" w:cs="Times New Roman" w:eastAsia="Times New Roman" w:hAnsi="Times New Roman"/>
          <w:sz w:val="22"/>
          <w:szCs w:val="22"/>
          <w:color w:val="auto"/>
        </w:rPr>
        <w:t>” and together with the Class A Parties, the “</w:t>
      </w:r>
      <w:r>
        <w:rPr>
          <w:rFonts w:ascii="Times New Roman" w:cs="Times New Roman" w:eastAsia="Times New Roman" w:hAnsi="Times New Roman"/>
          <w:sz w:val="22"/>
          <w:szCs w:val="22"/>
          <w:b w:val="1"/>
          <w:bCs w:val="1"/>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from and against any and all Damages asserted against, resulting to, imposed upon, or incurred by the Class B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by reason of or resulting from any breach or failure by the Class A Member (whether in its capacity as a Class A Member, the Manager, the Partnership Representative or otherwise) of any of its representations, warranties, covenants, obligations or agreements contained in this Agreement or any other Investment Document or any certificate delivered thereunder or hereunder (collectively, “</w:t>
      </w:r>
      <w:r>
        <w:rPr>
          <w:rFonts w:ascii="Times New Roman" w:cs="Times New Roman" w:eastAsia="Times New Roman" w:hAnsi="Times New Roman"/>
          <w:sz w:val="22"/>
          <w:szCs w:val="22"/>
          <w:b w:val="1"/>
          <w:bCs w:val="1"/>
          <w:color w:val="auto"/>
        </w:rPr>
        <w:t>Class B Claims</w:t>
      </w:r>
      <w:r>
        <w:rPr>
          <w:rFonts w:ascii="Times New Roman" w:cs="Times New Roman" w:eastAsia="Times New Roman" w:hAnsi="Times New Roman"/>
          <w:sz w:val="22"/>
          <w:szCs w:val="22"/>
          <w:color w:val="auto"/>
        </w:rPr>
        <w:t>” and together with the Class A Claims, the “</w:t>
      </w:r>
      <w:r>
        <w:rPr>
          <w:rFonts w:ascii="Times New Roman" w:cs="Times New Roman" w:eastAsia="Times New Roman" w:hAnsi="Times New Roman"/>
          <w:sz w:val="22"/>
          <w:szCs w:val="22"/>
          <w:b w:val="1"/>
          <w:bCs w:val="1"/>
          <w:color w:val="auto"/>
        </w:rPr>
        <w:t>Indemnity Claim</w:t>
      </w:r>
      <w:r>
        <w:rPr>
          <w:rFonts w:ascii="Times New Roman" w:cs="Times New Roman" w:eastAsia="Times New Roman" w:hAnsi="Times New Roman"/>
          <w:sz w:val="22"/>
          <w:szCs w:val="22"/>
          <w:color w:val="auto"/>
        </w:rPr>
        <w:t>”). To the extent that any such Damages remain unpaid after a claim has been properly made therefor pursuant to this Section 11.1(b) that is not a bona fide dispute, any distributions otherwise payable to the Class A Members under this Agreement shall be used to satisfy the obligations of each Class A Member hereunder.</w:t>
      </w:r>
    </w:p>
    <w:p>
      <w:pPr>
        <w:spacing w:after="0" w:line="19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Procedure for Indemnification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After receipt by an Indemnified Party under Section 11.1 of notice of the commencement of any action, or any other actual or potential Indemnity Claim, such Indemnified Party shall, if a claim in respect thereof is to be made against a Member (the “</w:t>
      </w:r>
      <w:r>
        <w:rPr>
          <w:rFonts w:ascii="Times New Roman" w:cs="Times New Roman" w:eastAsia="Times New Roman" w:hAnsi="Times New Roman"/>
          <w:sz w:val="22"/>
          <w:szCs w:val="22"/>
          <w:b w:val="1"/>
          <w:bCs w:val="1"/>
          <w:color w:val="auto"/>
        </w:rPr>
        <w:t>Indemnifying Member</w:t>
      </w:r>
      <w:r>
        <w:rPr>
          <w:rFonts w:ascii="Times New Roman" w:cs="Times New Roman" w:eastAsia="Times New Roman" w:hAnsi="Times New Roman"/>
          <w:sz w:val="22"/>
          <w:szCs w:val="22"/>
          <w:color w:val="auto"/>
        </w:rPr>
        <w:t>”), give written notice thereof to such Indemnifying Member. The failure to promptly notify the Indemnifying Member shall not relieve such Indemnifying Member of any liability that it may have to any Indemnified Party with respect to such action; provided that, to the extent that any such failure to provide prompt notice is responsible for an increase in the indemnity obligations of the Indemnifying Member, the Indemnifying Member shall not be responsible for any such increase. In the case of any such action brought against an Indemnified Party for which the Indemnified Party has given written notice to the Indemnifying Member of the commencement thereof,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18" w:right="339" w:bottom="1440" w:gutter="0" w:footer="0" w:header="0"/>
        </w:sectPr>
      </w:pPr>
    </w:p>
    <w:bookmarkStart w:id="282" w:name="page283"/>
    <w:bookmarkEnd w:id="282"/>
    <w:p>
      <w:pPr>
        <w:jc w:val="both"/>
        <w:spacing w:after="0" w:line="257" w:lineRule="auto"/>
        <w:rPr>
          <w:sz w:val="20"/>
          <w:szCs w:val="20"/>
          <w:color w:val="auto"/>
        </w:rPr>
      </w:pPr>
      <w:r>
        <w:rPr>
          <w:rFonts w:ascii="Times New Roman" w:cs="Times New Roman" w:eastAsia="Times New Roman" w:hAnsi="Times New Roman"/>
          <w:sz w:val="21"/>
          <w:szCs w:val="21"/>
          <w:color w:val="auto"/>
        </w:rPr>
        <w:t>Indemnifying Member shall be entitled to participate therein and, to the extent that it may wish, to assume the defense thereof with counsel reasonably satisfactory to such indemnified party. If the Indemnifying Member elects to assume the defense of such action, the Indemnified Party shall have the right to employ separate counsel at its own expense and to participate in the defense thereof. If the Indemnifying Member elects not to assume (or fails to assume) the defense of such action, or at any time fails diligently to pursue such defense, the Indemnified Party shall be entitled to assume the defense of such action with counsel of its own choice, at the expense of the Indemnifying Member. If the action is asserted against both the Indemnifying Member and the Indemnified Party and (a) there is a conflict of interests which renders it inappropriate for the same counsel to represent both the Indemnifying Member and the Indemnified Party or (b) such action could reasonably be expected to result in the imposition of criminal liability, the Indemnifying Member shall be responsible for paying for separate counsel for the indemnified party; provided, however, that if there is more than one Indemnified Party and it is practical for all such parties to be represented by common counsel, the Indemnifying Member shall not be responsible for paying for more than one separate firm of attorneys to represent the indemnified parties, regardless of the number of indemnified parties. If the Indemnifying Member elects to assume the defense of such action, (y) no compromise or settlement thereof may be effected by the Indemnifying Member without the indemnified party’s written consent (which shall not be unreasonably withheld) unless the sole relief provided is monetary damages that are paid in full by the Indemnifying Member and (z) the Indemnifying Member shall have no liability with respect to any compromise or settlement thereof effected without its written consent (which shall not be unreasonably withheld) unless the Indemnifying Member has failed to defend such Indemnified Party against such action.</w:t>
      </w:r>
    </w:p>
    <w:p>
      <w:pPr>
        <w:spacing w:after="0" w:line="181"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Exclusivity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Parties agree that, (a) except with respect to fraud or willful misconduct, in relation to any breach, default, or nonperformance of any representation, warranty, covenant, or agreement made or entered into by a Member (whether in its capacity as a Member, the Manager, the Partnership Representative or otherwise) pursuant to this Agreement or any certificate, instrument, or document delivered pursuant hereto or arising out of the transactions contemplated herein, the only relief and remedy available to the other Members in respect of Damages fully recoverable and addressed by the payment of money shall be as set forth in this Article 11, but only to the extent properly claimable hereunder and as limited pursuant to this Article 11 or otherwise hereunder. For the avoidance of doubt, no Party has waived any rights to pursue equitable remedies under this Agreement or the other Investment Documents.</w:t>
      </w:r>
    </w:p>
    <w:p>
      <w:pPr>
        <w:spacing w:after="0" w:line="18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d.</w:t>
      </w:r>
      <w:r>
        <w:rPr>
          <w:sz w:val="20"/>
          <w:szCs w:val="20"/>
          <w:color w:val="auto"/>
        </w:rPr>
        <w:tab/>
      </w:r>
      <w:r>
        <w:rPr>
          <w:rFonts w:ascii="Times New Roman" w:cs="Times New Roman" w:eastAsia="Times New Roman" w:hAnsi="Times New Roman"/>
          <w:sz w:val="21"/>
          <w:szCs w:val="21"/>
          <w:u w:val="single" w:color="auto"/>
          <w:color w:val="auto"/>
        </w:rPr>
        <w:t>No Right of Contribution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After the Effective Date, the Company shall have no liability to indemnify a Member on account of the breach of any representation or warranty or the nonfulfillment of any covenant or agreement of the Company; and no Member shall have any right of contribution against the Company.</w:t>
      </w:r>
    </w:p>
    <w:p>
      <w:pPr>
        <w:spacing w:after="0" w:line="173"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e.</w:t>
      </w:r>
      <w:r>
        <w:rPr>
          <w:sz w:val="20"/>
          <w:szCs w:val="20"/>
          <w:color w:val="auto"/>
        </w:rPr>
        <w:tab/>
      </w:r>
      <w:r>
        <w:rPr>
          <w:rFonts w:ascii="Times New Roman" w:cs="Times New Roman" w:eastAsia="Times New Roman" w:hAnsi="Times New Roman"/>
          <w:sz w:val="21"/>
          <w:szCs w:val="21"/>
          <w:u w:val="single" w:color="auto"/>
          <w:color w:val="auto"/>
        </w:rPr>
        <w:t>Limitation on Liability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2"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2"/>
          <w:szCs w:val="22"/>
          <w:color w:val="auto"/>
        </w:rPr>
        <w:t>The indemnification obligations pursuant to this Article 11 shall be subject to the following limitations:</w:t>
      </w:r>
    </w:p>
    <w:p>
      <w:pPr>
        <w:spacing w:after="0" w:line="220"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21"/>
          <w:szCs w:val="21"/>
          <w:color w:val="auto"/>
        </w:rPr>
        <w:t>(i)Damages paid pursuant to this Article 11 shall be treated as a non-taxable adjustment to purchase price or return of capital for federal income tax purposes unless the Class A Member receives an opinion at a “more likely than not” level or higher from a nationally-recognized law firm that such amount is taxable. If such opinion is received, Damages paid pursuant to this Article 11 shall be grossed- up and paid on an After-Tax Basis. To the extent an Indemnified Party subsequently recovers all or a part of the Damages indemnified under this Article 11, the Indemnified Party shall promptly refund the applicable Member(s) that paid such Damages the recovered Damages on an After-Tax Basis; provided that any such refund shall not exceed the original amount paid to the Indemnified Party by the applicable Member(s) (on an After-Tax Basis) hereunder.</w:t>
      </w:r>
    </w:p>
    <w:p>
      <w:pPr>
        <w:spacing w:after="0" w:line="173" w:lineRule="exact"/>
        <w:rPr>
          <w:sz w:val="20"/>
          <w:szCs w:val="20"/>
          <w:color w:val="auto"/>
        </w:rPr>
      </w:pPr>
    </w:p>
    <w:p>
      <w:pPr>
        <w:jc w:val="both"/>
        <w:ind w:firstLine="384"/>
        <w:spacing w:after="0" w:line="250" w:lineRule="auto"/>
        <w:rPr>
          <w:sz w:val="20"/>
          <w:szCs w:val="20"/>
          <w:color w:val="auto"/>
        </w:rPr>
      </w:pPr>
      <w:r>
        <w:rPr>
          <w:rFonts w:ascii="Times New Roman" w:cs="Times New Roman" w:eastAsia="Times New Roman" w:hAnsi="Times New Roman"/>
          <w:sz w:val="22"/>
          <w:szCs w:val="22"/>
          <w:color w:val="auto"/>
        </w:rPr>
        <w:t>(ii)The indemnification obligations under this Article 11 shall be limited to actual Damages and shall not include special, incidental, consequential, indirect, punitive, or exemplary Damages (including lost profits and damages for a lost opportunity); provided, that any incidental, consequential, indirect, punitive, or exemplary Damages recovered by a third party (including Governmental Authorities) against a Person entitled to indemnity pursuant to this Article 11 shall be included in the Damages recoverable under such indemnity.</w:t>
      </w:r>
    </w:p>
    <w:p>
      <w:pPr>
        <w:spacing w:after="0" w:line="181"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f.</w:t>
      </w:r>
      <w:r>
        <w:rPr>
          <w:sz w:val="20"/>
          <w:szCs w:val="20"/>
          <w:color w:val="auto"/>
        </w:rPr>
        <w:tab/>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Article 11 of this Agreement constitutes the entire agreement and understanding of the parties with respect to indemnification hereunder.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DISSOLUTION, LIQUIDATION AND TERMINATION</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Dissolution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71" w:lineRule="auto"/>
        <w:rPr>
          <w:sz w:val="20"/>
          <w:szCs w:val="20"/>
          <w:color w:val="auto"/>
        </w:rPr>
      </w:pPr>
      <w:r>
        <w:rPr>
          <w:rFonts w:ascii="Times New Roman" w:cs="Times New Roman" w:eastAsia="Times New Roman" w:hAnsi="Times New Roman"/>
          <w:sz w:val="22"/>
          <w:szCs w:val="22"/>
          <w:color w:val="auto"/>
        </w:rPr>
        <w:t>(i)The Company will dissolve and its business and affairs will be wound up on the first to occur of the following (the “</w:t>
      </w:r>
      <w:r>
        <w:rPr>
          <w:rFonts w:ascii="Times New Roman" w:cs="Times New Roman" w:eastAsia="Times New Roman" w:hAnsi="Times New Roman"/>
          <w:sz w:val="22"/>
          <w:szCs w:val="22"/>
          <w:b w:val="1"/>
          <w:bCs w:val="1"/>
          <w:color w:val="auto"/>
        </w:rPr>
        <w:t>Liquidating Events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600" w:hanging="648"/>
        <w:spacing w:after="0"/>
        <w:tabs>
          <w:tab w:leader="none" w:pos="260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unanimous consent of the Members to dissolve the Company;</w:t>
      </w:r>
    </w:p>
    <w:p>
      <w:pPr>
        <w:spacing w:after="0" w:line="219"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7"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event upon the occurrence of which dissolution is required by the Act (that the Act does not allow to be waived by agreement of the Parties), unless, to the extent permitted by the Act, Members (other than the Member with respect to which such event occurs) unanimously elect in writing, within ninety (90) days of the date such event described in this Section 12.1(a)(ii) occurs, to continue the business of the Company, in which case the Company will not dissolve;</w:t>
      </w:r>
    </w:p>
    <w:p>
      <w:pPr>
        <w:spacing w:after="0" w:line="163"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transfer or other disposition by the Company of all or substantially all of its business and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Assets;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284" w:name="page285"/>
    <w:bookmarkEnd w:id="284"/>
    <w:p>
      <w:pPr>
        <w:ind w:right="20" w:firstLine="1952"/>
        <w:spacing w:after="0" w:line="271" w:lineRule="auto"/>
        <w:tabs>
          <w:tab w:leader="none" w:pos="2587"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 is not admitted as a member of Class B Member and the Safe Harbor Equipment is not contributed to the Company on or before the Outside Admission Date.</w:t>
      </w:r>
    </w:p>
    <w:p>
      <w:pPr>
        <w:spacing w:after="0" w:line="158" w:lineRule="exact"/>
        <w:rPr>
          <w:sz w:val="20"/>
          <w:szCs w:val="20"/>
          <w:color w:val="auto"/>
        </w:rPr>
      </w:pPr>
    </w:p>
    <w:p>
      <w:pPr>
        <w:jc w:val="both"/>
        <w:ind w:firstLine="384"/>
        <w:spacing w:after="0" w:line="271" w:lineRule="auto"/>
        <w:rPr>
          <w:sz w:val="20"/>
          <w:szCs w:val="20"/>
          <w:color w:val="auto"/>
        </w:rPr>
      </w:pPr>
      <w:r>
        <w:rPr>
          <w:rFonts w:ascii="Times New Roman" w:cs="Times New Roman" w:eastAsia="Times New Roman" w:hAnsi="Times New Roman"/>
          <w:sz w:val="22"/>
          <w:szCs w:val="22"/>
          <w:color w:val="auto"/>
        </w:rPr>
        <w:t>(ii)Each Member agrees that, to the fullest extent permitted by Law, it will not dissolve itself or the Company or withdraw from the Company except as set forth in Section 12.1(a).</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Liquidation and 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22"/>
          <w:szCs w:val="22"/>
          <w:color w:val="auto"/>
        </w:rPr>
        <w:t>(i)On dissolution of the Company, the Manager shall, with the Consent of the Members, act as liquidator. The liquidator shall proceed diligently to wind up the affairs of the Company and make final distributions as provided in this Agreement. The costs of liquidation will be borne as a Company Reimbursable Expense. Until final distribution, the liquidator shall continue to operate the Company with all of the power and authority of the Members. The steps to be accomplished by the liquidator are as follows:</w:t>
      </w:r>
    </w:p>
    <w:p>
      <w:pPr>
        <w:spacing w:after="0" w:line="181" w:lineRule="exact"/>
        <w:rPr>
          <w:sz w:val="20"/>
          <w:szCs w:val="20"/>
          <w:color w:val="auto"/>
        </w:rPr>
      </w:pPr>
    </w:p>
    <w:p>
      <w:pPr>
        <w:jc w:val="both"/>
        <w:ind w:firstLine="1952"/>
        <w:spacing w:after="0" w:line="252" w:lineRule="auto"/>
        <w:tabs>
          <w:tab w:leader="none" w:pos="2587"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after dissolution and again after final liquidation, the liquidator shall cause a proper accounting to be made by the Certified Public Accountant of the Company’s Assets, liabilities, and operations through the last day of the calendar month in which the dissolution occurs or the final liquidation is completed, as applicable.</w:t>
      </w:r>
    </w:p>
    <w:p>
      <w:pPr>
        <w:spacing w:after="0" w:line="17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liquidator shall pay from Company funds all of the debts and liabilities of the Company or otherwise make adequate provision for them (including the establishment of a cash escrow fund for contingent, conditional or unmatured liabilities in such amount and for such term as the liquidator may reasonably determine).</w:t>
      </w:r>
    </w:p>
    <w:p>
      <w:pPr>
        <w:spacing w:after="0" w:line="17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remaining Assets of the Company:</w:t>
      </w:r>
    </w:p>
    <w:p>
      <w:pPr>
        <w:spacing w:after="0" w:line="220" w:lineRule="exact"/>
        <w:rPr>
          <w:sz w:val="20"/>
          <w:szCs w:val="20"/>
          <w:color w:val="auto"/>
        </w:rPr>
      </w:pPr>
    </w:p>
    <w:p>
      <w:pPr>
        <w:jc w:val="both"/>
        <w:ind w:left="1300" w:firstLine="1092"/>
        <w:spacing w:after="0" w:line="257" w:lineRule="auto"/>
        <w:rPr>
          <w:sz w:val="20"/>
          <w:szCs w:val="20"/>
          <w:color w:val="auto"/>
        </w:rPr>
      </w:pPr>
      <w:r>
        <w:rPr>
          <w:rFonts w:ascii="Times New Roman" w:cs="Times New Roman" w:eastAsia="Times New Roman" w:hAnsi="Times New Roman"/>
          <w:sz w:val="22"/>
          <w:szCs w:val="22"/>
          <w:color w:val="auto"/>
        </w:rPr>
        <w:t>(i)the liquidator shall use all commercially reasonable efforts to obtain the best possible price and may sell any or all Company Assets (subject to any and all restrictions to which the Pinnacle Project is subject), including to the Members at such price, but in no event lower than the Fair Market Value thereof; and</w:t>
      </w:r>
    </w:p>
    <w:p>
      <w:pPr>
        <w:spacing w:after="0" w:line="65" w:lineRule="exact"/>
        <w:rPr>
          <w:sz w:val="20"/>
          <w:szCs w:val="20"/>
          <w:color w:val="auto"/>
        </w:rPr>
      </w:pPr>
    </w:p>
    <w:p>
      <w:pPr>
        <w:jc w:val="both"/>
        <w:ind w:left="1300" w:firstLine="1032"/>
        <w:spacing w:after="0" w:line="271" w:lineRule="auto"/>
        <w:rPr>
          <w:sz w:val="20"/>
          <w:szCs w:val="20"/>
          <w:color w:val="auto"/>
        </w:rPr>
      </w:pPr>
      <w:r>
        <w:rPr>
          <w:rFonts w:ascii="Times New Roman" w:cs="Times New Roman" w:eastAsia="Times New Roman" w:hAnsi="Times New Roman"/>
          <w:sz w:val="22"/>
          <w:szCs w:val="22"/>
          <w:color w:val="auto"/>
        </w:rPr>
        <w:t>(ii)with respect to all Company Assets that have not been sold, the Values of such Assets shall be determined pursuant to subparagraph (b) of the definition of Value.</w:t>
      </w:r>
    </w:p>
    <w:p>
      <w:pPr>
        <w:spacing w:after="0" w:line="50" w:lineRule="exact"/>
        <w:rPr>
          <w:sz w:val="20"/>
          <w:szCs w:val="20"/>
          <w:color w:val="auto"/>
        </w:rPr>
      </w:pPr>
    </w:p>
    <w:p>
      <w:pPr>
        <w:jc w:val="both"/>
        <w:ind w:firstLine="1952"/>
        <w:spacing w:after="0" w:line="263" w:lineRule="auto"/>
        <w:tabs>
          <w:tab w:leader="none" w:pos="2587"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Company Items of income and gain (including any such items attributable to the disposition or deemed disposition of Assets pursuant to Section 12.2(a)(iii)) for the Taxable Year during which the distribution of liquidation proceeds occurs that have not been allocated pursuant to the Regulatory Allocations shall first be allocated to each Member having a deficit balance in its Capital Account, in the proportion that such deficit balance bears to the total deficit balances in the Capital Accounts of all Members, until each Member has been allocated Company Items of income and gain equal to any such deficit balance in its Capital Account and such deficit balance has thereby been eliminated. Any remaining Company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285" w:name="page286"/>
    <w:bookmarkEnd w:id="285"/>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for such Taxable Year during which the distribution of liquidation proceeds occurs shall be allocated among the Members in such manner as to ensure that, to the greatest extent feasible, following these allocations, the balances in the Capital Accounts of the Members are expected to result in distributions pursuant to Section 12.2(a)(v) in accordance with the sharing ratios set forth in Section 5.1(a)(ii);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of a liquidation prior to the Tax Equity Funding Date, any remaining Company Items for such Taxable Year during which the distribution of liquidation proceeds occurs shall be allocated among the Members pro rata in proportion to the balances in the Capital Accounts of the Members at the time of such liquidation; and</w:t>
      </w:r>
    </w:p>
    <w:p>
      <w:pPr>
        <w:spacing w:after="0" w:line="167" w:lineRule="exact"/>
        <w:rPr>
          <w:sz w:val="20"/>
          <w:szCs w:val="20"/>
          <w:color w:val="auto"/>
        </w:rPr>
      </w:pPr>
    </w:p>
    <w:p>
      <w:pPr>
        <w:jc w:val="both"/>
        <w:ind w:firstLine="1952"/>
        <w:spacing w:after="0" w:line="252" w:lineRule="auto"/>
        <w:tabs>
          <w:tab w:leader="none" w:pos="2587"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all allocations (including those under Section 4.2 and Section 12.2(a)(iv)), all prior distributions (including those under Section 5.1) and all Capital Contributions (including those under Section 3.1, Section 3.2 and Section 3.3) for all periods, all remaining cash and property (including any Available Cash Flow and liquidation proceeds) shall be distributed to the Members in accordance with the positive balances in their Capital Accounts.</w:t>
      </w:r>
    </w:p>
    <w:p>
      <w:pPr>
        <w:spacing w:after="0" w:line="17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distribution to the Members in respect of their Capital Accounts pursuant to this Section 12.2 shall be made by the end of the Company taxable year in which a Liquidating Event occurs (or if later, within ninety (90) days after the date of such Liquidating Event).</w:t>
      </w:r>
    </w:p>
    <w:p>
      <w:pPr>
        <w:spacing w:after="0" w:line="173" w:lineRule="exact"/>
        <w:rPr>
          <w:sz w:val="20"/>
          <w:szCs w:val="20"/>
          <w:color w:val="auto"/>
        </w:rPr>
      </w:pPr>
    </w:p>
    <w:p>
      <w:pPr>
        <w:jc w:val="both"/>
        <w:ind w:firstLine="384"/>
        <w:spacing w:after="0" w:line="252" w:lineRule="auto"/>
        <w:rPr>
          <w:sz w:val="20"/>
          <w:szCs w:val="20"/>
          <w:color w:val="auto"/>
        </w:rPr>
      </w:pPr>
      <w:r>
        <w:rPr>
          <w:rFonts w:ascii="Times New Roman" w:cs="Times New Roman" w:eastAsia="Times New Roman" w:hAnsi="Times New Roman"/>
          <w:sz w:val="22"/>
          <w:szCs w:val="22"/>
          <w:color w:val="auto"/>
        </w:rPr>
        <w:t>(ii)The distribution of cash or property to a Member in accordance with the provisions of this Section 12.2 constitutes a complete return to the Member of its Capital Contributions and a complete distribution to the Member on account of its Membership Interest and all the Company’s property and constitutes a compromise to which all Members have consented pursuant to Section 18-502(b) of the Act.</w:t>
      </w:r>
    </w:p>
    <w:p>
      <w:pPr>
        <w:spacing w:after="0" w:line="179"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Deficit Capital Accounts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444"/>
        <w:spacing w:after="0" w:line="271" w:lineRule="auto"/>
        <w:rPr>
          <w:sz w:val="20"/>
          <w:szCs w:val="20"/>
          <w:color w:val="auto"/>
        </w:rPr>
      </w:pPr>
      <w:r>
        <w:rPr>
          <w:rFonts w:ascii="Times New Roman" w:cs="Times New Roman" w:eastAsia="Times New Roman" w:hAnsi="Times New Roman"/>
          <w:sz w:val="22"/>
          <w:szCs w:val="22"/>
          <w:color w:val="auto"/>
        </w:rPr>
        <w:t>(i)Except as expressly provided in this Section 12.3, no Member shall be obligated to contribute cash to restore a deficit in its Capital Account balance.</w:t>
      </w:r>
    </w:p>
    <w:p>
      <w:pPr>
        <w:spacing w:after="0" w:line="158"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22"/>
          <w:szCs w:val="22"/>
          <w:color w:val="auto"/>
        </w:rPr>
        <w:t>(ii)In the event the Class A Member’s interests in the Company are “liquidated” within the meaning of Treasury Regulations Section 1.704-1(b)(2)(ii)(g), if the Class A Member has a deficit Capital Account balance in excess of the amount such Class A Member is deemed obligated to restore pursuant to the penultimate sentences of Treasury Regulations Section 1.704- 2(g)(1) and 1.704-2(i)(5) (an “</w:t>
      </w:r>
      <w:r>
        <w:rPr>
          <w:rFonts w:ascii="Times New Roman" w:cs="Times New Roman" w:eastAsia="Times New Roman" w:hAnsi="Times New Roman"/>
          <w:sz w:val="22"/>
          <w:szCs w:val="22"/>
          <w:b w:val="1"/>
          <w:bCs w:val="1"/>
          <w:color w:val="auto"/>
        </w:rPr>
        <w:t>Adjusted Deficit Capital Account Balance</w:t>
      </w:r>
      <w:r>
        <w:rPr>
          <w:rFonts w:ascii="Times New Roman" w:cs="Times New Roman" w:eastAsia="Times New Roman" w:hAnsi="Times New Roman"/>
          <w:sz w:val="22"/>
          <w:szCs w:val="22"/>
          <w:color w:val="auto"/>
        </w:rPr>
        <w:t>”), then the Class A Member shall be obligated to pay and restore to the Company cash in an amount equal to such Adjusted Deficit Capital Account Balance by the end of the Taxable Year during which the liquidation of the Company occurs, or if later, within ninety (90) days after the date of such liquidation; provided, however, that such restoration obligation of the Class A Member shall not, under any circumstances be more than its Class A DRO Amount.</w:t>
      </w:r>
    </w:p>
    <w:p>
      <w:pPr>
        <w:spacing w:after="0" w:line="185"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2"/>
          <w:szCs w:val="22"/>
          <w:color w:val="auto"/>
        </w:rPr>
        <w:t>(iii)In the event the Class B Member’s interests in the Company are “liquidated” within the meaning of Treasury Regulations Section 1.704-1(b)(2)(ii)(g), if the Class B Member has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2" w:right="339" w:bottom="1440" w:gutter="0" w:footer="0" w:header="0"/>
        </w:sectPr>
      </w:pPr>
    </w:p>
    <w:bookmarkStart w:id="286" w:name="page287"/>
    <w:bookmarkEnd w:id="286"/>
    <w:p>
      <w:pPr>
        <w:jc w:val="both"/>
        <w:spacing w:after="0" w:line="248" w:lineRule="auto"/>
        <w:rPr>
          <w:sz w:val="20"/>
          <w:szCs w:val="20"/>
          <w:color w:val="auto"/>
        </w:rPr>
      </w:pPr>
      <w:r>
        <w:rPr>
          <w:rFonts w:ascii="Times New Roman" w:cs="Times New Roman" w:eastAsia="Times New Roman" w:hAnsi="Times New Roman"/>
          <w:sz w:val="22"/>
          <w:szCs w:val="22"/>
          <w:color w:val="auto"/>
        </w:rPr>
        <w:t>deficit Capital Account balance in excess of the amount such Class B Member is deemed obligated to restore pursuant to the penultimate sentences of Treasury Regulations Section 1.704- 2(g)(1) and 1.704-2(i)(5) (an “</w:t>
      </w:r>
      <w:r>
        <w:rPr>
          <w:rFonts w:ascii="Times New Roman" w:cs="Times New Roman" w:eastAsia="Times New Roman" w:hAnsi="Times New Roman"/>
          <w:sz w:val="22"/>
          <w:szCs w:val="22"/>
          <w:b w:val="1"/>
          <w:bCs w:val="1"/>
          <w:color w:val="auto"/>
        </w:rPr>
        <w:t>Adjusted Deficit Capital Account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Balance</w:t>
      </w:r>
      <w:r>
        <w:rPr>
          <w:rFonts w:ascii="Times New Roman" w:cs="Times New Roman" w:eastAsia="Times New Roman" w:hAnsi="Times New Roman"/>
          <w:sz w:val="22"/>
          <w:szCs w:val="22"/>
          <w:color w:val="auto"/>
        </w:rPr>
        <w:t>”), then the Class B Member shall be obligated to pay and restore to the Company cash in an amount equal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Adjusted Deficit Capital Account Balance by the end of the Taxable Year during which the liquidation of the Company occurs, or if later, within ninety (90) days after the date of such liquidation; provided, however, that such restoration obligation of the Class B Member shall not, under any circumstances be more than its Class B DRO Amount.</w:t>
      </w:r>
    </w:p>
    <w:p>
      <w:pPr>
        <w:spacing w:after="0" w:line="18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d.</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On completion of the satisfaction of liabilities and distribution of Assets as provided in this Agreement, the Manager (or such other Person or Persons as the Act may require or permit) shall file a certificate of cancellation with the Secretary of State of the State of Delaware and cancel any other filings made as provided in Section 2.1, and shall take such other actions as may be necessary to terminate the existence of the Company. Upon the filing of such certificate of cancellation, the existence of the Company shall terminate (and the term of the Company shall end), except as may be otherwise provided by the Act or other applicable Law. All costs and expenses in fulfilling the obligations under this Section 12.4 shall be borne by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37"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a.</w:t>
      </w:r>
      <w:r>
        <w:rPr>
          <w:sz w:val="20"/>
          <w:szCs w:val="20"/>
          <w:color w:val="auto"/>
        </w:rPr>
        <w:tab/>
      </w:r>
      <w:r>
        <w:rPr>
          <w:rFonts w:ascii="Times New Roman" w:cs="Times New Roman" w:eastAsia="Times New Roman" w:hAnsi="Times New Roman"/>
          <w:sz w:val="21"/>
          <w:szCs w:val="21"/>
          <w:u w:val="single" w:color="auto"/>
          <w:color w:val="auto"/>
        </w:rPr>
        <w:t>Offset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Whenever the Company (or another Person on behalf of the Company) is to pay any sum to any Member, any amounts then owed by such Member to the Company may be deducted from such sum before payment, provided that no Member’s obligation to make Capital Contributions may be deducted from any payment amounts without such Member’s consent.</w:t>
      </w:r>
    </w:p>
    <w:p>
      <w:pPr>
        <w:spacing w:after="0" w:line="17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b.</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All notices, consents, demands, requests or other communications which may be or are required to be given under this Agreement shall be in writing and shall (a) be sent by overnight courier, facsimile, electronic mail or United States mail, addressed to the recipient, postage paid, and registered or certified, return receipt requested, or delivered to the recipient in person and (b) be sent or delivered, in each case, at the addresses set forth on the signature page of this Agreement or such other address as a Member may specify by notice to the Company and the other Members; provided, that any financial models or reports required to be delivered under this Agreement shall be emailed to [***] and additionally, may be uploaded to a data site mutually agreed to by the Members. Any notice, request or consent to the Company must be given to the Manager. Notices, consents, demands, requests and other communications shall be deemed effective or served on the date of receipt at the address of the Person to receive it.</w:t>
      </w:r>
    </w:p>
    <w:p>
      <w:pPr>
        <w:spacing w:after="0" w:line="191"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c.</w:t>
      </w:r>
      <w:r>
        <w:rPr>
          <w:sz w:val="20"/>
          <w:szCs w:val="20"/>
          <w:color w:val="auto"/>
        </w:rPr>
        <w:tab/>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287" w:name="page288"/>
    <w:bookmarkEnd w:id="287"/>
    <w:p>
      <w:pPr>
        <w:jc w:val="both"/>
        <w:spacing w:after="0" w:line="252" w:lineRule="auto"/>
        <w:rPr>
          <w:sz w:val="20"/>
          <w:szCs w:val="20"/>
          <w:color w:val="auto"/>
        </w:rPr>
      </w:pPr>
      <w:r>
        <w:rPr>
          <w:rFonts w:ascii="Times New Roman" w:cs="Times New Roman" w:eastAsia="Times New Roman" w:hAnsi="Times New Roman"/>
          <w:sz w:val="22"/>
          <w:szCs w:val="22"/>
          <w:color w:val="auto"/>
        </w:rPr>
        <w:t>This Agreement may be executed in one or more counterparts, each bearing the signatures of one or more Members. Each such counterpart shall be considered an original and all of such counterparts shall constitute a single agreement binding all the parties as if all had signed a single document. Facsimile, electronic mail or pdf signatures shall be accepted as original signatures for purposes of this Agreement.</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d.</w:t>
      </w:r>
      <w:r>
        <w:rPr>
          <w:sz w:val="20"/>
          <w:szCs w:val="20"/>
          <w:color w:val="auto"/>
        </w:rPr>
        <w:tab/>
      </w:r>
      <w:r>
        <w:rPr>
          <w:rFonts w:ascii="Times New Roman" w:cs="Times New Roman" w:eastAsia="Times New Roman" w:hAnsi="Times New Roman"/>
          <w:sz w:val="21"/>
          <w:szCs w:val="21"/>
          <w:u w:val="single" w:color="auto"/>
          <w:color w:val="auto"/>
        </w:rPr>
        <w:t>Governing Law and Severability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Agreement shall be construed, interpreted and enforced in accordance with the internal laws and decisions of the State of Delaware without giving effect to any choice of law or conflict of law rules or provisions of any other state or jurisdiction that would cause the application of the laws of any jurisdiction other than the State of Delaware. If any provision of this Agreement shall be contrary to any other applicable Law, at the present time or in the future, such provision shall be deemed null and void, but this shall not affect the legality of the remaining provisions of this Agreement. This Agreement shall be deemed to be modified and amended so as to be in compliance with applicable Law and this Agreement shall then be construed in such a way as will best serve the intention of the Parties at the time of the execution of this Agreement.</w:t>
      </w:r>
    </w:p>
    <w:p>
      <w:pPr>
        <w:spacing w:after="0" w:line="182"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e.</w:t>
      </w:r>
      <w:r>
        <w:rPr>
          <w:sz w:val="20"/>
          <w:szCs w:val="20"/>
          <w:color w:val="auto"/>
        </w:rPr>
        <w:tab/>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Agreement, including any Annexes, Schedules and Exhibits, together with the other Investment Documents, constitutes the entire agreement among the Members regarding the terms and operations of the Company, except as amended in writing pursuant to the requirements of this Agreement, and supersedes all prior and contemporaneous agreements, statements, understandings and representations of the Parties.</w:t>
      </w:r>
    </w:p>
    <w:p>
      <w:pPr>
        <w:spacing w:after="0" w:line="179"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f.</w:t>
      </w:r>
      <w:r>
        <w:rPr>
          <w:sz w:val="20"/>
          <w:szCs w:val="20"/>
          <w:color w:val="auto"/>
        </w:rPr>
        <w:tab/>
      </w:r>
      <w:r>
        <w:rPr>
          <w:rFonts w:ascii="Times New Roman" w:cs="Times New Roman" w:eastAsia="Times New Roman" w:hAnsi="Times New Roman"/>
          <w:sz w:val="21"/>
          <w:szCs w:val="21"/>
          <w:u w:val="single" w:color="auto"/>
          <w:color w:val="auto"/>
        </w:rPr>
        <w:t>Effect of Waiver or Consent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A waiver or consent, express or implied, to or of any breach or default by any Person in the performance by that Person of its obligations under this Agreement, or any Investment Document is not a consent or waiver to or of any other breach or default in the performance by that Person of the same or any other obligations of that Person under this Agreement, or any Investment Document. Failure on the part of a Person to complain of any act of any Person or to declare any Person in default with respect to its obligations under this Agreement, or any Investment Document, irrespective of how long that failure continues, does not constitute a waiver by that Person of its rights with respect to that default until the applicable statute of limitations period has run.</w:t>
      </w:r>
    </w:p>
    <w:p>
      <w:pPr>
        <w:spacing w:after="0" w:line="16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g.</w:t>
      </w:r>
      <w:r>
        <w:rPr>
          <w:sz w:val="20"/>
          <w:szCs w:val="20"/>
          <w:color w:val="auto"/>
        </w:rPr>
        <w:tab/>
      </w:r>
      <w:r>
        <w:rPr>
          <w:rFonts w:ascii="Times New Roman" w:cs="Times New Roman" w:eastAsia="Times New Roman" w:hAnsi="Times New Roman"/>
          <w:sz w:val="21"/>
          <w:szCs w:val="21"/>
          <w:u w:val="single" w:color="auto"/>
          <w:color w:val="auto"/>
        </w:rPr>
        <w:t>Amendment or Modification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Except as otherwise provided herein, this Agreement may be amended or modified from time to time only by a written instrument executed by all Members.</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h.</w:t>
      </w:r>
      <w:r>
        <w:rPr>
          <w:sz w:val="20"/>
          <w:szCs w:val="20"/>
          <w:color w:val="auto"/>
        </w:rPr>
        <w:tab/>
      </w: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22" w:right="339" w:bottom="1440" w:gutter="0" w:footer="0" w:header="0"/>
        </w:sectPr>
      </w:pPr>
    </w:p>
    <w:bookmarkStart w:id="288" w:name="page289"/>
    <w:bookmarkEnd w:id="288"/>
    <w:p>
      <w:pPr>
        <w:jc w:val="both"/>
        <w:spacing w:after="0" w:line="271" w:lineRule="auto"/>
        <w:rPr>
          <w:sz w:val="20"/>
          <w:szCs w:val="20"/>
          <w:color w:val="auto"/>
        </w:rPr>
      </w:pPr>
      <w:r>
        <w:rPr>
          <w:rFonts w:ascii="Times New Roman" w:cs="Times New Roman" w:eastAsia="Times New Roman" w:hAnsi="Times New Roman"/>
          <w:sz w:val="22"/>
          <w:szCs w:val="22"/>
          <w:color w:val="auto"/>
        </w:rPr>
        <w:t>Subject to the restrictions on Transfers set forth in this Agreement, this Agreement is binding on and inures to the benefit of the Members and their respective legal representatives, permitted successors and permitted assigns.</w:t>
      </w:r>
    </w:p>
    <w:p>
      <w:pPr>
        <w:spacing w:after="0" w:line="15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i.</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connection with this Agreement and the transactions contemplated hereby, each Member shall execute and deliver any additional documents and instruments and perform any additional acts that may be necessary or appropriate to effectuate and perform the provisions of this Agreement and those transactions contemplated here, including all filing, recording, publishing and other acts appropriate to comply with all requirements for the operation of a limited liability company under the laws of all jurisdictions where the Company shall conduct business.</w:t>
      </w:r>
    </w:p>
    <w:p>
      <w:pPr>
        <w:spacing w:after="0" w:line="181"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j.</w:t>
      </w:r>
      <w:r>
        <w:rPr>
          <w:sz w:val="20"/>
          <w:szCs w:val="20"/>
          <w:color w:val="auto"/>
        </w:rPr>
        <w:tab/>
      </w:r>
      <w:r>
        <w:rPr>
          <w:rFonts w:ascii="Times New Roman" w:cs="Times New Roman" w:eastAsia="Times New Roman" w:hAnsi="Times New Roman"/>
          <w:sz w:val="21"/>
          <w:szCs w:val="21"/>
          <w:u w:val="single" w:color="auto"/>
          <w:color w:val="auto"/>
        </w:rPr>
        <w:t>Jurisdiction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Parties agree to submit to the exclusive jurisdiction of the Supreme Court of the State of New York and the Federal District Court located in the Borough of Manhattan, State of New York, and any court of appeal from either thereof, in connection with any action or other proceeding relating to this Agreement or the transactions contemplated hereby. Each Party irrevocably waives and agrees not to make, to the fullest extent permitted by Law, any objection which it may now or hereafter have to the jurisdiction of any such court or to the laying of venue of any such action or proceeding brought in any such court and any claim that any such action or proceeding brought in any such court has been brought in an inconvenient forum.</w:t>
      </w:r>
    </w:p>
    <w:p>
      <w:pPr>
        <w:spacing w:after="0" w:line="18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k.</w:t>
      </w:r>
      <w:r>
        <w:rPr>
          <w:sz w:val="20"/>
          <w:szCs w:val="20"/>
          <w:color w:val="auto"/>
        </w:rPr>
        <w:tab/>
      </w:r>
      <w:r>
        <w:rPr>
          <w:rFonts w:ascii="Times New Roman" w:cs="Times New Roman" w:eastAsia="Times New Roman" w:hAnsi="Times New Roman"/>
          <w:sz w:val="21"/>
          <w:szCs w:val="21"/>
          <w:u w:val="single" w:color="auto"/>
          <w:color w:val="auto"/>
        </w:rPr>
        <w:t>LIMITATION ON LIABILITY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Subject to Section 11.5(b) hereof, NO PARTY HERETO NOR ANY OF ITS AFFILIATES, DIRECTORS, EMPLOYEES, ATTORNEYS OR AGENTS SHALL BE LIABLE TO ANY OTHER PARTY HERETO OR ANY OF ITS AFFILIATES, DIRECTORS, EMPLOYEES, ATTORNEYS OR AGENTS FOR ANY SPECIAL, INCIDENTAL, CONSEQUENTIAL, PUNITIVE, OR EXEMPLARY DAMAGES (INCLUDING DAMAGES FOR LOST OPPORTUNITY, LOST PROFITS OR REVENUES OR LOSS OF USE OF SUCH PROFITS OR REVENUES) (WHETHER OR NOT THE CLAIM THEREFORE IS BASED ON CONTRACT, TORT, DUTY IMPOSED BY LAW OR OTHERWISE), IN CONNECTION WITH, ARISING OUT OF OR IN ANY WAY RELATED TO THE TRANSACTIONS CONTEMPLATED BY THIS AGREEMENT OR THE OTHER INVESTMENT DOCUMENTS OR ANY ACT OR OMISSION OR EVENT OCCURRING IN CONNECTION THEREWITH; AND EACH PARTY HEREBY WAIVES, RELEASES AND AGREES NOT TO SUE UPON ANY SUCH CLAIM FOR ANY SUCH SPECIAL, INCIDENTAL, CONSEQUENTIAL, PUNITIVE, OR EXEMPLARY DAMAGES, WHETHER OR NOT ACCRUED AND WHETHER OR NOT KNOWN OR SUSPECTED TO EXIST IN ITS FAVOR, PROVIDED, HOWEVER, THAT TO THE EXTENT A BREACH RESULTS IN THE LOSS, DISALLOWANCE OR REDUCTION OF PTCS, THE VALUE OF SUCH LOST, DISALLOWED OR REDUCED PTCS SHALL NOT CONSTITUTE SPECIAL, INCIDENTAL, CONSEQUENTIAL, PUNITIVE, OR EXEMPLARY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2" w:right="339" w:bottom="1440" w:gutter="0" w:footer="0" w:header="0"/>
        </w:sectPr>
      </w:pPr>
    </w:p>
    <w:bookmarkStart w:id="289" w:name="page290"/>
    <w:bookmarkEnd w:id="289"/>
    <w:p>
      <w:pPr>
        <w:jc w:val="right"/>
        <w:ind w:right="341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9919"/>
          </w:cols>
          <w:pgMar w:left="540" w:top="1422"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written above.</w:t>
      </w:r>
    </w:p>
    <w:p>
      <w:pPr>
        <w:spacing w:after="0" w:line="24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CLASS B MEMBER</w:t>
      </w:r>
    </w:p>
    <w:p>
      <w:pPr>
        <w:spacing w:after="0" w:line="24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CWSP PINNACLE HOLDING LLC</w:t>
      </w:r>
    </w:p>
    <w:p>
      <w:pPr>
        <w:spacing w:after="0" w:line="24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By: Clearway Renew LLC</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Craig Cornelius</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Craig Cornelius</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CLASS A MEMBER</w:t>
      </w:r>
    </w:p>
    <w:p>
      <w:pPr>
        <w:spacing w:after="0" w:line="24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CWEN PINNACLE REPOWERING HOLDCO LLC</w:t>
      </w:r>
    </w:p>
    <w:p>
      <w:pPr>
        <w:spacing w:after="0" w:line="2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Christopher S. Sotos</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Christopher S. Sotos</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Address:</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Telephone:</w:t>
      </w:r>
    </w:p>
    <w:p>
      <w:pPr>
        <w:sectPr>
          <w:pgSz w:w="11900" w:h="16838" w:orient="portrait"/>
          <w:cols w:equalWidth="0" w:num="1">
            <w:col w:w="9500"/>
          </w:cols>
          <w:pgMar w:left="980" w:top="1422" w:right="1419" w:bottom="1440" w:gutter="0" w:footer="0" w:header="0"/>
        </w:sectPr>
      </w:pPr>
    </w:p>
    <w:bookmarkStart w:id="291" w:name="page292"/>
    <w:bookmarkEnd w:id="291"/>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left w:val="single" w:sz="8" w:color="auto"/>
              <w:bottom w:val="single" w:sz="8" w:color="auto"/>
              <w:right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2011 Finance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AC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Adams Community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Adams Community Solar Garden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Adams Community Solar Garden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Adams Community Solar Gardens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Agua Caliente Borrower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Agua Caliente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Agua Caliente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Interconnection Management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Interconnection Management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Interconnection Management,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Realty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Realty Investments,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Vista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1-5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Asset Management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Asset Management,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I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II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III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III,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IV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IV,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V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V,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X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X,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XI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XI,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X-XI TE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Apple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Arapahoe Community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Avenal Park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Avenal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Bashaw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Big Lake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180"/>
          </w:cols>
          <w:pgMar w:left="400" w:top="167" w:right="319" w:bottom="1440" w:gutter="0" w:footer="0" w:header="0"/>
        </w:sectPr>
      </w:pPr>
    </w:p>
    <w:bookmarkStart w:id="292" w:name="page293"/>
    <w:bookmarkEnd w:id="292"/>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left w:val="single" w:sz="8" w:color="auto"/>
              <w:bottom w:val="single" w:sz="8" w:color="auto"/>
              <w:right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Black Cat Road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Black Start Battery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Black Start Battery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Bluestone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Brook Street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Buckthorn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Buckthorn Renewables,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Buckthorn Solar Portfolio,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Buckthorn Westex,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Buffalo Bear,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Oklahoma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Bullock Road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BWC Swan Pond River,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Carlsbad Energy Center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Carlsbad Energy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Carlsbad Holdco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Carlsbad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CBAD Holdings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CBAD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Center St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Central CA Fuel Cell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Chestnut Borrower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Chestnut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Chestnut Fund Sub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Chisago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Clara City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 View Acres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&amp; EFS Distributed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Clearway AC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Chestnut Fund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Clearway Community Energy Development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DG Lakeland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Clearway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Energy Operating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Clearway Solar Star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Thermal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Clearway Walnut Creek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West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CMR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Colorado Shared Solar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Colorado Springs Solar Garden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Continental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Crosswind Transmission,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bl>
    <w:p>
      <w:pPr>
        <w:sectPr>
          <w:pgSz w:w="11900" w:h="16838" w:orient="portrait"/>
          <w:cols w:equalWidth="0" w:num="1">
            <w:col w:w="11180"/>
          </w:cols>
          <w:pgMar w:left="400" w:top="167" w:right="319" w:bottom="1440" w:gutter="0" w:footer="0" w:header="0"/>
        </w:sectPr>
      </w:pPr>
    </w:p>
    <w:bookmarkStart w:id="293" w:name="page294"/>
    <w:bookmarkEnd w:id="293"/>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left w:val="single" w:sz="8" w:color="auto"/>
              <w:bottom w:val="single" w:sz="8" w:color="auto"/>
              <w:right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CVSR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CVSR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CWEN Pinnacle Repowering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CWEN Pinnacle Repowering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Cy-Hawk Wind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Daggett Solar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Daggett Solar Investment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Denver Community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Denver Community Solar Garden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Desert Sunlight 250,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Desert Sunlight 300,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Desert Sunlight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Desert Sunlight Investment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Berkeley Rec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Berkeley Village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Central East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Central West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Contra Costa Operations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Contra Costa Waste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Crystal Spring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Dighton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Foxborough Elm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Foxborough Landfill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Grantland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Haverhill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Imperial Admin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Imperial Building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Lathrop Louise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Lincoln Middle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Marathon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Rosedale Elementary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Rosedale Middle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San Joaquin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SREC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SREC Holdings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Tufts Knoll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Tufts Science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Washington Middle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Webster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DG-CS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DG-CS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DG-CS Master Borrower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180"/>
          </w:cols>
          <w:pgMar w:left="400" w:top="167" w:right="319" w:bottom="1440" w:gutter="0" w:footer="0" w:header="0"/>
        </w:sectPr>
      </w:pPr>
    </w:p>
    <w:bookmarkStart w:id="294" w:name="page295"/>
    <w:bookmarkEnd w:id="294"/>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left w:val="single" w:sz="8" w:color="auto"/>
              <w:bottom w:val="single" w:sz="8" w:color="auto"/>
              <w:right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3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4 Borrower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4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Fund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Fund 2 HoldCo 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Fund 2 HoldCo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Fund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Fund 4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Fund 4 Sub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HoldCo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HoldCo 3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Dodge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Eagle View Acres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Eastman Street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ECP Uptown Campus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ECP Uptown Campus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ECP Uptown Campus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El Mirage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El Segundo Energy Center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Elbow Creek Repowering Tax Equity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Elbow Creek Wind Project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Electricity Sales Princeton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Elk Lake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Elkhorn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Elkhorn Ridge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Baltimore Medical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Caguas East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Puerto Rico</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Caguas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Caguas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Caguas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Puerto Rico</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Cajuhu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Puerto Rico</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Fajardo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Fajardo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Fajardo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Puerto Rico</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Harrisburg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HCEC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Honolulu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Honolulu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Honolulu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180"/>
          </w:cols>
          <w:pgMar w:left="400" w:top="167" w:right="319" w:bottom="1440" w:gutter="0" w:footer="0" w:header="0"/>
        </w:sectPr>
      </w:pPr>
    </w:p>
    <w:bookmarkStart w:id="295" w:name="page296"/>
    <w:bookmarkEnd w:id="295"/>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200" w:type="dxa"/>
            <w:vAlign w:val="bottom"/>
          </w:tcPr>
          <w:p>
            <w:pPr>
              <w:spacing w:after="0"/>
              <w:rPr>
                <w:sz w:val="22"/>
                <w:szCs w:val="22"/>
                <w:color w:val="auto"/>
              </w:rPr>
            </w:pPr>
          </w:p>
        </w:tc>
        <w:tc>
          <w:tcPr>
            <w:tcW w:w="798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tc>
      </w:tr>
      <w:tr>
        <w:trPr>
          <w:trHeight w:val="615"/>
        </w:trPr>
        <w:tc>
          <w:tcPr>
            <w:tcW w:w="32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7"/>
        </w:trPr>
        <w:tc>
          <w:tcPr>
            <w:tcW w:w="320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960" w:type="dxa"/>
            <w:vAlign w:val="bottom"/>
            <w:tcBorders>
              <w:bottom w:val="single" w:sz="8" w:color="auto"/>
              <w:right w:val="single" w:sz="8" w:color="auto"/>
            </w:tcBorders>
            <w:shd w:val="clear" w:color="auto" w:fill="828282"/>
          </w:tcPr>
          <w:p>
            <w:pPr>
              <w:spacing w:after="0"/>
              <w:rPr>
                <w:sz w:val="22"/>
                <w:szCs w:val="22"/>
                <w:color w:val="auto"/>
              </w:rPr>
            </w:pP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Minneapolis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Omaha Holdings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Omaha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Paxton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Phoenix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Pittsburgh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Princeton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San Diego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San Francisco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Tucson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Enterprise Solar,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Escalante Solar I,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Escalante Solar II,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Escalante Solar III,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ETCAP NES CS MN 02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ETCAP NES CS MN 06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Farmington Holdco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Federal Road Solar 1,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Forest Lake Holdco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Forward WindPower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Four Brothers Holdings,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Four Brothers Solar,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Frontenac Holdco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Fuel Cell Holdings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FUSD Energy,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GCE Holding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Connecticut</w:t>
            </w:r>
          </w:p>
        </w:tc>
      </w:tr>
      <w:tr>
        <w:trPr>
          <w:trHeight w:val="236"/>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GenConn Devon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Connecticut</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GenConn Energy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Connecticut</w:t>
            </w:r>
          </w:p>
        </w:tc>
      </w:tr>
      <w:tr>
        <w:trPr>
          <w:trHeight w:val="236"/>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GenConn Middletown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Connecticut</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Goat Wind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36"/>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Golden Fields Solar III,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Golden Puma Fund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Grabinski Solar,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Granite Mountain Holdings,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Granite Mountain Renewables,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Granite Mountain Solar East,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Granite Mountain Solar West,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Green Prairie Energy,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6"/>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Greene Wind Energy,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7"/>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Hardin Hilltop Wind,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6"/>
        </w:trPr>
        <w:tc>
          <w:tcPr>
            <w:tcW w:w="32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Hardin Wind Energy, LLC</w:t>
            </w:r>
          </w:p>
        </w:tc>
        <w:tc>
          <w:tcPr>
            <w:tcW w:w="39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6"/>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Harrisburg Cooling LLC</w:t>
            </w:r>
          </w:p>
        </w:tc>
        <w:tc>
          <w:tcPr>
            <w:tcW w:w="39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180"/>
          </w:cols>
          <w:pgMar w:left="400" w:top="167" w:right="319" w:bottom="1440" w:gutter="0" w:footer="0" w:header="0"/>
        </w:sectPr>
      </w:pPr>
    </w:p>
    <w:bookmarkStart w:id="296" w:name="page297"/>
    <w:bookmarkEnd w:id="296"/>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260" w:type="dxa"/>
            <w:vAlign w:val="bottom"/>
          </w:tcPr>
          <w:p>
            <w:pPr>
              <w:spacing w:after="0"/>
              <w:rPr>
                <w:sz w:val="22"/>
                <w:szCs w:val="22"/>
                <w:color w:val="auto"/>
              </w:rPr>
            </w:pP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tc>
      </w:tr>
      <w:tr>
        <w:trPr>
          <w:trHeight w:val="615"/>
        </w:trPr>
        <w:tc>
          <w:tcPr>
            <w:tcW w:w="3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7"/>
        </w:trPr>
        <w:tc>
          <w:tcPr>
            <w:tcW w:w="326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900" w:type="dxa"/>
            <w:vAlign w:val="bottom"/>
            <w:tcBorders>
              <w:bottom w:val="single" w:sz="8" w:color="auto"/>
              <w:right w:val="single" w:sz="8" w:color="auto"/>
            </w:tcBorders>
            <w:shd w:val="clear" w:color="auto" w:fill="828282"/>
          </w:tcPr>
          <w:p>
            <w:pPr>
              <w:spacing w:after="0"/>
              <w:rPr>
                <w:sz w:val="22"/>
                <w:szCs w:val="22"/>
                <w:color w:val="auto"/>
              </w:rPr>
            </w:pP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High Plains Ranch II,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Highland Township Wind Farm,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6"/>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HLE Solar Holdings,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HSD Solar Holdings,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Huntington Beach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Hwy 14 Holdco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Iron Springs Holdings,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Iron Springs Renewables,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Iron Springs Solar,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Kawailoa Renewables,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Kawailoa Solar Holdings,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Kawailoa Solar Portfolio,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Kawailoa Solar,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Langford Class B Holdco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Langford Holding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Langford Tax Equity Partnership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Langford Wind Power,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Lanikuhana Solar,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Hawaii</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Laredo Ridge Wind,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Lenape II Solar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Lighthouse Renewable Class A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Lighthouse Renewable Holdco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Lighthouse Renewable Holdings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Lindberg Field Solar 1,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Lindberg Field Solar 2,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Longhorn Energy,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36"/>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Lookout WindPower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Mapleton Solar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Marsh Landing Holdings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Marsh Landing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MC1 Solar Farm,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North Carolina</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Mesquite Star Class B Holdco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Mesquite Star Special,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Mesquite Star Tax Equity Holdco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Minisink Solar 1,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Minisink Solar 2,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Mission Iowa Wind,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36"/>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Mission Minnesota Wind II,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Mission Wind Laredo,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Mission Wind New Mexico,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Mission Wind Oklahoma, LLC</w:t>
            </w:r>
          </w:p>
        </w:tc>
        <w:tc>
          <w:tcPr>
            <w:tcW w:w="390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Mission Wind PA One, LLC</w:t>
            </w:r>
          </w:p>
        </w:tc>
        <w:tc>
          <w:tcPr>
            <w:tcW w:w="39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180"/>
          </w:cols>
          <w:pgMar w:left="400" w:top="167" w:right="319" w:bottom="1440" w:gutter="0" w:footer="0" w:header="0"/>
        </w:sectPr>
      </w:pPr>
    </w:p>
    <w:bookmarkStart w:id="297" w:name="page298"/>
    <w:bookmarkEnd w:id="297"/>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left w:val="single" w:sz="8" w:color="auto"/>
              <w:bottom w:val="single" w:sz="8" w:color="auto"/>
              <w:right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Mission Wind PA Three,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Mission Wind PA Two,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Mission Wind Pennsylvania,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Mission Wind Utah,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Monster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Montevideo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Mount Hope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Natural Gas Repowering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New Munich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NIMH Solar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NIMH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NIMH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Northfield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NS Smith,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Oahu Renewables,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Oahu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Oahu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OC Solar 2010,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Ocotillo Windpower Holdco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Ocotillo Windpower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Ocotillo Windpower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Ocotillo Windpower, LP</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Odin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Old Westminster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Old Westminster Solar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Olinda Trail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Osakis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OWF Eight,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OWF Five,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OWF Four,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OWF One,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OWF Seven,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OWF Six,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OWF Three,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OWF Two,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Palo Alto County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Partridgeville Road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PC Dinuba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PESD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Pikes Peak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Pine Island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Pinnacle Repowering Partnership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180"/>
          </w:cols>
          <w:pgMar w:left="400" w:top="167" w:right="319" w:bottom="1440" w:gutter="0" w:footer="0" w:header="0"/>
        </w:sectPr>
      </w:pPr>
    </w:p>
    <w:bookmarkStart w:id="298" w:name="page299"/>
    <w:bookmarkEnd w:id="298"/>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left w:val="single" w:sz="8" w:color="auto"/>
              <w:bottom w:val="single" w:sz="8" w:color="auto"/>
              <w:right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Pinnacle Repowering Partnership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Pinnacle Repowering Tax Equity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Pinnacle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PM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Pond Road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Portfolio Solar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Poverty Ridge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Puma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Redbrook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Renew Canal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Renew Solar CS4 Borrower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Renew Solar CS4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Renew Solar CS4 Fund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Renew Spark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Repowering Partnership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Repowering Partnership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Rollingstone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Rosamond Solar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Rosamond Solar Investment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Rosie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Rosie Project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Rosie TargetCo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Rosie TE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Rounseville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RPV Holding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San Juan Mesa Investments,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San Juan Mesa Wind Project,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Sand Drag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Sartell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SCDA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SCWFD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Silver Lake Acres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SJA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Sleeping Bear,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Alpine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Apple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AV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Avra Valley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Blythe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Blythe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Borrego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Borrego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180"/>
          </w:cols>
          <w:pgMar w:left="400" w:top="167" w:right="319" w:bottom="1440" w:gutter="0" w:footer="0" w:header="0"/>
        </w:sectPr>
      </w:pPr>
    </w:p>
    <w:bookmarkStart w:id="299" w:name="page300"/>
    <w:bookmarkEnd w:id="299"/>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left w:val="single" w:sz="8" w:color="auto"/>
              <w:bottom w:val="single" w:sz="8" w:color="auto"/>
              <w:right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Community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Community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CVSR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Flagstaff One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Iguana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Kansas South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Kansas South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Las Vegas MB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Las Vegas MB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Mayfair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Mule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Oasis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Roadrunner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Roadrunner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Tabernacle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Warren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Wauwinet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West Shaft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South Trent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South Trent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Spanish Fork Wind Park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Utah</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SPP Asset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SPP Fund II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SPP Fund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SPP Fund II-B,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SPP Fund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SPP Lease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SPP P-IV Master Lessee,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Spring Canyon Energy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Spring Canyon Energy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Spring Canyon Expansion Class B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Spring Canyon Expansion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Spring Canyon Expansion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Spring Canyon Interconnection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Spring Street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Stafford St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Stafford St Solar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Stafford St Solar 3,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Statoil Energy Power/Pennsylvania, Inc.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Pennsylvania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Stearns Solar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Steel Bridge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Sun City Project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180"/>
          </w:cols>
          <w:pgMar w:left="400" w:top="167" w:right="319" w:bottom="1440" w:gutter="0" w:footer="0" w:header="0"/>
        </w:sectPr>
      </w:pPr>
    </w:p>
    <w:bookmarkStart w:id="300" w:name="page301"/>
    <w:bookmarkEnd w:id="300"/>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left w:val="single" w:sz="8" w:color="auto"/>
              <w:bottom w:val="single" w:sz="8" w:color="auto"/>
              <w:right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Sunrise View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Sunset View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Sutton Wind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 - High Desert,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Taloga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Oklahoma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Tapestry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Thermal Canada Equities 1 Inc.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British Columbia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Thermal Canada Infrastructure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Thermal Canada Infrastructure 1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Thermal Hawaii Development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Thermal Hawaii Development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Thermal Hawaii Development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Thermal Infrastructure Development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Topeka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TOS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TOS Solar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TOS Solar 4,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TOS Solar 5,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Tully Farms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UB Fuel Cell,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Connecticut</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Underhill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Utah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Utah Solar Master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Utah Solar Master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Vail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Viento Funding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Viento Funding,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Virgin Lake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Wabasha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Wabasha Solar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Wabasha Solar III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Wabasha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Waipio PV,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Walnut Creek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Walnut Creek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Waterford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WCEP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Webster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Wildcat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Wildorado Interconnect,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Wildorado Repowering Tax Equity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180"/>
          </w:cols>
          <w:pgMar w:left="400" w:top="167" w:right="319" w:bottom="1440" w:gutter="0" w:footer="0" w:header="0"/>
        </w:sectPr>
      </w:pPr>
    </w:p>
    <w:bookmarkStart w:id="301" w:name="page302"/>
    <w:bookmarkEnd w:id="301"/>
    <w:p>
      <w:pPr>
        <w:ind w:left="99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100" w:type="dxa"/>
            <w:vAlign w:val="bottom"/>
          </w:tcPr>
          <w:p>
            <w:pPr>
              <w:spacing w:after="0"/>
              <w:rPr>
                <w:sz w:val="22"/>
                <w:szCs w:val="22"/>
                <w:color w:val="auto"/>
              </w:rPr>
            </w:pPr>
          </w:p>
        </w:tc>
        <w:tc>
          <w:tcPr>
            <w:tcW w:w="8080" w:type="dxa"/>
            <w:vAlign w:val="bottom"/>
            <w:gridSpan w:val="3"/>
          </w:tcPr>
          <w:p>
            <w:pPr>
              <w:ind w:left="300"/>
              <w:spacing w:after="0"/>
              <w:rPr>
                <w:sz w:val="20"/>
                <w:szCs w:val="20"/>
                <w:color w:val="auto"/>
              </w:rPr>
            </w:pPr>
            <w:r>
              <w:rPr>
                <w:rFonts w:ascii="Times New Roman" w:cs="Times New Roman" w:eastAsia="Times New Roman" w:hAnsi="Times New Roman"/>
                <w:sz w:val="20"/>
                <w:szCs w:val="20"/>
                <w:b w:val="1"/>
                <w:bCs w:val="1"/>
                <w:color w:val="auto"/>
              </w:rPr>
              <w:t>SUBSIDIARIES OF CLEARWAY ENERGY, INC.</w:t>
            </w:r>
          </w:p>
        </w:tc>
      </w:tr>
      <w:tr>
        <w:trPr>
          <w:trHeight w:val="615"/>
        </w:trPr>
        <w:tc>
          <w:tcPr>
            <w:tcW w:w="3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6"/>
        </w:trPr>
        <w:tc>
          <w:tcPr>
            <w:tcW w:w="310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4060" w:type="dxa"/>
            <w:vAlign w:val="bottom"/>
            <w:tcBorders>
              <w:bottom w:val="single" w:sz="8" w:color="auto"/>
              <w:right w:val="single" w:sz="8" w:color="auto"/>
            </w:tcBorders>
            <w:shd w:val="clear" w:color="auto" w:fill="828282"/>
          </w:tcPr>
          <w:p>
            <w:pPr>
              <w:spacing w:after="0"/>
              <w:rPr>
                <w:sz w:val="22"/>
                <w:szCs w:val="22"/>
                <w:color w:val="auto"/>
              </w:rPr>
            </w:pPr>
          </w:p>
        </w:tc>
        <w:tc>
          <w:tcPr>
            <w:tcW w:w="380" w:type="dxa"/>
            <w:vAlign w:val="bottom"/>
            <w:tcBorders>
              <w:bottom w:val="single" w:sz="8" w:color="auto"/>
              <w:right w:val="single" w:sz="8" w:color="auto"/>
            </w:tcBorders>
            <w:shd w:val="clear" w:color="auto" w:fill="828282"/>
          </w:tcPr>
          <w:p>
            <w:pPr>
              <w:spacing w:after="0"/>
              <w:rPr>
                <w:sz w:val="22"/>
                <w:szCs w:val="22"/>
                <w:color w:val="auto"/>
              </w:rPr>
            </w:pPr>
          </w:p>
        </w:tc>
        <w:tc>
          <w:tcPr>
            <w:tcW w:w="3640" w:type="dxa"/>
            <w:vAlign w:val="bottom"/>
            <w:tcBorders>
              <w:bottom w:val="single" w:sz="8" w:color="auto"/>
              <w:right w:val="single" w:sz="8" w:color="auto"/>
            </w:tcBorders>
            <w:shd w:val="clear" w:color="auto" w:fill="82828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Wildorado Wind, LLC</w:t>
            </w:r>
          </w:p>
        </w:tc>
        <w:tc>
          <w:tcPr>
            <w:tcW w:w="40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37"/>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Wilmarth Lane Solar 1, LLC</w:t>
            </w:r>
          </w:p>
        </w:tc>
        <w:tc>
          <w:tcPr>
            <w:tcW w:w="40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Wind Family Turbine, LLC</w:t>
            </w:r>
          </w:p>
        </w:tc>
        <w:tc>
          <w:tcPr>
            <w:tcW w:w="40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36"/>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Wind TE Holdco LLC</w:t>
            </w:r>
          </w:p>
        </w:tc>
        <w:tc>
          <w:tcPr>
            <w:tcW w:w="40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Winona Solar I LLC</w:t>
            </w:r>
          </w:p>
        </w:tc>
        <w:tc>
          <w:tcPr>
            <w:tcW w:w="40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Winona Solar II LLC</w:t>
            </w:r>
          </w:p>
        </w:tc>
        <w:tc>
          <w:tcPr>
            <w:tcW w:w="40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WSD Solar Holdings, LLC</w:t>
            </w:r>
          </w:p>
        </w:tc>
        <w:tc>
          <w:tcPr>
            <w:tcW w:w="40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10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WV Wind Holdco LLC</w:t>
            </w:r>
          </w:p>
        </w:tc>
        <w:tc>
          <w:tcPr>
            <w:tcW w:w="4060" w:type="dxa"/>
            <w:vAlign w:val="bottom"/>
            <w:tcBorders>
              <w:right w:val="single" w:sz="8" w:color="auto"/>
            </w:tcBorders>
            <w:shd w:val="clear" w:color="auto" w:fill="CCEEFF"/>
          </w:tcPr>
          <w:p>
            <w:pPr>
              <w:spacing w:after="0"/>
              <w:rPr>
                <w:sz w:val="20"/>
                <w:szCs w:val="20"/>
                <w:color w:val="auto"/>
              </w:rPr>
            </w:pPr>
          </w:p>
        </w:tc>
        <w:tc>
          <w:tcPr>
            <w:tcW w:w="380" w:type="dxa"/>
            <w:vAlign w:val="bottom"/>
            <w:tcBorders>
              <w:right w:val="single" w:sz="8" w:color="auto"/>
            </w:tcBorders>
            <w:shd w:val="clear" w:color="auto" w:fill="CCEEFF"/>
          </w:tcPr>
          <w:p>
            <w:pPr>
              <w:spacing w:after="0"/>
              <w:rPr>
                <w:sz w:val="20"/>
                <w:szCs w:val="20"/>
                <w:color w:val="auto"/>
              </w:rPr>
            </w:pPr>
          </w:p>
        </w:tc>
        <w:tc>
          <w:tcPr>
            <w:tcW w:w="3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WV Wind Holdings LLC</w:t>
            </w:r>
          </w:p>
        </w:tc>
        <w:tc>
          <w:tcPr>
            <w:tcW w:w="40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Zephyr Kawailoa Partnership LLC</w:t>
            </w:r>
          </w:p>
        </w:tc>
        <w:tc>
          <w:tcPr>
            <w:tcW w:w="40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7"/>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Zephyr Oahu Partnership LLC</w:t>
            </w:r>
          </w:p>
        </w:tc>
        <w:tc>
          <w:tcPr>
            <w:tcW w:w="40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36"/>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Zontos Wind, LLC</w:t>
            </w:r>
          </w:p>
        </w:tc>
        <w:tc>
          <w:tcPr>
            <w:tcW w:w="40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bl>
    <w:p>
      <w:pPr>
        <w:sectPr>
          <w:pgSz w:w="11900" w:h="16838" w:orient="portrait"/>
          <w:cols w:equalWidth="0" w:num="1">
            <w:col w:w="11180"/>
          </w:cols>
          <w:pgMar w:left="400" w:top="167" w:right="31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190" w:lineRule="exact"/>
        <w:rPr>
          <w:sz w:val="20"/>
          <w:szCs w:val="20"/>
          <w:color w:val="auto"/>
        </w:rPr>
      </w:pPr>
    </w:p>
    <w:p>
      <w:pPr>
        <w:ind w:right="60"/>
        <w:spacing w:after="0" w:line="214"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Numbers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206061 and 333-190071 on Form S-8, and Numbers 333-241652, 333-224684, 333-212096, 333-205140, and 333-204589 on Form S-3 of Clearway Energy, Inc. of our reports dated March 1, 2021, with respect to the consolidated balance sheets of Clearway Energy, Inc. as of December 31, 2020 and 2019, the related consolidated statements of operations, comprehensive income (loss), stockholders’ equity, and cash flows for each of the years in the three-year period ended December 31, 2020, and the related notes and financial statement schedules “Schedule I - Condensed Financial Information of Registrant” and “Schedule II - Valuation and Qualifying Accounts”, and the effectiveness of internal control over financial reporting as of December 31, 2020, which report appears in the December 31, 2020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Clearway Energy, Inc.</w:t>
      </w:r>
    </w:p>
    <w:p>
      <w:pPr>
        <w:spacing w:after="0" w:line="19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 xml:space="preserve">Our report dated March 1, 2021 refers to changes in accounting principle, the Company’s adoption of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(signed)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ectPr>
          <w:pgSz w:w="11900" w:h="16838" w:orient="portrait"/>
          <w:cols w:equalWidth="0" w:num="1">
            <w:col w:w="11240"/>
          </w:cols>
          <w:pgMar w:left="320" w:top="1170"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27686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Christopher S. Sotos</w:t>
      </w:r>
    </w:p>
    <w:p>
      <w:pPr>
        <w:ind w:left="55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5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2021</w:t>
      </w:r>
    </w:p>
    <w:p>
      <w:pPr>
        <w:sectPr>
          <w:pgSz w:w="11900" w:h="16838" w:orient="portrait"/>
          <w:cols w:equalWidth="0" w:num="1">
            <w:col w:w="11240"/>
          </w:cols>
          <w:pgMar w:left="320" w:top="981"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17145</wp:posOffset>
            </wp:positionV>
            <wp:extent cx="19545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Chad Plotkin</w:t>
      </w:r>
    </w:p>
    <w:p>
      <w:pPr>
        <w:ind w:left="688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68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2021</w:t>
      </w:r>
    </w:p>
    <w:p>
      <w:pPr>
        <w:sectPr>
          <w:pgSz w:w="11900" w:h="16838" w:orient="portrait"/>
          <w:cols w:equalWidth="0" w:num="1">
            <w:col w:w="11240"/>
          </w:cols>
          <w:pgMar w:left="320" w:top="981" w:right="3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33" w:lineRule="exact"/>
        <w:rPr>
          <w:sz w:val="20"/>
          <w:szCs w:val="20"/>
          <w:color w:val="auto"/>
        </w:rPr>
      </w:pPr>
    </w:p>
    <w:p>
      <w:pPr>
        <w:ind w:left="660" w:hanging="652"/>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17145</wp:posOffset>
            </wp:positionV>
            <wp:extent cx="18002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Sarah Rubenstein</w:t>
      </w:r>
    </w:p>
    <w:p>
      <w:pPr>
        <w:ind w:left="7300"/>
        <w:spacing w:after="0" w:line="203" w:lineRule="auto"/>
        <w:rPr>
          <w:sz w:val="20"/>
          <w:szCs w:val="20"/>
          <w:color w:val="auto"/>
        </w:rPr>
      </w:pPr>
      <w:r>
        <w:rPr>
          <w:rFonts w:ascii="Times New Roman" w:cs="Times New Roman" w:eastAsia="Times New Roman" w:hAnsi="Times New Roman"/>
          <w:sz w:val="18"/>
          <w:szCs w:val="18"/>
          <w:i w:val="1"/>
          <w:iCs w:val="1"/>
          <w:color w:val="auto"/>
        </w:rPr>
        <w:t>Vice President, Accounting &amp;</w:t>
      </w:r>
    </w:p>
    <w:p>
      <w:pPr>
        <w:ind w:left="7300"/>
        <w:spacing w:after="0" w:line="203" w:lineRule="auto"/>
        <w:rPr>
          <w:sz w:val="20"/>
          <w:szCs w:val="20"/>
          <w:color w:val="auto"/>
        </w:rPr>
      </w:pPr>
      <w:r>
        <w:rPr>
          <w:rFonts w:ascii="Times New Roman" w:cs="Times New Roman" w:eastAsia="Times New Roman" w:hAnsi="Times New Roman"/>
          <w:sz w:val="18"/>
          <w:szCs w:val="18"/>
          <w:i w:val="1"/>
          <w:iCs w:val="1"/>
          <w:color w:val="auto"/>
        </w:rPr>
        <w:t>Controller</w:t>
      </w:r>
    </w:p>
    <w:p>
      <w:pPr>
        <w:spacing w:after="0" w:line="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2021</w:t>
      </w:r>
    </w:p>
    <w:p>
      <w:pPr>
        <w:sectPr>
          <w:pgSz w:w="11900" w:h="16838" w:orient="portrait"/>
          <w:cols w:equalWidth="0" w:num="1">
            <w:col w:w="11240"/>
          </w:cols>
          <w:pgMar w:left="320" w:top="887" w:right="3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Clearway Energy, Inc. on Form 10-K for the year ended December 31, 2020,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40" w:hanging="308"/>
        <w:spacing w:after="0"/>
        <w:tabs>
          <w:tab w:leader="none" w:pos="6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 as of the dates and for the periods expressed in the Form 10-K.</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2021</w:t>
      </w:r>
    </w:p>
    <w:p>
      <w:pPr>
        <w:spacing w:after="0" w:line="34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2425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ind w:left="58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2425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Chad Plotkin</w:t>
      </w:r>
    </w:p>
    <w:p>
      <w:pPr>
        <w:spacing w:after="0" w:line="1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ind w:left="58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6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2425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i w:val="1"/>
          <w:iCs w:val="1"/>
          <w:color w:val="auto"/>
        </w:rPr>
        <w:t>Vice President, Accounting &amp; Controller</w:t>
      </w:r>
    </w:p>
    <w:p>
      <w:pPr>
        <w:ind w:left="58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10-K or as a separate disclosure document.</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4FD6B4F"/>
    <w:multiLevelType w:val="hybridMultilevel"/>
    <w:lvl w:ilvl="0">
      <w:lvlJc w:val="left"/>
      <w:lvlText w:val="☒"/>
      <w:numFmt w:val="bullet"/>
      <w:start w:val="1"/>
    </w:lvl>
  </w:abstractNum>
  <w:abstractNum w:abstractNumId="1">
    <w:nsid w:val="5915FF32"/>
    <w:multiLevelType w:val="hybridMultilevel"/>
    <w:lvl w:ilvl="0">
      <w:lvlJc w:val="left"/>
      <w:lvlText w:val="☐"/>
      <w:numFmt w:val="bullet"/>
      <w:start w:val="1"/>
    </w:lvl>
  </w:abstractNum>
  <w:abstractNum w:abstractNumId="2">
    <w:nsid w:val="56438D15"/>
    <w:multiLevelType w:val="hybridMultilevel"/>
    <w:lvl w:ilvl="0">
      <w:lvlJc w:val="left"/>
      <w:lvlText w:val="\emdash "/>
      <w:numFmt w:val="bullet"/>
      <w:start w:val="1"/>
    </w:lvl>
  </w:abstractNum>
  <w:abstractNum w:abstractNumId="3">
    <w:nsid w:val="519E3149"/>
    <w:multiLevelType w:val="hybridMultilevel"/>
    <w:lvl w:ilvl="0">
      <w:lvlJc w:val="left"/>
      <w:lvlText w:val="(%1)"/>
      <w:numFmt w:val="lowerLetter"/>
      <w:start w:val="1"/>
    </w:lvl>
  </w:abstractNum>
  <w:abstractNum w:abstractNumId="4">
    <w:nsid w:val="2C6E4AFD"/>
    <w:multiLevelType w:val="hybridMultilevel"/>
    <w:lvl w:ilvl="0">
      <w:lvlJc w:val="left"/>
      <w:lvlText w:val="(%1)"/>
      <w:numFmt w:val="lowerLetter"/>
      <w:start w:val="1"/>
    </w:lvl>
  </w:abstractNum>
  <w:abstractNum w:abstractNumId="5">
    <w:nsid w:val="17A1B582"/>
    <w:multiLevelType w:val="hybridMultilevel"/>
    <w:lvl w:ilvl="0">
      <w:lvlJc w:val="left"/>
      <w:lvlText w:val="&amp;"/>
      <w:numFmt w:val="bullet"/>
      <w:start w:val="1"/>
    </w:lvl>
  </w:abstractNum>
  <w:abstractNum w:abstractNumId="6">
    <w:nsid w:val="4DF72E4E"/>
    <w:multiLevelType w:val="hybridMultilevel"/>
    <w:lvl w:ilvl="0">
      <w:lvlJc w:val="left"/>
      <w:lvlText w:val="•"/>
      <w:numFmt w:val="bullet"/>
      <w:start w:val="1"/>
    </w:lvl>
  </w:abstractNum>
  <w:abstractNum w:abstractNumId="7">
    <w:nsid w:val="5046B5A9"/>
    <w:multiLevelType w:val="hybridMultilevel"/>
    <w:lvl w:ilvl="0">
      <w:lvlJc w:val="left"/>
      <w:lvlText w:val="•"/>
      <w:numFmt w:val="bullet"/>
      <w:start w:val="1"/>
    </w:lvl>
  </w:abstractNum>
  <w:abstractNum w:abstractNumId="8">
    <w:nsid w:val="5D888A08"/>
    <w:multiLevelType w:val="hybridMultilevel"/>
    <w:lvl w:ilvl="0">
      <w:lvlJc w:val="left"/>
      <w:lvlText w:val="•"/>
      <w:numFmt w:val="bullet"/>
      <w:start w:val="1"/>
    </w:lvl>
  </w:abstractNum>
  <w:abstractNum w:abstractNumId="9">
    <w:nsid w:val="2A082C70"/>
    <w:multiLevelType w:val="hybridMultilevel"/>
    <w:lvl w:ilvl="0">
      <w:lvlJc w:val="left"/>
      <w:lvlText w:val="•"/>
      <w:numFmt w:val="bullet"/>
      <w:start w:val="1"/>
    </w:lvl>
  </w:abstractNum>
  <w:abstractNum w:abstractNumId="10">
    <w:nsid w:val="5EC6AFD4"/>
    <w:multiLevelType w:val="hybridMultilevel"/>
    <w:lvl w:ilvl="0">
      <w:lvlJc w:val="left"/>
      <w:lvlText w:val="•"/>
      <w:numFmt w:val="bullet"/>
      <w:start w:val="1"/>
    </w:lvl>
  </w:abstractNum>
  <w:abstractNum w:abstractNumId="11">
    <w:nsid w:val="19E21BB2"/>
    <w:multiLevelType w:val="hybridMultilevel"/>
    <w:lvl w:ilvl="0">
      <w:lvlJc w:val="left"/>
      <w:lvlText w:val="•"/>
      <w:numFmt w:val="bullet"/>
      <w:start w:val="1"/>
    </w:lvl>
  </w:abstractNum>
  <w:abstractNum w:abstractNumId="12">
    <w:nsid w:val="75E0858A"/>
    <w:multiLevelType w:val="hybridMultilevel"/>
    <w:lvl w:ilvl="0">
      <w:lvlJc w:val="left"/>
      <w:lvlText w:val="•"/>
      <w:numFmt w:val="bullet"/>
      <w:start w:val="1"/>
    </w:lvl>
  </w:abstractNum>
  <w:abstractNum w:abstractNumId="13">
    <w:nsid w:val="57A61A29"/>
    <w:multiLevelType w:val="hybridMultilevel"/>
    <w:lvl w:ilvl="0">
      <w:lvlJc w:val="left"/>
      <w:lvlText w:val="•"/>
      <w:numFmt w:val="bullet"/>
      <w:start w:val="1"/>
    </w:lvl>
  </w:abstractNum>
  <w:abstractNum w:abstractNumId="14">
    <w:nsid w:val="5399C654"/>
    <w:multiLevelType w:val="hybridMultilevel"/>
    <w:lvl w:ilvl="0">
      <w:lvlJc w:val="left"/>
      <w:lvlText w:val="•"/>
      <w:numFmt w:val="bullet"/>
      <w:start w:val="1"/>
    </w:lvl>
  </w:abstractNum>
  <w:abstractNum w:abstractNumId="15">
    <w:nsid w:val="20EE1348"/>
    <w:multiLevelType w:val="hybridMultilevel"/>
    <w:lvl w:ilvl="0">
      <w:lvlJc w:val="left"/>
      <w:lvlText w:val="•"/>
      <w:numFmt w:val="bullet"/>
      <w:start w:val="1"/>
    </w:lvl>
  </w:abstractNum>
  <w:abstractNum w:abstractNumId="16">
    <w:nsid w:val="4427069A"/>
    <w:multiLevelType w:val="hybridMultilevel"/>
    <w:lvl w:ilvl="0">
      <w:lvlJc w:val="left"/>
      <w:lvlText w:val="(%1)"/>
      <w:numFmt w:val="lowerLetter"/>
      <w:start w:val="1"/>
    </w:lvl>
  </w:abstractNum>
  <w:abstractNum w:abstractNumId="17">
    <w:nsid w:val="B37E80A"/>
    <w:multiLevelType w:val="hybridMultilevel"/>
    <w:lvl w:ilvl="0">
      <w:lvlJc w:val="left"/>
      <w:lvlText w:val="(%1)"/>
      <w:numFmt w:val="lowerLetter"/>
      <w:start w:val="1"/>
    </w:lvl>
  </w:abstractNum>
  <w:abstractNum w:abstractNumId="18">
    <w:nsid w:val="2157F6BC"/>
    <w:multiLevelType w:val="hybridMultilevel"/>
    <w:lvl w:ilvl="0">
      <w:lvlJc w:val="left"/>
      <w:lvlText w:val="•"/>
      <w:numFmt w:val="bullet"/>
      <w:start w:val="1"/>
    </w:lvl>
  </w:abstractNum>
  <w:abstractNum w:abstractNumId="19">
    <w:nsid w:val="704E1DD5"/>
    <w:multiLevelType w:val="hybridMultilevel"/>
    <w:lvl w:ilvl="0">
      <w:lvlJc w:val="left"/>
      <w:lvlText w:val="•"/>
      <w:numFmt w:val="bullet"/>
      <w:start w:val="1"/>
    </w:lvl>
  </w:abstractNum>
  <w:abstractNum w:abstractNumId="20">
    <w:nsid w:val="57D2F10E"/>
    <w:multiLevelType w:val="hybridMultilevel"/>
    <w:lvl w:ilvl="0">
      <w:lvlJc w:val="left"/>
      <w:lvlText w:val="•"/>
      <w:numFmt w:val="bullet"/>
      <w:start w:val="1"/>
    </w:lvl>
    <w:lvl w:ilvl="1">
      <w:lvlJc w:val="left"/>
      <w:lvlText w:val="◦"/>
      <w:numFmt w:val="bullet"/>
      <w:start w:val="1"/>
    </w:lvl>
  </w:abstractNum>
  <w:abstractNum w:abstractNumId="21">
    <w:nsid w:val="BFFAE18"/>
    <w:multiLevelType w:val="hybridMultilevel"/>
    <w:lvl w:ilvl="0">
      <w:lvlJc w:val="left"/>
      <w:lvlText w:val="•"/>
      <w:numFmt w:val="bullet"/>
      <w:start w:val="1"/>
    </w:lvl>
    <w:lvl w:ilvl="1">
      <w:lvlJc w:val="left"/>
      <w:lvlText w:val="◦"/>
      <w:numFmt w:val="bullet"/>
      <w:start w:val="1"/>
    </w:lvl>
  </w:abstractNum>
  <w:abstractNum w:abstractNumId="22">
    <w:nsid w:val="E3E47A8"/>
    <w:multiLevelType w:val="hybridMultilevel"/>
    <w:lvl w:ilvl="0">
      <w:lvlJc w:val="left"/>
      <w:lvlText w:val="•"/>
      <w:numFmt w:val="bullet"/>
      <w:start w:val="1"/>
    </w:lvl>
  </w:abstractNum>
  <w:abstractNum w:abstractNumId="23">
    <w:nsid w:val="2E48F044"/>
    <w:multiLevelType w:val="hybridMultilevel"/>
    <w:lvl w:ilvl="0">
      <w:lvlJc w:val="left"/>
      <w:lvlText w:val="•"/>
      <w:numFmt w:val="bullet"/>
      <w:start w:val="1"/>
    </w:lvl>
  </w:abstractNum>
  <w:abstractNum w:abstractNumId="24">
    <w:nsid w:val="49D0FEAC"/>
    <w:multiLevelType w:val="hybridMultilevel"/>
    <w:lvl w:ilvl="0">
      <w:lvlJc w:val="left"/>
      <w:lvlText w:val="•"/>
      <w:numFmt w:val="bullet"/>
      <w:start w:val="1"/>
    </w:lvl>
  </w:abstractNum>
  <w:abstractNum w:abstractNumId="25">
    <w:nsid w:val="4BEE5A5B"/>
    <w:multiLevelType w:val="hybridMultilevel"/>
    <w:lvl w:ilvl="0">
      <w:lvlJc w:val="left"/>
      <w:lvlText w:val="•"/>
      <w:numFmt w:val="bullet"/>
      <w:start w:val="1"/>
    </w:lvl>
  </w:abstractNum>
  <w:abstractNum w:abstractNumId="26">
    <w:nsid w:val="5551B9F3"/>
    <w:multiLevelType w:val="hybridMultilevel"/>
    <w:lvl w:ilvl="0">
      <w:lvlJc w:val="left"/>
      <w:lvlText w:val="•"/>
      <w:numFmt w:val="bullet"/>
      <w:start w:val="1"/>
    </w:lvl>
  </w:abstractNum>
  <w:abstractNum w:abstractNumId="27">
    <w:nsid w:val="24F6AB8E"/>
    <w:multiLevelType w:val="hybridMultilevel"/>
    <w:lvl w:ilvl="0">
      <w:lvlJc w:val="left"/>
      <w:lvlText w:val="(%1)"/>
      <w:numFmt w:val="lowerLetter"/>
      <w:start w:val="1"/>
    </w:lvl>
  </w:abstractNum>
  <w:abstractNum w:abstractNumId="28">
    <w:nsid w:val="634C574C"/>
    <w:multiLevelType w:val="hybridMultilevel"/>
    <w:lvl w:ilvl="0">
      <w:lvlJc w:val="left"/>
      <w:lvlText w:val="$"/>
      <w:numFmt w:val="bullet"/>
      <w:start w:val="1"/>
    </w:lvl>
  </w:abstractNum>
  <w:abstractNum w:abstractNumId="29">
    <w:nsid w:val="24E99DD7"/>
    <w:multiLevelType w:val="hybridMultilevel"/>
    <w:lvl w:ilvl="0">
      <w:lvlJc w:val="left"/>
      <w:lvlText w:val="$"/>
      <w:numFmt w:val="bullet"/>
      <w:start w:val="1"/>
    </w:lvl>
  </w:abstractNum>
  <w:abstractNum w:abstractNumId="30">
    <w:nsid w:val="2A31B62D"/>
    <w:multiLevelType w:val="hybridMultilevel"/>
    <w:lvl w:ilvl="0">
      <w:lvlJc w:val="left"/>
      <w:lvlText w:val="◦"/>
      <w:numFmt w:val="bullet"/>
      <w:start w:val="1"/>
    </w:lvl>
  </w:abstractNum>
  <w:abstractNum w:abstractNumId="31">
    <w:nsid w:val="1849C29B"/>
    <w:multiLevelType w:val="hybridMultilevel"/>
    <w:lvl w:ilvl="0">
      <w:lvlJc w:val="left"/>
      <w:lvlText w:val="•"/>
      <w:numFmt w:val="bullet"/>
      <w:start w:val="1"/>
    </w:lvl>
  </w:abstractNum>
  <w:abstractNum w:abstractNumId="32">
    <w:nsid w:val="7DFF9D09"/>
    <w:multiLevelType w:val="hybridMultilevel"/>
    <w:lvl w:ilvl="0">
      <w:lvlJc w:val="left"/>
      <w:lvlText w:val="(%1)"/>
      <w:numFmt w:val="lowerLetter"/>
      <w:start w:val="1"/>
    </w:lvl>
  </w:abstractNum>
  <w:abstractNum w:abstractNumId="33">
    <w:nsid w:val="754342"/>
    <w:multiLevelType w:val="hybridMultilevel"/>
    <w:lvl w:ilvl="0">
      <w:lvlJc w:val="left"/>
      <w:lvlText w:val="•"/>
      <w:numFmt w:val="bullet"/>
      <w:start w:val="1"/>
    </w:lvl>
  </w:abstractNum>
  <w:abstractNum w:abstractNumId="34">
    <w:nsid w:val="69E7F3E5"/>
    <w:multiLevelType w:val="hybridMultilevel"/>
    <w:lvl w:ilvl="0">
      <w:lvlJc w:val="left"/>
      <w:lvlText w:val="%1."/>
      <w:numFmt w:val="decimal"/>
      <w:start w:val="1"/>
    </w:lvl>
  </w:abstractNum>
  <w:abstractNum w:abstractNumId="35">
    <w:nsid w:val="2A6DE806"/>
    <w:multiLevelType w:val="hybridMultilevel"/>
    <w:lvl w:ilvl="0">
      <w:lvlJc w:val="left"/>
      <w:lvlText w:val="(%1)"/>
      <w:numFmt w:val="decimal"/>
      <w:start w:val="1"/>
    </w:lvl>
  </w:abstractNum>
  <w:abstractNum w:abstractNumId="36">
    <w:nsid w:val="1816F8C4"/>
    <w:multiLevelType w:val="hybridMultilevel"/>
    <w:lvl w:ilvl="0">
      <w:lvlJc w:val="left"/>
      <w:lvlText w:val="(%1)"/>
      <w:numFmt w:val="lowerLetter"/>
      <w:start w:val="2"/>
    </w:lvl>
  </w:abstractNum>
  <w:abstractNum w:abstractNumId="37">
    <w:nsid w:val="37DF2233"/>
    <w:multiLevelType w:val="hybridMultilevel"/>
    <w:lvl w:ilvl="0">
      <w:lvlJc w:val="left"/>
      <w:lvlText w:val="(%1)"/>
      <w:numFmt w:val="lowerLetter"/>
      <w:start w:val="1"/>
    </w:lvl>
  </w:abstractNum>
  <w:abstractNum w:abstractNumId="38">
    <w:nsid w:val="7AB49DAF"/>
    <w:multiLevelType w:val="hybridMultilevel"/>
    <w:lvl w:ilvl="0">
      <w:lvlJc w:val="left"/>
      <w:lvlText w:val="(%1)"/>
      <w:numFmt w:val="lowerLetter"/>
      <w:start w:val="1"/>
    </w:lvl>
  </w:abstractNum>
  <w:abstractNum w:abstractNumId="39">
    <w:nsid w:val="759F82CD"/>
    <w:multiLevelType w:val="hybridMultilevel"/>
    <w:lvl w:ilvl="0">
      <w:lvlJc w:val="left"/>
      <w:lvlText w:val="•"/>
      <w:numFmt w:val="bullet"/>
      <w:start w:val="1"/>
    </w:lvl>
  </w:abstractNum>
  <w:abstractNum w:abstractNumId="40">
    <w:nsid w:val="61E74EA3"/>
    <w:multiLevelType w:val="hybridMultilevel"/>
    <w:lvl w:ilvl="0">
      <w:lvlJc w:val="left"/>
      <w:lvlText w:val="•"/>
      <w:numFmt w:val="bullet"/>
      <w:start w:val="1"/>
    </w:lvl>
  </w:abstractNum>
  <w:abstractNum w:abstractNumId="41">
    <w:nsid w:val="597B4D84"/>
    <w:multiLevelType w:val="hybridMultilevel"/>
    <w:lvl w:ilvl="0">
      <w:lvlJc w:val="left"/>
      <w:lvlText w:val="(%1)"/>
      <w:numFmt w:val="lowerLetter"/>
      <w:start w:val="1"/>
    </w:lvl>
  </w:abstractNum>
  <w:abstractNum w:abstractNumId="42">
    <w:nsid w:val="F819E7F"/>
    <w:multiLevelType w:val="hybridMultilevel"/>
    <w:lvl w:ilvl="0">
      <w:lvlJc w:val="left"/>
      <w:lvlText w:val="(%1)"/>
      <w:numFmt w:val="lowerLetter"/>
      <w:start w:val="1"/>
    </w:lvl>
  </w:abstractNum>
  <w:abstractNum w:abstractNumId="43">
    <w:nsid w:val="57C7D42D"/>
    <w:multiLevelType w:val="hybridMultilevel"/>
    <w:lvl w:ilvl="0">
      <w:lvlJc w:val="left"/>
      <w:lvlText w:val="(%1)"/>
      <w:numFmt w:val="lowerLetter"/>
      <w:start w:val="1"/>
    </w:lvl>
  </w:abstractNum>
  <w:abstractNum w:abstractNumId="44">
    <w:nsid w:val="312167AD"/>
    <w:multiLevelType w:val="hybridMultilevel"/>
    <w:lvl w:ilvl="0">
      <w:lvlJc w:val="left"/>
      <w:lvlText w:val="(%1)"/>
      <w:numFmt w:val="lowerLetter"/>
      <w:start w:val="1"/>
    </w:lvl>
  </w:abstractNum>
  <w:abstractNum w:abstractNumId="45">
    <w:nsid w:val="631B64D4"/>
    <w:multiLevelType w:val="hybridMultilevel"/>
    <w:lvl w:ilvl="0">
      <w:lvlJc w:val="left"/>
      <w:lvlText w:val="(%1)"/>
      <w:numFmt w:val="lowerLetter"/>
      <w:start w:val="1"/>
    </w:lvl>
  </w:abstractNum>
  <w:abstractNum w:abstractNumId="46">
    <w:nsid w:val="78B5E776"/>
    <w:multiLevelType w:val="hybridMultilevel"/>
    <w:lvl w:ilvl="0">
      <w:lvlJc w:val="left"/>
      <w:lvlText w:val="(%1)"/>
      <w:numFmt w:val="lowerLetter"/>
      <w:start w:val="1"/>
    </w:lvl>
  </w:abstractNum>
  <w:abstractNum w:abstractNumId="47">
    <w:nsid w:val="75486E47"/>
    <w:multiLevelType w:val="hybridMultilevel"/>
    <w:lvl w:ilvl="0">
      <w:lvlJc w:val="left"/>
      <w:lvlText w:val="•"/>
      <w:numFmt w:val="bullet"/>
      <w:start w:val="1"/>
    </w:lvl>
  </w:abstractNum>
  <w:abstractNum w:abstractNumId="48">
    <w:nsid w:val="6E534CDE"/>
    <w:multiLevelType w:val="hybridMultilevel"/>
    <w:lvl w:ilvl="0">
      <w:lvlJc w:val="left"/>
      <w:lvlText w:val="(%1)"/>
      <w:numFmt w:val="lowerLetter"/>
      <w:start w:val="1"/>
    </w:lvl>
  </w:abstractNum>
  <w:abstractNum w:abstractNumId="49">
    <w:nsid w:val="1A0DDE32"/>
    <w:multiLevelType w:val="hybridMultilevel"/>
    <w:lvl w:ilvl="0">
      <w:lvlJc w:val="left"/>
      <w:lvlText w:val="(%1)"/>
      <w:numFmt w:val="lowerLetter"/>
      <w:start w:val="1"/>
    </w:lvl>
  </w:abstractNum>
  <w:abstractNum w:abstractNumId="50">
    <w:nsid w:val="65968C1C"/>
    <w:multiLevelType w:val="hybridMultilevel"/>
    <w:lvl w:ilvl="0">
      <w:lvlJc w:val="left"/>
      <w:lvlText w:val="(%1)"/>
      <w:numFmt w:val="lowerRoman"/>
      <w:start w:val="1"/>
    </w:lvl>
  </w:abstractNum>
  <w:abstractNum w:abstractNumId="51">
    <w:nsid w:val="46263DEC"/>
    <w:multiLevelType w:val="hybridMultilevel"/>
    <w:lvl w:ilvl="0">
      <w:lvlJc w:val="left"/>
      <w:lvlText w:val="•"/>
      <w:numFmt w:val="bullet"/>
      <w:start w:val="1"/>
    </w:lvl>
  </w:abstractNum>
  <w:abstractNum w:abstractNumId="52">
    <w:nsid w:val="260D8C4A"/>
    <w:multiLevelType w:val="hybridMultilevel"/>
    <w:lvl w:ilvl="0">
      <w:lvlJc w:val="left"/>
      <w:lvlText w:val="•"/>
      <w:numFmt w:val="bullet"/>
      <w:start w:val="1"/>
    </w:lvl>
  </w:abstractNum>
  <w:abstractNum w:abstractNumId="53">
    <w:nsid w:val="73D4D3C4"/>
    <w:multiLevelType w:val="hybridMultilevel"/>
    <w:lvl w:ilvl="0">
      <w:lvlJc w:val="left"/>
      <w:lvlText w:val="(%1)"/>
      <w:numFmt w:val="lowerLetter"/>
      <w:start w:val="1"/>
    </w:lvl>
  </w:abstractNum>
  <w:abstractNum w:abstractNumId="54">
    <w:nsid w:val="746F2E30"/>
    <w:multiLevelType w:val="hybridMultilevel"/>
    <w:lvl w:ilvl="0">
      <w:lvlJc w:val="left"/>
      <w:lvlText w:val="(%1)"/>
      <w:numFmt w:val="lowerLetter"/>
      <w:start w:val="1"/>
    </w:lvl>
  </w:abstractNum>
  <w:abstractNum w:abstractNumId="55">
    <w:nsid w:val="6FDE8AF6"/>
    <w:multiLevelType w:val="hybridMultilevel"/>
    <w:lvl w:ilvl="0">
      <w:lvlJc w:val="left"/>
      <w:lvlText w:val="(%1)"/>
      <w:numFmt w:val="lowerLetter"/>
      <w:start w:val="1"/>
    </w:lvl>
  </w:abstractNum>
  <w:abstractNum w:abstractNumId="56">
    <w:nsid w:val="3FC32E20"/>
    <w:multiLevelType w:val="hybridMultilevel"/>
    <w:lvl w:ilvl="0">
      <w:lvlJc w:val="left"/>
      <w:lvlText w:val="(%1)"/>
      <w:numFmt w:val="lowerLetter"/>
      <w:start w:val="1"/>
    </w:lvl>
  </w:abstractNum>
  <w:abstractNum w:abstractNumId="57">
    <w:nsid w:val="49C0E823"/>
    <w:multiLevelType w:val="hybridMultilevel"/>
    <w:lvl w:ilvl="0">
      <w:lvlJc w:val="left"/>
      <w:lvlText w:val="(%1)"/>
      <w:numFmt w:val="lowerLetter"/>
      <w:start w:val="1"/>
    </w:lvl>
  </w:abstractNum>
  <w:abstractNum w:abstractNumId="58">
    <w:nsid w:val="14D53685"/>
    <w:multiLevelType w:val="hybridMultilevel"/>
    <w:lvl w:ilvl="0">
      <w:lvlJc w:val="left"/>
      <w:lvlText w:val="%1"/>
      <w:numFmt w:val="decimal"/>
      <w:start w:val="32"/>
    </w:lvl>
  </w:abstractNum>
  <w:abstractNum w:abstractNumId="59">
    <w:nsid w:val="230F856C"/>
    <w:multiLevelType w:val="hybridMultilevel"/>
    <w:lvl w:ilvl="0">
      <w:lvlJc w:val="left"/>
      <w:lvlText w:val="%1"/>
      <w:numFmt w:val="decimal"/>
      <w:start w:val="104"/>
    </w:lvl>
  </w:abstractNum>
  <w:abstractNum w:abstractNumId="60">
    <w:nsid w:val="6EAA85FB"/>
    <w:multiLevelType w:val="hybridMultilevel"/>
    <w:lvl w:ilvl="0">
      <w:lvlJc w:val="left"/>
      <w:lvlText w:val="†"/>
      <w:numFmt w:val="bullet"/>
      <w:start w:val="1"/>
    </w:lvl>
  </w:abstractNum>
  <w:abstractNum w:abstractNumId="61">
    <w:nsid w:val="3F06ECB2"/>
    <w:multiLevelType w:val="hybridMultilevel"/>
    <w:lvl w:ilvl="0">
      <w:lvlJc w:val="left"/>
      <w:lvlText w:val="*"/>
      <w:numFmt w:val="bullet"/>
      <w:start w:val="1"/>
    </w:lvl>
  </w:abstractNum>
  <w:abstractNum w:abstractNumId="62">
    <w:nsid w:val="3B594807"/>
    <w:multiLevelType w:val="hybridMultilevel"/>
    <w:lvl w:ilvl="0">
      <w:lvlJc w:val="left"/>
      <w:lvlText w:val="^"/>
      <w:numFmt w:val="bullet"/>
      <w:start w:val="1"/>
    </w:lvl>
  </w:abstractNum>
  <w:abstractNum w:abstractNumId="63">
    <w:nsid w:val="6CAA2304"/>
    <w:multiLevelType w:val="hybridMultilevel"/>
    <w:lvl w:ilvl="0">
      <w:lvlJc w:val="left"/>
      <w:lvlText w:val="(%1)"/>
      <w:numFmt w:val="lowerRoman"/>
      <w:start w:val="1"/>
    </w:lvl>
  </w:abstractNum>
  <w:abstractNum w:abstractNumId="64">
    <w:nsid w:val="3F7C2FF4"/>
    <w:multiLevelType w:val="hybridMultilevel"/>
    <w:lvl w:ilvl="0">
      <w:lvlJc w:val="left"/>
      <w:lvlText w:val="•"/>
      <w:numFmt w:val="bullet"/>
      <w:start w:val="1"/>
    </w:lvl>
  </w:abstractNum>
  <w:abstractNum w:abstractNumId="65">
    <w:nsid w:val="25413BEC"/>
    <w:multiLevelType w:val="hybridMultilevel"/>
    <w:lvl w:ilvl="0">
      <w:lvlJc w:val="left"/>
      <w:lvlText w:val="•"/>
      <w:numFmt w:val="bullet"/>
      <w:start w:val="1"/>
    </w:lvl>
  </w:abstractNum>
  <w:abstractNum w:abstractNumId="66">
    <w:nsid w:val="17180B0B"/>
    <w:multiLevelType w:val="hybridMultilevel"/>
    <w:lvl w:ilvl="0">
      <w:lvlJc w:val="left"/>
      <w:lvlText w:val="•"/>
      <w:numFmt w:val="bullet"/>
      <w:start w:val="1"/>
    </w:lvl>
  </w:abstractNum>
  <w:abstractNum w:abstractNumId="67">
    <w:nsid w:val="579328B9"/>
    <w:multiLevelType w:val="hybridMultilevel"/>
    <w:lvl w:ilvl="0">
      <w:lvlJc w:val="left"/>
      <w:lvlText w:val="%1."/>
      <w:numFmt w:val="lowerLetter"/>
      <w:start w:val="1"/>
    </w:lvl>
  </w:abstractNum>
  <w:abstractNum w:abstractNumId="68">
    <w:nsid w:val="5D205E20"/>
    <w:multiLevelType w:val="hybridMultilevel"/>
    <w:lvl w:ilvl="0">
      <w:lvlJc w:val="left"/>
      <w:lvlText w:val="."/>
      <w:numFmt w:val="bullet"/>
      <w:start w:val="1"/>
    </w:lvl>
  </w:abstractNum>
  <w:abstractNum w:abstractNumId="69">
    <w:nsid w:val="11CCA8BA"/>
    <w:multiLevelType w:val="hybridMultilevel"/>
    <w:lvl w:ilvl="0">
      <w:lvlJc w:val="left"/>
      <w:lvlText w:val="%1."/>
      <w:numFmt w:val="lowerLetter"/>
      <w:start w:val="2"/>
    </w:lvl>
  </w:abstractNum>
  <w:abstractNum w:abstractNumId="70">
    <w:nsid w:val="4D32AB86"/>
    <w:multiLevelType w:val="hybridMultilevel"/>
    <w:lvl w:ilvl="0">
      <w:lvlJc w:val="left"/>
      <w:lvlText w:val="."/>
      <w:numFmt w:val="bullet"/>
      <w:start w:val="1"/>
    </w:lvl>
  </w:abstractNum>
  <w:abstractNum w:abstractNumId="71">
    <w:nsid w:val="3F07ACC3"/>
    <w:multiLevelType w:val="hybridMultilevel"/>
    <w:lvl w:ilvl="0">
      <w:lvlJc w:val="left"/>
      <w:lvlText w:val="%1."/>
      <w:numFmt w:val="lowerLetter"/>
      <w:start w:val="3"/>
    </w:lvl>
  </w:abstractNum>
  <w:abstractNum w:abstractNumId="72">
    <w:nsid w:val="6B47F63E"/>
    <w:multiLevelType w:val="hybridMultilevel"/>
    <w:lvl w:ilvl="0">
      <w:lvlJc w:val="left"/>
      <w:lvlText w:val="."/>
      <w:numFmt w:val="bullet"/>
      <w:start w:val="1"/>
    </w:lvl>
  </w:abstractNum>
  <w:abstractNum w:abstractNumId="73">
    <w:nsid w:val="5CB44A05"/>
    <w:multiLevelType w:val="hybridMultilevel"/>
    <w:lvl w:ilvl="0">
      <w:lvlJc w:val="left"/>
      <w:lvlText w:val="%1."/>
      <w:numFmt w:val="lowerLetter"/>
      <w:start w:val="4"/>
    </w:lvl>
  </w:abstractNum>
  <w:abstractNum w:abstractNumId="74">
    <w:nsid w:val="16CF80F1"/>
    <w:multiLevelType w:val="hybridMultilevel"/>
    <w:lvl w:ilvl="0">
      <w:lvlJc w:val="left"/>
      <w:lvlText w:val="."/>
      <w:numFmt w:val="bullet"/>
      <w:start w:val="1"/>
    </w:lvl>
  </w:abstractNum>
  <w:abstractNum w:abstractNumId="75">
    <w:nsid w:val="1C695DEC"/>
    <w:multiLevelType w:val="hybridMultilevel"/>
    <w:lvl w:ilvl="0">
      <w:lvlJc w:val="left"/>
      <w:lvlText w:val="%1."/>
      <w:numFmt w:val="decimal"/>
      <w:start w:val="1"/>
    </w:lvl>
    <w:lvl w:ilvl="1">
      <w:lvlJc w:val="left"/>
      <w:lvlText w:val="%2."/>
      <w:numFmt w:val="lowerRoman"/>
      <w:start w:val="1"/>
    </w:lvl>
  </w:abstractNum>
  <w:abstractNum w:abstractNumId="76">
    <w:nsid w:val="3FCFAED9"/>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77">
    <w:nsid w:val="F856867"/>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6"/>
    </w:lvl>
  </w:abstractNum>
  <w:abstractNum w:abstractNumId="78">
    <w:nsid w:val="11B1CC33"/>
    <w:multiLevelType w:val="hybridMultilevel"/>
    <w:lvl w:ilvl="0">
      <w:lvlJc w:val="left"/>
      <w:lvlText w:val="%1."/>
      <w:numFmt w:val="decimal"/>
      <w:start w:val="7"/>
    </w:lvl>
    <w:lvl w:ilvl="1">
      <w:lvlJc w:val="left"/>
      <w:lvlText w:val="%2"/>
      <w:numFmt w:val="lowerRoman"/>
      <w:start w:val="1"/>
    </w:lvl>
    <w:lvl w:ilvl="2">
      <w:lvlJc w:val="left"/>
      <w:lvlText w:val="%3."/>
      <w:numFmt w:val="lowerRoman"/>
      <w:start w:val="7"/>
    </w:lvl>
  </w:abstractNum>
  <w:abstractNum w:abstractNumId="79">
    <w:nsid w:val="2E22FBB7"/>
    <w:multiLevelType w:val="hybridMultilevel"/>
    <w:lvl w:ilvl="0">
      <w:lvlJc w:val="left"/>
      <w:lvlText w:val="%1"/>
      <w:numFmt w:val="decimal"/>
      <w:start w:val="1"/>
    </w:lvl>
    <w:lvl w:ilvl="1">
      <w:lvlJc w:val="left"/>
      <w:lvlText w:val="%2."/>
      <w:numFmt w:val="lowerRoman"/>
      <w:start w:val="9"/>
    </w:lvl>
  </w:abstractNum>
  <w:abstractNum w:abstractNumId="80">
    <w:nsid w:val="29934699"/>
    <w:multiLevelType w:val="hybridMultilevel"/>
    <w:lvl w:ilvl="0">
      <w:lvlJc w:val="left"/>
      <w:lvlText w:val="%1."/>
      <w:numFmt w:val="decimal"/>
      <w:start w:val="9"/>
    </w:lvl>
    <w:lvl w:ilvl="1">
      <w:lvlJc w:val="left"/>
      <w:lvlText w:val="%2"/>
      <w:numFmt w:val="lowerRoman"/>
      <w:start w:val="1"/>
    </w:lvl>
  </w:abstractNum>
  <w:abstractNum w:abstractNumId="81">
    <w:nsid w:val="77485850"/>
    <w:multiLevelType w:val="hybridMultilevel"/>
    <w:lvl w:ilvl="0">
      <w:lvlJc w:val="left"/>
      <w:lvlText w:val="%1."/>
      <w:numFmt w:val="decimal"/>
      <w:start w:val="14"/>
    </w:lvl>
    <w:lvl w:ilvl="1">
      <w:lvlJc w:val="left"/>
      <w:lvlText w:val="%2."/>
      <w:numFmt w:val="lowerRoman"/>
      <w:start w:val="11"/>
    </w:lvl>
  </w:abstractNum>
  <w:abstractNum w:abstractNumId="82">
    <w:nsid w:val="744939A3"/>
    <w:multiLevelType w:val="hybridMultilevel"/>
    <w:lvl w:ilvl="0">
      <w:lvlJc w:val="left"/>
      <w:lvlText w:val="%1."/>
      <w:numFmt w:val="lowerRoman"/>
      <w:start w:val="13"/>
    </w:lvl>
  </w:abstractNum>
  <w:abstractNum w:abstractNumId="83">
    <w:nsid w:val="4FA0D2E3"/>
    <w:multiLevelType w:val="hybridMultilevel"/>
    <w:lvl w:ilvl="0">
      <w:lvlJc w:val="left"/>
      <w:lvlText w:val="%1."/>
      <w:numFmt w:val="lowerRoman"/>
      <w:start w:val="14"/>
    </w:lvl>
  </w:abstractNum>
  <w:abstractNum w:abstractNumId="84">
    <w:nsid w:val="6B1D2C14"/>
    <w:multiLevelType w:val="hybridMultilevel"/>
    <w:lvl w:ilvl="0">
      <w:lvlJc w:val="left"/>
      <w:lvlText w:val="%1"/>
      <w:numFmt w:val="decimal"/>
      <w:start w:val="1"/>
    </w:lvl>
    <w:lvl w:ilvl="1">
      <w:lvlJc w:val="left"/>
      <w:lvlText w:val="%2"/>
      <w:numFmt w:val="lowerRoman"/>
      <w:start w:val="1"/>
    </w:lvl>
    <w:lvl w:ilvl="2">
      <w:lvlJc w:val="left"/>
      <w:lvlText w:val="(%3)"/>
      <w:numFmt w:val="decimal"/>
      <w:start w:val="90"/>
    </w:lvl>
    <w:lvl w:ilvl="3">
      <w:lvlJc w:val="left"/>
      <w:lvlText w:val="%4"/>
      <w:numFmt w:val="lowerLetter"/>
      <w:start w:val="1"/>
    </w:lvl>
  </w:abstractNum>
  <w:abstractNum w:abstractNumId="85">
    <w:nsid w:val="68B867D3"/>
    <w:multiLevelType w:val="hybridMultilevel"/>
    <w:lvl w:ilvl="0">
      <w:lvlJc w:val="left"/>
      <w:lvlText w:val="%1."/>
      <w:numFmt w:val="decimal"/>
      <w:start w:val="22"/>
    </w:lvl>
    <w:lvl w:ilvl="1">
      <w:lvlJc w:val="left"/>
      <w:lvlText w:val="%2."/>
      <w:numFmt w:val="lowerRoman"/>
      <w:start w:val="16"/>
    </w:lvl>
    <w:lvl w:ilvl="2">
      <w:lvlJc w:val="left"/>
      <w:lvlText w:val="%3"/>
      <w:numFmt w:val="decimal"/>
      <w:start w:val="1"/>
    </w:lvl>
    <w:lvl w:ilvl="3">
      <w:lvlJc w:val="left"/>
      <w:lvlText w:val="%4"/>
      <w:numFmt w:val="lowerLetter"/>
      <w:start w:val="1"/>
    </w:lvl>
  </w:abstractNum>
  <w:abstractNum w:abstractNumId="86">
    <w:nsid w:val="3F7F5DD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87">
    <w:nsid w:val="2AE05A34"/>
    <w:multiLevelType w:val="hybridMultilevel"/>
    <w:lvl w:ilvl="0">
      <w:lvlJc w:val="left"/>
      <w:lvlText w:val="%1"/>
      <w:numFmt w:val="decimal"/>
      <w:start w:val="1"/>
    </w:lvl>
    <w:lvl w:ilvl="1">
      <w:lvlJc w:val="left"/>
      <w:lvlText w:val="%2."/>
      <w:numFmt w:val="lowerRoman"/>
      <w:start w:val="17"/>
    </w:lvl>
    <w:lvl w:ilvl="2">
      <w:lvlJc w:val="left"/>
      <w:lvlText w:val="%3."/>
      <w:numFmt w:val="lowerLetter"/>
      <w:start w:val="3"/>
    </w:lvl>
  </w:abstractNum>
  <w:abstractNum w:abstractNumId="88">
    <w:nsid w:val="32794FF7"/>
    <w:multiLevelType w:val="hybridMultilevel"/>
    <w:lvl w:ilvl="0">
      <w:lvlJc w:val="left"/>
      <w:lvlText w:val="%1."/>
      <w:numFmt w:val="decimal"/>
      <w:start w:val="28"/>
    </w:lvl>
    <w:lvl w:ilvl="1">
      <w:lvlJc w:val="left"/>
      <w:lvlText w:val="%2"/>
      <w:numFmt w:val="lowerRoman"/>
      <w:start w:val="1"/>
    </w:lvl>
    <w:lvl w:ilvl="2">
      <w:lvlJc w:val="left"/>
      <w:lvlText w:val="%3"/>
      <w:numFmt w:val="lowerLetter"/>
      <w:start w:val="1"/>
    </w:lvl>
  </w:abstractNum>
  <w:abstractNum w:abstractNumId="89">
    <w:nsid w:val="5454945E"/>
    <w:multiLevelType w:val="hybridMultilevel"/>
    <w:lvl w:ilvl="0">
      <w:lvlJc w:val="left"/>
      <w:lvlText w:val="%1."/>
      <w:numFmt w:val="lowerLetter"/>
      <w:start w:val="1"/>
    </w:lvl>
  </w:abstractNum>
  <w:abstractNum w:abstractNumId="90">
    <w:nsid w:val="4DEFDFA0"/>
    <w:multiLevelType w:val="hybridMultilevel"/>
    <w:lvl w:ilvl="0">
      <w:lvlJc w:val="left"/>
      <w:lvlText w:val="%1."/>
      <w:numFmt w:val="decimal"/>
      <w:start w:val="36"/>
    </w:lvl>
  </w:abstractNum>
  <w:abstractNum w:abstractNumId="91">
    <w:nsid w:val="2123D5F2"/>
    <w:multiLevelType w:val="hybridMultilevel"/>
    <w:lvl w:ilvl="0">
      <w:lvlJc w:val="left"/>
      <w:lvlText w:val="%1."/>
      <w:numFmt w:val="decimal"/>
      <w:start w:val="38"/>
    </w:lvl>
  </w:abstractNum>
  <w:abstractNum w:abstractNumId="92">
    <w:nsid w:val="135B8110"/>
    <w:multiLevelType w:val="hybridMultilevel"/>
    <w:lvl w:ilvl="0">
      <w:lvlJc w:val="left"/>
      <w:lvlText w:val="%1."/>
      <w:numFmt w:val="lowerLetter"/>
      <w:start w:val="2"/>
    </w:lvl>
  </w:abstractNum>
  <w:abstractNum w:abstractNumId="93">
    <w:nsid w:val="94927A8"/>
    <w:multiLevelType w:val="hybridMultilevel"/>
    <w:lvl w:ilvl="0">
      <w:lvlJc w:val="left"/>
      <w:lvlText w:val="."/>
      <w:numFmt w:val="bullet"/>
      <w:start w:val="1"/>
    </w:lvl>
  </w:abstractNum>
  <w:abstractNum w:abstractNumId="94">
    <w:nsid w:val="DCDF8F6"/>
    <w:multiLevelType w:val="hybridMultilevel"/>
    <w:lvl w:ilvl="0">
      <w:lvlJc w:val="left"/>
      <w:lvlText w:val="%1."/>
      <w:numFmt w:val="decimal"/>
      <w:start w:val="41"/>
    </w:lvl>
  </w:abstractNum>
  <w:abstractNum w:abstractNumId="95">
    <w:nsid w:val="52D7B105"/>
    <w:multiLevelType w:val="hybridMultilevel"/>
    <w:lvl w:ilvl="0">
      <w:lvlJc w:val="left"/>
      <w:lvlText w:val="%1."/>
      <w:numFmt w:val="decimal"/>
      <w:start w:val="44"/>
    </w:lvl>
  </w:abstractNum>
  <w:abstractNum w:abstractNumId="96">
    <w:nsid w:val="2E8A6394"/>
    <w:multiLevelType w:val="hybridMultilevel"/>
    <w:lvl w:ilvl="0">
      <w:lvlJc w:val="left"/>
      <w:lvlText w:val="%1."/>
      <w:numFmt w:val="lowerLetter"/>
      <w:start w:val="3"/>
    </w:lvl>
  </w:abstractNum>
  <w:abstractNum w:abstractNumId="97">
    <w:nsid w:val="24E60401"/>
    <w:multiLevelType w:val="hybridMultilevel"/>
    <w:lvl w:ilvl="0">
      <w:lvlJc w:val="left"/>
      <w:lvlText w:val="."/>
      <w:numFmt w:val="bullet"/>
      <w:start w:val="1"/>
    </w:lvl>
  </w:abstractNum>
  <w:abstractNum w:abstractNumId="98">
    <w:nsid w:val="2A6AD9BE"/>
    <w:multiLevelType w:val="hybridMultilevel"/>
    <w:lvl w:ilvl="0">
      <w:lvlJc w:val="left"/>
      <w:lvlText w:val="%1."/>
      <w:numFmt w:val="decimal"/>
      <w:start w:val="46"/>
    </w:lvl>
  </w:abstractNum>
  <w:abstractNum w:abstractNumId="99">
    <w:nsid w:val="BAAC1B4"/>
    <w:multiLevelType w:val="hybridMultilevel"/>
    <w:lvl w:ilvl="0">
      <w:lvlJc w:val="left"/>
      <w:lvlText w:val="%1."/>
      <w:numFmt w:val="decimal"/>
      <w:start w:val="48"/>
    </w:lvl>
  </w:abstractNum>
  <w:abstractNum w:abstractNumId="100">
    <w:nsid w:val="36B2ACBC"/>
    <w:multiLevelType w:val="hybridMultilevel"/>
    <w:lvl w:ilvl="0">
      <w:lvlJc w:val="left"/>
      <w:lvlText w:val="%1."/>
      <w:numFmt w:val="lowerLetter"/>
      <w:start w:val="4"/>
    </w:lvl>
  </w:abstractNum>
  <w:abstractNum w:abstractNumId="101">
    <w:nsid w:val="779D8544"/>
    <w:multiLevelType w:val="hybridMultilevel"/>
    <w:lvl w:ilvl="0">
      <w:lvlJc w:val="left"/>
      <w:lvlText w:val="%1."/>
      <w:numFmt w:val="decimal"/>
      <w:start w:val="50"/>
    </w:lvl>
  </w:abstractNum>
  <w:abstractNum w:abstractNumId="102">
    <w:nsid w:val="4AB26E78"/>
    <w:multiLevelType w:val="hybridMultilevel"/>
    <w:lvl w:ilvl="0">
      <w:lvlJc w:val="left"/>
      <w:lvlText w:val="%1."/>
      <w:numFmt w:val="lowerLetter"/>
      <w:start w:val="1"/>
    </w:lvl>
  </w:abstractNum>
  <w:abstractNum w:abstractNumId="103">
    <w:nsid w:val="21FAA2FA"/>
    <w:multiLevelType w:val="hybridMultilevel"/>
    <w:lvl w:ilvl="0">
      <w:lvlJc w:val="left"/>
      <w:lvlText w:val="%1."/>
      <w:numFmt w:val="lowerLetter"/>
      <w:start w:val="2"/>
    </w:lvl>
  </w:abstractNum>
  <w:abstractNum w:abstractNumId="104">
    <w:nsid w:val="5451CF49"/>
    <w:multiLevelType w:val="hybridMultilevel"/>
    <w:lvl w:ilvl="0">
      <w:lvlJc w:val="left"/>
      <w:lvlText w:val="%1."/>
      <w:numFmt w:val="decimal"/>
      <w:start w:val="52"/>
    </w:lvl>
  </w:abstractNum>
  <w:abstractNum w:abstractNumId="105">
    <w:nsid w:val="6181EF69"/>
    <w:multiLevelType w:val="hybridMultilevel"/>
    <w:lvl w:ilvl="0">
      <w:lvlJc w:val="left"/>
      <w:lvlText w:val="%1."/>
      <w:numFmt w:val="decimal"/>
      <w:start w:val="57"/>
    </w:lvl>
  </w:abstractNum>
  <w:abstractNum w:abstractNumId="106">
    <w:nsid w:val="3E6400E6"/>
    <w:multiLevelType w:val="hybridMultilevel"/>
    <w:lvl w:ilvl="0">
      <w:lvlJc w:val="left"/>
      <w:lvlText w:val="%1."/>
      <w:numFmt w:val="decimal"/>
      <w:start w:val="58"/>
    </w:lvl>
  </w:abstractNum>
  <w:abstractNum w:abstractNumId="107">
    <w:nsid w:val="14217E23"/>
    <w:multiLevelType w:val="hybridMultilevel"/>
    <w:lvl w:ilvl="0">
      <w:lvlJc w:val="left"/>
      <w:lvlText w:val="%1."/>
      <w:numFmt w:val="decimal"/>
      <w:start w:val="59"/>
    </w:lvl>
  </w:abstractNum>
  <w:abstractNum w:abstractNumId="108">
    <w:nsid w:val="710757D0"/>
    <w:multiLevelType w:val="hybridMultilevel"/>
    <w:lvl w:ilvl="0">
      <w:lvlJc w:val="left"/>
      <w:lvlText w:val="%1."/>
      <w:numFmt w:val="decimal"/>
      <w:start w:val="61"/>
    </w:lvl>
  </w:abstractNum>
  <w:abstractNum w:abstractNumId="109">
    <w:nsid w:val="5015CD1A"/>
    <w:multiLevelType w:val="hybridMultilevel"/>
    <w:lvl w:ilvl="0">
      <w:lvlJc w:val="left"/>
      <w:lvlText w:val="(%1)"/>
      <w:numFmt w:val="lowerRoman"/>
      <w:start w:val="2"/>
    </w:lvl>
  </w:abstractNum>
  <w:abstractNum w:abstractNumId="110">
    <w:nsid w:val="424479DA"/>
    <w:multiLevelType w:val="hybridMultilevel"/>
    <w:lvl w:ilvl="0">
      <w:lvlJc w:val="left"/>
      <w:lvlText w:val="%1."/>
      <w:numFmt w:val="lowerLetter"/>
      <w:start w:val="1"/>
    </w:lvl>
  </w:abstractNum>
  <w:abstractNum w:abstractNumId="111">
    <w:nsid w:val="1A9A9E69"/>
    <w:multiLevelType w:val="hybridMultilevel"/>
    <w:lvl w:ilvl="0">
      <w:lvlJc w:val="left"/>
      <w:lvlText w:val="."/>
      <w:numFmt w:val="bullet"/>
      <w:start w:val="1"/>
    </w:lvl>
  </w:abstractNum>
  <w:abstractNum w:abstractNumId="112">
    <w:nsid w:val="475E256A"/>
    <w:multiLevelType w:val="hybridMultilevel"/>
    <w:lvl w:ilvl="0">
      <w:lvlJc w:val="left"/>
      <w:lvlText w:val="%1."/>
      <w:numFmt w:val="lowerLetter"/>
      <w:start w:val="2"/>
    </w:lvl>
  </w:abstractNum>
  <w:abstractNum w:abstractNumId="113">
    <w:nsid w:val="368DB37E"/>
    <w:multiLevelType w:val="hybridMultilevel"/>
    <w:lvl w:ilvl="0">
      <w:lvlJc w:val="left"/>
      <w:lvlText w:val="."/>
      <w:numFmt w:val="bullet"/>
      <w:start w:val="1"/>
    </w:lvl>
  </w:abstractNum>
  <w:abstractNum w:abstractNumId="114">
    <w:nsid w:val="6A3B714C"/>
    <w:multiLevelType w:val="hybridMultilevel"/>
    <w:lvl w:ilvl="0">
      <w:lvlJc w:val="left"/>
      <w:lvlText w:val="%1."/>
      <w:numFmt w:val="lowerLetter"/>
      <w:start w:val="1"/>
    </w:lvl>
  </w:abstractNum>
  <w:abstractNum w:abstractNumId="115">
    <w:nsid w:val="327B517E"/>
    <w:multiLevelType w:val="hybridMultilevel"/>
    <w:lvl w:ilvl="0">
      <w:lvlJc w:val="left"/>
      <w:lvlText w:val="."/>
      <w:numFmt w:val="bullet"/>
      <w:start w:val="1"/>
    </w:lvl>
  </w:abstractNum>
  <w:abstractNum w:abstractNumId="116">
    <w:nsid w:val="1F461B51"/>
    <w:multiLevelType w:val="hybridMultilevel"/>
    <w:lvl w:ilvl="0">
      <w:lvlJc w:val="left"/>
      <w:lvlText w:val="%1."/>
      <w:numFmt w:val="lowerLetter"/>
      <w:start w:val="2"/>
    </w:lvl>
  </w:abstractNum>
  <w:abstractNum w:abstractNumId="117">
    <w:nsid w:val="29BACF25"/>
    <w:multiLevelType w:val="hybridMultilevel"/>
    <w:lvl w:ilvl="0">
      <w:lvlJc w:val="left"/>
      <w:lvlText w:val="."/>
      <w:numFmt w:val="bullet"/>
      <w:start w:val="1"/>
    </w:lvl>
  </w:abstractNum>
  <w:abstractNum w:abstractNumId="118">
    <w:nsid w:val="5D5BABB3"/>
    <w:multiLevelType w:val="hybridMultilevel"/>
    <w:lvl w:ilvl="0">
      <w:lvlJc w:val="left"/>
      <w:lvlText w:val="%1."/>
      <w:numFmt w:val="lowerLetter"/>
      <w:start w:val="1"/>
    </w:lvl>
  </w:abstractNum>
  <w:abstractNum w:abstractNumId="119">
    <w:nsid w:val="51BF6B48"/>
    <w:multiLevelType w:val="hybridMultilevel"/>
    <w:lvl w:ilvl="0">
      <w:lvlJc w:val="left"/>
      <w:lvlText w:val="."/>
      <w:numFmt w:val="bullet"/>
      <w:start w:val="1"/>
    </w:lvl>
  </w:abstractNum>
  <w:abstractNum w:abstractNumId="120">
    <w:nsid w:val="7E0F6384"/>
    <w:multiLevelType w:val="hybridMultilevel"/>
    <w:lvl w:ilvl="0">
      <w:lvlJc w:val="left"/>
      <w:lvlText w:val="%1."/>
      <w:numFmt w:val="lowerLetter"/>
      <w:start w:val="2"/>
    </w:lvl>
  </w:abstractNum>
  <w:abstractNum w:abstractNumId="121">
    <w:nsid w:val="2B4B8B53"/>
    <w:multiLevelType w:val="hybridMultilevel"/>
    <w:lvl w:ilvl="0">
      <w:lvlJc w:val="left"/>
      <w:lvlText w:val="%1."/>
      <w:numFmt w:val="decimal"/>
      <w:start w:val="64"/>
    </w:lvl>
  </w:abstractNum>
  <w:abstractNum w:abstractNumId="122">
    <w:nsid w:val="72E3413A"/>
    <w:multiLevelType w:val="hybridMultilevel"/>
    <w:lvl w:ilvl="0">
      <w:lvlJc w:val="left"/>
      <w:lvlText w:val="%1."/>
      <w:numFmt w:val="decimal"/>
      <w:start w:val="65"/>
    </w:lvl>
  </w:abstractNum>
  <w:abstractNum w:abstractNumId="123">
    <w:nsid w:val="116AE494"/>
    <w:multiLevelType w:val="hybridMultilevel"/>
    <w:lvl w:ilvl="0">
      <w:lvlJc w:val="left"/>
      <w:lvlText w:val="%1."/>
      <w:numFmt w:val="lowerLetter"/>
      <w:start w:val="3"/>
    </w:lvl>
  </w:abstractNum>
  <w:abstractNum w:abstractNumId="124">
    <w:nsid w:val="3494B2FB"/>
    <w:multiLevelType w:val="hybridMultilevel"/>
    <w:lvl w:ilvl="0">
      <w:lvlJc w:val="left"/>
      <w:lvlText w:val="."/>
      <w:numFmt w:val="bullet"/>
      <w:start w:val="1"/>
    </w:lvl>
  </w:abstractNum>
  <w:abstractNum w:abstractNumId="125">
    <w:nsid w:val="B13A31"/>
    <w:multiLevelType w:val="hybridMultilevel"/>
    <w:lvl w:ilvl="0">
      <w:lvlJc w:val="left"/>
      <w:lvlText w:val="%1."/>
      <w:numFmt w:val="lowerLetter"/>
      <w:start w:val="4"/>
    </w:lvl>
  </w:abstractNum>
  <w:abstractNum w:abstractNumId="126">
    <w:nsid w:val="64429599"/>
    <w:multiLevelType w:val="hybridMultilevel"/>
    <w:lvl w:ilvl="0">
      <w:lvlJc w:val="left"/>
      <w:lvlText w:val="."/>
      <w:numFmt w:val="bullet"/>
      <w:start w:val="1"/>
    </w:lvl>
  </w:abstractNum>
  <w:abstractNum w:abstractNumId="127">
    <w:nsid w:val="631F1690"/>
    <w:multiLevelType w:val="hybridMultilevel"/>
    <w:lvl w:ilvl="0">
      <w:lvlJc w:val="left"/>
      <w:lvlText w:val="%1."/>
      <w:numFmt w:val="lowerLetter"/>
      <w:start w:val="5"/>
    </w:lvl>
  </w:abstractNum>
  <w:abstractNum w:abstractNumId="128">
    <w:nsid w:val="25973E32"/>
    <w:multiLevelType w:val="hybridMultilevel"/>
    <w:lvl w:ilvl="0">
      <w:lvlJc w:val="left"/>
      <w:lvlText w:val="."/>
      <w:numFmt w:val="bullet"/>
      <w:start w:val="1"/>
    </w:lvl>
  </w:abstractNum>
  <w:abstractNum w:abstractNumId="129">
    <w:nsid w:val="EAD6F57"/>
    <w:multiLevelType w:val="hybridMultilevel"/>
    <w:lvl w:ilvl="0">
      <w:lvlJc w:val="left"/>
      <w:lvlText w:val="%1."/>
      <w:numFmt w:val="lowerLetter"/>
      <w:start w:val="6"/>
    </w:lvl>
  </w:abstractNum>
  <w:abstractNum w:abstractNumId="130">
    <w:nsid w:val="6EC9D844"/>
    <w:multiLevelType w:val="hybridMultilevel"/>
    <w:lvl w:ilvl="0">
      <w:lvlJc w:val="left"/>
      <w:lvlText w:val="."/>
      <w:numFmt w:val="bullet"/>
      <w:start w:val="1"/>
    </w:lvl>
  </w:abstractNum>
  <w:abstractNum w:abstractNumId="131">
    <w:nsid w:val="5C49EAEE"/>
    <w:multiLevelType w:val="hybridMultilevel"/>
    <w:lvl w:ilvl="0">
      <w:lvlJc w:val="left"/>
      <w:lvlText w:val="%1."/>
      <w:numFmt w:val="lowerLetter"/>
      <w:start w:val="7"/>
    </w:lvl>
  </w:abstractNum>
  <w:abstractNum w:abstractNumId="132">
    <w:nsid w:val="64AF49B"/>
    <w:multiLevelType w:val="hybridMultilevel"/>
    <w:lvl w:ilvl="0">
      <w:lvlJc w:val="left"/>
      <w:lvlText w:val="."/>
      <w:numFmt w:val="bullet"/>
      <w:start w:val="1"/>
    </w:lvl>
  </w:abstractNum>
  <w:abstractNum w:abstractNumId="133">
    <w:nsid w:val="397C46BC"/>
    <w:multiLevelType w:val="hybridMultilevel"/>
    <w:lvl w:ilvl="0">
      <w:lvlJc w:val="left"/>
      <w:lvlText w:val="%1."/>
      <w:numFmt w:val="lowerLetter"/>
      <w:start w:val="8"/>
    </w:lvl>
  </w:abstractNum>
  <w:abstractNum w:abstractNumId="134">
    <w:nsid w:val="7E448DE9"/>
    <w:multiLevelType w:val="hybridMultilevel"/>
    <w:lvl w:ilvl="0">
      <w:lvlJc w:val="left"/>
      <w:lvlText w:val="."/>
      <w:numFmt w:val="bullet"/>
      <w:start w:val="1"/>
    </w:lvl>
  </w:abstractNum>
  <w:abstractNum w:abstractNumId="135">
    <w:nsid w:val="5A9CC3E5"/>
    <w:multiLevelType w:val="hybridMultilevel"/>
    <w:lvl w:ilvl="0">
      <w:lvlJc w:val="left"/>
      <w:lvlText w:val="%1."/>
      <w:numFmt w:val="lowerRoman"/>
      <w:start w:val="1"/>
    </w:lvl>
  </w:abstractNum>
  <w:abstractNum w:abstractNumId="136">
    <w:nsid w:val="1AFE3625"/>
    <w:multiLevelType w:val="hybridMultilevel"/>
    <w:lvl w:ilvl="0">
      <w:lvlJc w:val="left"/>
      <w:lvlText w:val="."/>
      <w:numFmt w:val="bullet"/>
      <w:start w:val="1"/>
    </w:lvl>
  </w:abstractNum>
  <w:abstractNum w:abstractNumId="137">
    <w:nsid w:val="3CA88ECF"/>
    <w:multiLevelType w:val="hybridMultilevel"/>
    <w:lvl w:ilvl="0">
      <w:lvlJc w:val="left"/>
      <w:lvlText w:val="%1."/>
      <w:numFmt w:val="lowerLetter"/>
      <w:start w:val="10"/>
    </w:lvl>
  </w:abstractNum>
  <w:abstractNum w:abstractNumId="138">
    <w:nsid w:val="6EBE4208"/>
    <w:multiLevelType w:val="hybridMultilevel"/>
    <w:lvl w:ilvl="0">
      <w:lvlJc w:val="left"/>
      <w:lvlText w:val="."/>
      <w:numFmt w:val="bullet"/>
      <w:start w:val="1"/>
    </w:lvl>
  </w:abstractNum>
  <w:abstractNum w:abstractNumId="139">
    <w:nsid w:val="C058DF5"/>
    <w:multiLevelType w:val="hybridMultilevel"/>
    <w:lvl w:ilvl="0">
      <w:lvlJc w:val="left"/>
      <w:lvlText w:val="%1."/>
      <w:numFmt w:val="lowerLetter"/>
      <w:start w:val="11"/>
    </w:lvl>
  </w:abstractNum>
  <w:abstractNum w:abstractNumId="140">
    <w:nsid w:val="CBE5BE9"/>
    <w:multiLevelType w:val="hybridMultilevel"/>
    <w:lvl w:ilvl="0">
      <w:lvlJc w:val="left"/>
      <w:lvlText w:val="."/>
      <w:numFmt w:val="bullet"/>
      <w:start w:val="1"/>
    </w:lvl>
  </w:abstractNum>
  <w:abstractNum w:abstractNumId="141">
    <w:nsid w:val="3102BBE2"/>
    <w:multiLevelType w:val="hybridMultilevel"/>
    <w:lvl w:ilvl="0">
      <w:lvlJc w:val="left"/>
      <w:lvlText w:val="%1."/>
      <w:numFmt w:val="lowerLetter"/>
      <w:start w:val="1"/>
    </w:lvl>
  </w:abstractNum>
  <w:abstractNum w:abstractNumId="142">
    <w:nsid w:val="26A02C5E"/>
    <w:multiLevelType w:val="hybridMultilevel"/>
    <w:lvl w:ilvl="0">
      <w:lvlJc w:val="left"/>
      <w:lvlText w:val="%1."/>
      <w:numFmt w:val="lowerLetter"/>
      <w:start w:val="2"/>
    </w:lvl>
  </w:abstractNum>
  <w:abstractNum w:abstractNumId="143">
    <w:nsid w:val="541C8153"/>
    <w:multiLevelType w:val="hybridMultilevel"/>
    <w:lvl w:ilvl="0">
      <w:lvlJc w:val="left"/>
      <w:lvlText w:val="%1."/>
      <w:numFmt w:val="lowerLetter"/>
      <w:start w:val="3"/>
    </w:lvl>
  </w:abstractNum>
  <w:abstractNum w:abstractNumId="144">
    <w:nsid w:val="67906F60"/>
    <w:multiLevelType w:val="hybridMultilevel"/>
    <w:lvl w:ilvl="0">
      <w:lvlJc w:val="left"/>
      <w:lvlText w:val="%1."/>
      <w:numFmt w:val="lowerLetter"/>
      <w:start w:val="4"/>
    </w:lvl>
  </w:abstractNum>
  <w:abstractNum w:abstractNumId="145">
    <w:nsid w:val="10DB9DAA"/>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146">
    <w:nsid w:val="697D2D2"/>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47">
    <w:nsid w:val="6D68AB2"/>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6"/>
    </w:lvl>
  </w:abstractNum>
  <w:abstractNum w:abstractNumId="148">
    <w:nsid w:val="3A966CD0"/>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7"/>
    </w:lvl>
  </w:abstractNum>
  <w:abstractNum w:abstractNumId="149">
    <w:nsid w:val="63F37E85"/>
    <w:multiLevelType w:val="hybridMultilevel"/>
    <w:lvl w:ilvl="0">
      <w:lvlJc w:val="left"/>
      <w:lvlText w:val="%1"/>
      <w:numFmt w:val="decimal"/>
      <w:start w:val="1"/>
    </w:lvl>
    <w:lvl w:ilvl="1">
      <w:lvlJc w:val="left"/>
      <w:lvlText w:val="%2."/>
      <w:numFmt w:val="lowerRoman"/>
      <w:start w:val="9"/>
    </w:lvl>
  </w:abstractNum>
  <w:abstractNum w:abstractNumId="150">
    <w:nsid w:val="5895F5FA"/>
    <w:multiLevelType w:val="hybridMultilevel"/>
    <w:lvl w:ilvl="0">
      <w:lvlJc w:val="left"/>
      <w:lvlText w:val="%1."/>
      <w:numFmt w:val="decimal"/>
      <w:start w:val="8"/>
    </w:lvl>
    <w:lvl w:ilvl="1">
      <w:lvlJc w:val="left"/>
      <w:lvlText w:val="%2"/>
      <w:numFmt w:val="lowerRoman"/>
      <w:start w:val="1"/>
    </w:lvl>
  </w:abstractNum>
  <w:abstractNum w:abstractNumId="151">
    <w:nsid w:val="38A5D054"/>
    <w:multiLevelType w:val="hybridMultilevel"/>
    <w:lvl w:ilvl="0">
      <w:lvlJc w:val="left"/>
      <w:lvlText w:val="%1."/>
      <w:numFmt w:val="decimal"/>
      <w:start w:val="13"/>
    </w:lvl>
    <w:lvl w:ilvl="1">
      <w:lvlJc w:val="left"/>
      <w:lvlText w:val="%2."/>
      <w:numFmt w:val="lowerRoman"/>
      <w:start w:val="13"/>
    </w:lvl>
    <w:lvl w:ilvl="2">
      <w:lvlJc w:val="left"/>
      <w:lvlText w:val="%3."/>
      <w:numFmt w:val="lowerRoman"/>
      <w:start w:val="11"/>
    </w:lvl>
  </w:abstractNum>
  <w:abstractNum w:abstractNumId="152">
    <w:nsid w:val="F3F09D8"/>
    <w:multiLevelType w:val="hybridMultilevel"/>
    <w:lvl w:ilvl="0">
      <w:lvlJc w:val="left"/>
      <w:lvlText w:val="%1."/>
      <w:numFmt w:val="lowerRoman"/>
      <w:start w:val="15"/>
    </w:lvl>
  </w:abstractNum>
  <w:abstractNum w:abstractNumId="153">
    <w:nsid w:val="4B793735"/>
    <w:multiLevelType w:val="hybridMultilevel"/>
    <w:lvl w:ilvl="0">
      <w:lvlJc w:val="left"/>
      <w:lvlText w:val="%1"/>
      <w:numFmt w:val="decimal"/>
      <w:start w:val="1"/>
    </w:lvl>
    <w:lvl w:ilvl="1">
      <w:lvlJc w:val="left"/>
      <w:lvlText w:val="%2"/>
      <w:numFmt w:val="lowerRoman"/>
      <w:start w:val="1"/>
    </w:lvl>
    <w:lvl w:ilvl="2">
      <w:lvlJc w:val="left"/>
      <w:lvlText w:val="(%3)"/>
      <w:numFmt w:val="decimal"/>
      <w:start w:val="90"/>
    </w:lvl>
    <w:lvl w:ilvl="3">
      <w:lvlJc w:val="left"/>
      <w:lvlText w:val="%4"/>
      <w:numFmt w:val="lowerLetter"/>
      <w:start w:val="1"/>
    </w:lvl>
  </w:abstractNum>
  <w:abstractNum w:abstractNumId="154">
    <w:nsid w:val="4A10B4E8"/>
    <w:multiLevelType w:val="hybridMultilevel"/>
    <w:lvl w:ilvl="0">
      <w:lvlJc w:val="left"/>
      <w:lvlText w:val="%1."/>
      <w:numFmt w:val="decimal"/>
      <w:start w:val="20"/>
    </w:lvl>
    <w:lvl w:ilvl="1">
      <w:lvlJc w:val="left"/>
      <w:lvlText w:val="%2."/>
      <w:numFmt w:val="lowerRoman"/>
      <w:start w:val="16"/>
    </w:lvl>
    <w:lvl w:ilvl="2">
      <w:lvlJc w:val="left"/>
      <w:lvlText w:val="%3"/>
      <w:numFmt w:val="decimal"/>
      <w:start w:val="1"/>
    </w:lvl>
    <w:lvl w:ilvl="3">
      <w:lvlJc w:val="left"/>
      <w:lvlText w:val="%4."/>
      <w:numFmt w:val="lowerLetter"/>
      <w:start w:val="1"/>
    </w:lvl>
  </w:abstractNum>
  <w:abstractNum w:abstractNumId="155">
    <w:nsid w:val="43D3BCD4"/>
    <w:multiLevelType w:val="hybridMultilevel"/>
    <w:lvl w:ilvl="0">
      <w:lvlJc w:val="left"/>
      <w:lvlText w:val="%1"/>
      <w:numFmt w:val="decimal"/>
      <w:start w:val="1"/>
    </w:lvl>
    <w:lvl w:ilvl="1">
      <w:lvlJc w:val="left"/>
      <w:lvlText w:val="%2."/>
      <w:numFmt w:val="lowerLetter"/>
      <w:start w:val="3"/>
    </w:lvl>
  </w:abstractNum>
  <w:abstractNum w:abstractNumId="156">
    <w:nsid w:val="4C2A7166"/>
    <w:multiLevelType w:val="hybridMultilevel"/>
    <w:lvl w:ilvl="0">
      <w:lvlJc w:val="left"/>
      <w:lvlText w:val="%1."/>
      <w:numFmt w:val="decimal"/>
      <w:start w:val="26"/>
    </w:lvl>
    <w:lvl w:ilvl="1">
      <w:lvlJc w:val="left"/>
      <w:lvlText w:val="%2"/>
      <w:numFmt w:val="lowerLetter"/>
      <w:start w:val="1"/>
    </w:lvl>
  </w:abstractNum>
  <w:abstractNum w:abstractNumId="157">
    <w:nsid w:val="2E534A82"/>
    <w:multiLevelType w:val="hybridMultilevel"/>
    <w:lvl w:ilvl="0">
      <w:lvlJc w:val="left"/>
      <w:lvlText w:val="%1."/>
      <w:numFmt w:val="lowerLetter"/>
      <w:start w:val="1"/>
    </w:lvl>
  </w:abstractNum>
  <w:abstractNum w:abstractNumId="158">
    <w:nsid w:val="26F2D364"/>
    <w:multiLevelType w:val="hybridMultilevel"/>
    <w:lvl w:ilvl="0">
      <w:lvlJc w:val="left"/>
      <w:lvlText w:val="%1."/>
      <w:numFmt w:val="decimal"/>
      <w:start w:val="38"/>
    </w:lvl>
  </w:abstractNum>
  <w:abstractNum w:abstractNumId="159">
    <w:nsid w:val="71C1AF98"/>
    <w:multiLevelType w:val="hybridMultilevel"/>
    <w:lvl w:ilvl="0">
      <w:lvlJc w:val="left"/>
      <w:lvlText w:val="%1."/>
      <w:numFmt w:val="lowerLetter"/>
      <w:start w:val="2"/>
    </w:lvl>
  </w:abstractNum>
  <w:abstractNum w:abstractNumId="160">
    <w:nsid w:val="3D00B9D9"/>
    <w:multiLevelType w:val="hybridMultilevel"/>
    <w:lvl w:ilvl="0">
      <w:lvlJc w:val="left"/>
      <w:lvlText w:val="%1."/>
      <w:numFmt w:val="decimal"/>
      <w:start w:val="43"/>
    </w:lvl>
  </w:abstractNum>
  <w:abstractNum w:abstractNumId="161">
    <w:nsid w:val="15BCABA8"/>
    <w:multiLevelType w:val="hybridMultilevel"/>
    <w:lvl w:ilvl="0">
      <w:lvlJc w:val="left"/>
      <w:lvlText w:val="%1."/>
      <w:numFmt w:val="decimal"/>
      <w:start w:val="45"/>
    </w:lvl>
  </w:abstractNum>
  <w:abstractNum w:abstractNumId="162">
    <w:nsid w:val="4E0B9A87"/>
    <w:multiLevelType w:val="hybridMultilevel"/>
    <w:lvl w:ilvl="0">
      <w:lvlJc w:val="left"/>
      <w:lvlText w:val="%1."/>
      <w:numFmt w:val="lowerLetter"/>
      <w:start w:val="3"/>
    </w:lvl>
  </w:abstractNum>
  <w:abstractNum w:abstractNumId="163">
    <w:nsid w:val="434BAE75"/>
    <w:multiLevelType w:val="hybridMultilevel"/>
    <w:lvl w:ilvl="0">
      <w:lvlJc w:val="left"/>
      <w:lvlText w:val="%1."/>
      <w:numFmt w:val="decimal"/>
      <w:start w:val="47"/>
    </w:lvl>
  </w:abstractNum>
  <w:abstractNum w:abstractNumId="164">
    <w:nsid w:val="4F38F265"/>
    <w:multiLevelType w:val="hybridMultilevel"/>
    <w:lvl w:ilvl="0">
      <w:lvlJc w:val="left"/>
      <w:lvlText w:val="%1."/>
      <w:numFmt w:val="decimal"/>
      <w:start w:val="48"/>
    </w:lvl>
  </w:abstractNum>
  <w:abstractNum w:abstractNumId="165">
    <w:nsid w:val="4C502870"/>
    <w:multiLevelType w:val="hybridMultilevel"/>
    <w:lvl w:ilvl="0">
      <w:lvlJc w:val="left"/>
      <w:lvlText w:val="%1."/>
      <w:numFmt w:val="lowerLetter"/>
      <w:start w:val="4"/>
    </w:lvl>
  </w:abstractNum>
  <w:abstractNum w:abstractNumId="166">
    <w:nsid w:val="1DE8725A"/>
    <w:multiLevelType w:val="hybridMultilevel"/>
    <w:lvl w:ilvl="0">
      <w:lvlJc w:val="left"/>
      <w:lvlText w:val="%1."/>
      <w:numFmt w:val="decimal"/>
      <w:start w:val="50"/>
    </w:lvl>
  </w:abstractNum>
  <w:abstractNum w:abstractNumId="167">
    <w:nsid w:val="6A37288A"/>
    <w:multiLevelType w:val="hybridMultilevel"/>
    <w:lvl w:ilvl="0">
      <w:lvlJc w:val="left"/>
      <w:lvlText w:val="%1."/>
      <w:numFmt w:val="decimal"/>
      <w:start w:val="51"/>
    </w:lvl>
  </w:abstractNum>
  <w:abstractNum w:abstractNumId="168">
    <w:nsid w:val="8F8B73F"/>
    <w:multiLevelType w:val="hybridMultilevel"/>
    <w:lvl w:ilvl="0">
      <w:lvlJc w:val="left"/>
      <w:lvlText w:val="%1."/>
      <w:numFmt w:val="lowerLetter"/>
      <w:start w:val="1"/>
    </w:lvl>
  </w:abstractNum>
  <w:abstractNum w:abstractNumId="169">
    <w:nsid w:val="CA6B462"/>
    <w:multiLevelType w:val="hybridMultilevel"/>
    <w:lvl w:ilvl="0">
      <w:lvlJc w:val="left"/>
      <w:lvlText w:val="%1."/>
      <w:numFmt w:val="lowerLetter"/>
      <w:start w:val="2"/>
    </w:lvl>
  </w:abstractNum>
  <w:abstractNum w:abstractNumId="170">
    <w:nsid w:val="763CB680"/>
    <w:multiLevelType w:val="hybridMultilevel"/>
    <w:lvl w:ilvl="0">
      <w:lvlJc w:val="left"/>
      <w:lvlText w:val="%1."/>
      <w:numFmt w:val="decimal"/>
      <w:start w:val="52"/>
    </w:lvl>
  </w:abstractNum>
  <w:abstractNum w:abstractNumId="171">
    <w:nsid w:val="15B71329"/>
    <w:multiLevelType w:val="hybridMultilevel"/>
    <w:lvl w:ilvl="0">
      <w:lvlJc w:val="left"/>
      <w:lvlText w:val="%1."/>
      <w:numFmt w:val="decimal"/>
      <w:start w:val="56"/>
    </w:lvl>
  </w:abstractNum>
  <w:abstractNum w:abstractNumId="172">
    <w:nsid w:val="3DA97044"/>
    <w:multiLevelType w:val="hybridMultilevel"/>
    <w:lvl w:ilvl="0">
      <w:lvlJc w:val="left"/>
      <w:lvlText w:val="%1."/>
      <w:numFmt w:val="decimal"/>
      <w:start w:val="57"/>
    </w:lvl>
  </w:abstractNum>
  <w:abstractNum w:abstractNumId="173">
    <w:nsid w:val="1CDCE2DE"/>
    <w:multiLevelType w:val="hybridMultilevel"/>
    <w:lvl w:ilvl="0">
      <w:lvlJc w:val="left"/>
      <w:lvlText w:val="%1."/>
      <w:numFmt w:val="decimal"/>
      <w:start w:val="59"/>
    </w:lvl>
  </w:abstractNum>
  <w:abstractNum w:abstractNumId="174">
    <w:nsid w:val="69D3947C"/>
    <w:multiLevelType w:val="hybridMultilevel"/>
    <w:lvl w:ilvl="0">
      <w:lvlJc w:val="left"/>
      <w:lvlText w:val="%1."/>
      <w:numFmt w:val="decimal"/>
      <w:start w:val="61"/>
    </w:lvl>
  </w:abstractNum>
  <w:abstractNum w:abstractNumId="175">
    <w:nsid w:val="2539DFA5"/>
    <w:multiLevelType w:val="hybridMultilevel"/>
    <w:lvl w:ilvl="0">
      <w:lvlJc w:val="left"/>
      <w:lvlText w:val="(%1)"/>
      <w:numFmt w:val="lowerRoman"/>
      <w:start w:val="2"/>
    </w:lvl>
  </w:abstractNum>
  <w:abstractNum w:abstractNumId="176">
    <w:nsid w:val="2DB88089"/>
    <w:multiLevelType w:val="hybridMultilevel"/>
    <w:lvl w:ilvl="0">
      <w:lvlJc w:val="left"/>
      <w:lvlText w:val="%1."/>
      <w:numFmt w:val="lowerLetter"/>
      <w:start w:val="1"/>
    </w:lvl>
  </w:abstractNum>
  <w:abstractNum w:abstractNumId="177">
    <w:nsid w:val="706B674E"/>
    <w:multiLevelType w:val="hybridMultilevel"/>
    <w:lvl w:ilvl="0">
      <w:lvlJc w:val="left"/>
      <w:lvlText w:val="%1."/>
      <w:numFmt w:val="lowerLetter"/>
      <w:start w:val="2"/>
    </w:lvl>
  </w:abstractNum>
  <w:abstractNum w:abstractNumId="178">
    <w:nsid w:val="2C106A57"/>
    <w:multiLevelType w:val="hybridMultilevel"/>
    <w:lvl w:ilvl="0">
      <w:lvlJc w:val="left"/>
      <w:lvlText w:val="%1."/>
      <w:numFmt w:val="lowerLetter"/>
      <w:start w:val="1"/>
    </w:lvl>
  </w:abstractNum>
  <w:abstractNum w:abstractNumId="179">
    <w:nsid w:val="684EED59"/>
    <w:multiLevelType w:val="hybridMultilevel"/>
    <w:lvl w:ilvl="0">
      <w:lvlJc w:val="left"/>
      <w:lvlText w:val="%1."/>
      <w:numFmt w:val="lowerLetter"/>
      <w:start w:val="2"/>
    </w:lvl>
  </w:abstractNum>
  <w:abstractNum w:abstractNumId="180">
    <w:nsid w:val="545EE5D3"/>
    <w:multiLevelType w:val="hybridMultilevel"/>
    <w:lvl w:ilvl="0">
      <w:lvlJc w:val="left"/>
      <w:lvlText w:val="%1."/>
      <w:numFmt w:val="lowerLetter"/>
      <w:start w:val="1"/>
    </w:lvl>
  </w:abstractNum>
  <w:abstractNum w:abstractNumId="181">
    <w:nsid w:val="4A66051"/>
    <w:multiLevelType w:val="hybridMultilevel"/>
    <w:lvl w:ilvl="0">
      <w:lvlJc w:val="left"/>
      <w:lvlText w:val="%1."/>
      <w:numFmt w:val="lowerLetter"/>
      <w:start w:val="2"/>
    </w:lvl>
  </w:abstractNum>
  <w:abstractNum w:abstractNumId="182">
    <w:nsid w:val="20F4BDAD"/>
    <w:multiLevelType w:val="hybridMultilevel"/>
    <w:lvl w:ilvl="0">
      <w:lvlJc w:val="left"/>
      <w:lvlText w:val="%1."/>
      <w:numFmt w:val="decimal"/>
      <w:start w:val="63"/>
    </w:lvl>
  </w:abstractNum>
  <w:abstractNum w:abstractNumId="183">
    <w:nsid w:val="639DEFAC"/>
    <w:multiLevelType w:val="hybridMultilevel"/>
    <w:lvl w:ilvl="0">
      <w:lvlJc w:val="left"/>
      <w:lvlText w:val="%1."/>
      <w:numFmt w:val="decimal"/>
      <w:start w:val="67"/>
    </w:lvl>
  </w:abstractNum>
  <w:abstractNum w:abstractNumId="184">
    <w:nsid w:val="501F9786"/>
    <w:multiLevelType w:val="hybridMultilevel"/>
    <w:lvl w:ilvl="0">
      <w:lvlJc w:val="left"/>
      <w:lvlText w:val="%1."/>
      <w:numFmt w:val="lowerLetter"/>
      <w:start w:val="3"/>
    </w:lvl>
  </w:abstractNum>
  <w:abstractNum w:abstractNumId="185">
    <w:nsid w:val="6B057295"/>
    <w:multiLevelType w:val="hybridMultilevel"/>
    <w:lvl w:ilvl="0">
      <w:lvlJc w:val="left"/>
      <w:lvlText w:val="%1."/>
      <w:numFmt w:val="lowerLetter"/>
      <w:start w:val="4"/>
    </w:lvl>
  </w:abstractNum>
  <w:abstractNum w:abstractNumId="186">
    <w:nsid w:val="2771AC80"/>
    <w:multiLevelType w:val="hybridMultilevel"/>
    <w:lvl w:ilvl="0">
      <w:lvlJc w:val="left"/>
      <w:lvlText w:val="%1."/>
      <w:numFmt w:val="lowerLetter"/>
      <w:start w:val="5"/>
    </w:lvl>
  </w:abstractNum>
  <w:abstractNum w:abstractNumId="187">
    <w:nsid w:val="1C4A08EC"/>
    <w:multiLevelType w:val="hybridMultilevel"/>
    <w:lvl w:ilvl="0">
      <w:lvlJc w:val="left"/>
      <w:lvlText w:val="%1."/>
      <w:numFmt w:val="lowerLetter"/>
      <w:start w:val="6"/>
    </w:lvl>
  </w:abstractNum>
  <w:abstractNum w:abstractNumId="188">
    <w:nsid w:val="1958BD17"/>
    <w:multiLevelType w:val="hybridMultilevel"/>
    <w:lvl w:ilvl="0">
      <w:lvlJc w:val="left"/>
      <w:lvlText w:val="%1."/>
      <w:numFmt w:val="lowerLetter"/>
      <w:start w:val="7"/>
    </w:lvl>
  </w:abstractNum>
  <w:abstractNum w:abstractNumId="189">
    <w:nsid w:val="4E647FE4"/>
    <w:multiLevelType w:val="hybridMultilevel"/>
    <w:lvl w:ilvl="0">
      <w:lvlJc w:val="left"/>
      <w:lvlText w:val="%1."/>
      <w:numFmt w:val="lowerLetter"/>
      <w:start w:val="8"/>
    </w:lvl>
  </w:abstractNum>
  <w:abstractNum w:abstractNumId="190">
    <w:nsid w:val="E0BB885"/>
    <w:multiLevelType w:val="hybridMultilevel"/>
    <w:lvl w:ilvl="0">
      <w:lvlJc w:val="left"/>
      <w:lvlText w:val="%1."/>
      <w:numFmt w:val="lowerRoman"/>
      <w:start w:val="1"/>
    </w:lvl>
  </w:abstractNum>
  <w:abstractNum w:abstractNumId="191">
    <w:nsid w:val="565976F1"/>
    <w:multiLevelType w:val="hybridMultilevel"/>
    <w:lvl w:ilvl="0">
      <w:lvlJc w:val="left"/>
      <w:lvlText w:val="%1."/>
      <w:numFmt w:val="lowerLetter"/>
      <w:start w:val="10"/>
    </w:lvl>
  </w:abstractNum>
  <w:abstractNum w:abstractNumId="192">
    <w:nsid w:val="64212B8C"/>
    <w:multiLevelType w:val="hybridMultilevel"/>
    <w:lvl w:ilvl="0">
      <w:lvlJc w:val="left"/>
      <w:lvlText w:val="%1."/>
      <w:numFmt w:val="lowerLetter"/>
      <w:start w:val="11"/>
    </w:lvl>
  </w:abstractNum>
  <w:abstractNum w:abstractNumId="193">
    <w:nsid w:val="5C17530C"/>
    <w:multiLevelType w:val="hybridMultilevel"/>
    <w:lvl w:ilvl="0">
      <w:lvlJc w:val="left"/>
      <w:lvlText w:val="%1"/>
      <w:numFmt w:val="upperLetter"/>
      <w:start w:val="1"/>
    </w:lvl>
    <w:lvl w:ilvl="1">
      <w:lvlJc w:val="left"/>
      <w:lvlText w:val="%2."/>
      <w:numFmt w:val="upperLetter"/>
      <w:start w:val="1"/>
    </w:lvl>
  </w:abstractNum>
  <w:abstractNum w:abstractNumId="194">
    <w:nsid w:val="19A52566"/>
    <w:multiLevelType w:val="hybridMultilevel"/>
    <w:lvl w:ilvl="0">
      <w:lvlJc w:val="left"/>
      <w:lvlText w:val="%1."/>
      <w:numFmt w:val="upperLetter"/>
      <w:start w:val="7"/>
    </w:lvl>
    <w:lvl w:ilvl="1">
      <w:lvlJc w:val="left"/>
      <w:lvlText w:val="%2"/>
      <w:numFmt w:val="upperLetter"/>
      <w:start w:val="1"/>
    </w:lvl>
  </w:abstractNum>
  <w:abstractNum w:abstractNumId="195">
    <w:nsid w:val="335A1DF1"/>
    <w:multiLevelType w:val="hybridMultilevel"/>
    <w:lvl w:ilvl="0">
      <w:lvlJc w:val="left"/>
      <w:lvlText w:val="%1."/>
      <w:numFmt w:val="upperLetter"/>
      <w:start w:val="8"/>
    </w:lvl>
  </w:abstractNum>
  <w:abstractNum w:abstractNumId="196">
    <w:nsid w:val="28677B7C"/>
    <w:multiLevelType w:val="hybridMultilevel"/>
    <w:lvl w:ilvl="0">
      <w:lvlJc w:val="left"/>
      <w:lvlText w:val="(%1)"/>
      <w:numFmt w:val="lowerLetter"/>
      <w:start w:val="1"/>
    </w:lvl>
  </w:abstractNum>
  <w:abstractNum w:abstractNumId="197">
    <w:nsid w:val="378D97C0"/>
    <w:multiLevelType w:val="hybridMultilevel"/>
    <w:lvl w:ilvl="0">
      <w:lvlJc w:val="left"/>
      <w:lvlText w:val="(%1)"/>
      <w:numFmt w:val="lowerLetter"/>
      <w:start w:val="2"/>
    </w:lvl>
  </w:abstractNum>
  <w:abstractNum w:abstractNumId="198">
    <w:nsid w:val="1D91467C"/>
    <w:multiLevelType w:val="hybridMultilevel"/>
    <w:lvl w:ilvl="0">
      <w:lvlJc w:val="left"/>
      <w:lvlText w:val="(%1)"/>
      <w:numFmt w:val="lowerLetter"/>
      <w:start w:val="2"/>
    </w:lvl>
  </w:abstractNum>
  <w:abstractNum w:abstractNumId="199">
    <w:nsid w:val="316032BB"/>
    <w:multiLevelType w:val="hybridMultilevel"/>
    <w:lvl w:ilvl="0">
      <w:lvlJc w:val="left"/>
      <w:lvlText w:val="(%1)"/>
      <w:numFmt w:val="lowerLetter"/>
      <w:start w:val="2"/>
    </w:lvl>
  </w:abstractNum>
  <w:abstractNum w:abstractNumId="200">
    <w:nsid w:val="44344C22"/>
    <w:multiLevelType w:val="hybridMultilevel"/>
    <w:lvl w:ilvl="0">
      <w:lvlJc w:val="left"/>
      <w:lvlText w:val="(%1)"/>
      <w:numFmt w:val="lowerLetter"/>
      <w:start w:val="3"/>
    </w:lvl>
  </w:abstractNum>
  <w:abstractNum w:abstractNumId="201">
    <w:nsid w:val="13CDFCFC"/>
    <w:multiLevelType w:val="hybridMultilevel"/>
    <w:lvl w:ilvl="0">
      <w:lvlJc w:val="left"/>
      <w:lvlText w:val="(%1)"/>
      <w:numFmt w:val="lowerLetter"/>
      <w:start w:val="1"/>
    </w:lvl>
  </w:abstractNum>
  <w:abstractNum w:abstractNumId="202">
    <w:nsid w:val="471745E4"/>
    <w:multiLevelType w:val="hybridMultilevel"/>
    <w:lvl w:ilvl="0">
      <w:lvlJc w:val="left"/>
      <w:lvlText w:val="(%1)"/>
      <w:numFmt w:val="lowerLetter"/>
      <w:start w:val="3"/>
    </w:lvl>
  </w:abstractNum>
  <w:abstractNum w:abstractNumId="203">
    <w:nsid w:val="1DDBC66"/>
    <w:multiLevelType w:val="hybridMultilevel"/>
    <w:lvl w:ilvl="0">
      <w:lvlJc w:val="left"/>
      <w:lvlText w:val="(%1)"/>
      <w:numFmt w:val="decimal"/>
      <w:start w:val="1"/>
    </w:lvl>
  </w:abstractNum>
  <w:abstractNum w:abstractNumId="204">
    <w:nsid w:val="30AADFDA"/>
    <w:multiLevelType w:val="hybridMultilevel"/>
    <w:lvl w:ilvl="0">
      <w:lvlJc w:val="left"/>
      <w:lvlText w:val="(%1)"/>
      <w:numFmt w:val="lowerRoman"/>
      <w:start w:val="1"/>
    </w:lvl>
  </w:abstractNum>
  <w:abstractNum w:abstractNumId="205">
    <w:nsid w:val="30EADA61"/>
    <w:multiLevelType w:val="hybridMultilevel"/>
    <w:lvl w:ilvl="0">
      <w:lvlJc w:val="left"/>
      <w:lvlText w:val="(%1)"/>
      <w:numFmt w:val="upperLetter"/>
      <w:start w:val="2"/>
    </w:lvl>
  </w:abstractNum>
  <w:abstractNum w:abstractNumId="206">
    <w:nsid w:val="27179C0B"/>
    <w:multiLevelType w:val="hybridMultilevel"/>
    <w:lvl w:ilvl="0">
      <w:lvlJc w:val="left"/>
      <w:lvlText w:val="(%1)"/>
      <w:numFmt w:val="decimal"/>
      <w:start w:val="4"/>
    </w:lvl>
  </w:abstractNum>
  <w:abstractNum w:abstractNumId="207">
    <w:nsid w:val="5E636063"/>
    <w:multiLevelType w:val="hybridMultilevel"/>
    <w:lvl w:ilvl="0">
      <w:lvlJc w:val="left"/>
      <w:lvlText w:val="(%1)"/>
      <w:numFmt w:val="decimal"/>
      <w:start w:val="1"/>
    </w:lvl>
  </w:abstractNum>
  <w:abstractNum w:abstractNumId="208">
    <w:nsid w:val="215641AF"/>
    <w:multiLevelType w:val="hybridMultilevel"/>
    <w:lvl w:ilvl="0">
      <w:lvlJc w:val="left"/>
      <w:lvlText w:val="(%1)"/>
      <w:numFmt w:val="decimal"/>
      <w:start w:val="1"/>
    </w:lvl>
  </w:abstractNum>
  <w:abstractNum w:abstractNumId="209">
    <w:nsid w:val="53280662"/>
    <w:multiLevelType w:val="hybridMultilevel"/>
    <w:lvl w:ilvl="0">
      <w:lvlJc w:val="left"/>
      <w:lvlText w:val="(%1)"/>
      <w:numFmt w:val="decimal"/>
      <w:start w:val="7"/>
    </w:lvl>
  </w:abstractNum>
  <w:abstractNum w:abstractNumId="210">
    <w:nsid w:val="46B24DBC"/>
    <w:multiLevelType w:val="hybridMultilevel"/>
    <w:lvl w:ilvl="0">
      <w:lvlJc w:val="left"/>
      <w:lvlText w:val="(%1)"/>
      <w:numFmt w:val="decimal"/>
      <w:start w:val="1"/>
    </w:lvl>
  </w:abstractNum>
  <w:abstractNum w:abstractNumId="211">
    <w:nsid w:val="75B52783"/>
    <w:multiLevelType w:val="hybridMultilevel"/>
    <w:lvl w:ilvl="0">
      <w:lvlJc w:val="left"/>
      <w:lvlText w:val="(%1)"/>
      <w:numFmt w:val="decimal"/>
      <w:start w:val="2"/>
    </w:lvl>
  </w:abstractNum>
  <w:abstractNum w:abstractNumId="212">
    <w:nsid w:val="57CE66B4"/>
    <w:multiLevelType w:val="hybridMultilevel"/>
    <w:lvl w:ilvl="0">
      <w:lvlJc w:val="left"/>
      <w:lvlText w:val="(%1)"/>
      <w:numFmt w:val="decimal"/>
      <w:start w:val="3"/>
    </w:lvl>
  </w:abstractNum>
  <w:abstractNum w:abstractNumId="213">
    <w:nsid w:val="67A70B69"/>
    <w:multiLevelType w:val="hybridMultilevel"/>
    <w:lvl w:ilvl="0">
      <w:lvlJc w:val="left"/>
      <w:lvlText w:val="(%1)"/>
      <w:numFmt w:val="decimal"/>
      <w:start w:val="4"/>
    </w:lvl>
  </w:abstractNum>
  <w:abstractNum w:abstractNumId="214">
    <w:nsid w:val="5953172F"/>
    <w:multiLevelType w:val="hybridMultilevel"/>
    <w:lvl w:ilvl="0">
      <w:lvlJc w:val="left"/>
      <w:lvlText w:val="(%1)"/>
      <w:numFmt w:val="decimal"/>
      <w:start w:val="6"/>
    </w:lvl>
  </w:abstractNum>
  <w:abstractNum w:abstractNumId="215">
    <w:nsid w:val="27EDFE3A"/>
    <w:multiLevelType w:val="hybridMultilevel"/>
    <w:lvl w:ilvl="0">
      <w:lvlJc w:val="left"/>
      <w:lvlText w:val="(%1)"/>
      <w:numFmt w:val="decimal"/>
      <w:start w:val="8"/>
    </w:lvl>
  </w:abstractNum>
  <w:abstractNum w:abstractNumId="216">
    <w:nsid w:val="52AC7DFF"/>
    <w:multiLevelType w:val="hybridMultilevel"/>
    <w:lvl w:ilvl="0">
      <w:lvlJc w:val="left"/>
      <w:lvlText w:val="(%1)"/>
      <w:numFmt w:val="decimal"/>
      <w:start w:val="1"/>
    </w:lvl>
  </w:abstractNum>
  <w:abstractNum w:abstractNumId="217">
    <w:nsid w:val="C4C3AF"/>
    <w:multiLevelType w:val="hybridMultilevel"/>
    <w:lvl w:ilvl="0">
      <w:lvlJc w:val="left"/>
      <w:lvlText w:val="(%1)"/>
      <w:numFmt w:val="decimal"/>
      <w:start w:val="5"/>
    </w:lvl>
  </w:abstractNum>
  <w:abstractNum w:abstractNumId="218">
    <w:nsid w:val="44380727"/>
    <w:multiLevelType w:val="hybridMultilevel"/>
    <w:lvl w:ilvl="0">
      <w:lvlJc w:val="left"/>
      <w:lvlText w:val="%1"/>
      <w:numFmt w:val="upperLetter"/>
      <w:start w:val="1"/>
    </w:lvl>
    <w:lvl w:ilvl="1">
      <w:lvlJc w:val="left"/>
      <w:lvlText w:val="(%2)"/>
      <w:numFmt w:val="decimal"/>
      <w:start w:val="11"/>
    </w:lvl>
  </w:abstractNum>
  <w:abstractNum w:abstractNumId="219">
    <w:nsid w:val="6C053B16"/>
    <w:multiLevelType w:val="hybridMultilevel"/>
    <w:lvl w:ilvl="0">
      <w:lvlJc w:val="left"/>
      <w:lvlText w:val="(%1)"/>
      <w:numFmt w:val="upperLetter"/>
      <w:start w:val="1"/>
    </w:lvl>
    <w:lvl w:ilvl="1">
      <w:lvlJc w:val="left"/>
      <w:lvlText w:val="(%2)"/>
      <w:numFmt w:val="decimal"/>
      <w:start w:val="14"/>
    </w:lvl>
  </w:abstractNum>
  <w:abstractNum w:abstractNumId="220">
    <w:nsid w:val="4F294393"/>
    <w:multiLevelType w:val="hybridMultilevel"/>
    <w:lvl w:ilvl="0">
      <w:lvlJc w:val="left"/>
      <w:lvlText w:val="(%1)"/>
      <w:numFmt w:val="decimal"/>
      <w:start w:val="15"/>
    </w:lvl>
  </w:abstractNum>
  <w:abstractNum w:abstractNumId="221">
    <w:nsid w:val="5243BFAC"/>
    <w:multiLevelType w:val="hybridMultilevel"/>
    <w:lvl w:ilvl="0">
      <w:lvlJc w:val="left"/>
      <w:lvlText w:val="(%1)"/>
      <w:numFmt w:val="decimal"/>
      <w:start w:val="20"/>
    </w:lvl>
  </w:abstractNum>
  <w:abstractNum w:abstractNumId="222">
    <w:nsid w:val="425EB207"/>
    <w:multiLevelType w:val="hybridMultilevel"/>
    <w:lvl w:ilvl="0">
      <w:lvlJc w:val="left"/>
      <w:lvlText w:val="(%1)"/>
      <w:numFmt w:val="decimal"/>
      <w:start w:val="27"/>
    </w:lvl>
  </w:abstractNum>
  <w:abstractNum w:abstractNumId="223">
    <w:nsid w:val="334A6F1F"/>
    <w:multiLevelType w:val="hybridMultilevel"/>
    <w:lvl w:ilvl="0">
      <w:lvlJc w:val="left"/>
      <w:lvlText w:val="(%1)"/>
      <w:numFmt w:val="lowerRoman"/>
      <w:start w:val="1"/>
    </w:lvl>
  </w:abstractNum>
  <w:abstractNum w:abstractNumId="224">
    <w:nsid w:val="2E5B12B8"/>
    <w:multiLevelType w:val="hybridMultilevel"/>
    <w:lvl w:ilvl="0">
      <w:lvlJc w:val="left"/>
      <w:lvlText w:val="(%1)"/>
      <w:numFmt w:val="lowerRoman"/>
      <w:start w:val="2"/>
    </w:lvl>
  </w:abstractNum>
  <w:abstractNum w:abstractNumId="225">
    <w:nsid w:val="5C03D76D"/>
    <w:multiLevelType w:val="hybridMultilevel"/>
    <w:lvl w:ilvl="0">
      <w:lvlJc w:val="left"/>
      <w:lvlText w:val="(%1)"/>
      <w:numFmt w:val="lowerRoman"/>
      <w:start w:val="1"/>
    </w:lvl>
  </w:abstractNum>
  <w:abstractNum w:abstractNumId="226">
    <w:nsid w:val="66A48D11"/>
    <w:multiLevelType w:val="hybridMultilevel"/>
    <w:lvl w:ilvl="0">
      <w:lvlJc w:val="left"/>
      <w:lvlText w:val="(%1)"/>
      <w:numFmt w:val="decimal"/>
      <w:start w:val="1"/>
    </w:lvl>
  </w:abstractNum>
  <w:abstractNum w:abstractNumId="227">
    <w:nsid w:val="56C28E34"/>
    <w:multiLevelType w:val="hybridMultilevel"/>
    <w:lvl w:ilvl="0">
      <w:lvlJc w:val="left"/>
      <w:lvlText w:val="(%1)"/>
      <w:numFmt w:val="decimal"/>
      <w:start w:val="1"/>
    </w:lvl>
  </w:abstractNum>
  <w:abstractNum w:abstractNumId="228">
    <w:nsid w:val="13916F2D"/>
    <w:multiLevelType w:val="hybridMultilevel"/>
    <w:lvl w:ilvl="0">
      <w:lvlJc w:val="left"/>
      <w:lvlText w:val="(%1)"/>
      <w:numFmt w:val="decimal"/>
      <w:start w:val="2"/>
    </w:lvl>
  </w:abstractNum>
  <w:abstractNum w:abstractNumId="229">
    <w:nsid w:val="435D38D"/>
    <w:multiLevelType w:val="hybridMultilevel"/>
    <w:lvl w:ilvl="0">
      <w:lvlJc w:val="left"/>
      <w:lvlText w:val="(%1)"/>
      <w:numFmt w:val="decimal"/>
      <w:start w:val="1"/>
    </w:lvl>
  </w:abstractNum>
  <w:abstractNum w:abstractNumId="230">
    <w:nsid w:val="822C0EF"/>
    <w:multiLevelType w:val="hybridMultilevel"/>
    <w:lvl w:ilvl="0">
      <w:lvlJc w:val="left"/>
      <w:lvlText w:val="(%1)"/>
      <w:numFmt w:val="decimal"/>
      <w:start w:val="2"/>
    </w:lvl>
  </w:abstractNum>
  <w:abstractNum w:abstractNumId="231">
    <w:nsid w:val="57C5BB4F"/>
    <w:multiLevelType w:val="hybridMultilevel"/>
    <w:lvl w:ilvl="0">
      <w:lvlJc w:val="left"/>
      <w:lvlText w:val="(%1)"/>
      <w:numFmt w:val="decimal"/>
      <w:start w:val="1"/>
    </w:lvl>
  </w:abstractNum>
  <w:abstractNum w:abstractNumId="232">
    <w:nsid w:val="1803D089"/>
    <w:multiLevelType w:val="hybridMultilevel"/>
    <w:lvl w:ilvl="0">
      <w:lvlJc w:val="left"/>
      <w:lvlText w:val="(%1)"/>
      <w:numFmt w:val="decimal"/>
      <w:start w:val="2"/>
    </w:lvl>
  </w:abstractNum>
  <w:abstractNum w:abstractNumId="233">
    <w:nsid w:val="4F3A06D4"/>
    <w:multiLevelType w:val="hybridMultilevel"/>
    <w:lvl w:ilvl="0">
      <w:lvlJc w:val="left"/>
      <w:lvlText w:val="(%1)"/>
      <w:numFmt w:val="decimal"/>
      <w:start w:val="1"/>
    </w:lvl>
  </w:abstractNum>
  <w:abstractNum w:abstractNumId="234">
    <w:nsid w:val="59A377B6"/>
    <w:multiLevelType w:val="hybridMultilevel"/>
    <w:lvl w:ilvl="0">
      <w:lvlJc w:val="left"/>
      <w:lvlText w:val="(%1)"/>
      <w:numFmt w:val="decimal"/>
      <w:start w:val="1"/>
    </w:lvl>
  </w:abstractNum>
  <w:abstractNum w:abstractNumId="235">
    <w:nsid w:val="48AEB063"/>
    <w:multiLevelType w:val="hybridMultilevel"/>
    <w:lvl w:ilvl="0">
      <w:lvlJc w:val="left"/>
      <w:lvlText w:val="%1"/>
      <w:numFmt w:val="upperLetter"/>
      <w:start w:val="1"/>
    </w:lvl>
    <w:lvl w:ilvl="1">
      <w:lvlJc w:val="left"/>
      <w:lvlText w:val="(%2)"/>
      <w:numFmt w:val="decimal"/>
      <w:start w:val="2"/>
    </w:lvl>
  </w:abstractNum>
  <w:abstractNum w:abstractNumId="236">
    <w:nsid w:val="24E135"/>
    <w:multiLevelType w:val="hybridMultilevel"/>
    <w:lvl w:ilvl="0">
      <w:lvlJc w:val="left"/>
      <w:lvlText w:val="(%1)"/>
      <w:numFmt w:val="upperLetter"/>
      <w:start w:val="5"/>
    </w:lvl>
    <w:lvl w:ilvl="1">
      <w:lvlJc w:val="left"/>
      <w:lvlText w:val="%2"/>
      <w:numFmt w:val="decimal"/>
      <w:start w:val="1"/>
    </w:lvl>
  </w:abstractNum>
  <w:abstractNum w:abstractNumId="237">
    <w:nsid w:val="BB13C1"/>
    <w:multiLevelType w:val="hybridMultilevel"/>
    <w:lvl w:ilvl="0">
      <w:lvlJc w:val="left"/>
      <w:lvlText w:val="(%1)"/>
      <w:numFmt w:val="decimal"/>
      <w:start w:val="1"/>
    </w:lvl>
  </w:abstractNum>
  <w:abstractNum w:abstractNumId="238">
    <w:nsid w:val="271210C7"/>
    <w:multiLevelType w:val="hybridMultilevel"/>
    <w:lvl w:ilvl="0">
      <w:lvlJc w:val="left"/>
      <w:lvlText w:val="(%1)"/>
      <w:numFmt w:val="lowerRoman"/>
      <w:start w:val="2"/>
    </w:lvl>
  </w:abstractNum>
  <w:abstractNum w:abstractNumId="239">
    <w:nsid w:val="217B22E4"/>
    <w:multiLevelType w:val="hybridMultilevel"/>
    <w:lvl w:ilvl="0">
      <w:lvlJc w:val="left"/>
      <w:lvlText w:val="(%1)"/>
      <w:numFmt w:val="decimal"/>
      <w:start w:val="1"/>
    </w:lvl>
  </w:abstractNum>
  <w:abstractNum w:abstractNumId="240">
    <w:nsid w:val="53E31A24"/>
    <w:multiLevelType w:val="hybridMultilevel"/>
    <w:lvl w:ilvl="0">
      <w:lvlJc w:val="left"/>
      <w:lvlText w:val="(%1)"/>
      <w:numFmt w:val="decimal"/>
      <w:start w:val="4"/>
    </w:lvl>
  </w:abstractNum>
  <w:abstractNum w:abstractNumId="241">
    <w:nsid w:val="6DC45E83"/>
    <w:multiLevelType w:val="hybridMultilevel"/>
    <w:lvl w:ilvl="0">
      <w:lvlJc w:val="left"/>
      <w:lvlText w:val="(%1)"/>
      <w:numFmt w:val="decimal"/>
      <w:start w:val="1"/>
    </w:lvl>
  </w:abstractNum>
  <w:abstractNum w:abstractNumId="242">
    <w:nsid w:val="17304A67"/>
    <w:multiLevelType w:val="hybridMultilevel"/>
    <w:lvl w:ilvl="0">
      <w:lvlJc w:val="left"/>
      <w:lvlText w:val="(%1)"/>
      <w:numFmt w:val="decimal"/>
      <w:start w:val="4"/>
    </w:lvl>
  </w:abstractNum>
  <w:abstractNum w:abstractNumId="243">
    <w:nsid w:val="2BB180D8"/>
    <w:multiLevelType w:val="hybridMultilevel"/>
    <w:lvl w:ilvl="0">
      <w:lvlJc w:val="left"/>
      <w:lvlText w:val="(%1)"/>
      <w:numFmt w:val="decimal"/>
      <w:start w:val="5"/>
    </w:lvl>
  </w:abstractNum>
  <w:abstractNum w:abstractNumId="244">
    <w:nsid w:val="556B69ED"/>
    <w:multiLevelType w:val="hybridMultilevel"/>
    <w:lvl w:ilvl="0">
      <w:lvlJc w:val="left"/>
      <w:lvlText w:val="%1."/>
      <w:numFmt w:val="decimal"/>
      <w:start w:val="1"/>
    </w:lvl>
    <w:lvl w:ilvl="1">
      <w:lvlJc w:val="left"/>
      <w:lvlText w:val="(%2)"/>
      <w:numFmt w:val="lowerLetter"/>
      <w:start w:val="1"/>
    </w:lvl>
  </w:abstractNum>
  <w:abstractNum w:abstractNumId="245">
    <w:nsid w:val="70836196"/>
    <w:multiLevelType w:val="hybridMultilevel"/>
    <w:lvl w:ilvl="0">
      <w:lvlJc w:val="left"/>
      <w:lvlText w:val="%1."/>
      <w:numFmt w:val="decimal"/>
      <w:start w:val="1"/>
    </w:lvl>
    <w:lvl w:ilvl="1">
      <w:lvlJc w:val="left"/>
      <w:lvlText w:val="(%2)"/>
      <w:numFmt w:val="lowerLetter"/>
      <w:start w:val="1"/>
    </w:lvl>
  </w:abstractNum>
  <w:abstractNum w:abstractNumId="246">
    <w:nsid w:val="539F7F12"/>
    <w:multiLevelType w:val="hybridMultilevel"/>
    <w:lvl w:ilvl="0">
      <w:lvlJc w:val="left"/>
      <w:lvlText w:val="%1."/>
      <w:numFmt w:val="decimal"/>
      <w:start w:val="1"/>
    </w:lvl>
    <w:lvl w:ilvl="1">
      <w:lvlJc w:val="left"/>
      <w:lvlText w:val="(%2)"/>
      <w:numFmt w:val="lowerLetter"/>
      <w:start w:val="1"/>
    </w:lvl>
  </w:abstractNum>
  <w:abstractNum w:abstractNumId="247">
    <w:nsid w:val="2817E7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201" Type="http://schemas.openxmlformats.org/officeDocument/2006/relationships/image" Target="media/image179.png"/><Relationship Id="rId219" Type="http://schemas.openxmlformats.org/officeDocument/2006/relationships/image" Target="media/image180.png"/><Relationship Id="rId233" Type="http://schemas.openxmlformats.org/officeDocument/2006/relationships/image" Target="media/image181.png"/><Relationship Id="rId248" Type="http://schemas.openxmlformats.org/officeDocument/2006/relationships/image" Target="media/image182.png"/><Relationship Id="rId266" Type="http://schemas.openxmlformats.org/officeDocument/2006/relationships/image" Target="media/image183.png"/><Relationship Id="rId283" Type="http://schemas.openxmlformats.org/officeDocument/2006/relationships/image" Target="media/image184.png"/><Relationship Id="rId294" Type="http://schemas.openxmlformats.org/officeDocument/2006/relationships/image" Target="media/image185.png"/><Relationship Id="rId295" Type="http://schemas.openxmlformats.org/officeDocument/2006/relationships/image" Target="media/image186.png"/><Relationship Id="rId296" Type="http://schemas.openxmlformats.org/officeDocument/2006/relationships/image" Target="media/image187.png"/><Relationship Id="rId297" Type="http://schemas.openxmlformats.org/officeDocument/2006/relationships/image" Target="media/image188.png"/><Relationship Id="rId298" Type="http://schemas.openxmlformats.org/officeDocument/2006/relationships/image" Target="media/image189.png"/><Relationship Id="rId299" Type="http://schemas.openxmlformats.org/officeDocument/2006/relationships/image" Target="media/image190.png"/><Relationship Id="rId300" Type="http://schemas.openxmlformats.org/officeDocument/2006/relationships/image" Target="media/image191.png"/><Relationship Id="rId301" Type="http://schemas.openxmlformats.org/officeDocument/2006/relationships/image" Target="media/image192.png"/><Relationship Id="rId302" Type="http://schemas.openxmlformats.org/officeDocument/2006/relationships/image" Target="media/image193.png"/><Relationship Id="rId303" Type="http://schemas.openxmlformats.org/officeDocument/2006/relationships/image" Target="media/image194.png"/><Relationship Id="rId304" Type="http://schemas.openxmlformats.org/officeDocument/2006/relationships/image" Target="media/image195.png"/><Relationship Id="rId305" Type="http://schemas.openxmlformats.org/officeDocument/2006/relationships/image" Target="media/image196.png"/><Relationship Id="rId306" Type="http://schemas.openxmlformats.org/officeDocument/2006/relationships/image" Target="media/image197.png"/><Relationship Id="rId307" Type="http://schemas.openxmlformats.org/officeDocument/2006/relationships/image" Target="media/image198.png"/><Relationship Id="rId308" Type="http://schemas.openxmlformats.org/officeDocument/2006/relationships/image" Target="media/image199.png"/><Relationship Id="rId309" Type="http://schemas.openxmlformats.org/officeDocument/2006/relationships/image" Target="media/image200.png"/><Relationship Id="rId310" Type="http://schemas.openxmlformats.org/officeDocument/2006/relationships/image" Target="media/image201.png"/><Relationship Id="rId311" Type="http://schemas.openxmlformats.org/officeDocument/2006/relationships/image" Target="media/image202.png"/><Relationship Id="rId312" Type="http://schemas.openxmlformats.org/officeDocument/2006/relationships/image" Target="media/image203.png"/><Relationship Id="rId313" Type="http://schemas.openxmlformats.org/officeDocument/2006/relationships/image" Target="media/image204.png"/><Relationship Id="rId314" Type="http://schemas.openxmlformats.org/officeDocument/2006/relationships/image" Target="media/image205.png"/><Relationship Id="rId315" Type="http://schemas.openxmlformats.org/officeDocument/2006/relationships/image" Target="media/image206.png"/><Relationship Id="rId316" Type="http://schemas.openxmlformats.org/officeDocument/2006/relationships/image" Target="media/image207.png"/><Relationship Id="rId317" Type="http://schemas.openxmlformats.org/officeDocument/2006/relationships/image" Target="media/image208.png"/><Relationship Id="rId318" Type="http://schemas.openxmlformats.org/officeDocument/2006/relationships/image" Target="media/image209.png"/><Relationship Id="rId319" Type="http://schemas.openxmlformats.org/officeDocument/2006/relationships/image" Target="media/image210.png"/><Relationship Id="rId186" Type="http://schemas.openxmlformats.org/officeDocument/2006/relationships/hyperlink" Target="http://www.sec.gov/Archives/edgar/data/1567683/000156768318000008/yieldincex210201710-k.htm" TargetMode="External"/><Relationship Id="rId187" Type="http://schemas.openxmlformats.org/officeDocument/2006/relationships/hyperlink" Target="http://www.sec.gov/Archives/edgar/data/1567683/000110465919070990/tm1924690d1_ex2-1.htm" TargetMode="External"/><Relationship Id="rId188" Type="http://schemas.openxmlformats.org/officeDocument/2006/relationships/hyperlink" Target="https://www.sec.gov/Archives/edgar/data/1567683/000110465920127618/tm2036452d2_ex2-1.htm" TargetMode="External"/><Relationship Id="rId189" Type="http://schemas.openxmlformats.org/officeDocument/2006/relationships/hyperlink" Target="http://www.sec.gov/Archives/edgar/data/1567683/000110465920056290/tm203404d2_ex3-1.htm" TargetMode="External"/><Relationship Id="rId190" Type="http://schemas.openxmlformats.org/officeDocument/2006/relationships/hyperlink" Target="http://www.sec.gov/Archives/edgar/data/1567683/000110465918055334/a18-24111_1ex3d2.htm#Exhibit3_2_042157" TargetMode="External"/><Relationship Id="rId191" Type="http://schemas.openxmlformats.org/officeDocument/2006/relationships/hyperlink" Target="http://www.sec.gov/Archives/edgar/data/1567683/000110465918055334/a18-24111_1ex10d6.htm#Exhibit10_6_052216" TargetMode="External"/><Relationship Id="rId192" Type="http://schemas.openxmlformats.org/officeDocument/2006/relationships/hyperlink" Target="http://www.sec.gov/Archives/edgar/data/1567683/000110465914008496/a14-4771_3ex4d1.htm" TargetMode="External"/><Relationship Id="rId193" Type="http://schemas.openxmlformats.org/officeDocument/2006/relationships/hyperlink" Target="http://www.sec.gov/Archives/edgar/data/1567683/000110465914056777/a14-18411_1ex4d1.htm" TargetMode="External"/><Relationship Id="rId194" Type="http://schemas.openxmlformats.org/officeDocument/2006/relationships/hyperlink" Target="http://www.sec.gov/Archives/edgar/data/1567683/000110465914056777/a14-18411_1ex4d3.htm" TargetMode="External"/><Relationship Id="rId195" Type="http://schemas.openxmlformats.org/officeDocument/2006/relationships/hyperlink" Target="http://www.sec.gov/Archives/edgar/data/1567683/000110465914080390/a14-24401_1ex4d1.htm" TargetMode="External"/><Relationship Id="rId196" Type="http://schemas.openxmlformats.org/officeDocument/2006/relationships/hyperlink" Target="http://www.sec.gov/Archives/edgar/data/1567683/000110465915015282/a15-5420_1ex4d1.htm" TargetMode="External"/><Relationship Id="rId197" Type="http://schemas.openxmlformats.org/officeDocument/2006/relationships/hyperlink" Target="http://www.sec.gov/Archives/edgar/data/1567683/000110465915027995/a15-9326_1ex4d1.htm" TargetMode="External"/><Relationship Id="rId198" Type="http://schemas.openxmlformats.org/officeDocument/2006/relationships/hyperlink" Target="http://www.sec.gov/Archives/edgar/data/1567683/000110465915036232/a15-11016_2ex4d1.htm" TargetMode="External"/><Relationship Id="rId199" Type="http://schemas.openxmlformats.org/officeDocument/2006/relationships/hyperlink" Target="http://www.sec.gov/Archives/edgar/data/1567683/000110465915048473/a15-14936_1ex4d1.htm" TargetMode="External"/><Relationship Id="rId200" Type="http://schemas.openxmlformats.org/officeDocument/2006/relationships/hyperlink" Target="http://www.sec.gov/Archives/edgar/data/1567683/000156768319000014/exhibit_1.htm" TargetMode="External"/><Relationship Id="rId202" Type="http://schemas.openxmlformats.org/officeDocument/2006/relationships/hyperlink" Target="http://www.sec.gov/Archives/edgar/data/1567683/000156768319000014/exhibit_2.htm" TargetMode="External"/><Relationship Id="rId203" Type="http://schemas.openxmlformats.org/officeDocument/2006/relationships/hyperlink" Target="http://www.sec.gov/Archives/edgar/data/1567683/000110465916140473/a16-16967_1ex4d1.htm" TargetMode="External"/><Relationship Id="rId204" Type="http://schemas.openxmlformats.org/officeDocument/2006/relationships/hyperlink" Target="http://www.sec.gov/Archives/edgar/data/1567683/000110465916140473/a16-16967_1ex4d3.htm" TargetMode="External"/><Relationship Id="rId205" Type="http://schemas.openxmlformats.org/officeDocument/2006/relationships/hyperlink" Target="http://www.sec.gov/Archives/edgar/data/1637757/000110465918005466/a18-5088_1ex4d1.htm#Exhibit4_1_091658" TargetMode="External"/><Relationship Id="rId206" Type="http://schemas.openxmlformats.org/officeDocument/2006/relationships/hyperlink" Target="http://www.sec.gov/Archives/edgar/data/1637757/000110465918005466/a18-5088_1ex4d2.htm#Exhibit4_2_091723" TargetMode="External"/><Relationship Id="rId207" Type="http://schemas.openxmlformats.org/officeDocument/2006/relationships/hyperlink" Target="http://www.sec.gov/Archives/edgar/data/1567683/000110465918039601/a18-15261_1ex4d1.htm#Exhibit4_1_110220" TargetMode="External"/><Relationship Id="rId208" Type="http://schemas.openxmlformats.org/officeDocument/2006/relationships/hyperlink" Target="http://www.sec.gov/Archives/edgar/data/1567683/000110465918039601/a18-15261_1ex4d2.htm#Exhibit4_2_111650" TargetMode="External"/><Relationship Id="rId209" Type="http://schemas.openxmlformats.org/officeDocument/2006/relationships/hyperlink" Target="http://www.sec.gov/Archives/edgar/data/1567683/000156768318000028/yieldincex432018q2.htm" TargetMode="External"/><Relationship Id="rId210" Type="http://schemas.openxmlformats.org/officeDocument/2006/relationships/hyperlink" Target="http://www.sec.gov/Archives/edgar/data/1567683/000156768318000028/yieldincex442018q2.htm" TargetMode="External"/><Relationship Id="rId211" Type="http://schemas.openxmlformats.org/officeDocument/2006/relationships/hyperlink" Target="http://www.sec.gov/Archives/edgar/data/1567683/000110465918055585/a18-27020_1ex4d1.htm#Exhibit4_1_065610" TargetMode="External"/><Relationship Id="rId212" Type="http://schemas.openxmlformats.org/officeDocument/2006/relationships/hyperlink" Target="http://www.sec.gov/Archives/edgar/data/1567683/000110465918055585/a18-27020_1ex4d2.htm" TargetMode="External"/><Relationship Id="rId213" Type="http://schemas.openxmlformats.org/officeDocument/2006/relationships/hyperlink" Target="http://www.sec.gov/Archives/edgar/data/1567683/000110465918060026/a18-36222_1ex4d1.htm#Exhibit4_1_070903" TargetMode="External"/><Relationship Id="rId214" Type="http://schemas.openxmlformats.org/officeDocument/2006/relationships/hyperlink" Target="http://www.sec.gov/Archives/edgar/data/1567683/000110465918060026/a18-36222_1ex4d1.htm" TargetMode="External"/><Relationship Id="rId215" Type="http://schemas.openxmlformats.org/officeDocument/2006/relationships/hyperlink" Target="http://www.sec.gov/Archives/edgar/data/1567683/000110465918060026/a18-36222_1ex4d3.htm#Exhibit4_3_105106" TargetMode="External"/><Relationship Id="rId216" Type="http://schemas.openxmlformats.org/officeDocument/2006/relationships/hyperlink" Target="http://www.sec.gov/Archives/edgar/data/1567683/000110465918065131/a18-38184_1ex4d1.htm#Exhibit4_1_084653" TargetMode="External"/><Relationship Id="rId217" Type="http://schemas.openxmlformats.org/officeDocument/2006/relationships/hyperlink" Target="http://www.sec.gov/Archives/edgar/data/1567683/000110465918065131/a18-38184_1ex4d2.htm#Exhibit4_2_085140" TargetMode="External"/><Relationship Id="rId218" Type="http://schemas.openxmlformats.org/officeDocument/2006/relationships/hyperlink" Target="http://www.sec.gov/Archives/edgar/data/1567683/000110465918065131/a18-38184_1ex4d3.htm#Exhibit4_3_084706" TargetMode="External"/><Relationship Id="rId220" Type="http://schemas.openxmlformats.org/officeDocument/2006/relationships/hyperlink" Target="http://www.sec.gov/Archives/edgar/data/1567683/000110465918072575/a18-41414_1ex4d1.htm#Exhibit4_1_123152" TargetMode="External"/><Relationship Id="rId221" Type="http://schemas.openxmlformats.org/officeDocument/2006/relationships/hyperlink" Target="http://www.sec.gov/Archives/edgar/data/1567683/000110465918072575/a18-41414_1ex4d2.htm#Exhibit4_2_124619" TargetMode="External"/><Relationship Id="rId222" Type="http://schemas.openxmlformats.org/officeDocument/2006/relationships/hyperlink" Target="http://www.sec.gov/Archives/edgar/data/1567683/000110465918072575/a18-41414_1ex4d3.htm#Exhibit4_3_125432" TargetMode="External"/><Relationship Id="rId223" Type="http://schemas.openxmlformats.org/officeDocument/2006/relationships/hyperlink" Target="http://www.sec.gov/Archives/edgar/data/1567683/000141057819001211/tv529122_ex4-1.htm" TargetMode="External"/><Relationship Id="rId224" Type="http://schemas.openxmlformats.org/officeDocument/2006/relationships/hyperlink" Target="http://www.sec.gov/Archives/edgar/data/1567683/000141057819001211/tv529122_ex4-2.htm" TargetMode="External"/><Relationship Id="rId225" Type="http://schemas.openxmlformats.org/officeDocument/2006/relationships/hyperlink" Target="http://www.sec.gov/Archives/edgar/data/1567683/000141057819001211/tv529122_ex4-3.htm" TargetMode="External"/><Relationship Id="rId226" Type="http://schemas.openxmlformats.org/officeDocument/2006/relationships/hyperlink" Target="http://www.sec.gov/Archives/edgar/data/1567683/000110465919066637/tm1923656d1_ex4-1.htm" TargetMode="External"/><Relationship Id="rId227" Type="http://schemas.openxmlformats.org/officeDocument/2006/relationships/hyperlink" Target="http://www.sec.gov/Archives/edgar/data/1567683/000110465919066637/tm1923656d1_ex4-2.htm" TargetMode="External"/><Relationship Id="rId228" Type="http://schemas.openxmlformats.org/officeDocument/2006/relationships/hyperlink" Target="http://www.sec.gov/Archives/edgar/data/1567683/000110465919066637/tm1923656d1_ex4-3.htm" TargetMode="External"/><Relationship Id="rId229" Type="http://schemas.openxmlformats.org/officeDocument/2006/relationships/hyperlink" Target="http://www.sec.gov/Archives/edgar/data/1567683/000110465919072217/tm1925069d1_ex4-1.htm" TargetMode="External"/><Relationship Id="rId230" Type="http://schemas.openxmlformats.org/officeDocument/2006/relationships/hyperlink" Target="http://www.sec.gov/Archives/edgar/data/1567683/000110465920002258/tm201233d1_ex4-1.htm" TargetMode="External"/><Relationship Id="rId231" Type="http://schemas.openxmlformats.org/officeDocument/2006/relationships/hyperlink" Target="http://www.sec.gov/Archives/edgar/data/1567683/000110465920002258/tm201233d1_ex4-2.htm" TargetMode="External"/><Relationship Id="rId232" Type="http://schemas.openxmlformats.org/officeDocument/2006/relationships/hyperlink" Target="http://www.sec.gov/Archives/edgar/data/1567683/000110465920002258/tm201233d1_ex4-3.htm" TargetMode="External"/><Relationship Id="rId234" Type="http://schemas.openxmlformats.org/officeDocument/2006/relationships/hyperlink" Target="http://www.sec.gov/Archives/edgar/data/1567683/000110465920028560/tm2011093d1_ex4-1.htm" TargetMode="External"/><Relationship Id="rId235" Type="http://schemas.openxmlformats.org/officeDocument/2006/relationships/hyperlink" Target="http://www.sec.gov/Archives/edgar/data/1567683/000110465920028560/tm2011093d1_ex4-2.htm" TargetMode="External"/><Relationship Id="rId236" Type="http://schemas.openxmlformats.org/officeDocument/2006/relationships/hyperlink" Target="http://www.sec.gov/Archives/edgar/data/1567683/000110465920028560/tm2011093d1_ex4-3.htm" TargetMode="External"/><Relationship Id="rId237" Type="http://schemas.openxmlformats.org/officeDocument/2006/relationships/hyperlink" Target="http://www.sec.gov/Archives/edgar/data/1567683/000110465920085304/tm2025125d1_ex4-1.htm" TargetMode="External"/><Relationship Id="rId238" Type="http://schemas.openxmlformats.org/officeDocument/2006/relationships/hyperlink" Target="http://www.sec.gov/Archives/edgar/data/1567683/000110465920085304/tm2025125d1_ex4-2.htm" TargetMode="External"/><Relationship Id="rId239" Type="http://schemas.openxmlformats.org/officeDocument/2006/relationships/hyperlink" Target="http://www.sec.gov/Archives/edgar/data/1567683/000110465920085304/tm2025125d1_ex4-3.htm" TargetMode="External"/><Relationship Id="rId240" Type="http://schemas.openxmlformats.org/officeDocument/2006/relationships/hyperlink" Target="http://www.sec.gov/Archives/edgar/data/1567683/000110465920097221/tm2025854d5_ex4-1.htm" TargetMode="External"/><Relationship Id="rId241" Type="http://schemas.openxmlformats.org/officeDocument/2006/relationships/hyperlink" Target="http://www.sec.gov/Archives/edgar/data/1567683/000110465920097221/tm2025854d5_ex4-2.htm" TargetMode="External"/><Relationship Id="rId242" Type="http://schemas.openxmlformats.org/officeDocument/2006/relationships/hyperlink" Target="http://www.sec.gov/Archives/edgar/data/1567683/000110465920097221/tm2025854d5_ex4-3.htm" TargetMode="External"/><Relationship Id="rId243" Type="http://schemas.openxmlformats.org/officeDocument/2006/relationships/hyperlink" Target="https://www.sec.gov/Archives/edgar/data/1567683/000110465920127370/tm2036452d1_ex4-1.htm" TargetMode="External"/><Relationship Id="rId244" Type="http://schemas.openxmlformats.org/officeDocument/2006/relationships/hyperlink" Target="https://www.sec.gov/Archives/edgar/data/1567683/000110465920127370/tm2036452d1_ex4-2.htm" TargetMode="External"/><Relationship Id="rId245" Type="http://schemas.openxmlformats.org/officeDocument/2006/relationships/hyperlink" Target="https://www.sec.gov/Archives/edgar/data/1567683/000110465920127370/tm2036452d1_ex4-3.htm" TargetMode="External"/><Relationship Id="rId246" Type="http://schemas.openxmlformats.org/officeDocument/2006/relationships/hyperlink" Target="https://www.sec.gov/Archives/edgar/data/1567683/000110465920132409/tm2037503d1_ex4-1.htm" TargetMode="External"/><Relationship Id="rId247" Type="http://schemas.openxmlformats.org/officeDocument/2006/relationships/hyperlink" Target="https://www.sec.gov/Archives/edgar/data/1567683/000110465920132409/tm2037503d1_ex4-2.htm" TargetMode="External"/><Relationship Id="rId249" Type="http://schemas.openxmlformats.org/officeDocument/2006/relationships/hyperlink" Target="https://www.sec.gov/Archives/edgar/data/1567683/000110465920132409/tm2037503d1_ex4-3.htm" TargetMode="External"/><Relationship Id="rId250" Type="http://schemas.openxmlformats.org/officeDocument/2006/relationships/hyperlink" Target="https://www.sec.gov/Archives/edgar/data/1567683/000110465920140147/tm2039385d1_ex4-1.htm" TargetMode="External"/><Relationship Id="rId251" Type="http://schemas.openxmlformats.org/officeDocument/2006/relationships/hyperlink" Target="https://www.sec.gov/Archives/edgar/data/1567683/000110465920140147/tm2039385d1_ex4-2.htm" TargetMode="External"/><Relationship Id="rId252" Type="http://schemas.openxmlformats.org/officeDocument/2006/relationships/hyperlink" Target="https://www.sec.gov/Archives/edgar/data/1567683/000110465920140147/tm2039385d1_ex4-3.htm" TargetMode="External"/><Relationship Id="rId253" Type="http://schemas.openxmlformats.org/officeDocument/2006/relationships/hyperlink" Target="http://www.sec.gov/Archives/edgar/data/1567683/000110465921012966/tm215220d2_ex4-1.htm" TargetMode="External"/><Relationship Id="rId254" Type="http://schemas.openxmlformats.org/officeDocument/2006/relationships/hyperlink" Target="http://www.sec.gov/Archives/edgar/data/1567683/000110465921012966/tm215220d2_ex4-2.htm" TargetMode="External"/><Relationship Id="rId255" Type="http://schemas.openxmlformats.org/officeDocument/2006/relationships/hyperlink" Target="http://www.sec.gov/Archives/edgar/data/1567683/000110465921012966/tm215220d2_ex4-3.htm" TargetMode="External"/><Relationship Id="rId256" Type="http://schemas.openxmlformats.org/officeDocument/2006/relationships/hyperlink" Target="http://www.sec.gov/Archives/edgar/data/1567683/000110465918055334/a18-24111_1ex10d1.htm#Exhibit10_1_072506" TargetMode="External"/><Relationship Id="rId257" Type="http://schemas.openxmlformats.org/officeDocument/2006/relationships/hyperlink" Target="http://www.sec.gov/Archives/edgar/data/1567683/000110465918055334/a18-24111_1ex10d2.htm#Exhibit10_2_072636" TargetMode="External"/><Relationship Id="rId258" Type="http://schemas.openxmlformats.org/officeDocument/2006/relationships/hyperlink" Target="http://www.sec.gov/Archives/edgar/data/1567683/000110465918055334/a18-24111_1ex10d3.htm" TargetMode="External"/><Relationship Id="rId259" Type="http://schemas.openxmlformats.org/officeDocument/2006/relationships/hyperlink" Target="http://www.sec.gov/Archives/edgar/data/1567683/000110465919008742/a19-4739_1ex10d1.htm#Exhibit99_1_09271" TargetMode="External"/><Relationship Id="rId260" Type="http://schemas.openxmlformats.org/officeDocument/2006/relationships/hyperlink" Target="http://www.sec.gov/Archives/edgar/data/1567683/000156768319000039/clearwayincex1012019q2.htm" TargetMode="External"/><Relationship Id="rId261" Type="http://schemas.openxmlformats.org/officeDocument/2006/relationships/hyperlink" Target="http://www.sec.gov/Archives/edgar/data/1567683/000110465919070990/tm1924690d1_ex10-1.htm" TargetMode="External"/><Relationship Id="rId262" Type="http://schemas.openxmlformats.org/officeDocument/2006/relationships/hyperlink" Target="http://www.sec.gov/Archives/edgar/data/1567683/000156768320000036/fourthamendmenttorofoa.htm" TargetMode="External"/><Relationship Id="rId263" Type="http://schemas.openxmlformats.org/officeDocument/2006/relationships/hyperlink" Target="http://www.sec.gov/Archives/edgar/data/1567683/000110465918055334/a18-24111_1ex10d4.htm#Exhibit10_4_041820" TargetMode="External"/><Relationship Id="rId264" Type="http://schemas.openxmlformats.org/officeDocument/2006/relationships/hyperlink" Target="http://www.sec.gov/Archives/edgar/data/1567683/000110465918055334/a18-24111_1ex10d5.htm#EXHIBIT10_5_051412" TargetMode="External"/><Relationship Id="rId265" Type="http://schemas.openxmlformats.org/officeDocument/2006/relationships/hyperlink" Target="http://www.sec.gov/Archives/edgar/data/1567683/000110465918055334/a18-24111_1ex10d7.htm#Exhibit10_7_114008" TargetMode="External"/><Relationship Id="rId267" Type="http://schemas.openxmlformats.org/officeDocument/2006/relationships/hyperlink" Target="http://www.sec.gov/Archives/edgar/data/1567683/000110465918055334/a18-24111_1ex10d9.htm" TargetMode="External"/><Relationship Id="rId268" Type="http://schemas.openxmlformats.org/officeDocument/2006/relationships/hyperlink" Target="http://www.sec.gov/Archives/edgar/data/1567683/000156768319000014/clearwayincex109201810-k.htm" TargetMode="External"/><Relationship Id="rId269" Type="http://schemas.openxmlformats.org/officeDocument/2006/relationships/hyperlink" Target="http://www.sec.gov/Archives/edgar/data/1567683/000156768319000014/clearwayincex1010201810-k.htm" TargetMode="External"/><Relationship Id="rId270" Type="http://schemas.openxmlformats.org/officeDocument/2006/relationships/hyperlink" Target="http://www.sec.gov/Archives/edgar/data/1567683/000110465914031308/a14-11252_1ex10d1.htm" TargetMode="External"/><Relationship Id="rId271" Type="http://schemas.openxmlformats.org/officeDocument/2006/relationships/hyperlink" Target="http://www.sec.gov/Archives/edgar/data/1567683/000156768315000022/yieldincex1092015q2opllcam.htm" TargetMode="External"/><Relationship Id="rId272" Type="http://schemas.openxmlformats.org/officeDocument/2006/relationships/hyperlink" Target="http://www.sec.gov/Archives/edgar/data/1567683/000110465918008195/a18-5849_1ex10d1.htm#Exhibit10_1_093100" TargetMode="External"/><Relationship Id="rId273" Type="http://schemas.openxmlformats.org/officeDocument/2006/relationships/hyperlink" Target="http://www.sec.gov/Archives/edgar/data/1567683/000156768318000021/a101.htm" TargetMode="External"/><Relationship Id="rId274" Type="http://schemas.openxmlformats.org/officeDocument/2006/relationships/hyperlink" Target="http://www.sec.gov/Archives/edgar/data/1567683/000110465918071712/a18-41171_1ex10d1.htm#Exhibit10_1_112713" TargetMode="External"/><Relationship Id="rId275" Type="http://schemas.openxmlformats.org/officeDocument/2006/relationships/hyperlink" Target="http://www.sec.gov/Archives/edgar/data/1567683/000110465919075298/tm1926822d1_ex10-1.htm" TargetMode="External"/><Relationship Id="rId276" Type="http://schemas.openxmlformats.org/officeDocument/2006/relationships/hyperlink" Target="http://www.sec.gov/Archives/edgar/data/1567683/000110465916138081/a16-16348_2ex10d1.htm" TargetMode="External"/><Relationship Id="rId277" Type="http://schemas.openxmlformats.org/officeDocument/2006/relationships/hyperlink" Target="http://www.sec.gov/Archives/edgar/data/1567683/000156768318000008/yieldincex1028201710-k.htm" TargetMode="External"/><Relationship Id="rId278" Type="http://schemas.openxmlformats.org/officeDocument/2006/relationships/hyperlink" Target="http://www.sec.gov/Archives/edgar/data/1567683/000156768319000014/clearwayincex1022201810-k.htm" TargetMode="External"/><Relationship Id="rId279" Type="http://schemas.openxmlformats.org/officeDocument/2006/relationships/hyperlink" Target="http://www.sec.gov/Archives/edgar/data/1567683/000156768319000014/clearwayincex1023201810-k.htm" TargetMode="External"/><Relationship Id="rId280" Type="http://schemas.openxmlformats.org/officeDocument/2006/relationships/hyperlink" Target="http://www.sec.gov/Archives/edgar/data/1567683/000156768319000014/clearwayincex1024201810-k.htm" TargetMode="External"/><Relationship Id="rId281" Type="http://schemas.openxmlformats.org/officeDocument/2006/relationships/hyperlink" Target="http://www.sec.gov/Archives/edgar/data/1567683/000156768319000014/clearwayincex1025201810-k.htm" TargetMode="External"/><Relationship Id="rId282" Type="http://schemas.openxmlformats.org/officeDocument/2006/relationships/hyperlink" Target="http://www.sec.gov/Archives/edgar/data/1567683/000156768320000008/clearwayincex102620191.htm" TargetMode="External"/><Relationship Id="rId284" Type="http://schemas.openxmlformats.org/officeDocument/2006/relationships/hyperlink" Target="http://www.sec.gov/Archives/edgar/data/1567683/000156768318000008/yieldincex1034201710-k.htm" TargetMode="External"/><Relationship Id="rId285" Type="http://schemas.openxmlformats.org/officeDocument/2006/relationships/hyperlink" Target="http://www.sec.gov/Archives/edgar/data/1567683/000156768319000014/clearwayincex1030201810-k.htm" TargetMode="External"/><Relationship Id="rId286" Type="http://schemas.openxmlformats.org/officeDocument/2006/relationships/hyperlink" Target="http://www.sec.gov/Archives/edgar/data/1567683/000110465915038447/a15-11446_1ex10d1.htm" TargetMode="External"/><Relationship Id="rId287" Type="http://schemas.openxmlformats.org/officeDocument/2006/relationships/hyperlink" Target="http://www.sec.gov/Archives/edgar/data/1567683/000110465915038447/a15-11446_1ex10d2.htm" TargetMode="External"/><Relationship Id="rId288" Type="http://schemas.openxmlformats.org/officeDocument/2006/relationships/hyperlink" Target="http://www.sec.gov/Archives/edgar/data/1567683/000110465920048792/tm2016404d1_ex10-1.htm" TargetMode="External"/><Relationship Id="rId289" Type="http://schemas.openxmlformats.org/officeDocument/2006/relationships/hyperlink" Target="http://www.sec.gov/Archives/edgar/data/1567683/000110465920048792/tm2016404d1_ex10-2.htm" TargetMode="External"/><Relationship Id="rId290" Type="http://schemas.openxmlformats.org/officeDocument/2006/relationships/hyperlink" Target="http://www.sec.gov/Archives/edgar/data/1567683/000110465920048792/tm2016404d1_ex10-3.htm" TargetMode="External"/><Relationship Id="rId291" Type="http://schemas.openxmlformats.org/officeDocument/2006/relationships/hyperlink" Target="https://www.sec.gov/Archives/edgar/data/1567683/000110465920138636/tm2039055d1_ex10-1.htm" TargetMode="External"/><Relationship Id="rId292" Type="http://schemas.openxmlformats.org/officeDocument/2006/relationships/hyperlink" Target="https://www.sec.gov/Archives/edgar/data/1567683/000110465920138636/tm2039055d1_ex10-2.htm" TargetMode="External"/><Relationship Id="rId293" Type="http://schemas.openxmlformats.org/officeDocument/2006/relationships/hyperlink" Target="https://www.sec.gov/Archives/edgar/data/1567683/000110465920138636/tm2039055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2021-03-01T09:55:48Z</dcterms:created>
  <dcterms:modified xsi:type="dcterms:W3CDTF">2021-03-01T09:55:48Z</dcterms:modified>
</cp:coreProperties>
</file>