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9, 2024</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CLEARWAY ENERGY, INC.</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3" w:lineRule="exact"/>
        <w:rPr>
          <w:sz w:val="24"/>
          <w:szCs w:val="24"/>
          <w:color w:val="auto"/>
        </w:rPr>
      </w:pPr>
    </w:p>
    <w:tbl>
      <w:tblPr>
        <w:tblLayout w:type="fixed"/>
        <w:tblInd w:w="300" w:type="dxa"/>
        <w:tblCellMar>
          <w:top w:w="0" w:type="dxa"/>
          <w:left w:w="0" w:type="dxa"/>
          <w:bottom w:w="0" w:type="dxa"/>
          <w:right w:w="0" w:type="dxa"/>
        </w:tblCellMar>
      </w:tblPr>
      <w:tr>
        <w:trPr>
          <w:trHeight w:val="252"/>
        </w:trPr>
        <w:tc>
          <w:tcPr>
            <w:tcW w:w="36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001-36002</w:t>
            </w:r>
          </w:p>
        </w:tc>
        <w:tc>
          <w:tcPr>
            <w:tcW w:w="33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46-1777204</w:t>
            </w:r>
          </w:p>
        </w:tc>
        <w:tc>
          <w:tcPr>
            <w:tcW w:w="0" w:type="dxa"/>
            <w:vAlign w:val="bottom"/>
          </w:tcPr>
          <w:p>
            <w:pPr>
              <w:spacing w:after="0"/>
              <w:rPr>
                <w:sz w:val="1"/>
                <w:szCs w:val="1"/>
                <w:color w:val="auto"/>
              </w:rPr>
            </w:pPr>
          </w:p>
        </w:tc>
      </w:tr>
      <w:tr>
        <w:trPr>
          <w:trHeight w:val="202"/>
        </w:trPr>
        <w:tc>
          <w:tcPr>
            <w:tcW w:w="3680" w:type="dxa"/>
            <w:vAlign w:val="bottom"/>
          </w:tcPr>
          <w:p>
            <w:pPr>
              <w:jc w:val="center"/>
              <w:ind w:right="29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0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135"/>
        </w:trPr>
        <w:tc>
          <w:tcPr>
            <w:tcW w:w="368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99"/>
              </w:rPr>
              <w:t>organization)</w:t>
            </w:r>
          </w:p>
        </w:tc>
        <w:tc>
          <w:tcPr>
            <w:tcW w:w="306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68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Carnegie Center, Suite 300, Princeton, New Jersey 08540</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35" w:lineRule="exact"/>
        <w:rPr>
          <w:rFonts w:ascii="MS PGothic" w:cs="MS PGothic" w:eastAsia="MS PGothic" w:hAnsi="MS PGothic"/>
          <w:sz w:val="18"/>
          <w:szCs w:val="18"/>
          <w:color w:val="auto"/>
        </w:rPr>
      </w:pPr>
    </w:p>
    <w:p>
      <w:pPr>
        <w:ind w:right="2800" w:firstLine="48"/>
        <w:spacing w:after="0" w:line="268"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8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5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CWEN.A</w:t>
            </w: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5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CWEN</w:t>
            </w:r>
          </w:p>
        </w:tc>
        <w:tc>
          <w:tcPr>
            <w:tcW w:w="4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50"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56" w:lineRule="exact"/>
        <w:rPr>
          <w:sz w:val="20"/>
          <w:szCs w:val="20"/>
          <w:color w:val="auto"/>
        </w:rPr>
      </w:pPr>
    </w:p>
    <w:p>
      <w:pPr>
        <w:jc w:val="both"/>
        <w:ind w:firstLine="183"/>
        <w:spacing w:after="0" w:line="261" w:lineRule="auto"/>
        <w:rPr>
          <w:sz w:val="20"/>
          <w:szCs w:val="20"/>
          <w:color w:val="auto"/>
        </w:rPr>
      </w:pPr>
      <w:r>
        <w:rPr>
          <w:rFonts w:ascii="Times New Roman" w:cs="Times New Roman" w:eastAsia="Times New Roman" w:hAnsi="Times New Roman"/>
          <w:sz w:val="18"/>
          <w:szCs w:val="18"/>
          <w:color w:val="auto"/>
        </w:rPr>
        <w:t xml:space="preserve">On May 9, 2024, Clearway Energy, Inc. issued a press release announcing its financial results for the quarter ended March 31, 2024. A copy of the press release is furnished as Exhibit 99.1 to this report on Form 8-K and is hereby incorporated by reference. </w:t>
      </w:r>
      <w:r>
        <w:rPr>
          <w:rFonts w:ascii="Times New Roman" w:cs="Times New Roman" w:eastAsia="Times New Roman" w:hAnsi="Times New Roman"/>
          <w:sz w:val="18"/>
          <w:szCs w:val="18"/>
          <w:color w:val="212529"/>
        </w:rPr>
        <w:t>In accordance with General Instruction B.2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Form 8-K, the information set forth in this Item 2.02 and in the attached exhibit are deemed to be furnished and shall not be deemed to be “filed” for purposes of Section 18 of the Securities Exchange Act of 1934, as amended (the “Exchange Act”).</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40"/>
          </w:cols>
          <w:pgMar w:left="320" w:top="1292" w:right="339" w:bottom="1440" w:gutter="0" w:footer="0" w:header="0"/>
        </w:sectPr>
      </w:pP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1259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160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May 9,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1740" w:space="720"/>
            <w:col w:w="8780"/>
          </w:cols>
          <w:pgMar w:left="320" w:top="1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2" w:name="page3"/>
    <w:bookmarkEnd w:id="2"/>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P. Malcarney</w:t>
            </w:r>
          </w:p>
        </w:tc>
      </w:tr>
      <w:tr>
        <w:trPr>
          <w:trHeight w:val="218"/>
        </w:trPr>
        <w:tc>
          <w:tcPr>
            <w:tcW w:w="5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Kevin P. Malcarney</w:t>
            </w:r>
          </w:p>
        </w:tc>
      </w:tr>
      <w:tr>
        <w:trPr>
          <w:trHeight w:val="234"/>
        </w:trPr>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244284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42845" cy="32575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Clearway Energy, Inc. Reports First Quarter 2024 Financial Results</w:t>
      </w:r>
    </w:p>
    <w:p>
      <w:pPr>
        <w:spacing w:after="0" w:line="28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Signed agreements with Clearway Group to commit to invest in 55 MW of wind and 257 MW of solar plus storage projects</w:t>
      </w:r>
    </w:p>
    <w:p>
      <w:pPr>
        <w:spacing w:after="0" w:line="11"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Entered into new Resource Adequacy Contracts for Marsh Landing and Walnut Creek</w:t>
      </w:r>
    </w:p>
    <w:p>
      <w:pPr>
        <w:spacing w:after="0" w:line="10"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Reaffirming 2024 financial guidance</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Increasing the quarterly dividend by 1.7% to $0.4102 per share in the second quarter of 2024, or $1.64 per share annualized</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Continue to target annual dividend per share growth in the upper range of 5% to 8% through 2026</w:t>
      </w: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May 9, 2024</w:t>
      </w:r>
      <w:r>
        <w:rPr>
          <w:rFonts w:ascii="Times New Roman" w:cs="Times New Roman" w:eastAsia="Times New Roman" w:hAnsi="Times New Roman"/>
          <w:sz w:val="18"/>
          <w:szCs w:val="18"/>
          <w:color w:val="auto"/>
        </w:rPr>
        <w:t>— Clearway Energy, Inc. (NYSE: CWEN, CWEN.A) today reported first quarter 2024 financial results, including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of $(46) million, Adjusted EBITDA of $211 million, Cash from Operating Activities of $81 million, and Cash Available for Distribution (CAFD) of $52 million.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"Clearway remains well positioned to achieve its 2024 financial objectives. We reported solid first quarter results highlighting the benefits of our fleet's geographic and technological diversification,” said Craig Cornelius, Clearway Energy, Inc.’s incoming President and Chief Executive Officer. “Furthermore, we have made additional progress on the execution toward our long-term objectives with the commitments to invest in Dan's Mountain and Rosamond South and new resource adequacy contracts for our Conventional fleet. CWEN continues to expect to achieve the upper range of its 5% to 8% annual dividend growth objective without needing external capital through at least 2026. In 2027 we continue to see the potential for CAFD per share growth to be in that same range if the balance of our gas fleet contracts its capacity to deliver resource adequacy at the same or better pricing as recently disclosed contract awards.”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and Cash Available for Distribution used in this press release are non-GAAP measures and are explained in greater detail under “Non-GAAP Financial Information”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Overview of Financial and Operating Results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1: Net Income/(Loss)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60" w:type="dxa"/>
            <w:vAlign w:val="bottom"/>
          </w:tcPr>
          <w:p>
            <w:pPr>
              <w:spacing w:after="0"/>
              <w:rPr>
                <w:sz w:val="21"/>
                <w:szCs w:val="21"/>
                <w:color w:val="auto"/>
              </w:rPr>
            </w:pPr>
          </w:p>
        </w:tc>
        <w:tc>
          <w:tcPr>
            <w:tcW w:w="26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6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3/31/24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3/31/23</w:t>
            </w:r>
          </w:p>
        </w:tc>
      </w:tr>
      <w:tr>
        <w:trPr>
          <w:trHeight w:val="223"/>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Income/(Loss)</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7"/>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2: Adjusted EBITDA</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60" w:type="dxa"/>
            <w:vAlign w:val="bottom"/>
          </w:tcPr>
          <w:p>
            <w:pPr>
              <w:spacing w:after="0"/>
              <w:rPr>
                <w:sz w:val="21"/>
                <w:szCs w:val="21"/>
                <w:color w:val="auto"/>
              </w:rPr>
            </w:pPr>
          </w:p>
        </w:tc>
        <w:tc>
          <w:tcPr>
            <w:tcW w:w="26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6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3/31/24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3/31/23</w:t>
            </w:r>
          </w:p>
        </w:tc>
      </w:tr>
      <w:tr>
        <w:trPr>
          <w:trHeight w:val="223"/>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w:t>
            </w:r>
          </w:p>
        </w:tc>
        <w:tc>
          <w:tcPr>
            <w:tcW w:w="140" w:type="dxa"/>
            <w:vAlign w:val="bottom"/>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4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851"/>
        </w:trPr>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Table 3: Cash from Operating Activities and Cash Available for Distribution (CAFD)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4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3/31/24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3/31/23</w:t>
            </w:r>
          </w:p>
        </w:tc>
      </w:tr>
      <w:tr>
        <w:trPr>
          <w:trHeight w:val="223"/>
        </w:trPr>
        <w:tc>
          <w:tcPr>
            <w:tcW w:w="4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Available for Distribution (CAFD)</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(4)</w:t>
            </w:r>
          </w:p>
        </w:tc>
      </w:tr>
    </w:tbl>
    <w:p>
      <w:pPr>
        <w:spacing w:after="0" w:line="2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For the first quarter of 2024, the Company reported Net Loss of $(46) million, Adjusted EBITDA of $211 million, Cash from Operating Activities of $81 million, and CAFD of $52 million. Net Loss increased versus 2023 primarily due to higher depreciation expense from growth projects achieving commercial operations. Adjusted EBITDA results in the first quarter of 2024 were lower than 2023 primarily due to the expiration of certain tolling agreements in the Conventional fleet, partially offset by the contribution from growth investments. Cash from Operating Activities increased versus 2023 primarily due to higher distributions from unconsolidated affiliates and lower interest payments related to the Conventional fleet. CAFD results in the first quarter of 2024 were higher than 2023 primarily due to lower debt service in the Conventional fleet coinciding with the expiration of the tolling agreements as well as higher wind generation for certain facilities during the first quarter.</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Operational Performance</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28"/>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4: Selected Operating Results</w:t>
            </w:r>
            <w:r>
              <w:rPr>
                <w:rFonts w:ascii="Times New Roman" w:cs="Times New Roman" w:eastAsia="Times New Roman" w:hAnsi="Times New Roman"/>
                <w:sz w:val="23"/>
                <w:szCs w:val="23"/>
                <w:b w:val="1"/>
                <w:bCs w:val="1"/>
                <w:color w:val="auto"/>
                <w:vertAlign w:val="superscript"/>
              </w:rPr>
              <w:t>1</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22"/>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(MWh in thousands)</w:t>
            </w:r>
          </w:p>
        </w:tc>
        <w:tc>
          <w:tcPr>
            <w:tcW w:w="338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2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3/31/24</w:t>
            </w:r>
          </w:p>
        </w:tc>
        <w:tc>
          <w:tcPr>
            <w:tcW w:w="14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3/31/23</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74.4 %</w:t>
            </w:r>
          </w:p>
        </w:tc>
      </w:tr>
      <w:tr>
        <w:trPr>
          <w:trHeight w:val="230"/>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Solar MWh generated/sold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9"/>
        </w:trPr>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Wind MWh generated/sold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r>
      <w:tr>
        <w:trPr>
          <w:trHeight w:val="27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Renewables generated/sold</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40" w:type="dxa"/>
            <w:vAlign w:val="bottom"/>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4886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2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first quarter of 2024, availability at the Conventional segment was higher than the first quarter of 2023 primarily due to the timing and duration of maintenance outages in the segment in 2023. Generation in the Renewables segment during the first quarter of 2024 was 10% higher than the first quarter of 2023 primarily due to the contribution of growth investments.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5: Liquidity</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20" w:type="dxa"/>
            <w:vAlign w:val="bottom"/>
          </w:tcPr>
          <w:p>
            <w:pPr>
              <w:spacing w:after="0"/>
              <w:rPr>
                <w:sz w:val="22"/>
                <w:szCs w:val="22"/>
                <w:color w:val="auto"/>
              </w:rPr>
            </w:pP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3/31/2024</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12/31/2023</w:t>
            </w:r>
          </w:p>
        </w:tc>
      </w:tr>
      <w:tr>
        <w:trPr>
          <w:trHeight w:val="210"/>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70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Clearway Energy, Inc. and Clearway Energy LLC, excluding subsidiaries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7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Subsidiaries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7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accounts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7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Reserves, including debt service, distributions, performance obligations and other reserves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23"/>
        </w:trPr>
        <w:tc>
          <w:tcPr>
            <w:tcW w:w="7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Revolving credit facility availability</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4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Liquidity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liquidity as of March 31, 2024, was $1,435 million, which was $70 million lower than as of December 31, 2023, primarily due to the repayment of debt and execution of growth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2"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equity method investments</w:t>
      </w:r>
    </w:p>
    <w:p>
      <w:pPr>
        <w:ind w:left="120" w:hanging="112"/>
        <w:spacing w:after="0" w:line="196" w:lineRule="auto"/>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Generation sold excludes MWh that are reimbursable for economic curtailment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87"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2024</w:t>
      </w:r>
      <w:r>
        <w:rPr>
          <w:rFonts w:ascii="Times New Roman" w:cs="Times New Roman" w:eastAsia="Times New Roman" w:hAnsi="Times New Roman"/>
          <w:sz w:val="18"/>
          <w:szCs w:val="18"/>
          <w:color w:val="231F20"/>
        </w:rPr>
        <w:t xml:space="preserve">, the Company's liquidity included $485 million of restricted cash. Restricted cash consists primarily of funds to satisfy the requirements of certain debt arrangements and funds held within the Company's projects that are restricted in their use. As </w:t>
      </w:r>
      <w:r>
        <w:rPr>
          <w:rFonts w:ascii="Times New Roman" w:cs="Times New Roman" w:eastAsia="Times New Roman" w:hAnsi="Times New Roman"/>
          <w:sz w:val="18"/>
          <w:szCs w:val="18"/>
          <w:color w:val="000000"/>
        </w:rPr>
        <w:t>of March 31, 2024, 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restricted funds were comprised of $173 million designated to fund operating expenses, approximately $187 million designated for current debt service payments, and $87 million of reserves for debt service, performance obligations and other items including capital expenditures. The remaining $38 million is held in distribution reserve accounts.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future sources of liquidity include excess operating cash flow, availability under the revolving credit facility, asset dispositions, and, subject to market conditions, new corporate debt and equity financings.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Cedar Creek Wind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16, 2024, the Company, through an indirect subsidiary, acquired the Cedar Creek wind project, a 160 MW project located in Bingham County, Idaho, for $117 million in cash. The project achieved commercial operations in the second quarter of 2024 and sells its power under a 25-year PPA with an investment grade utility. The Company expects the project to contribute asset CAFD on a five-year average annual basis of approximately $13 million beginning January 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Dan's Mountain Wind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 2024, the Company, through an indirect subsidiary, committed to acquire 50% cash equity interest in the Dan's Mountain wind project, a 55 MW project located in Allegany County, Maryland, for $44 million in cash, subject to closing adjustments. The project is expected to achieve commercial operations in the first half of 2025 and sell its power primarily under a 12-year PPA with an investment grade offtaker. The Company expects the project to contribute asset CAFD on a five-year average annual basis of approximately $4 million beginning January 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Rosamond South I</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7, 2024, the Company, through an indirect subsidiary, committed to acquire 50% cash equity interest in the Rosamond South I solar plus storage project, a 257 MW project located in Rosamond, California, for approximately $21 million in cash, subject to closing adjustments. The project is expected to achieve commercial operations in the first half of 2025 and sell its power, RECs, and capacity under agreements with creditworthy counterparties with a weighted average contract duration of approximately 15 years. The Company expects the project to contribute asset CAFD on a five-year average annual basis of approximately $2 million beginning January 1,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Announcements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Adequacy Agreement at Walnut Creek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Company contracted with a load serving entity to sell approximately 97 MW of Resource Adequacy commencing January 2027 and ending December 2027. With this transaction, approximately 20% of Walnut Creek's net qualifying capacity is contracted through 2027 at terms providing for higher project level CAFD in 2027 relative to current run-rate expectations.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Adequacy Agreement at Marsh Landing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2024, the Company contracted with a load serving entity to sell approximately 90 MW of Resource Adequacy commencing September 2026 and ending December 2030. With this transaction, approximately 74% of Marsh Landing's net qualifying capacity is contracted through 2027 at terms providing for higher project level CAFD in 2027 relative to current run-rate expectations.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9, 2024, Clearway Energy, Inc.’s Board of Directors declared a quarterly dividend on Class A and Class C common stoc</w:t>
      </w:r>
      <w:r>
        <w:rPr>
          <w:rFonts w:ascii="Times New Roman" w:cs="Times New Roman" w:eastAsia="Times New Roman" w:hAnsi="Times New Roman"/>
          <w:sz w:val="18"/>
          <w:szCs w:val="18"/>
          <w:color w:val="242424"/>
        </w:rPr>
        <w:t>k</w:t>
      </w:r>
      <w:r>
        <w:rPr>
          <w:rFonts w:ascii="Times New Roman" w:cs="Times New Roman" w:eastAsia="Times New Roman" w:hAnsi="Times New Roman"/>
          <w:sz w:val="18"/>
          <w:szCs w:val="18"/>
          <w:color w:val="auto"/>
        </w:rPr>
        <w:t xml:space="preserve"> of $0.4102 pe</w:t>
      </w:r>
      <w:r>
        <w:rPr>
          <w:rFonts w:ascii="Times New Roman" w:cs="Times New Roman" w:eastAsia="Times New Roman" w:hAnsi="Times New Roman"/>
          <w:sz w:val="18"/>
          <w:szCs w:val="18"/>
          <w:color w:val="242424"/>
        </w:rPr>
        <w:t>r</w:t>
      </w:r>
      <w:r>
        <w:rPr>
          <w:rFonts w:ascii="Times New Roman" w:cs="Times New Roman" w:eastAsia="Times New Roman" w:hAnsi="Times New Roman"/>
          <w:sz w:val="18"/>
          <w:szCs w:val="18"/>
          <w:color w:val="auto"/>
        </w:rPr>
        <w:t xml:space="preserve"> share payable on June 17, 2024, to stockholders of record as of June 3,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3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Clearway Energy, Inc.’s quarterly operating results are impacted by seasonal factors, as well as weather variability which can impact renewable energy resource throughout the year.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summer capacity and energy prices from conventional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solar insolation during the summer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wind resources during the spring and summer months;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resource throughout the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payments which are made either quarterly or semi-annually;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maintenance capital expenditures and the impact of both unforced and forced outages;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distributions from unconsolidated affiliates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takes into consideration the timing of these factors to ensure sufficient funds are available for distributions and operating activities on a quarterly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reaffirming its 2024 full year CAFD guidance of $395 million. The Company's 2024 financial guidance factors in the contribution of committed growth investments based on current expected closing timelines and estimates for merchant energy gross margin at the conventional fleet. 2024 CAFD guidance does not factor in the timing of when CAFD is realized from new growth investments pursuant to 5-year averages beyond 2024. Financial guidance is based on median renewable energy production estimates for the full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9, 2024,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renewable energy owners in the US with approximately 6,200 net MW of installed wind, solar, and battery energy storage systems. The Company's approximately 8,700 net MW of assets also include approximately 2,500 net MW of environmentally-sound, highly efficient natural gas generation facilities.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statements regarding the anticipated consummation of the transactions described above, the anticipated benefits, opportunities, and results with respect to the transactions, including the Company’s future relationship and arrangements with Global Infrastructure Partners, TotalEnergies,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887" w:right="339" w:bottom="1440" w:gutter="0" w:footer="0" w:header="0"/>
        </w:sectPr>
      </w:pPr>
    </w:p>
    <w:bookmarkStart w:id="7" w:name="page8"/>
    <w:bookmarkEnd w:id="7"/>
    <w:p>
      <w:pPr>
        <w:jc w:val="both"/>
        <w:spacing w:after="0" w:line="236" w:lineRule="auto"/>
        <w:rPr>
          <w:sz w:val="20"/>
          <w:szCs w:val="20"/>
          <w:color w:val="auto"/>
        </w:rPr>
      </w:pPr>
      <w:r>
        <w:rPr>
          <w:rFonts w:ascii="Times New Roman" w:cs="Times New Roman" w:eastAsia="Times New Roman" w:hAnsi="Times New Roman"/>
          <w:sz w:val="18"/>
          <w:szCs w:val="18"/>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impacts related to COVID-19 (including any variant of the virus) or any other pandemic, risks relating to the Company's relationships with its sponsors, the failure to identify, execute or successfully implement acquisitions or dispositions (including receipt of third party consents and regulatory approvals), the Company's ability to acquire assets from its sponsors, the Company’s ability to borrow additional funds and access capital markets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regulations, operating and financial restrictions placed on the Company that are contained in the project-level debt facilities and other agreements of the Company and its subsidiaries, and cyber terrorism and inadequate cybersecurity. Furthermore, any dividends are subject to available capital, market conditions, and compliance with associated laws and regulations.</w:t>
      </w: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Clearway Energy, Inc. undertakes no obligation to update or revise any forward-looking statements, whether as a result of new information, future events or otherwise. The Cash Available for Distribution are estimates as of today’s date, May 9, 2024,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30"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Investors:</w:t>
      </w:r>
      <w:r>
        <w:rPr>
          <w:sz w:val="20"/>
          <w:szCs w:val="20"/>
          <w:color w:val="auto"/>
        </w:rPr>
        <w:tab/>
      </w: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ind w:left="180"/>
        <w:spacing w:after="0"/>
        <w:tabs>
          <w:tab w:leader="none" w:pos="1700" w:val="left"/>
        </w:tabs>
        <w:rPr>
          <w:sz w:val="20"/>
          <w:szCs w:val="20"/>
          <w:color w:val="auto"/>
        </w:rPr>
      </w:pPr>
      <w:r>
        <w:rPr>
          <w:rFonts w:ascii="Times New Roman" w:cs="Times New Roman" w:eastAsia="Times New Roman" w:hAnsi="Times New Roman"/>
          <w:sz w:val="18"/>
          <w:szCs w:val="18"/>
          <w:color w:val="auto"/>
        </w:rPr>
        <w:t>Akil Marsh</w:t>
      </w:r>
      <w:r>
        <w:rPr>
          <w:sz w:val="20"/>
          <w:szCs w:val="20"/>
          <w:color w:val="auto"/>
        </w:rPr>
        <w:tab/>
      </w:r>
      <w:r>
        <w:rPr>
          <w:rFonts w:ascii="Times New Roman" w:cs="Times New Roman" w:eastAsia="Times New Roman" w:hAnsi="Times New Roman"/>
          <w:sz w:val="18"/>
          <w:szCs w:val="18"/>
          <w:color w:val="auto"/>
        </w:rPr>
        <w:t>Zadie Oleksiw</w:t>
      </w:r>
    </w:p>
    <w:p>
      <w:pPr>
        <w:spacing w:after="0" w:line="9" w:lineRule="exact"/>
        <w:rPr>
          <w:sz w:val="20"/>
          <w:szCs w:val="20"/>
          <w:color w:val="auto"/>
        </w:rPr>
      </w:pPr>
    </w:p>
    <w:p>
      <w:pPr>
        <w:ind w:left="180"/>
        <w:spacing w:after="0"/>
        <w:tabs>
          <w:tab w:leader="none" w:pos="3220" w:val="left"/>
        </w:tabs>
        <w:rPr>
          <w:sz w:val="20"/>
          <w:szCs w:val="20"/>
          <w:color w:val="auto"/>
        </w:rPr>
      </w:pPr>
      <w:r>
        <w:rPr>
          <w:rFonts w:ascii="Times New Roman" w:cs="Times New Roman" w:eastAsia="Times New Roman" w:hAnsi="Times New Roman"/>
          <w:sz w:val="18"/>
          <w:szCs w:val="18"/>
          <w:color w:val="auto"/>
        </w:rPr>
        <w:t>investor.relations@clearwayenergy.com</w:t>
      </w:r>
      <w:r>
        <w:rPr>
          <w:sz w:val="20"/>
          <w:szCs w:val="20"/>
          <w:color w:val="auto"/>
        </w:rPr>
        <w:tab/>
      </w:r>
      <w:r>
        <w:rPr>
          <w:rFonts w:ascii="Times New Roman" w:cs="Times New Roman" w:eastAsia="Times New Roman" w:hAnsi="Times New Roman"/>
          <w:sz w:val="17"/>
          <w:szCs w:val="17"/>
          <w:color w:val="auto"/>
        </w:rPr>
        <w:t>media@clearwayenergy.com</w:t>
      </w:r>
    </w:p>
    <w:p>
      <w:pPr>
        <w:spacing w:after="0" w:line="9" w:lineRule="exact"/>
        <w:rPr>
          <w:sz w:val="20"/>
          <w:szCs w:val="20"/>
          <w:color w:val="auto"/>
        </w:rPr>
      </w:pPr>
    </w:p>
    <w:p>
      <w:pPr>
        <w:ind w:left="180"/>
        <w:spacing w:after="0"/>
        <w:tabs>
          <w:tab w:leader="none" w:pos="1900" w:val="left"/>
        </w:tabs>
        <w:rPr>
          <w:sz w:val="20"/>
          <w:szCs w:val="20"/>
          <w:color w:val="auto"/>
        </w:rPr>
      </w:pPr>
      <w:r>
        <w:rPr>
          <w:rFonts w:ascii="Times New Roman" w:cs="Times New Roman" w:eastAsia="Times New Roman" w:hAnsi="Times New Roman"/>
          <w:sz w:val="18"/>
          <w:szCs w:val="18"/>
          <w:color w:val="auto"/>
        </w:rPr>
        <w:t>609-608-1500</w:t>
      </w:r>
      <w:r>
        <w:rPr>
          <w:sz w:val="20"/>
          <w:szCs w:val="20"/>
          <w:color w:val="auto"/>
        </w:rPr>
        <w:tab/>
      </w:r>
      <w:r>
        <w:rPr>
          <w:rFonts w:ascii="Times New Roman" w:cs="Times New Roman" w:eastAsia="Times New Roman" w:hAnsi="Times New Roman"/>
          <w:sz w:val="17"/>
          <w:szCs w:val="17"/>
          <w:color w:val="auto"/>
        </w:rPr>
        <w:t>202-836-5754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operations, exclusive of depreciation, amortization and accretion shown separately below</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(losses) of unconsolidated affiliates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8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 and redeemable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Clearway Energy, Inc.</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Loss Per Share Attributable to Clearway Energy, Inc. Class A and Class C Common Stockholders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basic and diluted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3"/>
        </w:trPr>
        <w:tc>
          <w:tcPr>
            <w:tcW w:w="8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Loss Per Weighted Average Class A and Class C Common Share - Basic and Diluted</w:t>
            </w:r>
          </w:p>
        </w:tc>
        <w:tc>
          <w:tcPr>
            <w:tcW w:w="360" w:type="dxa"/>
            <w:vAlign w:val="bottom"/>
            <w:tcBorders>
              <w:bottom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0.3745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0.4033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0.3745</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5560"/>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3"/>
        </w:trPr>
        <w:tc>
          <w:tcPr>
            <w:tcW w:w="8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995"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0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4"/>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8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 on derivatives and changes in accumulated OCI, net of income tax benefit, of $—, and $1</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0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 and redeemable noncontrolling interests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5"/>
        </w:trPr>
        <w:tc>
          <w:tcPr>
            <w:tcW w:w="8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 Attributable to Clearway Energy, Inc.</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3"/>
            <w:vMerge w:val="restart"/>
          </w:tcPr>
          <w:p>
            <w:pPr>
              <w:ind w:left="5560"/>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80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887" w:right="35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60" w:type="dxa"/>
            <w:vAlign w:val="bottom"/>
            <w:vMerge w:val="restart"/>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66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3"/>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 receivable — affiliate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9,526</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0" w:type="dxa"/>
            <w:vAlign w:val="bottom"/>
          </w:tcPr>
          <w:p>
            <w:pPr>
              <w:spacing w:after="0"/>
              <w:rPr>
                <w:sz w:val="1"/>
                <w:szCs w:val="1"/>
                <w:color w:val="auto"/>
              </w:rPr>
            </w:pPr>
          </w:p>
        </w:tc>
      </w:tr>
      <w:tr>
        <w:trPr>
          <w:trHeight w:val="213"/>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3"/>
        </w:trPr>
        <w:tc>
          <w:tcPr>
            <w:tcW w:w="7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Right-of-use assets, net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 trade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 expense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4"/>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6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202,080,794 shares issued and</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outstanding (Class A 34,613,853, Class B 42,738,750, Class C 82,391,441, Class D 42,336,750) at March 31, 2024</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and 202,080,794 shares issued and outstanding (Class A 34,613,853, Class B 42,738,750, Class C 82,391,441,</w:t>
            </w: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D 42,336,750) at December 31, 2023</w:t>
            </w: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0" w:type="dxa"/>
            <w:vAlign w:val="bottom"/>
          </w:tcPr>
          <w:p>
            <w:pPr>
              <w:spacing w:after="0"/>
              <w:rPr>
                <w:sz w:val="1"/>
                <w:szCs w:val="1"/>
                <w:color w:val="auto"/>
              </w:rPr>
            </w:pPr>
          </w:p>
        </w:tc>
      </w:tr>
      <w:tr>
        <w:trPr>
          <w:trHeight w:val="207"/>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0" w:type="dxa"/>
            <w:vAlign w:val="bottom"/>
          </w:tcPr>
          <w:p>
            <w:pPr>
              <w:spacing w:after="0"/>
              <w:rPr>
                <w:sz w:val="1"/>
                <w:szCs w:val="1"/>
                <w:color w:val="auto"/>
              </w:rPr>
            </w:pPr>
          </w:p>
        </w:tc>
      </w:tr>
      <w:tr>
        <w:trPr>
          <w:trHeight w:val="212"/>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14,701</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5360"/>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7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540" w:top="563" w:right="5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vMerge w:val="continue"/>
          </w:tcPr>
          <w:p>
            <w:pPr>
              <w:spacing w:after="0"/>
              <w:rPr>
                <w:sz w:val="16"/>
                <w:szCs w:val="16"/>
                <w:color w:val="auto"/>
              </w:rPr>
            </w:pPr>
          </w:p>
        </w:tc>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2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8"/>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in (earnings) losses of unconsolidated affiliates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Reduction in carrying amount of right-of-use assets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deferred income taxes</w:t>
            </w: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derivative instruments and amortization of accumulated OCI</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used in changes in other working capital:</w:t>
            </w: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prepaid and accrued liabilities for tolling agreements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other working capital</w:t>
            </w:r>
          </w:p>
        </w:tc>
        <w:tc>
          <w:tcPr>
            <w:tcW w:w="2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dividends and distributions</w:t>
            </w: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2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8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86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60" w:type="dxa"/>
            <w:vAlign w:val="bottom"/>
            <w:vMerge w:val="restart"/>
          </w:tcPr>
          <w:p>
            <w:pPr>
              <w:jc w:val="right"/>
              <w:ind w:right="2699"/>
              <w:spacing w:after="0"/>
              <w:rPr>
                <w:sz w:val="20"/>
                <w:szCs w:val="20"/>
                <w:color w:val="auto"/>
              </w:rPr>
            </w:pPr>
            <w:r>
              <w:rPr>
                <w:rFonts w:ascii="Times New Roman" w:cs="Times New Roman" w:eastAsia="Times New Roman" w:hAnsi="Times New Roman"/>
                <w:sz w:val="16"/>
                <w:szCs w:val="16"/>
                <w:color w:val="auto"/>
                <w:w w:val="74"/>
              </w:rPr>
              <w:t>9</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0"/>
        </w:trPr>
        <w:tc>
          <w:tcPr>
            <w:tcW w:w="52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620" w:top="765" w:right="619" w:bottom="1440" w:gutter="0" w:footer="0" w:header="0"/>
        </w:sectPr>
      </w:pPr>
    </w:p>
    <w:bookmarkStart w:id="12" w:name="page13"/>
    <w:bookmarkEnd w:id="1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7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7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8"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7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9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4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80" w:type="dxa"/>
            <w:vAlign w:val="bottom"/>
          </w:tcPr>
          <w:p>
            <w:pPr>
              <w:spacing w:after="0"/>
              <w:rPr>
                <w:sz w:val="14"/>
                <w:szCs w:val="14"/>
                <w:color w:val="auto"/>
              </w:rPr>
            </w:pPr>
          </w:p>
        </w:tc>
        <w:tc>
          <w:tcPr>
            <w:tcW w:w="740" w:type="dxa"/>
            <w:vAlign w:val="bottom"/>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4"/>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1,732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4,994</w:t>
            </w:r>
          </w:p>
        </w:tc>
        <w:tc>
          <w:tcPr>
            <w:tcW w:w="0" w:type="dxa"/>
            <w:vAlign w:val="bottom"/>
          </w:tcPr>
          <w:p>
            <w:pPr>
              <w:spacing w:after="0"/>
              <w:rPr>
                <w:sz w:val="1"/>
                <w:szCs w:val="1"/>
                <w:color w:val="auto"/>
              </w:rPr>
            </w:pPr>
          </w:p>
        </w:tc>
      </w:tr>
      <w:tr>
        <w:trPr>
          <w:trHeight w:val="213"/>
        </w:trPr>
        <w:tc>
          <w:tcPr>
            <w:tcW w:w="4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Unrealized (loss) gain on derivatives and changes in</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OCI, net of tax</w:t>
            </w: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cash</w:t>
            </w: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Common stock dividends and distributions to CEG unit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holders</w:t>
            </w: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5,045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7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gridSpan w:val="3"/>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080" w:type="dxa"/>
            <w:vAlign w:val="bottom"/>
            <w:gridSpan w:val="3"/>
            <w:vMerge w:val="continue"/>
          </w:tcPr>
          <w:p>
            <w:pPr>
              <w:spacing w:after="0"/>
              <w:rPr>
                <w:sz w:val="10"/>
                <w:szCs w:val="10"/>
                <w:color w:val="auto"/>
              </w:rPr>
            </w:pPr>
          </w:p>
        </w:tc>
        <w:tc>
          <w:tcPr>
            <w:tcW w:w="9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83"/>
        </w:trPr>
        <w:tc>
          <w:tcPr>
            <w:tcW w:w="4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5"/>
                <w:szCs w:val="15"/>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8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80" w:type="dxa"/>
            <w:vAlign w:val="bottom"/>
          </w:tcPr>
          <w:p>
            <w:pPr>
              <w:spacing w:after="0"/>
              <w:rPr>
                <w:sz w:val="15"/>
                <w:szCs w:val="15"/>
                <w:color w:val="auto"/>
              </w:rPr>
            </w:pPr>
          </w:p>
        </w:tc>
        <w:tc>
          <w:tcPr>
            <w:tcW w:w="720" w:type="dxa"/>
            <w:vAlign w:val="bottom"/>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w:t>
            </w:r>
          </w:p>
        </w:tc>
        <w:tc>
          <w:tcPr>
            <w:tcW w:w="0" w:type="dxa"/>
            <w:vAlign w:val="bottom"/>
          </w:tcPr>
          <w:p>
            <w:pPr>
              <w:spacing w:after="0"/>
              <w:rPr>
                <w:sz w:val="1"/>
                <w:szCs w:val="1"/>
                <w:color w:val="auto"/>
              </w:rPr>
            </w:pPr>
          </w:p>
        </w:tc>
      </w:tr>
      <w:tr>
        <w:trPr>
          <w:trHeight w:val="213"/>
        </w:trPr>
        <w:tc>
          <w:tcPr>
            <w:tcW w:w="4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65"/>
        </w:trPr>
        <w:tc>
          <w:tcPr>
            <w:tcW w:w="406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Unrealized loss on derivatives and changes in accumulated</w:t>
            </w:r>
          </w:p>
        </w:tc>
        <w:tc>
          <w:tcPr>
            <w:tcW w:w="1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OCI, net of tax</w:t>
            </w:r>
          </w:p>
        </w:tc>
        <w:tc>
          <w:tcPr>
            <w:tcW w:w="1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Contributions from CEG, net of distributions, cash</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65"/>
        </w:trPr>
        <w:tc>
          <w:tcPr>
            <w:tcW w:w="406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1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cash</w:t>
            </w:r>
          </w:p>
        </w:tc>
        <w:tc>
          <w:tcPr>
            <w:tcW w:w="1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Transfers of assets under common control</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4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4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5"/>
        </w:trPr>
        <w:tc>
          <w:tcPr>
            <w:tcW w:w="406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Common stock dividends and distributions to CEG unit</w:t>
            </w:r>
          </w:p>
        </w:tc>
        <w:tc>
          <w:tcPr>
            <w:tcW w:w="1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holders</w:t>
            </w:r>
          </w:p>
        </w:tc>
        <w:tc>
          <w:tcPr>
            <w:tcW w:w="14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2,006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660" w:top="76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Appendix Table A-1: Three Months Ended March 31, 2024, Segment Adjusted EBITDA Reconciliation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84"/>
        </w:trPr>
        <w:tc>
          <w:tcPr>
            <w:tcW w:w="418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Mark to Market (MtM) Losses/(Gains) on economic</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4"/>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84"/>
        </w:trPr>
        <w:tc>
          <w:tcPr>
            <w:tcW w:w="418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4"/>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A-2: Three Months Ended March 31, 2023, Segment Adjusted EBITDA Reconciliation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 to Market (MtM) Gains on economic hedges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5"/>
        </w:trPr>
        <w:tc>
          <w:tcPr>
            <w:tcW w:w="41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4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139"/>
          </w:cols>
          <w:pgMar w:left="320" w:top="761"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Appendix Table A-3: Cash Available for Distribution Reconciliation</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following table summarizes the calculation of Cash Available for Distribution and provides a reconciliation to Cash from Operating Activities: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3/31/24</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3/31/23</w:t>
            </w:r>
          </w:p>
        </w:tc>
      </w:tr>
      <w:tr>
        <w:trPr>
          <w:trHeight w:val="223"/>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r>
      <w:tr>
        <w:trPr>
          <w:trHeight w:val="22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76"/>
        </w:trPr>
        <w:tc>
          <w:tcPr>
            <w:tcW w:w="5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Adjustments to reflect sale-type leases and payments for lease</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r>
      <w:tr>
        <w:trPr>
          <w:trHeight w:val="22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506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Net distributions (to)/from non-controlling interest</w:t>
            </w:r>
            <w:r>
              <w:rPr>
                <w:rFonts w:ascii="Times New Roman" w:cs="Times New Roman" w:eastAsia="Times New Roman" w:hAnsi="Times New Roman"/>
                <w:sz w:val="23"/>
                <w:szCs w:val="23"/>
                <w:color w:val="auto"/>
                <w:vertAlign w:val="superscript"/>
              </w:rPr>
              <w:t>3</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5060" w:type="dxa"/>
            <w:vAlign w:val="bottom"/>
            <w:tcBorders>
              <w:bottom w:val="single" w:sz="8" w:color="auto"/>
            </w:tcBorders>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3"/>
                <w:szCs w:val="23"/>
                <w:color w:val="auto"/>
                <w:vertAlign w:val="superscript"/>
              </w:rPr>
              <w:t>4</w:t>
            </w: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bl>
    <w:p>
      <w:pPr>
        <w:spacing w:after="0" w:line="200" w:lineRule="exact"/>
        <w:rPr>
          <w:sz w:val="20"/>
          <w:szCs w:val="20"/>
          <w:color w:val="auto"/>
        </w:rPr>
      </w:pPr>
    </w:p>
    <w:p>
      <w:pPr>
        <w:spacing w:after="0" w:line="327" w:lineRule="exact"/>
        <w:rPr>
          <w:sz w:val="20"/>
          <w:szCs w:val="20"/>
          <w:color w:val="auto"/>
        </w:rPr>
      </w:pPr>
    </w:p>
    <w:p>
      <w:pPr>
        <w:ind w:right="318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Appendix Table A-4: Three Months Ended March 31, 2024, Sources and Uses of Liquidity </w:t>
      </w:r>
      <w:r>
        <w:rPr>
          <w:rFonts w:ascii="Times New Roman" w:cs="Times New Roman" w:eastAsia="Times New Roman" w:hAnsi="Times New Roman"/>
          <w:sz w:val="20"/>
          <w:szCs w:val="20"/>
          <w:color w:val="auto"/>
        </w:rPr>
        <w:t>The following table summarizes the sources and uses of liquidity in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ind w:right="238"/>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Pr>
          <w:p>
            <w:pPr>
              <w:spacing w:after="0"/>
              <w:rPr>
                <w:sz w:val="20"/>
                <w:szCs w:val="20"/>
                <w:color w:val="auto"/>
              </w:rPr>
            </w:pPr>
          </w:p>
        </w:tc>
        <w:tc>
          <w:tcPr>
            <w:tcW w:w="2080" w:type="dxa"/>
            <w:vAlign w:val="bottom"/>
          </w:tcPr>
          <w:p>
            <w:pPr>
              <w:jc w:val="right"/>
              <w:ind w:right="798"/>
              <w:spacing w:after="0"/>
              <w:rPr>
                <w:sz w:val="20"/>
                <w:szCs w:val="20"/>
                <w:color w:val="auto"/>
              </w:rPr>
            </w:pPr>
            <w:r>
              <w:rPr>
                <w:rFonts w:ascii="Times New Roman" w:cs="Times New Roman" w:eastAsia="Times New Roman" w:hAnsi="Times New Roman"/>
                <w:sz w:val="18"/>
                <w:szCs w:val="18"/>
                <w:b w:val="1"/>
                <w:bCs w:val="1"/>
                <w:color w:val="auto"/>
              </w:rPr>
              <w:t>3/31/24</w:t>
            </w:r>
          </w:p>
        </w:tc>
      </w:tr>
      <w:tr>
        <w:trPr>
          <w:trHeight w:val="209"/>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r>
      <w:tr>
        <w:trPr>
          <w:trHeight w:val="213"/>
        </w:trPr>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9"/>
        </w:trPr>
        <w:tc>
          <w:tcPr>
            <w:tcW w:w="6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6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net cash inflows</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5"/>
        </w:trPr>
        <w:tc>
          <w:tcPr>
            <w:tcW w:w="6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r>
      <w:tr>
        <w:trPr>
          <w:trHeight w:val="201"/>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Uses: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18"/>
        </w:trPr>
        <w:tc>
          <w:tcPr>
            <w:tcW w:w="6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3"/>
        </w:trPr>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6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Payments of dividends and distributions</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66"/>
        </w:trPr>
        <w:tc>
          <w:tcPr>
            <w:tcW w:w="62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spacing w:after="0"/>
              <w:rPr>
                <w:sz w:val="23"/>
                <w:szCs w:val="23"/>
                <w:color w:val="auto"/>
              </w:rPr>
            </w:pPr>
          </w:p>
        </w:tc>
      </w:tr>
      <w:tr>
        <w:trPr>
          <w:trHeight w:val="210"/>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total cash, cash equivalents, and restricted cash</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4"/>
          <w:szCs w:val="14"/>
          <w:color w:val="auto"/>
        </w:rPr>
        <w:t xml:space="preserve"> 2024 excludes $224 million of contributions related to Texas Solar Nova 2; 2023 excludes $224 million of contributions related to the funding of Waiawa and Daggett 3</w:t>
      </w:r>
    </w:p>
    <w:p>
      <w:pPr>
        <w:ind w:left="120" w:hanging="112"/>
        <w:spacing w:after="0" w:line="195" w:lineRule="auto"/>
        <w:tabs>
          <w:tab w:leader="none" w:pos="1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2024 excludes $115 for the repayment of bridge loans in connection with Texas Solar Nova 2; 2023 excludes $55 million for the repayment of bridge loans in connection with Waiawa</w:t>
      </w:r>
    </w:p>
    <w:p>
      <w:pPr>
        <w:spacing w:after="0" w:line="199"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12</w:t>
      </w:r>
    </w:p>
    <w:p>
      <w:pPr>
        <w:sectPr>
          <w:pgSz w:w="11900" w:h="16838" w:orient="portrait"/>
          <w:cols w:equalWidth="0" w:num="1">
            <w:col w:w="10780"/>
          </w:cols>
          <w:pgMar w:left="320" w:top="761" w:right="7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Appendix Table A-5: Adjusted EBITDA and Cash Available for Distribution Guidance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 Full Year</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auto"/>
            </w:tcBorders>
            <w:vMerge w:val="continue"/>
          </w:tcPr>
          <w:p>
            <w:pPr>
              <w:spacing w:after="0"/>
              <w:rPr>
                <w:sz w:val="21"/>
                <w:szCs w:val="21"/>
                <w:color w:val="auto"/>
              </w:rPr>
            </w:pPr>
          </w:p>
        </w:tc>
        <w:tc>
          <w:tcPr>
            <w:tcW w:w="14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Guidance</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 to reflect CWEN share of Adjusted EBITDA in</w:t>
            </w: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1,175</w:t>
            </w: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76"/>
        </w:trPr>
        <w:tc>
          <w:tcPr>
            <w:tcW w:w="50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Adjustments to reflect sale-type leases and payments for lease</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auto"/>
            </w:tcBorders>
          </w:tcPr>
          <w:p>
            <w:pPr>
              <w:ind w:left="180"/>
              <w:spacing w:after="0" w:line="256" w:lineRule="exact"/>
              <w:rPr>
                <w:sz w:val="20"/>
                <w:szCs w:val="20"/>
                <w:color w:val="auto"/>
              </w:rPr>
            </w:pPr>
            <w:r>
              <w:rPr>
                <w:rFonts w:ascii="Times New Roman" w:cs="Times New Roman" w:eastAsia="Times New Roman" w:hAnsi="Times New Roman"/>
                <w:sz w:val="18"/>
                <w:szCs w:val="18"/>
                <w:color w:val="auto"/>
              </w:rPr>
              <w:t>Cash distributions from unconsolidated affiliates</w:t>
            </w:r>
            <w:r>
              <w:rPr>
                <w:rFonts w:ascii="Times New Roman" w:cs="Times New Roman" w:eastAsia="Times New Roman" w:hAnsi="Times New Roman"/>
                <w:sz w:val="23"/>
                <w:szCs w:val="23"/>
                <w:color w:val="auto"/>
                <w:vertAlign w:val="superscript"/>
              </w:rPr>
              <w:t>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830</w:t>
            </w:r>
          </w:p>
        </w:tc>
        <w:tc>
          <w:tcPr>
            <w:tcW w:w="0" w:type="dxa"/>
            <w:vAlign w:val="bottom"/>
          </w:tcPr>
          <w:p>
            <w:pPr>
              <w:spacing w:after="0"/>
              <w:rPr>
                <w:sz w:val="1"/>
                <w:szCs w:val="1"/>
                <w:color w:val="auto"/>
              </w:rPr>
            </w:pPr>
          </w:p>
        </w:tc>
      </w:tr>
      <w:tr>
        <w:trPr>
          <w:trHeight w:val="250"/>
        </w:trPr>
        <w:tc>
          <w:tcPr>
            <w:tcW w:w="5060" w:type="dxa"/>
            <w:vAlign w:val="bottom"/>
          </w:tcPr>
          <w:p>
            <w:pPr>
              <w:ind w:left="180"/>
              <w:spacing w:after="0" w:line="250" w:lineRule="exact"/>
              <w:rPr>
                <w:sz w:val="20"/>
                <w:szCs w:val="20"/>
                <w:color w:val="auto"/>
              </w:rPr>
            </w:pPr>
            <w:r>
              <w:rPr>
                <w:rFonts w:ascii="Times New Roman" w:cs="Times New Roman" w:eastAsia="Times New Roman" w:hAnsi="Times New Roman"/>
                <w:sz w:val="18"/>
                <w:szCs w:val="18"/>
                <w:color w:val="auto"/>
              </w:rPr>
              <w:t>Net distributions to non-controlling interest</w:t>
            </w:r>
            <w:r>
              <w:rPr>
                <w:rFonts w:ascii="Times New Roman" w:cs="Times New Roman" w:eastAsia="Times New Roman" w:hAnsi="Times New Roman"/>
                <w:sz w:val="23"/>
                <w:szCs w:val="23"/>
                <w:color w:val="auto"/>
                <w:vertAlign w:val="superscript"/>
              </w:rPr>
              <w:t>6</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3"/>
                <w:szCs w:val="23"/>
                <w:color w:val="auto"/>
                <w:vertAlign w:val="superscript"/>
              </w:rPr>
              <w:t>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395</w:t>
            </w: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Appendix Table A-6: Adjusted EBITDA and Cash Available for Distribution Growth Projects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9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Cedar Creek Wind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Dan's Mountain Wind</w:t>
            </w:r>
          </w:p>
        </w:tc>
        <w:tc>
          <w:tcPr>
            <w:tcW w:w="360" w:type="dxa"/>
            <w:vAlign w:val="bottom"/>
          </w:tcPr>
          <w:p>
            <w:pPr>
              <w:spacing w:after="0"/>
              <w:rPr>
                <w:sz w:val="18"/>
                <w:szCs w:val="18"/>
                <w:color w:val="auto"/>
              </w:rPr>
            </w:pPr>
          </w:p>
        </w:tc>
        <w:tc>
          <w:tcPr>
            <w:tcW w:w="2100" w:type="dxa"/>
            <w:vAlign w:val="bottom"/>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Rosamond South I</w:t>
            </w:r>
          </w:p>
        </w:tc>
        <w:tc>
          <w:tcPr>
            <w:tcW w:w="0" w:type="dxa"/>
            <w:vAlign w:val="bottom"/>
          </w:tcPr>
          <w:p>
            <w:pPr>
              <w:spacing w:after="0"/>
              <w:rPr>
                <w:sz w:val="1"/>
                <w:szCs w:val="1"/>
                <w:color w:val="auto"/>
              </w:rPr>
            </w:pPr>
          </w:p>
        </w:tc>
      </w:tr>
      <w:tr>
        <w:trPr>
          <w:trHeight w:val="243"/>
        </w:trPr>
        <w:tc>
          <w:tcPr>
            <w:tcW w:w="4620" w:type="dxa"/>
            <w:vAlign w:val="bottom"/>
            <w:gridSpan w:val="2"/>
            <w:vMerge w:val="continue"/>
          </w:tcPr>
          <w:p>
            <w:pPr>
              <w:spacing w:after="0"/>
              <w:rPr>
                <w:sz w:val="21"/>
                <w:szCs w:val="21"/>
                <w:color w:val="auto"/>
              </w:rPr>
            </w:pPr>
          </w:p>
        </w:tc>
        <w:tc>
          <w:tcPr>
            <w:tcW w:w="19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5 Year Ave. 2025-2029</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 Year Ave. 2026-2030</w:t>
            </w:r>
          </w:p>
        </w:tc>
        <w:tc>
          <w:tcPr>
            <w:tcW w:w="360" w:type="dxa"/>
            <w:vAlign w:val="bottom"/>
          </w:tcPr>
          <w:p>
            <w:pPr>
              <w:spacing w:after="0"/>
              <w:rPr>
                <w:sz w:val="21"/>
                <w:szCs w:val="21"/>
                <w:color w:val="auto"/>
              </w:rPr>
            </w:pPr>
          </w:p>
        </w:tc>
        <w:tc>
          <w:tcPr>
            <w:tcW w:w="2100" w:type="dxa"/>
            <w:vAlign w:val="bottom"/>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5 Year Ave. 2026-2030</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spacing w:after="0"/>
              <w:rPr>
                <w:sz w:val="19"/>
                <w:szCs w:val="19"/>
                <w:color w:val="auto"/>
              </w:rPr>
            </w:pPr>
          </w:p>
        </w:tc>
        <w:tc>
          <w:tcPr>
            <w:tcW w:w="2220" w:type="dxa"/>
            <w:vAlign w:val="bottom"/>
            <w:tcBorders>
              <w:top w:val="single" w:sz="8" w:color="auto"/>
              <w:bottom w:val="single" w:sz="8" w:color="auto"/>
            </w:tcBorders>
            <w:shd w:val="clear" w:color="auto" w:fill="CCEEFF"/>
          </w:tcPr>
          <w:p>
            <w:pPr>
              <w:jc w:val="right"/>
              <w:ind w:right="1978"/>
              <w:spacing w:after="0"/>
              <w:rPr>
                <w:sz w:val="20"/>
                <w:szCs w:val="20"/>
                <w:color w:val="auto"/>
              </w:rPr>
            </w:pPr>
            <w:r>
              <w:rPr>
                <w:rFonts w:ascii="Times New Roman" w:cs="Times New Roman" w:eastAsia="Times New Roman" w:hAnsi="Times New Roman"/>
                <w:sz w:val="16"/>
                <w:szCs w:val="16"/>
                <w:b w:val="1"/>
                <w:bCs w:val="1"/>
                <w:color w:val="auto"/>
              </w:rPr>
              <w:t>3</w:t>
            </w:r>
          </w:p>
        </w:tc>
        <w:tc>
          <w:tcPr>
            <w:tcW w:w="3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20" w:type="dxa"/>
            <w:vAlign w:val="bottom"/>
          </w:tcPr>
          <w:p>
            <w:pPr>
              <w:jc w:val="right"/>
              <w:ind w:right="1978"/>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194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978"/>
              <w:spacing w:after="0"/>
              <w:rPr>
                <w:sz w:val="20"/>
                <w:szCs w:val="20"/>
                <w:color w:val="auto"/>
              </w:rPr>
            </w:pPr>
            <w:r>
              <w:rPr>
                <w:rFonts w:ascii="Times New Roman" w:cs="Times New Roman" w:eastAsia="Times New Roman" w:hAnsi="Times New Roman"/>
                <w:sz w:val="16"/>
                <w:szCs w:val="16"/>
                <w:color w:val="auto"/>
              </w:rPr>
              <w:t>8</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bottom w:val="single" w:sz="8" w:color="CCEEFF"/>
            </w:tcBorders>
          </w:tcPr>
          <w:p>
            <w:pPr>
              <w:spacing w:after="0"/>
              <w:rPr>
                <w:sz w:val="19"/>
                <w:szCs w:val="19"/>
                <w:color w:val="auto"/>
              </w:rPr>
            </w:pPr>
          </w:p>
        </w:tc>
        <w:tc>
          <w:tcPr>
            <w:tcW w:w="194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tcPr>
          <w:p>
            <w:pPr>
              <w:jc w:val="right"/>
              <w:ind w:right="1978"/>
              <w:spacing w:after="0"/>
              <w:rPr>
                <w:sz w:val="20"/>
                <w:szCs w:val="20"/>
                <w:color w:val="auto"/>
              </w:rPr>
            </w:pPr>
            <w:r>
              <w:rPr>
                <w:rFonts w:ascii="Times New Roman" w:cs="Times New Roman" w:eastAsia="Times New Roman" w:hAnsi="Times New Roman"/>
                <w:sz w:val="16"/>
                <w:szCs w:val="16"/>
                <w:b w:val="1"/>
                <w:bCs w:val="1"/>
                <w:color w:val="auto"/>
                <w:w w:val="87"/>
              </w:rPr>
              <w:t>16</w:t>
            </w:r>
          </w:p>
        </w:tc>
        <w:tc>
          <w:tcPr>
            <w:tcW w:w="3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14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1938"/>
              <w:spacing w:after="0"/>
              <w:rPr>
                <w:sz w:val="20"/>
                <w:szCs w:val="20"/>
                <w:color w:val="auto"/>
              </w:rPr>
            </w:pPr>
            <w:r>
              <w:rPr>
                <w:rFonts w:ascii="Times New Roman" w:cs="Times New Roman" w:eastAsia="Times New Roman" w:hAnsi="Times New Roman"/>
                <w:sz w:val="16"/>
                <w:szCs w:val="16"/>
                <w:color w:val="auto"/>
                <w:w w:val="96"/>
              </w:rPr>
              <w:t>(5)</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87"/>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4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978"/>
              <w:spacing w:after="0"/>
              <w:rPr>
                <w:sz w:val="20"/>
                <w:szCs w:val="20"/>
                <w:color w:val="auto"/>
              </w:rPr>
            </w:pPr>
            <w:r>
              <w:rPr>
                <w:rFonts w:ascii="Times New Roman" w:cs="Times New Roman" w:eastAsia="Times New Roman" w:hAnsi="Times New Roman"/>
                <w:sz w:val="16"/>
                <w:szCs w:val="16"/>
                <w:b w:val="1"/>
                <w:bCs w:val="1"/>
                <w:color w:val="auto"/>
                <w:w w:val="87"/>
              </w:rPr>
              <w:t>11</w:t>
            </w:r>
          </w:p>
        </w:tc>
        <w:tc>
          <w:tcPr>
            <w:tcW w:w="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distributions (to)/from non-controlling interest</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978"/>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6"/>
              </w:rPr>
              <w:t>(5)</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9"/>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Network Upgrade Reimbursements</w:t>
            </w:r>
          </w:p>
        </w:tc>
        <w:tc>
          <w:tcPr>
            <w:tcW w:w="1940" w:type="dxa"/>
            <w:vAlign w:val="bottom"/>
          </w:tcPr>
          <w:p>
            <w:pPr>
              <w:spacing w:after="0"/>
              <w:rPr>
                <w:sz w:val="19"/>
                <w:szCs w:val="19"/>
                <w:color w:val="auto"/>
              </w:rPr>
            </w:pPr>
          </w:p>
        </w:tc>
        <w:tc>
          <w:tcPr>
            <w:tcW w:w="2220" w:type="dxa"/>
            <w:vAlign w:val="bottom"/>
          </w:tcPr>
          <w:p>
            <w:pPr>
              <w:jc w:val="right"/>
              <w:ind w:right="1978"/>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94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978"/>
              <w:spacing w:after="0"/>
              <w:rPr>
                <w:sz w:val="20"/>
                <w:szCs w:val="20"/>
                <w:color w:val="auto"/>
              </w:rPr>
            </w:pPr>
            <w:r>
              <w:rPr>
                <w:rFonts w:ascii="Times New Roman" w:cs="Times New Roman" w:eastAsia="Times New Roman" w:hAnsi="Times New Roman"/>
                <w:sz w:val="16"/>
                <w:szCs w:val="16"/>
                <w:color w:val="auto"/>
                <w:w w:val="87"/>
              </w:rPr>
              <w:t>—</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87"/>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amortization of indebtedness</w:t>
            </w:r>
          </w:p>
        </w:tc>
        <w:tc>
          <w:tcPr>
            <w:tcW w:w="1940" w:type="dxa"/>
            <w:vAlign w:val="bottom"/>
          </w:tcPr>
          <w:p>
            <w:pPr>
              <w:spacing w:after="0"/>
              <w:rPr>
                <w:sz w:val="19"/>
                <w:szCs w:val="19"/>
                <w:color w:val="auto"/>
              </w:rPr>
            </w:pPr>
          </w:p>
        </w:tc>
        <w:tc>
          <w:tcPr>
            <w:tcW w:w="2220" w:type="dxa"/>
            <w:vAlign w:val="bottom"/>
          </w:tcPr>
          <w:p>
            <w:pPr>
              <w:jc w:val="right"/>
              <w:ind w:right="1938"/>
              <w:spacing w:after="0"/>
              <w:rPr>
                <w:sz w:val="20"/>
                <w:szCs w:val="20"/>
                <w:color w:val="auto"/>
              </w:rPr>
            </w:pPr>
            <w:r>
              <w:rPr>
                <w:rFonts w:ascii="Times New Roman" w:cs="Times New Roman" w:eastAsia="Times New Roman" w:hAnsi="Times New Roman"/>
                <w:sz w:val="16"/>
                <w:szCs w:val="16"/>
                <w:color w:val="auto"/>
                <w:w w:val="96"/>
              </w:rPr>
              <w:t>(3)</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87"/>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Cash Available for Distribution</w:t>
            </w:r>
          </w:p>
        </w:tc>
        <w:tc>
          <w:tcPr>
            <w:tcW w:w="14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spacing w:after="0"/>
              <w:rPr>
                <w:sz w:val="19"/>
                <w:szCs w:val="19"/>
                <w:color w:val="auto"/>
              </w:rPr>
            </w:pPr>
          </w:p>
        </w:tc>
        <w:tc>
          <w:tcPr>
            <w:tcW w:w="2220" w:type="dxa"/>
            <w:vAlign w:val="bottom"/>
            <w:tcBorders>
              <w:top w:val="single" w:sz="8" w:color="auto"/>
              <w:bottom w:val="single" w:sz="8" w:color="auto"/>
            </w:tcBorders>
            <w:shd w:val="clear" w:color="auto" w:fill="CCEEFF"/>
          </w:tcPr>
          <w:p>
            <w:pPr>
              <w:jc w:val="right"/>
              <w:ind w:right="1978"/>
              <w:spacing w:after="0"/>
              <w:rPr>
                <w:sz w:val="20"/>
                <w:szCs w:val="20"/>
                <w:color w:val="auto"/>
              </w:rPr>
            </w:pPr>
            <w:r>
              <w:rPr>
                <w:rFonts w:ascii="Times New Roman" w:cs="Times New Roman" w:eastAsia="Times New Roman" w:hAnsi="Times New Roman"/>
                <w:sz w:val="16"/>
                <w:szCs w:val="16"/>
                <w:b w:val="1"/>
                <w:bCs w:val="1"/>
                <w:color w:val="auto"/>
                <w:w w:val="87"/>
              </w:rPr>
              <w:t>13</w:t>
            </w:r>
          </w:p>
        </w:tc>
        <w:tc>
          <w:tcPr>
            <w:tcW w:w="3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Distribution from unconsolidated affiliates can be classified as Return of Investment on Unconsolidated Affiliates when actuals are reported. This is below cash from operating activities</w:t>
      </w:r>
    </w:p>
    <w:p>
      <w:pPr>
        <w:ind w:left="120" w:hanging="112"/>
        <w:spacing w:after="0" w:line="196" w:lineRule="auto"/>
        <w:tabs>
          <w:tab w:leader="none" w:pos="1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tax equity proceeds and distributions to tax equity partners</w:t>
      </w:r>
    </w:p>
    <w:p>
      <w:pPr>
        <w:spacing w:after="0" w:line="3" w:lineRule="exact"/>
        <w:rPr>
          <w:rFonts w:ascii="Times New Roman" w:cs="Times New Roman" w:eastAsia="Times New Roman" w:hAnsi="Times New Roman"/>
          <w:sz w:val="23"/>
          <w:szCs w:val="23"/>
          <w:color w:val="auto"/>
          <w:vertAlign w:val="superscript"/>
        </w:rPr>
      </w:pPr>
    </w:p>
    <w:p>
      <w:pPr>
        <w:spacing w:after="0" w:line="227"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2024 excludes maturities assumed to be refinanced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7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Non-GAAP Financial Information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3"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cash expenditures, or future requirements for capital expenditures, or contractual commitments;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working capital needs;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significant interest expense, or the cash requirements necessary to service interest or principal payments, on debt or cash income tax payments;</w:t>
      </w: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this industry may calculate EBITDA differently than Clearway Energy does, limiting its usefulness as a comparative measure.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13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Cash Available for Distribution</w:t>
      </w:r>
    </w:p>
    <w:p>
      <w:pPr>
        <w:spacing w:after="0" w:line="2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non-GAAP measure, Cash Available for Distribution is defined as of March 31, 2024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sectPr>
      <w:pgSz w:w="11900" w:h="16838" w:orient="portrait"/>
      <w:cols w:equalWidth="0" w:num="1">
        <w:col w:w="11240"/>
      </w:cols>
      <w:pgMar w:left="320" w:top="8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4"/>
      <w:numFmt w:val="bullet"/>
      <w:start w:val="1"/>
    </w:lvl>
  </w:abstractNum>
  <w:abstractNum w:abstractNumId="6">
    <w:nsid w:val="7545E146"/>
    <w:multiLevelType w:val="hybridMultilevel"/>
    <w:lvl w:ilvl="0">
      <w:lvlJc w:val="left"/>
      <w:lvlText w:val="5"/>
      <w:numFmt w:val="bullet"/>
      <w:start w:val="1"/>
    </w:lvl>
  </w:abstractNum>
  <w:abstractNum w:abstractNumId="7">
    <w:nsid w:val="515F007C"/>
    <w:multiLevelType w:val="hybridMultilevel"/>
    <w:lvl w:ilvl="0">
      <w:lvlJc w:val="left"/>
      <w:lvlText w:val="6"/>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2024-05-09T05:21:45Z</dcterms:created>
  <dcterms:modified xsi:type="dcterms:W3CDTF">2024-05-09T05:21:45Z</dcterms:modified>
</cp:coreProperties>
</file>