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Clearway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C Common Stock,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Clearbridge Investments,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10,422.00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ClearBridge Investments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4,903,642.00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4,903,642.00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4,903,642.00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ClearBridge Investments (North America) Pty Ltd</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697,948.00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697,948.00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697,948.00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Clearway Energy,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Carnegie Center, Suite 300, Princeton, NJ 08540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ClearBridge Investments, LLC (ii): ClearBridge Investments Limited (iii): ClearBridge Investments (North America) Pty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(i):One Madison Ave. New York, NY 10010 (ii) and (iii): Level 13, 35 Clarence Street Sydney, Australia 2000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(i):Delaware (ii) and (iii): Australian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C Common Stock, par value $0.01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5,612,012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ClearBridge Investments, LLC: 10.422 ClearBridge Investments Limited: 4,903,642 ClearBridge Investments (North America) Pty Ltd: 697,948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ClearBridge Investments, LLC: 10.422 ClearBridge Investments Limited: 4,903,642 ClearBridge Investments (North America) Pty Ltd: 697,948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Clearbridge Investments, LLC</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/s/BRIAN R. MURPHY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Brian R. Murphy, Chief Compliance Officer of ClearBridge Investments,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ClearBridge Investments Ltd</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/s/ANNETTE GOLDEN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Annette Golden, Head of Legal, Risk and Compliance &amp; Company Secretary of ClearBridge Investments Limited</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10118" w:type="dxa"/>
        <w:jc w:val="left"/>
        <w:tblInd w:w="0" w:type="dxa"/>
        <w:tblLayout w:type="fixed"/>
        <w:tblCellMar>
          <w:top w:w="28" w:type="dxa"/>
          <w:left w:w="28" w:type="dxa"/>
          <w:bottom w:w="28" w:type="dxa"/>
          <w:right w:w="28" w:type="dxa"/>
        </w:tblCellMar>
      </w:tblPr>
      <w:tblGrid>
        <w:gridCol w:w="5059"/>
        <w:gridCol w:w="5059"/>
      </w:tblGrid>
      <w:tr>
        <w:trPr/>
        <w:tc>
          <w:tcPr>
            <w:tcW w:w="5059" w:type="dxa"/>
            <w:tcBorders/>
            <w:vAlign w:val="center"/>
          </w:tcPr>
          <w:p>
            <w:pPr>
              <w:pStyle w:val="TableContents"/>
              <w:bidi w:val="0"/>
              <w:spacing w:before="0" w:after="0"/>
              <w:jc w:val="left"/>
              <w:rPr/>
            </w:pPr>
            <w:r>
              <w:rPr/>
              <w:t> </w:t>
            </w:r>
          </w:p>
          <w:tbl>
            <w:tblPr>
              <w:tblW w:w="4906" w:type="dxa"/>
              <w:jc w:val="left"/>
              <w:tblInd w:w="0" w:type="dxa"/>
              <w:tblLayout w:type="fixed"/>
              <w:tblCellMar>
                <w:top w:w="28" w:type="dxa"/>
                <w:left w:w="28" w:type="dxa"/>
                <w:bottom w:w="28" w:type="dxa"/>
                <w:right w:w="28" w:type="dxa"/>
              </w:tblCellMar>
            </w:tblPr>
            <w:tblGrid>
              <w:gridCol w:w="4906"/>
            </w:tblGrid>
            <w:tr>
              <w:trPr/>
              <w:tc>
                <w:tcPr>
                  <w:tcW w:w="4906" w:type="dxa"/>
                  <w:tcBorders/>
                  <w:vAlign w:val="center"/>
                </w:tcPr>
                <w:p>
                  <w:pPr>
                    <w:pStyle w:val="TableContents"/>
                    <w:bidi w:val="0"/>
                    <w:spacing w:before="0" w:after="0"/>
                    <w:jc w:val="left"/>
                    <w:rPr/>
                  </w:pPr>
                  <w:r>
                    <w:rPr/>
                    <w:t>ClearBridge Investments (North America) Pty Ltd</w:t>
                  </w:r>
                </w:p>
              </w:tc>
            </w:tr>
          </w:tbl>
          <w:p>
            <w:pPr>
              <w:pStyle w:val="TableContents"/>
              <w:bidi w:val="0"/>
              <w:spacing w:before="0" w:after="283"/>
              <w:jc w:val="left"/>
              <w:rPr/>
            </w:pPr>
            <w:r>
              <w:rPr/>
            </w:r>
          </w:p>
        </w:tc>
        <w:tc>
          <w:tcPr>
            <w:tcW w:w="5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/s/ANNETTE GOLDEN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Annette Golden, Head of Legal, Risk and Compliance &amp; Company Secretary of ClearBridge Investments (North America) Pty Ltd</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Exhibit B: Item 4 Ownership Exhibit C: Item 8 Identification and Classification of Members of the Group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ClearBridge Investments, LLC By: /s/BRIAN R. MURPHY Brian R. Murphy Chief Compliance Officer of ClearBridge Investments, LLC ClearBridge Investments Limited By: /s/ANNETTE GOLDEN Annette Golden Head of Legal, Risk and Compliance &amp; Company Secretary of ClearBridge Investments Limited ClearBridge Investments (North America) Pty Ltd By: /s/ANNETTE GOLDEN Annette Golden Head of Legal, Risk and Compliance &amp; Company Secretary of ClearBridge Investments (North America) Pty Ltd Exhibit B: Item 4 Ownership The securities reported herein are beneficially owned by one or more open end investment companies or other managed accounts that are investment management clients of ClearBridge Investments, LLC, ClearBridge Investments Limited, and ClearBridge Investments (North America) Pty Ltd. (collectively,"CIL"), indirect wholly owned subsidiaries of Franklin Resources, Inc. ("FRI"). When an investment management contract (including a sub advisory agreement) delegates to CIL investment discretion or voting power over the securities held in the investment advisory accounts that are subject to that agreement, FRI treats CIL as having sole investment discretion or voting authority, as the case may be, unless the agreement specifies otherwise. Accordingly, CIL reports on Schedule 13G that it has sole investment discretion and voting authority over the securities covered by any such investment management agreement, unless otherwise noted in this Item 4. As a result, for purposes of Rule 13d-3 under the Act, CIL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CIL are exercised independently from FRI (CIL's parent holding company) and from all other investment management subsidiaries of FRI (FRI, its affiliates and investment management subsidiaries other than CIL are, collectively, "FRI affiliates"). Furthermore, internal policies and procedures of CIL and FRI affiliates establish informational barriers that prevent the flow between CIL and the FRI affiliates of information that relates to the voting and investment powers over the securities owned by their respective investment management clients. Consequently, CIL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CIL exercises voting and investment powers on behalf of its investment management clients independently of FRI affiliates, beneficial ownership of the securities reported by CIL is not attributed to the Principal Shareholders. CIL disclaims any pecuniary interest in any of the securities reported in this Schedule 13G. In addition, the filing of this Schedule 13G on behalf of CIL should not be construed as an admission that it is, and it disclaims that it is, the beneficial owner, as defined in Rule 13d-3, of any of such securities. Furthermore, CIL believes that it is not a "group" with FRI affiliates, the Principal Shareholders, or their respective affiliates within the meaning of Rule 13d-5 under the Act and that none of them is otherwise required to attribute to any other the beneficial ownership of the securities held by such person or by any persons or entities for whom or for which CIL or the FRI affiliates provide investment management services. EXHIBIT C ClearBridge Investments, LLC Item 3 Classification: 3(e) ClearBridge Investments Limited Item 3 Classification: 3(j) ClearBridge Investments (North America) Pty Ltd Item 3 Classification: 3(j)</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1816</Words>
  <Characters>9897</Characters>
  <CharactersWithSpaces>11667</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