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23, 2023</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CLEARWAY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52"/>
        </w:trPr>
        <w:tc>
          <w:tcPr>
            <w:tcW w:w="3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 w:lineRule="exact"/>
        <w:rPr>
          <w:rFonts w:ascii="MS PGothic" w:cs="MS PGothic" w:eastAsia="MS PGothic" w:hAnsi="MS PGothic"/>
          <w:sz w:val="18"/>
          <w:szCs w:val="18"/>
          <w:color w:val="auto"/>
        </w:rPr>
      </w:pPr>
    </w:p>
    <w:p>
      <w:pPr>
        <w:ind w:right="2800" w:firstLine="48"/>
        <w:spacing w:after="0" w:line="272"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CWEN.A</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CWEN</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 xml:space="preserve">On February 23, 2023, Clearway Energy, Inc. issued a press release announcing its financial results for the year ended December 31, 2022.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2"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February 23,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740" w:space="720"/>
            <w:col w:w="8780"/>
          </w:cols>
          <w:pgMar w:left="320" w:top="1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8"/>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Full Year 2022 Financial Results</w:t>
      </w:r>
    </w:p>
    <w:p>
      <w:pPr>
        <w:spacing w:after="0" w:line="25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Committed to approximately $348 million of new long-term corporate capital investments in 2022</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Raised over $1.3 billion of corporate level capital in 2022 from the sale of Clearway's Thermal Business</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contract for El Segundo in 2022 ensuring that 100% of the Resource Adequacy for Marsh Landing, Walnut Creek, and El Segundo is contracted through approximately 2026</w:t>
      </w: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agreement with Clearway Group in 4Q22 to commit to invest in 463 MW of solar plus storage projects</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Reaffirming 2023 financial guidance and raising pro forma CAFD outlook</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Increased the quarterly dividend by 2% to $0.3745 </w:t>
      </w:r>
      <w:r>
        <w:rPr>
          <w:rFonts w:ascii="Times New Roman" w:cs="Times New Roman" w:eastAsia="Times New Roman" w:hAnsi="Times New Roman"/>
          <w:sz w:val="18"/>
          <w:szCs w:val="18"/>
          <w:b w:val="1"/>
          <w:bCs w:val="1"/>
          <w:color w:val="242424"/>
        </w:rPr>
        <w:t>p</w:t>
      </w:r>
      <w:r>
        <w:rPr>
          <w:rFonts w:ascii="Times New Roman" w:cs="Times New Roman" w:eastAsia="Times New Roman" w:hAnsi="Times New Roman"/>
          <w:sz w:val="18"/>
          <w:szCs w:val="18"/>
          <w:b w:val="1"/>
          <w:bCs w:val="1"/>
          <w:color w:val="auto"/>
        </w:rPr>
        <w:t>er share in the first quarter of 20</w:t>
      </w:r>
      <w:r>
        <w:rPr>
          <w:rFonts w:ascii="Times New Roman" w:cs="Times New Roman" w:eastAsia="Times New Roman" w:hAnsi="Times New Roman"/>
          <w:sz w:val="18"/>
          <w:szCs w:val="18"/>
          <w:b w:val="1"/>
          <w:bCs w:val="1"/>
          <w:color w:val="242424"/>
        </w:rPr>
        <w:t>23, or</w:t>
      </w:r>
      <w:r>
        <w:rPr>
          <w:rFonts w:ascii="Times New Roman" w:cs="Times New Roman" w:eastAsia="Times New Roman" w:hAnsi="Times New Roman"/>
          <w:sz w:val="18"/>
          <w:szCs w:val="18"/>
          <w:b w:val="1"/>
          <w:bCs w:val="1"/>
          <w:color w:val="auto"/>
        </w:rPr>
        <w:t xml:space="preserve"> $1.498 per share annualized</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target annual dividend per share growth in the upper range of 5% to 8% through 2026</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23, 2023</w:t>
      </w:r>
      <w:r>
        <w:rPr>
          <w:rFonts w:ascii="Times New Roman" w:cs="Times New Roman" w:eastAsia="Times New Roman" w:hAnsi="Times New Roman"/>
          <w:sz w:val="18"/>
          <w:szCs w:val="18"/>
          <w:color w:val="auto"/>
        </w:rPr>
        <w:t>— Clearway Energy, Inc. (NYSE: CWEN, CWEN.A) today reported full year 2022 financial results,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of $1,060 million, Adjusted EBITDA of $1,160 million, Cash from Operating Activities of $787 million, and Cash Available for Distribution (CAFD) of $326 million.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2022 financial results were impacted by weaker wind performance in the fourth quarter and the previously disclosed forced outages in the Conventional segment, the long-term outlook for Clearway remains positive. The closing of the Thermal sale in 2022 has provided unprecedented financial flexibility to execute upon our long-term growth objectives given the $750 million of excess proceeds. In 2022, the Company committed to approximately $348 million of new long-term corporate capital investments that will be funded with the Thermal sale proceeds and we expect to commit to additional accretive drop-downs from our sponsor in 2023 utilizing the remaining Thermal proceeds,” said Christopher Sotos, Clearway Energy, Inc.’s President and Chief Executive Officer. “Given the continued line of sight to the future deployment of all of the excess proceeds from the Thermal sale, Clearway remains on track to deliver at the upper range of its dividend growth target through 2026.”</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12/31/21</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0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8"/>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ind w:right="272"/>
              <w:spacing w:after="0"/>
              <w:rPr>
                <w:sz w:val="20"/>
                <w:szCs w:val="20"/>
                <w:color w:val="auto"/>
              </w:rPr>
            </w:pPr>
            <w:r>
              <w:rPr>
                <w:rFonts w:ascii="Times New Roman" w:cs="Times New Roman" w:eastAsia="Times New Roman" w:hAnsi="Times New Roman"/>
                <w:sz w:val="16"/>
                <w:szCs w:val="16"/>
                <w:color w:val="auto"/>
                <w:w w:val="74"/>
              </w:rPr>
              <w:t>1</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12/31/21</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12/31/21</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bl>
    <w:p>
      <w:pPr>
        <w:spacing w:after="0" w:line="200" w:lineRule="exact"/>
        <w:rPr>
          <w:sz w:val="20"/>
          <w:szCs w:val="20"/>
          <w:color w:val="auto"/>
        </w:rPr>
      </w:pP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fourth quarter of 2022, the Company reported Net Loss of $54 million, Adjusted EBITDA of $212 million, Cash from Operating Activities of $180 million, and CAFD of $(2) million. Net Loss decreased versus 2021 primarily due to non-cash changes in income tax expenses. Cash from Operating Activities increased versus 2021 primarily due to the contribution of growth investments. Adjusted EBITDA and CAFD results in the fourth quarter of 2022 were lower than 2021 due to the disposition of the Thermal Business, lower availability at the Conventional segment, and lower renewable resources, partially offset by the contribution from growth investments.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full year 2022, the Company reported Net Income of $1,060 million, Adjusted EBITDA of $1,160 million, Cash from Operating Activities of $787 million, and CAFD of $326 million. Net Income increased versus 2021 primarily due to the one-time gain from the sale of the Thermal Business. Adjusted EBITDA results were higher than 2021 primarily due to the contribution of growth investments and the impact on results in 2021 from the severe winter weather event in Texas in February of 2021. This was partially offset by the disposition of the Thermal Business and forced outages at the Conventional segment. CAFD results were lower than 2021 due to the disposition of the Thermal Business and forced outages at the Conventional segment.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3"/>
                <w:szCs w:val="23"/>
                <w:b w:val="1"/>
                <w:bCs w:val="1"/>
                <w:color w:val="auto"/>
                <w:vertAlign w:val="superscript"/>
              </w:rPr>
              <w:t>1</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0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12/31/21</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94.7 %</w:t>
            </w:r>
          </w:p>
        </w:tc>
      </w:tr>
      <w:tr>
        <w:trPr>
          <w:trHeight w:val="230"/>
        </w:trPr>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29"/>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r>
      <w:tr>
        <w:trPr>
          <w:trHeight w:val="27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MWh generated/sold</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6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969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2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the fourth quarter of 2022, availability at the Conventional segment was lower than the fourth quarter of 2021 primarily due to lower availability at the El Segundo Energy Center and Walnut Creek facilities. Generation in the Renewables segment during the fourth quarter of 2022 was 21% higher than the fourth quarter of 2021 primarily due to the contribution of 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20" w:hanging="112"/>
        <w:spacing w:after="0" w:line="196"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3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00" w:type="dxa"/>
            <w:vAlign w:val="bottom"/>
          </w:tcPr>
          <w:p>
            <w:pPr>
              <w:spacing w:after="0"/>
              <w:rPr>
                <w:sz w:val="22"/>
                <w:szCs w:val="22"/>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Subsidiaries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accounts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liquidity as of December 31, 2022 was $1,366 million, which was $545 million higher than the same period ended December 31, 2021, primarily due to the proceeds received from the sale of the Thermal Business. This was partially offset by the execution of growth investments, the repayment of $305 million in outstanding borrowings under the Company's revolving credit facility, the repayment of $335 million under the Bridge Loan Agreement, and the repayment of approximately $130 million of outstanding project-level debt for the El Segundo Energy Center.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the Company's liquidity included </w:t>
      </w:r>
      <w:r>
        <w:rPr>
          <w:rFonts w:ascii="Times New Roman" w:cs="Times New Roman" w:eastAsia="Times New Roman" w:hAnsi="Times New Roman"/>
          <w:sz w:val="18"/>
          <w:szCs w:val="18"/>
          <w:color w:val="000000"/>
        </w:rPr>
        <w:t>$339 million</w:t>
      </w:r>
      <w:r>
        <w:rPr>
          <w:rFonts w:ascii="Times New Roman" w:cs="Times New Roman" w:eastAsia="Times New Roman" w:hAnsi="Times New Roman"/>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December 31, 2022,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$109 million designated to fund operating expenses, approximately $55 million designated for current debt service payments, and $105 million of reserves for debt service, performance obligations and other items including capital expenditures. The remaining $70 million is held in distribution reserve accounts.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which the Company expects to refinance prior to its maturity in April 2023, asset dispositions, and, subject to market conditions, new corporate debt and equity financings.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Daggett 3 Solar Project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2023, the Company, through a partnership with a third-party investor, acquired the indirect owner of the Daggett 3 solar project, from a subsidiary of Clearway Group for cash consideration of $21 million. Daggett 3 has PPAs with investment-grade counterparties that have a 15-year weighted average contract duration that commence when the project reaches commercial operations, which is expected to occur in the first half of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Victory Pass and Arica Solar Plus Energy Storage Projects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23, 2022, the Company, through an indirect subsidiary, entered into an agreement with Clearway Group to acquire interests in a partnership that holds the interests in the Victory Pass and Arica solar plus energy storage projects, which are both located in Riverside, California, upon the projects reaching certain milestones for a total purchase price of approximately $228 million in cash, subject to customary working capital adjustments. Victory Pass is a 200 MW solar facility and Arica is a 263 MW solar facility, each with an energy storage system. Upon achieving commercial operations the projects will sell the majority of their power, RECs and capacity under agreements with creditworthy counterparties with a weighted average contract duration of approximately 14 years. Upon the closing of the transaction, which is expected in the second half of 2023, the Company will own 40% of the partnership holding interests in Victory Pass and Arica. The Company expects the projects to contribute asset CAFD on a five-year average annual basis of approximately $20 million beginning January 1, 2024.</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Financing Update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 Segundo Project-Level Debt Repayment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2022, the Company repaid the outstanding project-level debt for the El Segundo Energy Center in the amount of approximately $130 million, utilizing cash on hand. The project-level debt had an original maturity of August 2023. On December 29, 2022, as a result of the project-level debt repayment, $35 million of previously restricted cash was distributed to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15, 2023, Clearway Energy, Inc.’s Board of Directors declared a quarterly dividend on Class A and Class C common stoc</w:t>
      </w:r>
      <w:r>
        <w:rPr>
          <w:rFonts w:ascii="Times New Roman" w:cs="Times New Roman" w:eastAsia="Times New Roman" w:hAnsi="Times New Roman"/>
          <w:sz w:val="18"/>
          <w:szCs w:val="18"/>
          <w:color w:val="242424"/>
        </w:rPr>
        <w:t>k</w:t>
      </w:r>
      <w:r>
        <w:rPr>
          <w:rFonts w:ascii="Times New Roman" w:cs="Times New Roman" w:eastAsia="Times New Roman" w:hAnsi="Times New Roman"/>
          <w:sz w:val="18"/>
          <w:szCs w:val="18"/>
          <w:color w:val="auto"/>
        </w:rPr>
        <w:t xml:space="preserve"> of $0.3745 pe</w:t>
      </w:r>
      <w:r>
        <w:rPr>
          <w:rFonts w:ascii="Times New Roman" w:cs="Times New Roman" w:eastAsia="Times New Roman" w:hAnsi="Times New Roman"/>
          <w:sz w:val="18"/>
          <w:szCs w:val="18"/>
          <w:color w:val="242424"/>
        </w:rPr>
        <w:t>r</w:t>
      </w:r>
      <w:r>
        <w:rPr>
          <w:rFonts w:ascii="Times New Roman" w:cs="Times New Roman" w:eastAsia="Times New Roman" w:hAnsi="Times New Roman"/>
          <w:sz w:val="18"/>
          <w:szCs w:val="18"/>
          <w:color w:val="auto"/>
        </w:rPr>
        <w:t xml:space="preserve"> share payable on March 15, 2023, to stockholders of record as of March 1,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anticipates that, largely due to the Thermal Disposition in 2022, it will be in a cumulative earnings and profits surplus position as of the end of 2022. As a result, all of the dividends that were paid to holders of the Company’s Class A and Class C Common stock in 2022 will be treated as taxable for U.S. federal income tax purposes. Additionally, the Company anticipates that a portion of the dividends expected to be paid in 2023 and beyond may be also treated as taxable for U.S. federal income tax purposes. The portion of dividends in future years that will be treated as taxable will depend upon a number of factors, including but not limited to, the Company’s overall performance and the gross amount of any dividends made to stockholders in 2023 and beyond.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conventional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 and Pro Forma CAFD Outlook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reaffirming its 2023 full year CAFD guidance of $410 million. The Company's 2023 financial guidance factors in the contribution of committed growth investments based on current expected closing timelines and estimates for merchant energy gross margin at the conventional fleet upon the expiry of their current toll contracts. 2023 CAFD guidance does not factor in the timing of when CAFD is realized from new growth investments pursuant to 5-year averages beyond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updating its pro forma CAFD outlook expectations from approximately $390 million to approximately $410 million due to the growth investment commitments for the Victory Pass and Arica solar plus energy storage projects.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guidance and the pro forma CAFD outlook continue to be based on median renewable energy production estimates for the full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23, 2023, Clearway Energy, Inc. will host a conference call at 8:00 a.m. Eastern to discuss these results. Investors, the news media and others may access the live webcast of the conference call and accompanying presentation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materials by logging on to Clearway Energy, Inc.’s website at http://www.clearwayenergy.com and clicking on “Presentations &amp; Webcasts” under “Investor Relations.”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over 5,500 net MW of installed wind and solar generation projects. The Company's over 8,000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impacts related to COVID-19 (including any variant of the virus) or any other pandemic, and cyber terrorism and inadequate cybersecurity. Furthermore, any dividends are subject to available capital, market conditions, and compliance with associated laws and regulations.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Cash Available for Distribution are estimates as of today’s date, February 23, 2023,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891" w:right="339" w:bottom="1440" w:gutter="0" w:footer="0" w:header="0"/>
        </w:sect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Akil Marsh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w:t>
      </w:r>
    </w:p>
    <w:p>
      <w:pPr>
        <w:spacing w:after="0" w:line="200" w:lineRule="exact"/>
        <w:rPr>
          <w:sz w:val="20"/>
          <w:szCs w:val="20"/>
          <w:color w:val="auto"/>
        </w:rPr>
      </w:pPr>
    </w:p>
    <w:p>
      <w:pPr>
        <w:sectPr>
          <w:pgSz w:w="11900" w:h="16838" w:orient="portrait"/>
          <w:cols w:equalWidth="0" w:num="2">
            <w:col w:w="1420" w:space="300"/>
            <w:col w:w="9520"/>
          </w:cols>
          <w:pgMar w:left="320" w:top="891" w:right="3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91" w:right="339" w:bottom="1440" w:gutter="0" w:footer="0" w:header="0"/>
          <w:type w:val="continuous"/>
        </w:sectPr>
      </w:pPr>
    </w:p>
    <w:bookmarkStart w:id="8" w:name="page9"/>
    <w:bookmarkEnd w:id="8"/>
    <w:p>
      <w:pPr>
        <w:spacing w:after="0"/>
        <w:tabs>
          <w:tab w:leader="none" w:pos="304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3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59"/>
          </w:cols>
          <w:pgMar w:left="500" w:top="89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0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investment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sale of unconsolidated affiliate</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and redeemable interests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60" w:type="dxa"/>
            <w:vAlign w:val="bottom"/>
            <w:tcBorders>
              <w:top w:val="single" w:sz="8" w:color="CCEEFF"/>
              <w:bottom w:val="single" w:sz="8" w:color="CCEEFF"/>
            </w:tcBorders>
            <w:gridSpan w:val="2"/>
            <w:vMerge w:val="restart"/>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Earnings Per Share Attributable to Clearway Energy, Inc. Class A and Class C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continue"/>
          </w:tcPr>
          <w:p>
            <w:pPr>
              <w:spacing w:after="0"/>
              <w:rPr>
                <w:sz w:val="11"/>
                <w:szCs w:val="11"/>
                <w:color w:val="auto"/>
              </w:rPr>
            </w:pPr>
          </w:p>
        </w:tc>
        <w:tc>
          <w:tcPr>
            <w:tcW w:w="7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diluted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Earnings per Weighted Average Class A and Class C Common Share - Basic and Diluted</w:t>
            </w: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
        </w:trPr>
        <w:tc>
          <w:tcPr>
            <w:tcW w:w="7880" w:type="dxa"/>
            <w:vAlign w:val="bottom"/>
            <w:gridSpan w:val="3"/>
            <w:vMerge w:val="restart"/>
          </w:tcPr>
          <w:p>
            <w:pPr>
              <w:jc w:val="right"/>
              <w:ind w:right="222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78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on derivatives and changes in accumulated OCI/OCL, net of income tax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$5, $(3) and $—</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 and redeemable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40" w:top="887"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6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3"/>
                <w:szCs w:val="13"/>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bottom w:val="single" w:sz="8" w:color="auto"/>
            </w:tcBorders>
            <w:vMerge w:val="restart"/>
          </w:tcPr>
          <w:p>
            <w:pPr>
              <w:spacing w:after="0"/>
              <w:rPr>
                <w:sz w:val="2"/>
                <w:szCs w:val="2"/>
                <w:color w:val="auto"/>
              </w:rPr>
            </w:pPr>
          </w:p>
        </w:tc>
        <w:tc>
          <w:tcPr>
            <w:tcW w:w="612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40" w:type="dxa"/>
            <w:vAlign w:val="bottom"/>
            <w:vMerge w:val="continue"/>
          </w:tcPr>
          <w:p>
            <w:pPr>
              <w:spacing w:after="0"/>
              <w:rPr>
                <w:sz w:val="18"/>
                <w:szCs w:val="18"/>
                <w:color w:val="auto"/>
              </w:rPr>
            </w:pPr>
          </w:p>
        </w:tc>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assets held-for-sale</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0" w:type="dxa"/>
            <w:vAlign w:val="bottom"/>
          </w:tcPr>
          <w:p>
            <w:pPr>
              <w:spacing w:after="0"/>
              <w:rPr>
                <w:sz w:val="1"/>
                <w:szCs w:val="1"/>
                <w:color w:val="auto"/>
              </w:rPr>
            </w:pPr>
          </w:p>
        </w:tc>
      </w:tr>
      <w:tr>
        <w:trPr>
          <w:trHeight w:val="194"/>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liabilities held-for-sale</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201,972,813 shares issued and</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82,283,460, Class D 42,336,750) at December 31, 2022</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and 201,856,166 shares issued and outstanding (Class A 34,599,645, Class B 42,738,750, Class C 81,779,021, Class D</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42,738,750) at December 31, 2021</w:t>
            </w:r>
          </w:p>
        </w:tc>
        <w:tc>
          <w:tcPr>
            <w:tcW w:w="1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12"/>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1"/>
        </w:trPr>
        <w:tc>
          <w:tcPr>
            <w:tcW w:w="77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29"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0"/>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Distributions from unconsolidated affiliates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428</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Amortization of financing costs and debt discounts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Amortization of intangibles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Reduction in carrying amount of right-of-use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Gain on sale of unconsolidated affiliate</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Gain on sale of business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Impairment losses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Change in deferred income taxes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Changes in derivative instruments and amortization of accumulated OCI/OCL</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Loss on disposal of asset components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r>
      <w:tr>
        <w:trPr>
          <w:trHeight w:val="200"/>
        </w:trPr>
        <w:tc>
          <w:tcPr>
            <w:tcW w:w="7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provided (used) in changes in other working capital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Changes in prepaid and accrued liabilities for tolling agreements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Changes in other working capital</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545</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Acquisition of Drop Down Assets, net of cash acquired</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 of Capistrano Wind Portfolio, net of cash acquired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Capital expenditures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Asset purchase from affiliate</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Return of investment from unconsolidated affiliates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79</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Investments in unconsolidated affiliates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3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r>
      <w:tr>
        <w:trPr>
          <w:trHeight w:val="203"/>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sale of business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Consolidation of DGPV Holdco 3 LLC</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8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Contributions from noncontrolling interests, net of distributions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Buyout of Repowering Partnership II LLC noncontrolling interest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the issuance of common stock</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of dividends and distributions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Distributions to CEG of escrowed amounts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Tax-related distributions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the revolving credit facility</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265</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for the revolving credit facility</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Payments for long-term debt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(1,527)</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Reclassification of Cash to Assets Held-for-Sale</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in Cash, Cash Equivalents and Restricted Cash</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w:t>
            </w:r>
          </w:p>
        </w:tc>
      </w:tr>
      <w:tr>
        <w:trPr>
          <w:trHeight w:val="20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417</w:t>
            </w:r>
          </w:p>
        </w:tc>
      </w:tr>
      <w:tr>
        <w:trPr>
          <w:trHeight w:val="196"/>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0"/>
        </w:trPr>
        <w:tc>
          <w:tcPr>
            <w:tcW w:w="7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paid, net of amount capitalized</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r>
      <w:tr>
        <w:trPr>
          <w:trHeight w:val="200"/>
        </w:trPr>
        <w:tc>
          <w:tcPr>
            <w:tcW w:w="7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taxes paid</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0"/>
        </w:trPr>
        <w:tc>
          <w:tcPr>
            <w:tcW w:w="7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adjustment for change in tax basis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(distributions to), contributions from CEG</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w:t>
            </w:r>
          </w:p>
        </w:tc>
      </w:tr>
    </w:tbl>
    <w:p>
      <w:pPr>
        <w:spacing w:after="0" w:line="200" w:lineRule="exact"/>
        <w:rPr>
          <w:sz w:val="20"/>
          <w:szCs w:val="20"/>
          <w:color w:val="auto"/>
        </w:rPr>
      </w:pPr>
    </w:p>
    <w:p>
      <w:pPr>
        <w:sectPr>
          <w:pgSz w:w="11900" w:h="16838" w:orient="portrait"/>
          <w:cols w:equalWidth="0" w:num="1">
            <w:col w:w="10660"/>
          </w:cols>
          <w:pgMar w:left="620" w:top="765" w:right="619" w:bottom="1440"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660"/>
          </w:cols>
          <w:pgMar w:left="620" w:top="765" w:right="619" w:bottom="1440" w:gutter="0" w:footer="0" w:header="0"/>
          <w:type w:val="continuous"/>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2019</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39"/>
        </w:trPr>
        <w:tc>
          <w:tcPr>
            <w:tcW w:w="3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gain on derivatives and changes in accumulated</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OCL, net of tax</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from CEG, non-cash</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Contributions from CEG, cash</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3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 net of</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cash</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DGPV Drop Down and Consolidation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Mesquite Star Drop Down and Consolidation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Langford Drop Down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Rosamond Central Drop Down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Lighthouse Partnership Yield Protection Agreement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3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Buyout of Repowering Partnership II LLC non-controlling</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proceeds from the issuance of common stock under the</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ATM Program</w:t>
            </w: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 and distributions to CEG</w:t>
            </w:r>
          </w:p>
        </w:tc>
        <w:tc>
          <w:tcPr>
            <w:tcW w:w="8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0" w:type="dxa"/>
            <w:vAlign w:val="bottom"/>
          </w:tcPr>
          <w:p>
            <w:pPr>
              <w:spacing w:after="0"/>
              <w:rPr>
                <w:sz w:val="1"/>
                <w:szCs w:val="1"/>
                <w:color w:val="auto"/>
              </w:rPr>
            </w:pPr>
          </w:p>
        </w:tc>
      </w:tr>
      <w:tr>
        <w:trPr>
          <w:trHeight w:val="139"/>
        </w:trPr>
        <w:tc>
          <w:tcPr>
            <w:tcW w:w="3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gain on derivatives and changes in accumulated</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OCL, net of tax</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39"/>
        </w:trPr>
        <w:tc>
          <w:tcPr>
            <w:tcW w:w="3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 net of</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cash</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Lighthouse Partnership Yield Protection Agreement</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Amendment</w:t>
            </w: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 Acquisition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Rattlesnake Drop Down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Mesquite Sky Drop Down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Black Rock Drop Down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5"/>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 and distributions to CEG</w:t>
            </w:r>
          </w:p>
        </w:tc>
        <w:tc>
          <w:tcPr>
            <w:tcW w:w="8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Unrealized gain on derivatives and changes in accumulated</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OCL, net of tax</w:t>
            </w: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CEG, net of contributions, non-cash</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37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 net of</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cash</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Mesquite Sky Drop Down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Black Rock Drop Down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Mililani I Drop Down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Waiawa Drop Down</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Capistrano Wind Portfolio Acquisition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Kawailoa Sale to Clearway Renew LLC</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Tax-related distributions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7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Common stock dividends and distributions to CEG unit</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3"/>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holders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180"/>
          </w:cols>
          <w:pgMar w:left="360" w:top="76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December 31, 2022,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4"/>
        </w:trPr>
        <w:tc>
          <w:tcPr>
            <w:tcW w:w="420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December 31, 2021,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75"/>
        </w:trPr>
        <w:tc>
          <w:tcPr>
            <w:tcW w:w="420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 Losses and Impairment on Equity</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960"/>
          </w:cols>
          <w:pgMar w:left="320" w:top="761"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Appendix Table A-3: Twelve Months Ended December 31, 2022,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2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Non-recurring</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184"/>
        </w:trPr>
        <w:tc>
          <w:tcPr>
            <w:tcW w:w="420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A-4: Twelve Months Ended December 31, 2021,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 Losses and Impairment on Equity</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 to Market (MtM) Losses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on economic hedges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20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Primarily one-time gain due to the sale of the Thermal Business on May 1, 2022</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960"/>
          </w:cols>
          <w:pgMar w:left="320" w:top="1247" w:right="6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Appendix Table A-5: Cash Available for Distribution Reconciliation</w:t>
      </w:r>
    </w:p>
    <w:p>
      <w:pPr>
        <w:spacing w:after="0" w:line="32"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1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12/31/21</w:t>
            </w: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5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r>
      <w:tr>
        <w:trPr>
          <w:trHeight w:val="22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49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Development Expenses</w:t>
            </w:r>
            <w:r>
              <w:rPr>
                <w:rFonts w:ascii="Times New Roman" w:cs="Times New Roman" w:eastAsia="Times New Roman" w:hAnsi="Times New Roman"/>
                <w:sz w:val="23"/>
                <w:szCs w:val="23"/>
                <w:color w:val="auto"/>
                <w:vertAlign w:val="superscript"/>
              </w:rPr>
              <w:t>4</w:t>
            </w:r>
          </w:p>
        </w:tc>
        <w:tc>
          <w:tcPr>
            <w:tcW w:w="8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49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contributions (to)/from non-controlling interest</w:t>
            </w:r>
            <w:r>
              <w:rPr>
                <w:rFonts w:ascii="Times New Roman" w:cs="Times New Roman" w:eastAsia="Times New Roman" w:hAnsi="Times New Roman"/>
                <w:sz w:val="23"/>
                <w:szCs w:val="23"/>
                <w:color w:val="auto"/>
                <w:vertAlign w:val="superscript"/>
              </w:rPr>
              <w:t>5</w:t>
            </w:r>
          </w:p>
        </w:tc>
        <w:tc>
          <w:tcPr>
            <w:tcW w:w="8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6"/>
        </w:trPr>
        <w:tc>
          <w:tcPr>
            <w:tcW w:w="4940" w:type="dxa"/>
            <w:vAlign w:val="bottom"/>
            <w:tcBorders>
              <w:bottom w:val="single" w:sz="8" w:color="auto"/>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6</w:t>
            </w: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r>
      <w:tr>
        <w:trPr>
          <w:trHeight w:val="223"/>
        </w:trPr>
        <w:tc>
          <w:tcPr>
            <w:tcW w:w="4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Impact of Capistrano given timing of project debt service</w:t>
            </w: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4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Cash Available for Distribution</w:t>
            </w:r>
            <w:r>
              <w:rPr>
                <w:rFonts w:ascii="Times New Roman" w:cs="Times New Roman" w:eastAsia="Times New Roman" w:hAnsi="Times New Roman"/>
                <w:sz w:val="23"/>
                <w:szCs w:val="23"/>
                <w:b w:val="1"/>
                <w:bCs w:val="1"/>
                <w:color w:val="auto"/>
                <w:vertAlign w:val="superscript"/>
              </w:rPr>
              <w:t>7</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Primarily relates to Thermal Development Expenses</w:t>
      </w:r>
    </w:p>
    <w:p>
      <w:pPr>
        <w:spacing w:after="0" w:line="28" w:lineRule="exact"/>
        <w:rPr>
          <w:sz w:val="20"/>
          <w:szCs w:val="20"/>
          <w:color w:val="auto"/>
        </w:rPr>
      </w:pPr>
    </w:p>
    <w:p>
      <w:pPr>
        <w:ind w:right="80" w:firstLine="8"/>
        <w:spacing w:after="0" w:line="228"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2022 excludes $118 million of contributions related to the funding of Mesquite Sky, Black Rock, Mililani, and Waiawa, and $2 million of distributions related to release of inverter reserves at Agua Caliente; 2021 excludes $672 million of contributions related to funding of Mesquite Sky, Black Rock, Rattlesnake, and Pinnacle $49 million of Hawaii refundable state tax credits</w:t>
      </w:r>
    </w:p>
    <w:p>
      <w:pPr>
        <w:spacing w:after="0" w:line="28" w:lineRule="exact"/>
        <w:rPr>
          <w:sz w:val="20"/>
          <w:szCs w:val="20"/>
          <w:color w:val="auto"/>
        </w:rPr>
      </w:pPr>
    </w:p>
    <w:p>
      <w:pPr>
        <w:ind w:firstLine="8"/>
        <w:spacing w:after="0" w:line="225"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2022 excludes $660 million for the repayment of the Bridge Loan Facility and revolver payments, $186 million for the refinancing of Tapestry Wind, Laredo Ridge, and Viento, $130 million for the repayment of El Segundo project level debt, and $113 million for the repayment of bridge loans in connection with Mililani and Waiawa; 2021 excludes $1,372 million total consideration for the redemption of Corporate Notes and revolver payments, $717 million in connection with Mesquite Sky, Black Rock, and Rattlesnake debt repaid at acquisition, and $169 million in connection with Pinnacle repowering</w:t>
      </w:r>
    </w:p>
    <w:p>
      <w:pPr>
        <w:ind w:left="120" w:hanging="112"/>
        <w:spacing w:after="0" w:line="196" w:lineRule="auto"/>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income tax payments related to Thermal sale</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160"/>
          </w:cols>
          <w:pgMar w:left="320" w:top="1004" w:right="419" w:bottom="1440" w:gutter="0" w:footer="0" w:header="0"/>
        </w:sectPr>
      </w:pPr>
    </w:p>
    <w:bookmarkStart w:id="17" w:name="page18"/>
    <w:bookmarkEnd w:id="17"/>
    <w:p>
      <w:pPr>
        <w:ind w:right="217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Appendix Table A-6: Twelve Months Ended December 31, 2022, Sources and Uses of Liquidity </w:t>
      </w:r>
      <w:r>
        <w:rPr>
          <w:rFonts w:ascii="Times New Roman" w:cs="Times New Roman" w:eastAsia="Times New Roman" w:hAnsi="Times New Roman"/>
          <w:sz w:val="20"/>
          <w:szCs w:val="20"/>
          <w:color w:val="auto"/>
        </w:rPr>
        <w:t>The following table summarizes the sources and uses of liquidity in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r>
      <w:tr>
        <w:trPr>
          <w:trHeight w:val="229"/>
        </w:trPr>
        <w:tc>
          <w:tcPr>
            <w:tcW w:w="4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12/31/22</w:t>
            </w: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4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Capistrano Wind Portfolio, net of cash acquired</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CEG of escrowed amounts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 cash outflows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0"/>
        </w:trPr>
        <w:tc>
          <w:tcPr>
            <w:tcW w:w="49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w:t>
            </w:r>
          </w:p>
        </w:tc>
      </w:tr>
      <w:tr>
        <w:trPr>
          <w:trHeight w:val="480"/>
        </w:trPr>
        <w:tc>
          <w:tcPr>
            <w:tcW w:w="4920" w:type="dxa"/>
            <w:vAlign w:val="bottom"/>
          </w:tcPr>
          <w:p>
            <w:pPr>
              <w:spacing w:after="0"/>
              <w:rPr>
                <w:sz w:val="24"/>
                <w:szCs w:val="24"/>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139"/>
          </w:cols>
          <w:pgMar w:left="320" w:top="76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Appendix Table A-7: Adjusted EBITDA and Cash Available for Distribution Guidance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 Full Year</w:t>
            </w:r>
          </w:p>
        </w:tc>
        <w:tc>
          <w:tcPr>
            <w:tcW w:w="0" w:type="dxa"/>
            <w:vAlign w:val="bottom"/>
          </w:tcPr>
          <w:p>
            <w:pPr>
              <w:spacing w:after="0"/>
              <w:rPr>
                <w:sz w:val="1"/>
                <w:szCs w:val="1"/>
                <w:color w:val="auto"/>
              </w:rPr>
            </w:pPr>
          </w:p>
        </w:tc>
      </w:tr>
      <w:tr>
        <w:trPr>
          <w:trHeight w:val="243"/>
        </w:trPr>
        <w:tc>
          <w:tcPr>
            <w:tcW w:w="52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Guidance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9"/>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76"/>
        </w:trPr>
        <w:tc>
          <w:tcPr>
            <w:tcW w:w="526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76"/>
        </w:trPr>
        <w:tc>
          <w:tcPr>
            <w:tcW w:w="526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57"/>
        </w:trPr>
        <w:tc>
          <w:tcPr>
            <w:tcW w:w="526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3"/>
                <w:szCs w:val="23"/>
                <w:color w:val="auto"/>
                <w:vertAlign w:val="superscript"/>
              </w:rPr>
              <w:t>8</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w:t>
            </w:r>
          </w:p>
        </w:tc>
        <w:tc>
          <w:tcPr>
            <w:tcW w:w="0" w:type="dxa"/>
            <w:vAlign w:val="bottom"/>
          </w:tcPr>
          <w:p>
            <w:pPr>
              <w:spacing w:after="0"/>
              <w:rPr>
                <w:sz w:val="1"/>
                <w:szCs w:val="1"/>
                <w:color w:val="auto"/>
              </w:rPr>
            </w:pPr>
          </w:p>
        </w:tc>
      </w:tr>
      <w:tr>
        <w:trPr>
          <w:trHeight w:val="250"/>
        </w:trPr>
        <w:tc>
          <w:tcPr>
            <w:tcW w:w="5120" w:type="dxa"/>
            <w:vAlign w:val="bottom"/>
          </w:tcPr>
          <w:p>
            <w:pPr>
              <w:ind w:left="180"/>
              <w:spacing w:after="0" w:line="250"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3"/>
                <w:szCs w:val="23"/>
                <w:color w:val="auto"/>
                <w:vertAlign w:val="superscript"/>
              </w:rPr>
              <w:t>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9"/>
        </w:trPr>
        <w:tc>
          <w:tcPr>
            <w:tcW w:w="5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10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50"/>
        </w:trPr>
        <w:tc>
          <w:tcPr>
            <w:tcW w:w="5120" w:type="dxa"/>
            <w:vAlign w:val="bottom"/>
            <w:tcBorders>
              <w:top w:val="single" w:sz="8" w:color="auto"/>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Cash Available for Distribution</w:t>
            </w:r>
            <w:r>
              <w:rPr>
                <w:rFonts w:ascii="Times New Roman" w:cs="Times New Roman" w:eastAsia="Times New Roman" w:hAnsi="Times New Roman"/>
                <w:sz w:val="23"/>
                <w:szCs w:val="23"/>
                <w:b w:val="1"/>
                <w:bCs w:val="1"/>
                <w:color w:val="auto"/>
                <w:vertAlign w:val="superscript"/>
              </w:rPr>
              <w:t>11</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spacing w:after="0" w:line="28" w:lineRule="exact"/>
        <w:rPr>
          <w:sz w:val="20"/>
          <w:szCs w:val="20"/>
          <w:color w:val="auto"/>
        </w:rPr>
      </w:pPr>
    </w:p>
    <w:p>
      <w:pPr>
        <w:ind w:right="6760" w:firstLine="8"/>
        <w:spacing w:after="0" w:line="186" w:lineRule="auto"/>
        <w:tabs>
          <w:tab w:leader="none" w:pos="103"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Includes tax equity proceeds and distributions to tax equity partners </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4"/>
          <w:szCs w:val="14"/>
          <w:color w:val="auto"/>
        </w:rPr>
        <w:t xml:space="preserve"> Excludes balloon maturity payments in 2023</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Excludes income tax payments related to Thermal sale</w:t>
      </w:r>
    </w:p>
    <w:p>
      <w:pPr>
        <w:spacing w:after="0" w:line="1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760"/>
          </w:cols>
          <w:pgMar w:left="320" w:top="761" w:right="8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Appendix Table A-8: Adjusted EBITDA and Cash Available for Distribution Pro Forma Outlook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60" w:type="dxa"/>
            <w:vAlign w:val="bottom"/>
          </w:tcPr>
          <w:p>
            <w:pPr>
              <w:spacing w:after="0"/>
              <w:rPr>
                <w:sz w:val="17"/>
                <w:szCs w:val="17"/>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vMerge w:val="continue"/>
          </w:tcPr>
          <w:p>
            <w:pPr>
              <w:spacing w:after="0"/>
              <w:rPr>
                <w:sz w:val="21"/>
                <w:szCs w:val="21"/>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CAFD Outlook</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CAFD Outlook</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75"/>
        </w:trPr>
        <w:tc>
          <w:tcPr>
            <w:tcW w:w="52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distributions from unconsolidated affiliates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distributions to non-controlling 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A-9: Growth Investments 5 Year Average CAFD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Pr>
          <w:p>
            <w:pPr>
              <w:spacing w:after="0"/>
              <w:rPr>
                <w:sz w:val="18"/>
                <w:szCs w:val="18"/>
                <w:color w:val="auto"/>
              </w:rPr>
            </w:pPr>
          </w:p>
        </w:tc>
        <w:tc>
          <w:tcPr>
            <w:tcW w:w="204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8"/>
              </w:rPr>
              <w:t>Victory Pass/Arica</w:t>
            </w:r>
          </w:p>
        </w:tc>
        <w:tc>
          <w:tcPr>
            <w:tcW w:w="0" w:type="dxa"/>
            <w:vAlign w:val="bottom"/>
          </w:tcPr>
          <w:p>
            <w:pPr>
              <w:spacing w:after="0"/>
              <w:rPr>
                <w:sz w:val="1"/>
                <w:szCs w:val="1"/>
                <w:color w:val="auto"/>
              </w:rPr>
            </w:pPr>
          </w:p>
        </w:tc>
      </w:tr>
      <w:tr>
        <w:trPr>
          <w:trHeight w:val="243"/>
        </w:trPr>
        <w:tc>
          <w:tcPr>
            <w:tcW w:w="46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8"/>
              </w:rPr>
              <w:t>5 Year Ave. 2024-2028</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40" w:type="dxa"/>
            <w:vAlign w:val="bottom"/>
            <w:tcBorders>
              <w:top w:val="single" w:sz="8" w:color="auto"/>
              <w:bottom w:val="single" w:sz="8" w:color="auto"/>
            </w:tcBorders>
            <w:shd w:val="clear" w:color="auto" w:fill="CCEEFF"/>
          </w:tcPr>
          <w:p>
            <w:pPr>
              <w:jc w:val="center"/>
              <w:ind w:left="1677"/>
              <w:spacing w:after="0"/>
              <w:rPr>
                <w:sz w:val="20"/>
                <w:szCs w:val="20"/>
                <w:color w:val="auto"/>
              </w:rPr>
            </w:pPr>
            <w:r>
              <w:rPr>
                <w:rFonts w:ascii="Times New Roman" w:cs="Times New Roman" w:eastAsia="Times New Roman" w:hAnsi="Times New Roman"/>
                <w:sz w:val="16"/>
                <w:szCs w:val="16"/>
                <w:b w:val="1"/>
                <w:bCs w:val="1"/>
                <w:color w:val="auto"/>
                <w:w w:val="99"/>
              </w:rPr>
              <w:t>40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1677"/>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center"/>
              <w:ind w:left="1677"/>
              <w:spacing w:after="0"/>
              <w:rPr>
                <w:sz w:val="20"/>
                <w:szCs w:val="20"/>
                <w:color w:val="auto"/>
              </w:rPr>
            </w:pPr>
            <w:r>
              <w:rPr>
                <w:rFonts w:ascii="Times New Roman" w:cs="Times New Roman" w:eastAsia="Times New Roman" w:hAnsi="Times New Roman"/>
                <w:sz w:val="16"/>
                <w:szCs w:val="16"/>
                <w:b w:val="1"/>
                <w:bCs w:val="1"/>
                <w:color w:val="auto"/>
                <w:w w:val="99"/>
              </w:rPr>
              <w:t>50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1677"/>
              <w:spacing w:after="0"/>
              <w:rPr>
                <w:sz w:val="20"/>
                <w:szCs w:val="20"/>
                <w:color w:val="auto"/>
              </w:rPr>
            </w:pPr>
            <w:r>
              <w:rPr>
                <w:rFonts w:ascii="Times New Roman" w:cs="Times New Roman" w:eastAsia="Times New Roman" w:hAnsi="Times New Roman"/>
                <w:sz w:val="16"/>
                <w:szCs w:val="16"/>
                <w:b w:val="1"/>
                <w:bCs w:val="1"/>
                <w:color w:val="auto"/>
                <w:w w:val="99"/>
              </w:rPr>
              <w:t>50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distributions from non-controlling interest</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center"/>
              <w:ind w:left="1637"/>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40" w:type="dxa"/>
            <w:vAlign w:val="bottom"/>
            <w:tcBorders>
              <w:bottom w:val="single" w:sz="8" w:color="auto"/>
            </w:tcBorders>
          </w:tcPr>
          <w:p>
            <w:pPr>
              <w:jc w:val="center"/>
              <w:ind w:left="1677"/>
              <w:spacing w:after="0"/>
              <w:rPr>
                <w:sz w:val="20"/>
                <w:szCs w:val="20"/>
                <w:color w:val="auto"/>
              </w:rPr>
            </w:pPr>
            <w:r>
              <w:rPr>
                <w:rFonts w:ascii="Times New Roman" w:cs="Times New Roman" w:eastAsia="Times New Roman" w:hAnsi="Times New Roman"/>
                <w:sz w:val="16"/>
                <w:szCs w:val="16"/>
                <w:b w:val="1"/>
                <w:bCs w:val="1"/>
                <w:color w:val="auto"/>
                <w:w w:val="99"/>
              </w:rPr>
              <w:t>20</w:t>
            </w:r>
          </w:p>
        </w:tc>
        <w:tc>
          <w:tcPr>
            <w:tcW w:w="0" w:type="dxa"/>
            <w:vAlign w:val="bottom"/>
          </w:tcPr>
          <w:p>
            <w:pPr>
              <w:spacing w:after="0"/>
              <w:rPr>
                <w:sz w:val="1"/>
                <w:szCs w:val="1"/>
                <w:color w:val="auto"/>
              </w:rPr>
            </w:pPr>
          </w:p>
        </w:tc>
      </w:tr>
      <w:tr>
        <w:trPr>
          <w:trHeight w:val="716"/>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jc w:val="right"/>
              <w:ind w:right="1117"/>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bl>
    <w:p>
      <w:pPr>
        <w:sectPr>
          <w:pgSz w:w="11900" w:h="16838" w:orient="portrait"/>
          <w:cols w:equalWidth="0" w:num="1">
            <w:col w:w="10139"/>
          </w:cols>
          <w:pgMar w:left="320" w:top="76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13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December 31, 2022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5"/>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7"/>
      <w:numFmt w:val="bullet"/>
      <w:start w:val="1"/>
    </w:lvl>
  </w:abstractNum>
  <w:abstractNum w:abstractNumId="10">
    <w:nsid w:val="66EF438D"/>
    <w:multiLevelType w:val="hybridMultilevel"/>
    <w:lvl w:ilvl="0">
      <w:lvlJc w:val="left"/>
      <w:lvlText w:val="8"/>
      <w:numFmt w:val="bullet"/>
      <w:start w:val="1"/>
    </w:lvl>
  </w:abstractNum>
  <w:abstractNum w:abstractNumId="11">
    <w:nsid w:val="140E0F76"/>
    <w:multiLevelType w:val="hybridMultilevel"/>
    <w:lvl w:ilvl="0">
      <w:lvlJc w:val="left"/>
      <w:lvlText w:val="9"/>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2023-02-23T05:28:46Z</dcterms:created>
  <dcterms:modified xsi:type="dcterms:W3CDTF">2023-02-23T05:28:46Z</dcterms:modified>
</cp:coreProperties>
</file>