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6580" w:type="dxa"/>
            <w:vAlign w:val="bottom"/>
          </w:tcPr>
          <w:p>
            <w:pPr>
              <w:jc w:val="center"/>
              <w:ind w:right="309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6580" w:type="dxa"/>
            <w:vAlign w:val="bottom"/>
          </w:tcPr>
          <w:p>
            <w:pPr>
              <w:jc w:val="center"/>
              <w:ind w:right="3090"/>
              <w:spacing w:after="0"/>
              <w:rPr>
                <w:sz w:val="20"/>
                <w:szCs w:val="20"/>
                <w:color w:val="auto"/>
              </w:rPr>
            </w:pPr>
            <w:r>
              <w:rPr>
                <w:rFonts w:ascii="Arial" w:cs="Arial" w:eastAsia="Arial" w:hAnsi="Arial"/>
                <w:sz w:val="18"/>
                <w:szCs w:val="18"/>
                <w:color w:val="auto"/>
                <w:w w:val="91"/>
              </w:rPr>
              <w:t>(State or other jurisdiction</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580" w:type="dxa"/>
            <w:vAlign w:val="bottom"/>
          </w:tcPr>
          <w:p>
            <w:pPr>
              <w:jc w:val="center"/>
              <w:ind w:right="3090"/>
              <w:spacing w:after="0"/>
              <w:rPr>
                <w:sz w:val="20"/>
                <w:szCs w:val="20"/>
                <w:color w:val="auto"/>
              </w:rPr>
            </w:pPr>
            <w:r>
              <w:rPr>
                <w:rFonts w:ascii="Arial" w:cs="Arial" w:eastAsia="Arial" w:hAnsi="Arial"/>
                <w:sz w:val="18"/>
                <w:szCs w:val="18"/>
                <w:color w:val="auto"/>
                <w:w w:val="92"/>
              </w:rPr>
              <w:t>of 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6580" w:type="dxa"/>
            <w:vAlign w:val="bottom"/>
          </w:tcPr>
          <w:p>
            <w:pPr>
              <w:jc w:val="center"/>
              <w:ind w:right="311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6580" w:type="dxa"/>
            <w:vAlign w:val="bottom"/>
          </w:tcPr>
          <w:p>
            <w:pPr>
              <w:jc w:val="center"/>
              <w:ind w:right="311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45"/>
        </w:trPr>
        <w:tc>
          <w:tcPr>
            <w:tcW w:w="6580" w:type="dxa"/>
            <w:vAlign w:val="bottom"/>
          </w:tcPr>
          <w:p>
            <w:pPr>
              <w:jc w:val="right"/>
              <w:ind w:right="1370"/>
              <w:spacing w:after="0"/>
              <w:rPr>
                <w:sz w:val="20"/>
                <w:szCs w:val="20"/>
                <w:color w:val="auto"/>
              </w:rPr>
            </w:pPr>
            <w:r>
              <w:rPr>
                <w:rFonts w:ascii="Arial" w:cs="Arial" w:eastAsia="Arial" w:hAnsi="Arial"/>
                <w:sz w:val="18"/>
                <w:szCs w:val="18"/>
                <w:b w:val="1"/>
                <w:bCs w:val="1"/>
                <w:color w:val="auto"/>
              </w:rPr>
              <w:t>(609) 524-4500</w:t>
            </w:r>
          </w:p>
        </w:tc>
        <w:tc>
          <w:tcPr>
            <w:tcW w:w="1460" w:type="dxa"/>
            <w:vAlign w:val="bottom"/>
          </w:tcPr>
          <w:p>
            <w:pPr>
              <w:spacing w:after="0"/>
              <w:rPr>
                <w:sz w:val="24"/>
                <w:szCs w:val="24"/>
                <w:color w:val="auto"/>
              </w:rPr>
            </w:pPr>
          </w:p>
        </w:tc>
      </w:tr>
      <w:tr>
        <w:trPr>
          <w:trHeight w:val="230"/>
        </w:trPr>
        <w:tc>
          <w:tcPr>
            <w:tcW w:w="6580" w:type="dxa"/>
            <w:vAlign w:val="bottom"/>
          </w:tcPr>
          <w:p>
            <w:pPr>
              <w:jc w:val="center"/>
              <w:ind w:left="2430"/>
              <w:spacing w:after="0"/>
              <w:rPr>
                <w:sz w:val="20"/>
                <w:szCs w:val="20"/>
                <w:color w:val="auto"/>
              </w:rPr>
            </w:pPr>
            <w:r>
              <w:rPr>
                <w:rFonts w:ascii="Arial" w:cs="Arial" w:eastAsia="Arial" w:hAnsi="Arial"/>
                <w:sz w:val="18"/>
                <w:szCs w:val="18"/>
                <w:color w:val="auto"/>
                <w:w w:val="90"/>
              </w:rPr>
              <w:t>(Registrant’s telephone number, including area code)</w:t>
            </w:r>
          </w:p>
        </w:tc>
        <w:tc>
          <w:tcPr>
            <w:tcW w:w="1460" w:type="dxa"/>
            <w:vAlign w:val="bottom"/>
          </w:tcPr>
          <w:p>
            <w:pPr>
              <w:spacing w:after="0"/>
              <w:rPr>
                <w:sz w:val="20"/>
                <w:szCs w:val="20"/>
                <w:color w:val="auto"/>
              </w:rPr>
            </w:pPr>
          </w:p>
        </w:tc>
      </w:tr>
    </w:tbl>
    <w:p>
      <w:pPr>
        <w:spacing w:after="0" w:line="98"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Arial" w:cs="Arial" w:eastAsia="Arial" w:hAnsi="Arial"/>
          <w:sz w:val="16"/>
          <w:szCs w:val="16"/>
          <w:b w:val="1"/>
          <w:bCs w:val="1"/>
          <w:color w:val="auto"/>
        </w:rPr>
        <w:t>Yes</w:t>
      </w:r>
      <w:r>
        <w:rPr>
          <w:rFonts w:ascii="Arial" w:cs="Arial" w:eastAsia="Arial" w:hAnsi="Arial"/>
          <w:sz w:val="16"/>
          <w:szCs w:val="16"/>
          <w:color w:val="auto"/>
        </w:rPr>
        <w:t xml:space="preserve"> o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84"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75"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 xml:space="preserve">Large 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9"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ind w:left="5240"/>
        <w:spacing w:after="0"/>
        <w:tabs>
          <w:tab w:leader="none" w:pos="58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July 31, 2017, there were 34,586,250 Class A units outstanding, 42,738,750 Class B units outstanding, 63,729,360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NRG YIELD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35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Item 1A of the Company's Annual Report on Form 10-K for the year ended December 31, 2016, and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NRG's Transformation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8680" w:type="dxa"/>
            <w:vAlign w:val="bottom"/>
          </w:tcPr>
          <w:p>
            <w:pPr>
              <w:ind w:left="202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680" w:type="dxa"/>
            <w:vAlign w:val="bottom"/>
          </w:tcPr>
          <w:p>
            <w:pPr>
              <w:spacing w:after="0"/>
              <w:rPr>
                <w:sz w:val="20"/>
                <w:szCs w:val="20"/>
                <w:color w:val="auto"/>
              </w:rPr>
            </w:pPr>
            <w:r>
              <w:rPr>
                <w:rFonts w:ascii="Arial" w:cs="Arial" w:eastAsia="Arial" w:hAnsi="Arial"/>
                <w:sz w:val="18"/>
                <w:szCs w:val="18"/>
                <w:color w:val="auto"/>
              </w:rPr>
              <w:t>2016 Form 10-K</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rPr>
              <w:t>NRG Yield LLC's Annual Report on Form 10-K for the year ended December 31, 2016</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2024 Senior Notes</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$500 million aggregate principal amount of 5.375% unsecured senior notes due 2024, issued by NRG Yield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2026 Senior Notes</w:t>
            </w:r>
          </w:p>
        </w:tc>
        <w:tc>
          <w:tcPr>
            <w:tcW w:w="8680" w:type="dxa"/>
            <w:vAlign w:val="bottom"/>
          </w:tcPr>
          <w:p>
            <w:pPr>
              <w:ind w:left="280"/>
              <w:spacing w:after="0"/>
              <w:rPr>
                <w:sz w:val="20"/>
                <w:szCs w:val="20"/>
                <w:color w:val="auto"/>
              </w:rPr>
            </w:pPr>
            <w:r>
              <w:rPr>
                <w:rFonts w:ascii="Arial" w:cs="Arial" w:eastAsia="Arial" w:hAnsi="Arial"/>
                <w:sz w:val="18"/>
                <w:szCs w:val="18"/>
                <w:color w:val="auto"/>
                <w:w w:val="99"/>
              </w:rPr>
              <w:t>$350 million aggregate principal amount of 5.00% unsecured senior notes due 2026, issued by NRG Yield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ASC</w:t>
            </w:r>
          </w:p>
        </w:tc>
        <w:tc>
          <w:tcPr>
            <w:tcW w:w="8680" w:type="dxa"/>
            <w:vAlign w:val="bottom"/>
          </w:tcPr>
          <w:p>
            <w:pPr>
              <w:ind w:left="28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ASU</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ATM Program</w:t>
            </w:r>
          </w:p>
        </w:tc>
        <w:tc>
          <w:tcPr>
            <w:tcW w:w="8680" w:type="dxa"/>
            <w:vAlign w:val="bottom"/>
          </w:tcPr>
          <w:p>
            <w:pPr>
              <w:ind w:left="28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The remaining 25% interest in NRG Wind TE Holdco, an 814 net MW portfolio of twelve wind projects, acquired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from NRG on August 1, 2017</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Buffalo Bear</w:t>
            </w:r>
          </w:p>
        </w:tc>
        <w:tc>
          <w:tcPr>
            <w:tcW w:w="8680" w:type="dxa"/>
            <w:vAlign w:val="bottom"/>
          </w:tcPr>
          <w:p>
            <w:pPr>
              <w:ind w:left="28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CAFD</w:t>
            </w:r>
          </w:p>
        </w:tc>
        <w:tc>
          <w:tcPr>
            <w:tcW w:w="8680" w:type="dxa"/>
            <w:vAlign w:val="bottom"/>
          </w:tcPr>
          <w:p>
            <w:pPr>
              <w:ind w:left="28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cash receipts from notes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3"/>
              </w:rPr>
              <w:t>receivable, less cash distributions to noncontrolling interests, maintenance capital expenditures, pro-rata EBITDA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4"/>
              </w:rPr>
              <w:t>from unconsolidated affiliates, cash interest paid, income taxes paid, principal amortization of indebtedness and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rPr>
              <w:t>changes in prepaid and accrued capacity payments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Company</w:t>
            </w:r>
          </w:p>
        </w:tc>
        <w:tc>
          <w:tcPr>
            <w:tcW w:w="8680" w:type="dxa"/>
            <w:vAlign w:val="bottom"/>
          </w:tcPr>
          <w:p>
            <w:pPr>
              <w:ind w:left="280"/>
              <w:spacing w:after="0"/>
              <w:rPr>
                <w:sz w:val="20"/>
                <w:szCs w:val="20"/>
                <w:color w:val="auto"/>
              </w:rPr>
            </w:pPr>
            <w:r>
              <w:rPr>
                <w:rFonts w:ascii="Arial" w:cs="Arial" w:eastAsia="Arial" w:hAnsi="Arial"/>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w:t>
            </w:r>
          </w:p>
        </w:tc>
        <w:tc>
          <w:tcPr>
            <w:tcW w:w="8680" w:type="dxa"/>
            <w:vAlign w:val="bottom"/>
          </w:tcPr>
          <w:p>
            <w:pPr>
              <w:ind w:left="2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Drop Down</w:t>
            </w:r>
          </w:p>
        </w:tc>
        <w:tc>
          <w:tcPr>
            <w:tcW w:w="8680" w:type="dxa"/>
            <w:vAlign w:val="bottom"/>
          </w:tcPr>
          <w:p>
            <w:pPr>
              <w:ind w:left="28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Holdco</w:t>
            </w:r>
          </w:p>
        </w:tc>
        <w:tc>
          <w:tcPr>
            <w:tcW w:w="8680" w:type="dxa"/>
            <w:vAlign w:val="bottom"/>
          </w:tcPr>
          <w:p>
            <w:pPr>
              <w:ind w:left="28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1</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2</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Distributed Solar</w:t>
            </w:r>
          </w:p>
        </w:tc>
        <w:tc>
          <w:tcPr>
            <w:tcW w:w="8680" w:type="dxa"/>
            <w:vAlign w:val="bottom"/>
          </w:tcPr>
          <w:p>
            <w:pPr>
              <w:ind w:left="2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Collectively, the June 2014 Drop Down Assets, January 2015 Drop Down Assets, November 2015 Drop Down</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Assets, CVSR Drop Down and March 2017 Drop Down Assets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80" w:type="dxa"/>
            <w:vAlign w:val="bottom"/>
          </w:tcPr>
          <w:p>
            <w:pPr>
              <w:ind w:left="28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El Segundo</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ERCOT</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EWG</w:t>
            </w:r>
          </w:p>
        </w:tc>
        <w:tc>
          <w:tcPr>
            <w:tcW w:w="8680" w:type="dxa"/>
            <w:vAlign w:val="bottom"/>
          </w:tcPr>
          <w:p>
            <w:pPr>
              <w:ind w:left="28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Exchange Act</w:t>
            </w:r>
          </w:p>
        </w:tc>
        <w:tc>
          <w:tcPr>
            <w:tcW w:w="868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FASB</w:t>
            </w:r>
          </w:p>
        </w:tc>
        <w:tc>
          <w:tcPr>
            <w:tcW w:w="868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FERC</w:t>
            </w:r>
          </w:p>
        </w:tc>
        <w:tc>
          <w:tcPr>
            <w:tcW w:w="8680" w:type="dxa"/>
            <w:vAlign w:val="bottom"/>
          </w:tcPr>
          <w:p>
            <w:pPr>
              <w:ind w:left="2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GAAP</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GenConn</w:t>
            </w:r>
          </w:p>
        </w:tc>
        <w:tc>
          <w:tcPr>
            <w:tcW w:w="8680" w:type="dxa"/>
            <w:vAlign w:val="bottom"/>
          </w:tcPr>
          <w:p>
            <w:pPr>
              <w:ind w:left="2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HLBV</w:t>
            </w:r>
          </w:p>
        </w:tc>
        <w:tc>
          <w:tcPr>
            <w:tcW w:w="8680" w:type="dxa"/>
            <w:vAlign w:val="bottom"/>
          </w:tcPr>
          <w:p>
            <w:pPr>
              <w:ind w:left="28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IASB</w:t>
            </w:r>
          </w:p>
        </w:tc>
        <w:tc>
          <w:tcPr>
            <w:tcW w:w="8680" w:type="dxa"/>
            <w:vAlign w:val="bottom"/>
          </w:tcPr>
          <w:p>
            <w:pPr>
              <w:ind w:left="2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ISO</w:t>
            </w:r>
          </w:p>
        </w:tc>
        <w:tc>
          <w:tcPr>
            <w:tcW w:w="8680" w:type="dxa"/>
            <w:vAlign w:val="bottom"/>
          </w:tcPr>
          <w:p>
            <w:pPr>
              <w:ind w:left="2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Kansas South</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Laredo Ridge</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LIBOR</w:t>
            </w:r>
          </w:p>
        </w:tc>
        <w:tc>
          <w:tcPr>
            <w:tcW w:w="8680" w:type="dxa"/>
            <w:vAlign w:val="bottom"/>
          </w:tcPr>
          <w:p>
            <w:pPr>
              <w:ind w:left="2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742"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742"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March 2017 Drop Down Assets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 Agua Caliente Borrower 2 LLC, which owns a 16% interest (approximately 31% of NRG's 51% interest) in the Agua Caliente solar farm and (ii) NRG's 100% ownership in the Class A equity interests in the Utah Solar Portfolio (defined below), both acquired by the Company on March 27, 2017</w:t>
      </w:r>
    </w:p>
    <w:p>
      <w:pPr>
        <w:spacing w:after="0" w:line="19" w:lineRule="exact"/>
        <w:rPr>
          <w:sz w:val="20"/>
          <w:szCs w:val="20"/>
          <w:color w:val="auto"/>
        </w:rPr>
      </w:pPr>
    </w:p>
    <w:p>
      <w:pPr>
        <w:sectPr>
          <w:pgSz w:w="11900" w:h="16838" w:orient="portrait"/>
          <w:cols w:equalWidth="0" w:num="2">
            <w:col w:w="2280" w:space="680"/>
            <w:col w:w="8400"/>
          </w:cols>
          <w:pgMar w:left="280" w:top="908" w:right="259" w:bottom="1440" w:gutter="0" w:footer="0" w:header="0"/>
        </w:sectPr>
      </w:pPr>
    </w:p>
    <w:p>
      <w:pPr>
        <w:spacing w:after="0"/>
        <w:rPr>
          <w:sz w:val="20"/>
          <w:szCs w:val="20"/>
          <w:color w:val="auto"/>
        </w:rPr>
      </w:pPr>
      <w:r>
        <w:rPr>
          <w:rFonts w:ascii="Arial" w:cs="Arial" w:eastAsia="Arial" w:hAnsi="Arial"/>
          <w:sz w:val="16"/>
          <w:szCs w:val="16"/>
          <w:color w:val="auto"/>
        </w:rPr>
        <w:t>Marsh Landing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Marsh Landing LLC, formerly GenOn Marsh Landing LLC</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May 9, 2017 Form 8-K</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NRG Yield LLC Current Report on Form 8-K filed with the SEC on May 9, 2017 in connection with Yield Operating LLC's acquisition of the March 2017 Drop Down Assets</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British Thermal Units</w:t>
      </w:r>
    </w:p>
    <w:p>
      <w:pPr>
        <w:spacing w:after="0" w:line="74"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Saleable megawatt hours, net of internal/parasitic load megawatt-hours</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 Thermal Equivalent</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North American Electric Reliability Corporation</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 credit exposure to NRG Yield, Inc. net of collateral</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November 2015 Drop Down Assets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75% of the Class B interests of NRG Wind TE Holdco, which owns a portfolio of 12 wind facilities totaling 814 net MW, which was acquired by Yield Operating LLC from NRG on November 3, 2015</w:t>
      </w:r>
    </w:p>
    <w:p>
      <w:pPr>
        <w:spacing w:after="0" w:line="8" w:lineRule="exact"/>
        <w:rPr>
          <w:sz w:val="20"/>
          <w:szCs w:val="20"/>
          <w:color w:val="auto"/>
        </w:rPr>
      </w:pPr>
    </w:p>
    <w:p>
      <w:pPr>
        <w:sectPr>
          <w:pgSz w:w="11900" w:h="16838" w:orient="portrait"/>
          <w:cols w:equalWidth="0" w:num="2">
            <w:col w:w="2580" w:space="38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Energy, Inc.</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NRG Power Marketing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Power Marketing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NRG Transformation Plan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A three-year, three part improvement plan announced by NRG on July 12, 2017, which includes exploring strategic alternatives for NRG's renewables platform and its interest in Yield, Inc.</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Wind TE Holdco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Operation and Maintenance</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Pinnacle Wind, LLC, the operating subsidiary of Tapestry Wind LLC, which owns the Pinnacle project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Public Utility Commission of Texas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QF</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6"/>
          <w:szCs w:val="16"/>
          <w:color w:val="auto"/>
        </w:rPr>
        <w:t>Qualifying Facility under the Public Utility Regulatory Policies Act of 1978</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ROFO Agreement</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6"/>
          <w:szCs w:val="16"/>
          <w:color w:val="auto"/>
        </w:rPr>
        <w:t>Second Amended and Restated Right of First Offer Agreement between Yield, Inc. and NRG</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ROFO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Specified assets subject to sale, as described in the ROFO Agreement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RPV Holdco 1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Originator</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and the 2026 Senior Notes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Taloga Wind, LLC, the operating subsidiary of Tapestry Wind LLC, which owns the Taloga project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Collection of the Pinnacle, Buffalo Bear and Taloga projects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20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80" w:top="908"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Yield,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NRG Yield,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NRG Yield Operating LLC, the holder of the project assets that belong to NRG Yield LLC</w:t>
      </w:r>
    </w:p>
    <w:p>
      <w:pPr>
        <w:spacing w:after="0" w:line="211" w:lineRule="exact"/>
        <w:rPr>
          <w:sz w:val="20"/>
          <w:szCs w:val="20"/>
          <w:color w:val="auto"/>
        </w:rPr>
      </w:pPr>
    </w:p>
    <w:p>
      <w:pPr>
        <w:sectPr>
          <w:pgSz w:w="11900" w:h="16838" w:orient="portrait"/>
          <w:cols w:equalWidth="0" w:num="2">
            <w:col w:w="2240" w:space="720"/>
            <w:col w:w="7219"/>
          </w:cols>
          <w:pgMar w:left="280" w:top="908" w:right="1440" w:bottom="1440" w:gutter="0" w:footer="0" w:header="0"/>
        </w:sectPr>
      </w:pPr>
    </w:p>
    <w:p>
      <w:pPr>
        <w:spacing w:after="0" w:line="9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179"/>
          </w:cols>
          <w:pgMar w:left="280" w:top="908"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33"/>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other expense, net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300" w:type="dxa"/>
            <w:vAlign w:val="bottom"/>
          </w:tcPr>
          <w:p>
            <w:pPr>
              <w:spacing w:after="0"/>
              <w:rPr>
                <w:sz w:val="19"/>
                <w:szCs w:val="19"/>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5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w:t>
            </w:r>
          </w:p>
        </w:tc>
      </w:tr>
      <w:tr>
        <w:trPr>
          <w:trHeight w:val="243"/>
        </w:trPr>
        <w:tc>
          <w:tcPr>
            <w:tcW w:w="594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on 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r>
      <w:tr>
        <w:trPr>
          <w:trHeight w:val="237"/>
        </w:trPr>
        <w:tc>
          <w:tcPr>
            <w:tcW w:w="40" w:type="dxa"/>
            <w:vAlign w:val="bottom"/>
          </w:tcPr>
          <w:p>
            <w:pPr>
              <w:spacing w:after="0"/>
              <w:rPr>
                <w:sz w:val="20"/>
                <w:szCs w:val="20"/>
                <w:color w:val="auto"/>
              </w:rPr>
            </w:pPr>
          </w:p>
        </w:tc>
        <w:tc>
          <w:tcPr>
            <w:tcW w:w="5900" w:type="dxa"/>
            <w:vAlign w:val="bottom"/>
            <w:gridSpan w:val="2"/>
          </w:tcPr>
          <w:p>
            <w:pPr>
              <w:ind w:left="56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r>
      <w:tr>
        <w:trPr>
          <w:trHeight w:val="237"/>
        </w:trPr>
        <w:tc>
          <w:tcPr>
            <w:tcW w:w="40" w:type="dxa"/>
            <w:vAlign w:val="bottom"/>
          </w:tcPr>
          <w:p>
            <w:pPr>
              <w:spacing w:after="0"/>
              <w:rPr>
                <w:sz w:val="20"/>
                <w:szCs w:val="20"/>
                <w:color w:val="auto"/>
              </w:rPr>
            </w:pPr>
          </w:p>
        </w:tc>
        <w:tc>
          <w:tcPr>
            <w:tcW w:w="590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2017</w:t>
            </w:r>
          </w:p>
        </w:tc>
        <w:tc>
          <w:tcPr>
            <w:tcW w:w="240" w:type="dxa"/>
            <w:vAlign w:val="bottom"/>
          </w:tcPr>
          <w:p>
            <w:pPr>
              <w:spacing w:after="0"/>
              <w:rPr>
                <w:sz w:val="14"/>
                <w:szCs w:val="14"/>
                <w:color w:val="auto"/>
              </w:rPr>
            </w:pPr>
          </w:p>
        </w:tc>
        <w:tc>
          <w:tcPr>
            <w:tcW w:w="1700" w:type="dxa"/>
            <w:vAlign w:val="bottom"/>
          </w:tcPr>
          <w:p>
            <w:pPr>
              <w:jc w:val="right"/>
              <w:ind w:right="31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6"/>
                <w:szCs w:val="16"/>
                <w:b w:val="1"/>
                <w:bCs w:val="1"/>
                <w:color w:val="auto"/>
              </w:rPr>
              <w:t>LIABILITIES AND MEMBERS'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 external</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debt — affiliate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Contributed capital</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60"/>
          </w:cols>
          <w:pgMar w:left="280" w:top="742" w:right="259" w:bottom="962"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80" w:top="742" w:right="259" w:bottom="962"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8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(a)</w:t>
            </w:r>
          </w:p>
        </w:tc>
      </w:tr>
      <w:tr>
        <w:trPr>
          <w:trHeight w:val="250"/>
        </w:trPr>
        <w:tc>
          <w:tcPr>
            <w:tcW w:w="8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derivative instruments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Loss on disposal of asset components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other working capital</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Drop Down Assets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Class C units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Payments of distributions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 — external</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6"/>
          <w:szCs w:val="16"/>
          <w:color w:val="auto"/>
        </w:rPr>
        <w:t>Retrospectively adjusted as discussed in Note 1,</w:t>
      </w:r>
      <w:r>
        <w:rPr>
          <w:rFonts w:ascii="Arial" w:cs="Arial" w:eastAsia="Arial" w:hAnsi="Arial"/>
          <w:sz w:val="11"/>
          <w:szCs w:val="11"/>
          <w:color w:val="auto"/>
        </w:rPr>
        <w:t xml:space="preserve">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NRG Yield LLC's Class B units and Class D units and receives distributions through its ownership of these units. Yield, Inc. owns 100% of NRG Yield LLC's Class A units and Class C units.</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4,879 net MW</w:t>
      </w:r>
      <w:r>
        <w:rPr>
          <w:rFonts w:ascii="Arial" w:cs="Arial" w:eastAsia="Arial" w:hAnsi="Arial"/>
          <w:sz w:val="17"/>
          <w:szCs w:val="17"/>
          <w:color w:val="auto"/>
        </w:rPr>
        <w:t xml:space="preserve"> as of June 30, 2017</w:t>
      </w:r>
      <w:r>
        <w:rPr>
          <w:rFonts w:ascii="Arial" w:cs="Arial" w:eastAsia="Arial" w:hAnsi="Arial"/>
          <w:sz w:val="17"/>
          <w:szCs w:val="17"/>
          <w:color w:val="231F20"/>
        </w:rPr>
        <w:t>.</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16 years as of</w:t>
      </w:r>
      <w:r>
        <w:rPr>
          <w:rFonts w:ascii="Arial" w:cs="Arial" w:eastAsia="Arial" w:hAnsi="Arial"/>
          <w:sz w:val="17"/>
          <w:szCs w:val="17"/>
          <w:color w:val="auto"/>
        </w:rPr>
        <w:t xml:space="preserve"> June 30, 2017 </w:t>
      </w:r>
      <w:r>
        <w:rPr>
          <w:rFonts w:ascii="Arial" w:cs="Arial" w:eastAsia="Arial" w:hAnsi="Arial"/>
          <w:sz w:val="17"/>
          <w:szCs w:val="17"/>
          <w:color w:val="231F20"/>
        </w:rPr>
        <w:t>based on CAFD. The Company also owns thermal infrastructure assets with an aggregate steam and chilled</w:t>
      </w:r>
      <w:r>
        <w:rPr>
          <w:rFonts w:ascii="Arial" w:cs="Arial" w:eastAsia="Arial" w:hAnsi="Arial"/>
          <w:sz w:val="17"/>
          <w:szCs w:val="17"/>
          <w:color w:val="auto"/>
        </w:rPr>
        <w:t xml:space="preserve"> </w:t>
      </w:r>
      <w:r>
        <w:rPr>
          <w:rFonts w:ascii="Arial" w:cs="Arial" w:eastAsia="Arial" w:hAnsi="Arial"/>
          <w:sz w:val="17"/>
          <w:szCs w:val="17"/>
          <w:color w:val="231F20"/>
        </w:rPr>
        <w:t>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83185</wp:posOffset>
            </wp:positionV>
            <wp:extent cx="5128260" cy="425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28260"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1" w:name="page12"/>
    <w:bookmarkEnd w:id="11"/>
    <w:p>
      <w:pPr>
        <w:jc w:val="both"/>
        <w:ind w:firstLine="405"/>
        <w:spacing w:after="0" w:line="271" w:lineRule="auto"/>
        <w:rPr>
          <w:sz w:val="20"/>
          <w:szCs w:val="20"/>
          <w:color w:val="auto"/>
        </w:rPr>
      </w:pPr>
      <w:r>
        <w:rPr>
          <w:rFonts w:ascii="Arial" w:cs="Arial" w:eastAsia="Arial" w:hAnsi="Arial"/>
          <w:sz w:val="17"/>
          <w:szCs w:val="17"/>
          <w:color w:val="auto"/>
        </w:rPr>
        <w:t xml:space="preserve">On July 12, 2017, NRG announced that it had adopted and initiated a three-year, three-part improvement plan, or the NRG Transformation Plan. As part of the NRG Transformation Plan, NRG announced that it is exploring strategic alternatives for its renewables platform and its interest in Yield, Inc. NRG, through its holdings of Class B common stock and Class D common stock, has a 55.1% voting interest in Yield, Inc. and receives distributions from the Company through its ownership of Class B units and Class D units. NRG stated that the strategic alternatives span a variety of ownership structures and partnership types, including the potential partial or full monetization of NRG's renewables platform and NRG's interest in Yield, Inc. NRG is Yield, Inc.'s controlling stockholder and the Company has been highly dependent on NRG for, among other things, growth opportunities and management and administration services.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Company's 2016 Form 10-K as well as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report, for risks related to the NRG Transformation Plan and the Company's relationship with NRG.</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the Company's operating assets are comprised of the following projects: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17"/>
                <w:szCs w:val="17"/>
                <w:color w:val="auto"/>
                <w:vertAlign w:val="superscript"/>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73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46" w:right="239" w:bottom="73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1,999</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NRG Dover Energy Center LLC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21"/>
                <w:szCs w:val="21"/>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2017.</w:t>
      </w:r>
    </w:p>
    <w:p>
      <w:pPr>
        <w:spacing w:after="0" w:line="10"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r>
        <w:rPr>
          <w:rFonts w:ascii="Arial" w:cs="Arial" w:eastAsia="Arial" w:hAnsi="Arial"/>
          <w:sz w:val="15"/>
          <w:szCs w:val="15"/>
          <w:i w:val="1"/>
          <w:iCs w:val="1"/>
          <w:color w:val="auto"/>
        </w:rPr>
        <w:t>.</w:t>
      </w:r>
    </w:p>
    <w:p>
      <w:pPr>
        <w:ind w:right="580" w:firstLine="8"/>
        <w:spacing w:after="0" w:line="232" w:lineRule="auto"/>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5,008 MWs.</w:t>
      </w:r>
    </w:p>
    <w:p>
      <w:pPr>
        <w:ind w:firstLine="8"/>
        <w:spacing w:after="0" w:line="219"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60" w:hanging="152"/>
        <w:spacing w:after="0" w:line="182" w:lineRule="auto"/>
        <w:tabs>
          <w:tab w:leader="none" w:pos="1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Projects are part of NRG Wind TE Holdco portfolio.</w:t>
      </w:r>
    </w:p>
    <w:p>
      <w:pPr>
        <w:spacing w:after="0" w:line="15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190 MW based on cash to be distributed as of June 30, 2017. For further discussions, refer to Note 5,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 xml:space="preserve"> to the consolidated financial statements for the year ended December 31, 2016 included in the Company's May 9, 2017 Form 8-K.</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 xml:space="preserve">As further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on March 27, 2017, the Company acquired the following interests from NRG, referred to as the March 2017 Drop Down Assets: (i) Agua Caliente Borrower 2 LLC, which owns a 16% interest in the Agua Caliente solar farm, one of the ROFO assets and</w:t>
      </w:r>
    </w:p>
    <w:p>
      <w:pPr>
        <w:jc w:val="both"/>
        <w:ind w:firstLine="8"/>
        <w:spacing w:after="0" w:line="251"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NRG's interests in seven utility-scale solar farms located in Utah that were part of NRG's November 2, 2016 acquisition of projects from SunEdison, or the Utah Solar Portfolio. The Company paid total cash consideration of $130 million, plus a $1 million working capital adjustment, and assumed non-recourse debt of $328 million, which is consolidated, as well as its pro-rata share of non-recourse project-level debt of $135 million. The acquisition was funded with cash on hand. The acquisition of the March 2017 Drop Down Assets was accounted for as a transfer of entities under common control. The accounting guidance requires retrospective combination of the entities for all periods presented as if the combination had been in effect from the beginning of the financial statement period or from the date the entities were under common control (if later than the beginning of the financial statement period). Accordingly, in connection with the retrospective adjustment of prior periods, the Company adjusted its financial statements to reflect its results of operations, financial position and cash flows as if it recorded its interests in the Agua Caliente Borrower 2 LLC on January 1, 2016, and its interests in the Utah Solar Portfolio on November 2, 2016.</w:t>
      </w:r>
    </w:p>
    <w:p>
      <w:pPr>
        <w:sectPr>
          <w:pgSz w:w="11900" w:h="16838" w:orient="portrait"/>
          <w:cols w:equalWidth="0" w:num="1">
            <w:col w:w="11420"/>
          </w:cols>
          <w:pgMar w:left="240" w:top="888"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88" w:right="239" w:bottom="1440" w:gutter="0" w:footer="0" w:header="0"/>
          <w:type w:val="continuous"/>
        </w:sectPr>
      </w:pPr>
    </w:p>
    <w:bookmarkStart w:id="13" w:name="page14"/>
    <w:bookmarkEnd w:id="13"/>
    <w:p>
      <w:pPr>
        <w:jc w:val="both"/>
        <w:ind w:right="20" w:firstLine="405"/>
        <w:spacing w:after="0" w:line="277" w:lineRule="auto"/>
        <w:rPr>
          <w:sz w:val="20"/>
          <w:szCs w:val="20"/>
          <w:color w:val="auto"/>
        </w:rPr>
      </w:pPr>
      <w:r>
        <w:rPr>
          <w:rFonts w:ascii="Arial" w:cs="Arial" w:eastAsia="Arial" w:hAnsi="Arial"/>
          <w:sz w:val="18"/>
          <w:szCs w:val="18"/>
          <w:color w:val="auto"/>
        </w:rPr>
        <w:t xml:space="preserve">In addition, 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Company's results of operations for the six months ended June 30, 2016 were recast for the Company's acquisition of the CVSR Drop Down Asset on September 1, 2016.</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for the year ended December 31, 2016 included in the Company's May 9, 2017 Form 8-K. Interim results are not necessarily indicative of results for a full year.</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2017, and the results of operations, comprehensive income (loss) and cash flows for the three and six months ended June 30, 2017 and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June 30, 2017 and 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7"/>
              <w:spacing w:after="0"/>
              <w:rPr>
                <w:sz w:val="20"/>
                <w:szCs w:val="20"/>
                <w:color w:val="auto"/>
              </w:rPr>
            </w:pPr>
            <w:r>
              <w:rPr>
                <w:rFonts w:ascii="Arial" w:cs="Arial" w:eastAsia="Arial" w:hAnsi="Arial"/>
                <w:sz w:val="16"/>
                <w:szCs w:val="16"/>
                <w:b w:val="1"/>
                <w:bCs w:val="1"/>
                <w:color w:val="auto"/>
              </w:rPr>
              <w:t>June 30, 2017</w:t>
            </w:r>
          </w:p>
        </w:tc>
        <w:tc>
          <w:tcPr>
            <w:tcW w:w="3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40" w:type="dxa"/>
            <w:vAlign w:val="bottom"/>
            <w:gridSpan w:val="3"/>
          </w:tcPr>
          <w:p>
            <w:pPr>
              <w:ind w:left="124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28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405"/>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Noncontrolling Interests</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7660" w:type="dxa"/>
            <w:vAlign w:val="bottom"/>
          </w:tcPr>
          <w:p>
            <w:pPr>
              <w:ind w:left="40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7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contributions from tax equity investors, net of 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NRG for its 25% interest in TE Holdco</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r>
      <w:tr>
        <w:trPr>
          <w:trHeight w:val="20"/>
        </w:trPr>
        <w:tc>
          <w:tcPr>
            <w:tcW w:w="7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NRG Yield LLC's Class A, B, C and D units during the six months ended June 30, 2017:</w:t>
      </w:r>
    </w:p>
    <w:p>
      <w:pPr>
        <w:spacing w:after="0" w:line="392"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 Quarter 2017</w:t>
            </w:r>
          </w:p>
        </w:tc>
        <w:tc>
          <w:tcPr>
            <w:tcW w:w="1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First Quarter 2017</w:t>
            </w:r>
          </w:p>
        </w:tc>
      </w:tr>
      <w:tr>
        <w:trPr>
          <w:trHeight w:val="24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6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25, 2017, the Company declared a distribution on its Class A, Class B, Class C and Class D units of $0.28 per unit payable on September 15, 2017 to unit holders of record as of September 1,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Changes in Capital Structure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first six months of 2017, Yield, Inc. issued 934,139 shares of Class C common stock under the ATM Program for gross proceeds of $16 million, with commission fees of $163 thousand. Yield, Inc. used the net proceeds to acquire 934,139 Class C units from the Company. At June 30, 2017, approximately $134 million remains available for issuance under the ATM Program.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ASU 2016-18 </w:t>
      </w:r>
      <w:r>
        <w:rPr>
          <w:rFonts w:ascii="Arial" w:cs="Arial" w:eastAsia="Arial" w:hAnsi="Arial"/>
          <w:sz w:val="16"/>
          <w:szCs w:val="16"/>
          <w:color w:val="auto"/>
        </w:rPr>
        <w:t>— In November 2016, the FASB issued ASU No. 2016-18,</w:t>
      </w:r>
      <w:r>
        <w:rPr>
          <w:rFonts w:ascii="Arial" w:cs="Arial" w:eastAsia="Arial" w:hAnsi="Arial"/>
          <w:sz w:val="16"/>
          <w:szCs w:val="16"/>
          <w:i w:val="1"/>
          <w:iCs w:val="1"/>
          <w:color w:val="auto"/>
        </w:rPr>
        <w:t xml:space="preserve"> Statement of Cash Flows (Topic 230)</w:t>
      </w:r>
      <w:r>
        <w:rPr>
          <w:rFonts w:ascii="Arial" w:cs="Arial" w:eastAsia="Arial" w:hAnsi="Arial"/>
          <w:sz w:val="16"/>
          <w:szCs w:val="16"/>
          <w:color w:val="auto"/>
        </w:rPr>
        <w:t>, Restricted Cash, or ASU No. 2016-</w:t>
      </w:r>
    </w:p>
    <w:p>
      <w:pPr>
        <w:spacing w:after="0" w:line="46" w:lineRule="exact"/>
        <w:rPr>
          <w:sz w:val="20"/>
          <w:szCs w:val="20"/>
          <w:color w:val="auto"/>
        </w:rPr>
      </w:pPr>
    </w:p>
    <w:p>
      <w:pPr>
        <w:jc w:val="both"/>
        <w:ind w:firstLine="8"/>
        <w:spacing w:after="0" w:line="287" w:lineRule="auto"/>
        <w:tabs>
          <w:tab w:leader="none" w:pos="26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amendments of ASU No. 2016-18 require an entity to 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will be applied retrospectively. The Company early adopted ASU No. 2016-18 during the second quarter of 2017. Net cash flows used in investing activities for the six months ended June 30, 2016 increased by $7 million. The sum of Company's cash and cash equivalents and restricted cash reported within the consolidated balance sheet as of December 31, 2016 equals the beginning balances of cash, cash equivalents and restricted cash shown in the consolidated statement of cash flows for the six months ended June 30, 2017. The sum of Company's cash and cash equivalents and restricted cash reported within the consolidated balance sheet as of June 30, 2017 equals to the ending balances of cash, cash equivalents and restricted cash shown in the consolidated statement of cash flows for the six months ended June 30, 2017.</w:t>
      </w:r>
    </w:p>
    <w:p>
      <w:pPr>
        <w:spacing w:after="0" w:line="112"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i w:val="1"/>
          <w:iCs w:val="1"/>
          <w:color w:val="auto"/>
        </w:rPr>
        <w:t xml:space="preserve">ASU 2016-02 </w:t>
      </w:r>
      <w:r>
        <w:rPr>
          <w:rFonts w:ascii="Arial" w:cs="Arial" w:eastAsia="Arial" w:hAnsi="Arial"/>
          <w:sz w:val="17"/>
          <w:szCs w:val="17"/>
          <w:color w:val="auto"/>
        </w:rPr>
        <w:t>— In February 2016, the FASB issued ASU No.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 842), or Topic 842, with the objective to increase transparency</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expects to adopt the standard effective January 1, 2019 utilizing the required modified retrospective approach for the earliest period presented. The Company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w:t>
      </w:r>
    </w:p>
    <w:p>
      <w:pPr>
        <w:spacing w:after="0" w:line="12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i w:val="1"/>
          <w:iCs w:val="1"/>
          <w:color w:val="auto"/>
        </w:rPr>
        <w:t xml:space="preserve">ASU 2014-09 </w:t>
      </w:r>
      <w:r>
        <w:rPr>
          <w:rFonts w:ascii="Arial" w:cs="Arial" w:eastAsia="Arial" w:hAnsi="Arial"/>
          <w:sz w:val="16"/>
          <w:szCs w:val="16"/>
          <w:color w:val="auto"/>
        </w:rPr>
        <w:t>— In May 2014, the FASB issued ASU No. 2014-09,</w:t>
      </w:r>
      <w:r>
        <w:rPr>
          <w:rFonts w:ascii="Arial" w:cs="Arial" w:eastAsia="Arial" w:hAnsi="Arial"/>
          <w:sz w:val="16"/>
          <w:szCs w:val="16"/>
          <w:i w:val="1"/>
          <w:iCs w:val="1"/>
          <w:color w:val="auto"/>
        </w:rPr>
        <w:t xml:space="preserve"> Revenue from Contracts with Customers (Topic 606), </w:t>
      </w:r>
      <w:r>
        <w:rPr>
          <w:rFonts w:ascii="Arial" w:cs="Arial" w:eastAsia="Arial" w:hAnsi="Arial"/>
          <w:sz w:val="16"/>
          <w:szCs w:val="16"/>
          <w:color w:val="auto"/>
        </w:rPr>
        <w:t>or ASU No. 2014-09,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further amended through various updates issued by the FASB 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expects to adopt the standard effective January 1, 2018 and apply the guidance retrospectively to contracts at the date of adoption. The Company will recognize the cumulative effect of applying Topic 606 at the date of initial application, as prescribed under the modified retrospective transition method. The Company also expects to elect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As leases are excluded from the scope of Topic 606, the Company expects the standard to have an immaterial impact on the Company's results of operations, cash flows and financial position; however, the Company continues to assess the impact in connection with its plan of adoption.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$41.5 million, excluding working capital adjustments. The transaction also includes potential additional payments to NRG dependent upon actual energy prices for merchant periods beginning in 2027.</w:t>
      </w:r>
    </w:p>
    <w:p>
      <w:pPr>
        <w:spacing w:after="0" w:line="12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March 2017 Drop Down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27, 2017, the Company acquired the following interests from NRG: (i) Agua Caliente Borrower 2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$130 million, plus $1 million of working capital.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further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as well as its pro-rata share of non-recourse project-level debt of Agua Caliente Solar LLC, as further described in Note 4,</w:t>
      </w:r>
      <w:r>
        <w:rPr>
          <w:rFonts w:ascii="Arial" w:cs="Arial" w:eastAsia="Arial" w:hAnsi="Arial"/>
          <w:sz w:val="17"/>
          <w:szCs w:val="17"/>
          <w:i w:val="1"/>
          <w:iCs w:val="1"/>
          <w:color w:val="auto"/>
        </w:rPr>
        <w:t xml:space="preserve"> Investments Accounted for by the Equity Method and Variable Interest Entities</w:t>
      </w:r>
      <w:r>
        <w:rPr>
          <w:rFonts w:ascii="Arial" w:cs="Arial" w:eastAsia="Arial" w:hAnsi="Arial"/>
          <w:sz w:val="17"/>
          <w:szCs w:val="17"/>
          <w:color w:val="auto"/>
        </w:rPr>
        <w:t>.</w:t>
      </w:r>
    </w:p>
    <w:p>
      <w:pPr>
        <w:spacing w:after="0" w:line="13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and the historical value of the entities' equity of $8 million was recorded as an adjustment to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04"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following is a summary of assets and liabilities transferred in connection with the acquisition of the March 2017 Drop Down Assets as of March 27, 2017:</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 in projects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r>
      <w:tr>
        <w:trPr>
          <w:trHeight w:val="237"/>
        </w:trPr>
        <w:tc>
          <w:tcPr>
            <w:tcW w:w="992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9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320</w:t>
            </w: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9920" w:type="dxa"/>
            <w:vAlign w:val="bottom"/>
          </w:tcPr>
          <w:p>
            <w:pPr>
              <w:ind w:left="16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1"/>
        </w:trPr>
        <w:tc>
          <w:tcPr>
            <w:tcW w:w="9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Net of $8 million of debt issuance costs.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67"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i w:val="1"/>
          <w:iCs w:val="1"/>
          <w:color w:val="auto"/>
        </w:rPr>
        <w:t xml:space="preserve">CVSR Drop Down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September 1, 2016, the Company had a 48.95% interest in CVSR, which was accounted for as an equity method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 On September 1, 2016, the Company acquired from NRG the remaining 51.05% interest of CVSR Holdco LLC, which indirectly owns the CVSR solar facility, for total cash consideration of $78.5 million plus an immaterial working capital adjustment. The Company also assumed additional debt of $496 million, which represents 51.05% of the CVSR project level debt and 51.05% of the notes issued under the CVSR Holdco Financing Agreement, as of the closing date, as further described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to the consolidated financial statements for the year ended December 31, 2016 included in the Company's May 9, 2017 Form 8-K. The acquisition was funded with cash on hand.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50" w:right="239" w:bottom="1440" w:gutter="0" w:footer="0" w:header="0"/>
        </w:sectPr>
      </w:pPr>
    </w:p>
    <w:bookmarkStart w:id="16" w:name="page17"/>
    <w:bookmarkEnd w:id="16"/>
    <w:p>
      <w:pPr>
        <w:jc w:val="both"/>
        <w:ind w:firstLine="405"/>
        <w:spacing w:after="0" w:line="270" w:lineRule="auto"/>
        <w:rPr>
          <w:sz w:val="20"/>
          <w:szCs w:val="20"/>
          <w:color w:val="auto"/>
        </w:rPr>
      </w:pPr>
      <w:r>
        <w:rPr>
          <w:rFonts w:ascii="Arial" w:cs="Arial" w:eastAsia="Arial" w:hAnsi="Arial"/>
          <w:sz w:val="17"/>
          <w:szCs w:val="17"/>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CVSR Drop Down of $112 million, as well as $6 million of AOCL, was recorded as a distribution to NRG with the offset to contributed capital.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 CVSR and 100% of its debt, consisting of $771 million of project level debt and $200 million of notes issued under the CVSR Holdco Financing Agreement as of September 1, 2016. In connection with the retrospective adjustment of prior periods,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12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present the Company's historical information summary combining the financial information for the CVSR and March 2017 Drop Down Assets transferred in connection with the acquisition: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60" w:type="dxa"/>
            <w:vAlign w:val="bottom"/>
            <w:gridSpan w:val="7"/>
          </w:tcPr>
          <w:p>
            <w:pPr>
              <w:ind w:left="40"/>
              <w:spacing w:after="0"/>
              <w:rPr>
                <w:sz w:val="20"/>
                <w:szCs w:val="20"/>
                <w:color w:val="auto"/>
              </w:rPr>
            </w:pPr>
            <w:r>
              <w:rPr>
                <w:rFonts w:ascii="Arial" w:cs="Arial" w:eastAsia="Arial" w:hAnsi="Arial"/>
                <w:sz w:val="16"/>
                <w:szCs w:val="16"/>
                <w:b w:val="1"/>
                <w:bCs w:val="1"/>
                <w:color w:val="auto"/>
                <w:w w:val="90"/>
              </w:rPr>
              <w:t>Three months ended June 30,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20" w:type="dxa"/>
            <w:vAlign w:val="bottom"/>
            <w:gridSpan w:val="7"/>
          </w:tcPr>
          <w:p>
            <w:pPr>
              <w:ind w:left="60"/>
              <w:spacing w:after="0"/>
              <w:rPr>
                <w:sz w:val="20"/>
                <w:szCs w:val="20"/>
                <w:color w:val="auto"/>
              </w:rPr>
            </w:pPr>
            <w:r>
              <w:rPr>
                <w:rFonts w:ascii="Arial" w:cs="Arial" w:eastAsia="Arial" w:hAnsi="Arial"/>
                <w:sz w:val="16"/>
                <w:szCs w:val="16"/>
                <w:b w:val="1"/>
                <w:bCs w:val="1"/>
                <w:color w:val="auto"/>
                <w:w w:val="90"/>
              </w:rPr>
              <w:t>Six months ended June 30,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2017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March 2017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Previously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Drop Down</w:t>
            </w:r>
          </w:p>
        </w:tc>
        <w:tc>
          <w:tcPr>
            <w:tcW w:w="1060" w:type="dxa"/>
            <w:vAlign w:val="bottom"/>
            <w:gridSpan w:val="3"/>
          </w:tcPr>
          <w:p>
            <w:pPr>
              <w:ind w:left="60"/>
              <w:spacing w:after="0"/>
              <w:rPr>
                <w:sz w:val="20"/>
                <w:szCs w:val="20"/>
                <w:color w:val="auto"/>
              </w:rPr>
            </w:pPr>
            <w:r>
              <w:rPr>
                <w:rFonts w:ascii="Arial" w:cs="Arial" w:eastAsia="Arial" w:hAnsi="Arial"/>
                <w:sz w:val="16"/>
                <w:szCs w:val="16"/>
                <w:b w:val="1"/>
                <w:bCs w:val="1"/>
                <w:color w:val="auto"/>
              </w:rPr>
              <w:t>CVSR Drop</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As Currently</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As Previously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Drop Down</w:t>
            </w: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b w:val="1"/>
                <w:bCs w:val="1"/>
                <w:color w:val="auto"/>
              </w:rPr>
              <w:t>CVSR</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As Currently</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Reported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20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Down</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Reported</w:t>
            </w:r>
          </w:p>
        </w:tc>
        <w:tc>
          <w:tcPr>
            <w:tcW w:w="1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Assets</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Drop Down</w:t>
            </w:r>
          </w:p>
        </w:tc>
        <w:tc>
          <w:tcPr>
            <w:tcW w:w="1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Reported</w:t>
            </w:r>
          </w:p>
        </w:tc>
        <w:tc>
          <w:tcPr>
            <w:tcW w:w="0" w:type="dxa"/>
            <w:vAlign w:val="bottom"/>
          </w:tcPr>
          <w:p>
            <w:pPr>
              <w:spacing w:after="0"/>
              <w:rPr>
                <w:sz w:val="1"/>
                <w:szCs w:val="1"/>
                <w:color w:val="auto"/>
              </w:rPr>
            </w:pPr>
          </w:p>
        </w:tc>
      </w:tr>
      <w:tr>
        <w:trPr>
          <w:trHeight w:val="33"/>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4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517</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201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80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w:t>
      </w:r>
      <w:r>
        <w:rPr>
          <w:rFonts w:ascii="Arial" w:cs="Arial" w:eastAsia="Arial" w:hAnsi="Arial"/>
          <w:sz w:val="18"/>
          <w:szCs w:val="18"/>
          <w:color w:val="000000"/>
        </w:rPr>
        <w:t>for the year ended December 31, 2016</w:t>
      </w:r>
      <w:r>
        <w:rPr>
          <w:rFonts w:ascii="Arial" w:cs="Arial" w:eastAsia="Arial" w:hAnsi="Arial"/>
          <w:sz w:val="18"/>
          <w:szCs w:val="18"/>
          <w:color w:val="231F20"/>
        </w:rPr>
        <w:t xml:space="preserve"> included in the Company's May 9, </w:t>
      </w:r>
      <w:r>
        <w:rPr>
          <w:rFonts w:ascii="Arial" w:cs="Arial" w:eastAsia="Arial" w:hAnsi="Arial"/>
          <w:sz w:val="18"/>
          <w:szCs w:val="18"/>
          <w:color w:val="000000"/>
        </w:rPr>
        <w:t>2017 Form 8-K.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2017:</w:t>
      </w:r>
    </w:p>
    <w:p>
      <w:pPr>
        <w:spacing w:after="0" w:line="15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NRG Wind TE</w:t>
            </w: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Alta Wind TE</w:t>
            </w:r>
          </w:p>
        </w:tc>
        <w:tc>
          <w:tcPr>
            <w:tcW w:w="140" w:type="dxa"/>
            <w:vAlign w:val="bottom"/>
          </w:tcPr>
          <w:p>
            <w:pPr>
              <w:spacing w:after="0"/>
              <w:rPr>
                <w:sz w:val="14"/>
                <w:szCs w:val="14"/>
                <w:color w:val="auto"/>
              </w:rPr>
            </w:pPr>
          </w:p>
        </w:tc>
        <w:tc>
          <w:tcPr>
            <w:tcW w:w="11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Spring Canyon</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Holdco</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Holdco</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3840" w:type="dxa"/>
            <w:vAlign w:val="bottom"/>
          </w:tcPr>
          <w:p>
            <w:pPr>
              <w:ind w:left="460"/>
              <w:spacing w:after="0"/>
              <w:rPr>
                <w:sz w:val="20"/>
                <w:szCs w:val="20"/>
                <w:color w:val="auto"/>
              </w:rPr>
            </w:pPr>
            <w:r>
              <w:rPr>
                <w:rFonts w:ascii="Arial" w:cs="Arial" w:eastAsia="Arial" w:hAnsi="Arial"/>
                <w:sz w:val="18"/>
                <w:szCs w:val="18"/>
                <w:color w:val="auto"/>
              </w:rPr>
              <w:t>Net assets less noncontrolling interests</w:t>
            </w:r>
          </w:p>
        </w:tc>
        <w:tc>
          <w:tcPr>
            <w:tcW w:w="1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231F20"/>
        </w:rPr>
        <w:t>to the consolidated financial statements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w:t>
      </w:r>
      <w:r>
        <w:rPr>
          <w:rFonts w:ascii="Arial" w:cs="Arial" w:eastAsia="Arial" w:hAnsi="Arial"/>
          <w:sz w:val="18"/>
          <w:szCs w:val="18"/>
          <w:i w:val="1"/>
          <w:iCs w:val="1"/>
          <w:color w:val="auto"/>
        </w:rPr>
        <w:t xml:space="preserve"> </w:t>
      </w:r>
      <w:r>
        <w:rPr>
          <w:rFonts w:ascii="Arial" w:cs="Arial" w:eastAsia="Arial" w:hAnsi="Arial"/>
          <w:sz w:val="18"/>
          <w:szCs w:val="18"/>
          <w:color w:val="231F20"/>
        </w:rPr>
        <w:t>included in the Company's May</w:t>
      </w:r>
      <w:r>
        <w:rPr>
          <w:rFonts w:ascii="Arial" w:cs="Arial" w:eastAsia="Arial" w:hAnsi="Arial"/>
          <w:sz w:val="18"/>
          <w:szCs w:val="18"/>
          <w:i w:val="1"/>
          <w:iCs w:val="1"/>
          <w:color w:val="auto"/>
        </w:rPr>
        <w:t xml:space="preserve"> </w:t>
      </w:r>
      <w:r>
        <w:rPr>
          <w:rFonts w:ascii="Arial" w:cs="Arial" w:eastAsia="Arial" w:hAnsi="Arial"/>
          <w:sz w:val="18"/>
          <w:szCs w:val="18"/>
          <w:color w:val="231F20"/>
        </w:rPr>
        <w:t xml:space="preserve">9, </w:t>
      </w:r>
      <w:r>
        <w:rPr>
          <w:rFonts w:ascii="Arial" w:cs="Arial" w:eastAsia="Arial" w:hAnsi="Arial"/>
          <w:sz w:val="18"/>
          <w:szCs w:val="18"/>
          <w:color w:val="000000"/>
        </w:rPr>
        <w:t>2017 Form 8-K.</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maximum exposure to loss as of June 30, 2017 is limited to its equity investment in the unconsolidated entities, as further summarized in the table below:</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5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loss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3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Granite Mountain Holdings,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1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NRG RPV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DGPV Holdco 2 LLC</w:t>
            </w:r>
          </w:p>
        </w:tc>
        <w:tc>
          <w:tcPr>
            <w:tcW w:w="3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74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Utah Solar Portfolio</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91"/>
        </w:trPr>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2016</w:t>
            </w:r>
          </w:p>
        </w:tc>
      </w:tr>
      <w:tr>
        <w:trPr>
          <w:trHeight w:val="251"/>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Utah Solar Portfolio</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4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29, 2016, the Company and NRG entered into an additional partnership by forming NRG DGPV Holdco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or DGPV Holdco 2, to purchase solar power generation projects as well as other ancillary related assets from NRG Renew LLC or its subsidiaries. The Company contributed $26 million into the partnership during the six months ended June 30, 2017, of which $9 million remained due to NRG in accounts payable — affiliate as of June 30,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167"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i w:val="1"/>
          <w:iCs w:val="1"/>
          <w:color w:val="auto"/>
        </w:rPr>
        <w:t xml:space="preserve">Agua Caliente Financing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above, the Company acquired a 16% interest in the Agua Caliente solar facility through its acquisition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Agua Caliente Borrower 2 LLC. As of June 30, 2017, Agua Caliente Solar LLC, the direct owner of the</w:t>
      </w:r>
    </w:p>
    <w:p>
      <w:pPr>
        <w:sectPr>
          <w:pgSz w:w="11900" w:h="16838" w:orient="portrait"/>
          <w:cols w:equalWidth="0" w:num="1">
            <w:col w:w="11420"/>
          </w:cols>
          <w:pgMar w:left="240" w:top="746"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6" w:right="239" w:bottom="1440" w:gutter="0" w:footer="0" w:header="0"/>
          <w:type w:val="continuous"/>
        </w:sectPr>
      </w:pPr>
    </w:p>
    <w:bookmarkStart w:id="18" w:name="page19"/>
    <w:bookmarkEnd w:id="18"/>
    <w:p>
      <w:pPr>
        <w:jc w:val="both"/>
        <w:spacing w:after="0" w:line="302" w:lineRule="auto"/>
        <w:rPr>
          <w:sz w:val="20"/>
          <w:szCs w:val="20"/>
          <w:color w:val="auto"/>
        </w:rPr>
      </w:pPr>
      <w:r>
        <w:rPr>
          <w:rFonts w:ascii="Arial" w:cs="Arial" w:eastAsia="Arial" w:hAnsi="Arial"/>
          <w:sz w:val="16"/>
          <w:szCs w:val="16"/>
          <w:color w:val="auto"/>
        </w:rPr>
        <w:t>Agua Caliente solar facility, had $843 million outstanding under the Agua Caliente financing agreement with the Federal Financing Bank, or FFB, borrowed to finance the costs of constructing the facility. The Company's pro-rata share of the Agua Caliente financing arrangement was $135 million as of June 30, 2017.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As of June 30, 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2016</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44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608</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 external, including current portion</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5,451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5,435</w:t>
            </w:r>
          </w:p>
        </w:tc>
      </w:tr>
      <w:tr>
        <w:trPr>
          <w:trHeight w:val="27"/>
        </w:trPr>
        <w:tc>
          <w:tcPr>
            <w:tcW w:w="6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2017 and December 31, 2016:</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As of June 30, 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2016</w:t>
            </w:r>
          </w:p>
        </w:tc>
      </w:tr>
      <w:tr>
        <w:trPr>
          <w:trHeight w:val="264"/>
        </w:trPr>
        <w:tc>
          <w:tcPr>
            <w:tcW w:w="4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877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833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5,210</w:t>
            </w:r>
          </w:p>
        </w:tc>
      </w:tr>
      <w:tr>
        <w:trPr>
          <w:trHeight w:val="621"/>
        </w:trPr>
        <w:tc>
          <w:tcPr>
            <w:tcW w:w="440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June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of December 31, 2016</w:t>
            </w:r>
          </w:p>
        </w:tc>
      </w:tr>
      <w:tr>
        <w:trPr>
          <w:trHeight w:val="264"/>
        </w:trPr>
        <w:tc>
          <w:tcPr>
            <w:tcW w:w="7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(a)</w:t>
            </w:r>
          </w:p>
        </w:tc>
      </w:tr>
      <w:tr>
        <w:trPr>
          <w:trHeight w:val="250"/>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21"/>
                <w:szCs w:val="21"/>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2</w:t>
            </w:r>
          </w:p>
        </w:tc>
      </w:tr>
      <w:tr>
        <w:trPr>
          <w:trHeight w:val="250"/>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r>
      <w:tr>
        <w:trPr>
          <w:trHeight w:val="297"/>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r>
      <w:tr>
        <w:trPr>
          <w:trHeight w:val="257"/>
        </w:trPr>
        <w:tc>
          <w:tcPr>
            <w:tcW w:w="7000" w:type="dxa"/>
            <w:vAlign w:val="bottom"/>
          </w:tcPr>
          <w:p>
            <w:pPr>
              <w:ind w:left="5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w:t>
            </w: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right="140" w:firstLine="8"/>
        <w:spacing w:after="0" w:line="280"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as of June 30, 2017. There were no derivative assets or liabilities classified as Level 3 as of June 30, 2017 and December 31, 2016.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2017, the credit reserve resulted in a $1 million increase in fair value in interest expense.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consolidated financial</w:t>
      </w:r>
      <w:r>
        <w:rPr>
          <w:rFonts w:ascii="Arial" w:cs="Arial" w:eastAsia="Arial" w:hAnsi="Arial"/>
          <w:sz w:val="16"/>
          <w:szCs w:val="16"/>
          <w:color w:val="auto"/>
        </w:rPr>
        <w:t xml:space="preserve"> statements for the year ended December 31, 2016 </w:t>
      </w:r>
      <w:r>
        <w:rPr>
          <w:rFonts w:ascii="Arial" w:cs="Arial" w:eastAsia="Arial" w:hAnsi="Arial"/>
          <w:sz w:val="16"/>
          <w:szCs w:val="16"/>
          <w:color w:val="231F20"/>
        </w:rPr>
        <w:t>included in the Company's May 9,</w:t>
      </w:r>
      <w:r>
        <w:rPr>
          <w:rFonts w:ascii="Arial" w:cs="Arial" w:eastAsia="Arial" w:hAnsi="Arial"/>
          <w:sz w:val="16"/>
          <w:szCs w:val="16"/>
          <w:color w:val="auto"/>
        </w:rPr>
        <w:t xml:space="preserve"> 2017 Form 8-K, the following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w:t>
      </w:r>
    </w:p>
    <w:p>
      <w:pPr>
        <w:spacing w:after="0" w:line="2" w:lineRule="exact"/>
        <w:rPr>
          <w:sz w:val="20"/>
          <w:szCs w:val="20"/>
          <w:color w:val="auto"/>
        </w:rPr>
      </w:pPr>
    </w:p>
    <w:p>
      <w:pPr>
        <w:jc w:val="both"/>
        <w:ind w:firstLine="8"/>
        <w:spacing w:after="0" w:line="295" w:lineRule="auto"/>
        <w:tabs>
          <w:tab w:leader="none" w:pos="2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June 30, 2017, credit risk exposure to these counterparties attributable to the Company's ownership interests was approximately $2.9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7,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i w:val="1"/>
          <w:iCs w:val="1"/>
          <w:color w:val="231F20"/>
        </w:rPr>
        <w:t>,</w:t>
      </w:r>
      <w:r>
        <w:rPr>
          <w:rFonts w:ascii="Arial" w:cs="Arial" w:eastAsia="Arial" w:hAnsi="Arial"/>
          <w:sz w:val="17"/>
          <w:szCs w:val="17"/>
          <w:color w:val="auto"/>
        </w:rPr>
        <w:t xml:space="preserve"> </w:t>
      </w:r>
      <w:r>
        <w:rPr>
          <w:rFonts w:ascii="Arial" w:cs="Arial" w:eastAsia="Arial" w:hAnsi="Arial"/>
          <w:sz w:val="17"/>
          <w:szCs w:val="17"/>
          <w:color w:val="231F20"/>
        </w:rPr>
        <w:t xml:space="preserve">to the consolidated financial statements for the year ended </w:t>
      </w:r>
      <w:r>
        <w:rPr>
          <w:rFonts w:ascii="Arial" w:cs="Arial" w:eastAsia="Arial" w:hAnsi="Arial"/>
          <w:sz w:val="17"/>
          <w:szCs w:val="17"/>
          <w:color w:val="000000"/>
        </w:rPr>
        <w:t>December 31, 2016</w:t>
      </w:r>
      <w:r>
        <w:rPr>
          <w:rFonts w:ascii="Arial" w:cs="Arial" w:eastAsia="Arial" w:hAnsi="Arial"/>
          <w:sz w:val="17"/>
          <w:szCs w:val="17"/>
          <w:color w:val="231F20"/>
        </w:rPr>
        <w:t xml:space="preserve"> included in the Company's May 9, </w:t>
      </w:r>
      <w:r>
        <w:rPr>
          <w:rFonts w:ascii="Arial" w:cs="Arial" w:eastAsia="Arial" w:hAnsi="Arial"/>
          <w:sz w:val="17"/>
          <w:szCs w:val="17"/>
          <w:color w:val="000000"/>
        </w:rPr>
        <w:t>2017 Form 8-K.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2017, the Company had energy-related derivative instruments extending through 2020. At June 30, 2017,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2017, the Company had interest rate derivative instruments on non-recourse debt extending through 2036, most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commodity: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December 31, 2016</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8"/>
                <w:szCs w:val="18"/>
                <w:color w:val="auto"/>
              </w:rPr>
            </w:pPr>
          </w:p>
        </w:tc>
        <w:tc>
          <w:tcPr>
            <w:tcW w:w="34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1"/>
              <w:spacing w:after="0"/>
              <w:rPr>
                <w:sz w:val="20"/>
                <w:szCs w:val="20"/>
                <w:color w:val="auto"/>
              </w:rPr>
            </w:pPr>
            <w:r>
              <w:rPr>
                <w:rFonts w:ascii="Arial" w:cs="Arial" w:eastAsia="Arial" w:hAnsi="Arial"/>
                <w:sz w:val="18"/>
                <w:szCs w:val="18"/>
                <w:color w:val="auto"/>
              </w:rPr>
              <w:t>2,045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2,070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3220" w:type="dxa"/>
            <w:vAlign w:val="bottom"/>
            <w:tcBorders>
              <w:bottom w:val="single" w:sz="8" w:color="auto"/>
            </w:tcBorders>
            <w:gridSpan w:val="5"/>
          </w:tcPr>
          <w:p>
            <w:pPr>
              <w:jc w:val="right"/>
              <w:ind w:right="974"/>
              <w:spacing w:after="0"/>
              <w:rPr>
                <w:sz w:val="20"/>
                <w:szCs w:val="20"/>
                <w:color w:val="auto"/>
              </w:rPr>
            </w:pPr>
            <w:r>
              <w:rPr>
                <w:rFonts w:ascii="Arial" w:cs="Arial" w:eastAsia="Arial" w:hAnsi="Arial"/>
                <w:sz w:val="14"/>
                <w:szCs w:val="14"/>
                <w:b w:val="1"/>
                <w:bCs w:val="1"/>
                <w:color w:val="auto"/>
              </w:rPr>
              <w:t>Derivative Assets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4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w:t>
            </w: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2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2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 long-term</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0"/>
        </w:trPr>
        <w:tc>
          <w:tcPr>
            <w:tcW w:w="49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51"/>
        </w:trPr>
        <w:tc>
          <w:tcPr>
            <w:tcW w:w="4920" w:type="dxa"/>
            <w:vAlign w:val="bottom"/>
          </w:tcPr>
          <w:p>
            <w:pPr>
              <w:spacing w:after="0"/>
              <w:rPr>
                <w:sz w:val="24"/>
                <w:szCs w:val="24"/>
                <w:color w:val="auto"/>
              </w:rPr>
            </w:pP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jc w:val="both"/>
        <w:ind w:right="20" w:firstLine="405"/>
        <w:spacing w:after="0" w:line="286" w:lineRule="auto"/>
        <w:rPr>
          <w:sz w:val="20"/>
          <w:szCs w:val="20"/>
          <w:color w:val="auto"/>
        </w:rPr>
      </w:pPr>
      <w:r>
        <w:rPr>
          <w:rFonts w:ascii="Arial" w:cs="Arial" w:eastAsia="Arial" w:hAnsi="Arial"/>
          <w:sz w:val="17"/>
          <w:szCs w:val="17"/>
          <w:color w:val="auto"/>
        </w:rPr>
        <w:t>The Company has elected to present derivative assets and liabilities on the balance sheet on a trade-by-trade basis and does not offset amounts at the counterparty master agreement level. As of June 30, 2017 and December 31, 2016, there was no outstanding collateral paid or received. The following tables summarize the offsetting of derivatives by the counterparty master agreement level as of June 30, 2017 and December 31,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June 30, 2017</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24"/>
                <w:szCs w:val="2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2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60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six months ended June 30, 2017 and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jc w:val="both"/>
        <w:ind w:firstLine="392"/>
        <w:spacing w:after="0" w:line="259" w:lineRule="auto"/>
        <w:rPr>
          <w:sz w:val="20"/>
          <w:szCs w:val="20"/>
          <w:color w:val="auto"/>
        </w:rPr>
      </w:pPr>
      <w:r>
        <w:rPr>
          <w:rFonts w:ascii="Arial" w:cs="Arial" w:eastAsia="Arial" w:hAnsi="Arial"/>
          <w:sz w:val="18"/>
          <w:szCs w:val="18"/>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29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June 30, 2017 and 2016, the impact to the consolidated statements of income was a loss of $11 million and $2 million, respectively. For the six months ended June 30, 2017 and 2016, the impact to the consolidated statements of income was a loss of $9 million in each period.</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6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w:t>
      </w:r>
      <w:r>
        <w:rPr>
          <w:rFonts w:ascii="Arial" w:cs="Arial" w:eastAsia="Arial" w:hAnsi="Arial"/>
          <w:sz w:val="17"/>
          <w:szCs w:val="17"/>
          <w:color w:val="231F20"/>
        </w:rPr>
        <w:t>to the consolidated financial statements for</w:t>
      </w:r>
      <w:r>
        <w:rPr>
          <w:rFonts w:ascii="Arial" w:cs="Arial" w:eastAsia="Arial" w:hAnsi="Arial"/>
          <w:sz w:val="17"/>
          <w:szCs w:val="17"/>
          <w:color w:val="auto"/>
        </w:rPr>
        <w:t xml:space="preserve"> </w:t>
      </w:r>
      <w:r>
        <w:rPr>
          <w:rFonts w:ascii="Arial" w:cs="Arial" w:eastAsia="Arial" w:hAnsi="Arial"/>
          <w:sz w:val="17"/>
          <w:szCs w:val="17"/>
          <w:color w:val="231F20"/>
        </w:rPr>
        <w:t xml:space="preserve">the year ended December 31, 2016 included in the Company's May 9, </w:t>
      </w:r>
      <w:r>
        <w:rPr>
          <w:rFonts w:ascii="Arial" w:cs="Arial" w:eastAsia="Arial" w:hAnsi="Arial"/>
          <w:sz w:val="17"/>
          <w:szCs w:val="17"/>
          <w:color w:val="000000"/>
        </w:rPr>
        <w:t>2017 Form 8-K. Long-term debt consisted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1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June 30, 2017, interest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2017</w:t>
            </w:r>
          </w:p>
        </w:tc>
        <w:tc>
          <w:tcPr>
            <w:tcW w:w="104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 June</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8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30, 2017</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 except rates)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 affiliate, due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Long-term debt - affiliate, due 2020</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281</w:t>
            </w:r>
          </w:p>
        </w:tc>
        <w:tc>
          <w:tcPr>
            <w:tcW w:w="1800" w:type="dxa"/>
            <w:vAlign w:val="bottom"/>
          </w:tcPr>
          <w:p>
            <w:pPr>
              <w:jc w:val="right"/>
              <w:spacing w:after="0"/>
              <w:rPr>
                <w:sz w:val="20"/>
                <w:szCs w:val="20"/>
                <w:color w:val="auto"/>
              </w:rPr>
            </w:pPr>
            <w:r>
              <w:rPr>
                <w:rFonts w:ascii="Arial" w:cs="Arial" w:eastAsia="Arial" w:hAnsi="Arial"/>
                <w:sz w:val="17"/>
                <w:szCs w:val="17"/>
                <w:color w:val="auto"/>
              </w:rPr>
              <w:t>3.325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2026 Senior Notes</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80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Project-level debt: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Agua Caliente Borrower 2, due 2038</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5.430</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Alpine, due 2022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145</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L+1.750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Alta Wind I, lease financing arrangement, due 2034</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242</w:t>
            </w:r>
          </w:p>
        </w:tc>
        <w:tc>
          <w:tcPr>
            <w:tcW w:w="1800" w:type="dxa"/>
            <w:vAlign w:val="bottom"/>
          </w:tcPr>
          <w:p>
            <w:pPr>
              <w:jc w:val="right"/>
              <w:spacing w:after="0"/>
              <w:rPr>
                <w:sz w:val="20"/>
                <w:szCs w:val="20"/>
                <w:color w:val="auto"/>
              </w:rPr>
            </w:pPr>
            <w:r>
              <w:rPr>
                <w:rFonts w:ascii="Arial" w:cs="Arial" w:eastAsia="Arial" w:hAnsi="Arial"/>
                <w:sz w:val="17"/>
                <w:szCs w:val="17"/>
                <w:color w:val="auto"/>
              </w:rPr>
              <w:t>7.015</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Wind II, lease financing arrangement, due 2034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Alta Wind III, lease financing arrangement, due 2034</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198</w:t>
            </w:r>
          </w:p>
        </w:tc>
        <w:tc>
          <w:tcPr>
            <w:tcW w:w="1800" w:type="dxa"/>
            <w:vAlign w:val="bottom"/>
          </w:tcPr>
          <w:p>
            <w:pPr>
              <w:jc w:val="right"/>
              <w:spacing w:after="0"/>
              <w:rPr>
                <w:sz w:val="20"/>
                <w:szCs w:val="20"/>
                <w:color w:val="auto"/>
              </w:rPr>
            </w:pPr>
            <w:r>
              <w:rPr>
                <w:rFonts w:ascii="Arial" w:cs="Arial" w:eastAsia="Arial" w:hAnsi="Arial"/>
                <w:sz w:val="17"/>
                <w:szCs w:val="17"/>
                <w:color w:val="auto"/>
              </w:rPr>
              <w:t>6.067</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Wind IV, lease financing arrangement, due 2034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Alta Wind V, lease financing arrangement, due 2035</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206</w:t>
            </w:r>
          </w:p>
        </w:tc>
        <w:tc>
          <w:tcPr>
            <w:tcW w:w="1800" w:type="dxa"/>
            <w:vAlign w:val="bottom"/>
          </w:tcPr>
          <w:p>
            <w:pPr>
              <w:jc w:val="right"/>
              <w:spacing w:after="0"/>
              <w:rPr>
                <w:sz w:val="20"/>
                <w:szCs w:val="20"/>
                <w:color w:val="auto"/>
              </w:rPr>
            </w:pPr>
            <w:r>
              <w:rPr>
                <w:rFonts w:ascii="Arial" w:cs="Arial" w:eastAsia="Arial" w:hAnsi="Arial"/>
                <w:sz w:val="17"/>
                <w:szCs w:val="17"/>
                <w:color w:val="auto"/>
              </w:rPr>
              <w:t>6.071</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Realty Investments, due 2031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Alta Wind Asset Management, due 2031</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18</w:t>
            </w: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L+2.500</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Avra Valley, due 2031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L+1.750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Blythe, due 2028</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19</w:t>
            </w: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L+1.625</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Borrego, due 2025 and 2038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w:t>
            </w:r>
          </w:p>
        </w:tc>
        <w:tc>
          <w:tcPr>
            <w:tcW w:w="1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L+ 2.750/5.650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CVSR, due 2037</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771</w:t>
            </w:r>
          </w:p>
        </w:tc>
        <w:tc>
          <w:tcPr>
            <w:tcW w:w="1800" w:type="dxa"/>
            <w:vAlign w:val="bottom"/>
          </w:tcPr>
          <w:p>
            <w:pPr>
              <w:jc w:val="right"/>
              <w:spacing w:after="0"/>
              <w:rPr>
                <w:sz w:val="20"/>
                <w:szCs w:val="20"/>
                <w:color w:val="auto"/>
              </w:rPr>
            </w:pPr>
            <w:r>
              <w:rPr>
                <w:rFonts w:ascii="Arial" w:cs="Arial" w:eastAsia="Arial" w:hAnsi="Arial"/>
                <w:sz w:val="17"/>
                <w:szCs w:val="17"/>
                <w:color w:val="auto"/>
              </w:rPr>
              <w:t>2.339 - 3.775</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CVSR Holdco Notes, due 2037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El Segundo Energy Center, due 2023</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443</w:t>
            </w: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L+1.625 - L+2.250</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Energy Center Minneapolis, due 2017 and 2025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5.950 -7.250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125</w:t>
            </w:r>
          </w:p>
        </w:tc>
        <w:tc>
          <w:tcPr>
            <w:tcW w:w="1800" w:type="dxa"/>
            <w:vAlign w:val="bottom"/>
          </w:tcPr>
          <w:p>
            <w:pPr>
              <w:jc w:val="right"/>
              <w:spacing w:after="0"/>
              <w:rPr>
                <w:sz w:val="20"/>
                <w:szCs w:val="20"/>
                <w:color w:val="auto"/>
              </w:rPr>
            </w:pPr>
            <w:r>
              <w:rPr>
                <w:rFonts w:ascii="Arial" w:cs="Arial" w:eastAsia="Arial" w:hAnsi="Arial"/>
                <w:sz w:val="17"/>
                <w:szCs w:val="17"/>
                <w:color w:val="auto"/>
              </w:rPr>
              <w:t>3.550</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Kansas South, due 2031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L+2.000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Laredo Ridge, due 2028</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100</w:t>
            </w: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L+1.875</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Marsh Landing, due 2017 and 2023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370</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L+1.750 - L+1.875</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Apple I LLC projects and related subsidiaries financing agreement, due 2030</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27</w:t>
            </w:r>
          </w:p>
        </w:tc>
        <w:tc>
          <w:tcPr>
            <w:tcW w:w="1800" w:type="dxa"/>
            <w:vAlign w:val="bottom"/>
          </w:tcPr>
          <w:p>
            <w:pPr>
              <w:jc w:val="right"/>
              <w:spacing w:after="0"/>
              <w:rPr>
                <w:sz w:val="20"/>
                <w:szCs w:val="20"/>
                <w:color w:val="auto"/>
              </w:rPr>
            </w:pPr>
            <w:r>
              <w:rPr>
                <w:rFonts w:ascii="Arial" w:cs="Arial" w:eastAsia="Arial" w:hAnsi="Arial"/>
                <w:sz w:val="17"/>
                <w:szCs w:val="17"/>
                <w:color w:val="auto"/>
              </w:rPr>
              <w:t>6.000</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Roadrunner, due 2031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L+1.625</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South Trent Wind, due 2020</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57</w:t>
            </w: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L+1.625</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 High Desert, due 2020 and 2032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49</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L+2.500/5.150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Tapestry, due 2021</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172</w:t>
            </w: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L+1.625</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Utah Solar Portfolio, due 2022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287</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L+2.625</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Viento, due 2023</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178</w:t>
            </w: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L+2.750</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Walnut Creek, due 2023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310</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L+1.625</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WCEP Holdings, due 2023</w:t>
            </w: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46</w:t>
            </w: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L+3.000</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Subtotal project-level debt: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4,601</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960" w:type="dxa"/>
            <w:vAlign w:val="bottom"/>
          </w:tcPr>
          <w:p>
            <w:pPr>
              <w:ind w:left="380"/>
              <w:spacing w:after="0"/>
              <w:rPr>
                <w:sz w:val="20"/>
                <w:szCs w:val="20"/>
                <w:color w:val="auto"/>
              </w:rPr>
            </w:pPr>
            <w:r>
              <w:rPr>
                <w:rFonts w:ascii="Arial" w:cs="Arial" w:eastAsia="Arial" w:hAnsi="Arial"/>
                <w:sz w:val="17"/>
                <w:szCs w:val="17"/>
                <w:color w:val="auto"/>
              </w:rPr>
              <w:t>Total debt</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5,968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6,069</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Less current maturities</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180"/>
              <w:spacing w:after="0"/>
              <w:rPr>
                <w:sz w:val="20"/>
                <w:szCs w:val="20"/>
                <w:color w:val="auto"/>
              </w:rPr>
            </w:pPr>
            <w:r>
              <w:rPr>
                <w:rFonts w:ascii="Arial" w:cs="Arial" w:eastAsia="Arial" w:hAnsi="Arial"/>
                <w:sz w:val="17"/>
                <w:szCs w:val="17"/>
                <w:color w:val="auto"/>
              </w:rPr>
              <w:t>Less net debt issuance costs</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(62)</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long-term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5,716</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hanging="4"/>
        <w:spacing w:after="0" w:line="229" w:lineRule="auto"/>
        <w:tabs>
          <w:tab w:leader="none" w:pos="254"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As of June 30, 2017, L+ equals 3 month LIBOR plus x%, except for the Utah Solar Portfolio and NRG Yield LLC and NRG Yield Operating LLC Revolving Credit Facility, where L+ equals 1 month LIBOR plus x% and Kansas South, where L+ equals 6 month LIBOR plus x%.</w:t>
      </w:r>
    </w:p>
    <w:p>
      <w:pPr>
        <w:sectPr>
          <w:pgSz w:w="11900" w:h="16838" w:orient="portrait"/>
          <w:cols w:equalWidth="0" w:num="1">
            <w:col w:w="11420"/>
          </w:cols>
          <w:pgMar w:left="240" w:top="742"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2" w:right="239" w:bottom="1440" w:gutter="0" w:footer="0" w:header="0"/>
          <w:type w:val="continuous"/>
        </w:sectPr>
      </w:pPr>
    </w:p>
    <w:bookmarkStart w:id="24" w:name="page25"/>
    <w:bookmarkEnd w:id="24"/>
    <w:p>
      <w:pPr>
        <w:jc w:val="both"/>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June 30, 2017, the Company was in compliance with all of the required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six months ended June 30, 2017.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w:t>
      </w:r>
      <w:r>
        <w:rPr>
          <w:rFonts w:ascii="Arial" w:cs="Arial" w:eastAsia="Arial" w:hAnsi="Arial"/>
          <w:sz w:val="18"/>
          <w:szCs w:val="18"/>
          <w:color w:val="231F20"/>
        </w:rPr>
        <w:t>, there were no outstanding borrowings under the revolving credit facility and the Company had $68 million of letters of credit outstanding.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Thermal Financing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Arial" w:cs="Arial" w:eastAsia="Arial" w:hAnsi="Arial"/>
          <w:sz w:val="18"/>
          <w:szCs w:val="18"/>
          <w:color w:val="231F20"/>
        </w:rPr>
        <w:t>The Series F Notes will be secured by substantially all of the assets of</w:t>
      </w:r>
      <w:r>
        <w:rPr>
          <w:rFonts w:ascii="Arial" w:cs="Arial" w:eastAsia="Arial" w:hAnsi="Arial"/>
          <w:sz w:val="18"/>
          <w:szCs w:val="18"/>
          <w:color w:val="auto"/>
        </w:rPr>
        <w:t xml:space="preserve"> </w:t>
      </w:r>
      <w:r>
        <w:rPr>
          <w:rFonts w:ascii="Arial" w:cs="Arial" w:eastAsia="Arial" w:hAnsi="Arial"/>
          <w:sz w:val="18"/>
          <w:szCs w:val="18"/>
          <w:color w:val="231F20"/>
        </w:rPr>
        <w:t>NRG Energy Center Minneapolis LLC. NRG Thermal LLC has guaranteed the indebtedness and its guarantee is secured by a pledge of the equity interests in all of NRG Thermal LLC’s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related to the 2017 March Drop Down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Agua Caliente Borrower 2, due 2038</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the Company acquired Agua Caliente Borrower 2 LLC from NRG and assumed NRG's portion of senior secured notes under the Agua Caliente Holdco Financing Agreement. Agua Caliente Borrower 2 LLC holds $41 million of the Agua Caliente Holdco debt as of June 30, 2017. The debt is joint and several with respect to Agua Caliente Borrower 1 LLC and Agua Caliente Borrower 2 LLC and is secured by the equity interests of each borrower in the Agua Caliente solar facility.</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Utah Solar Portfolio, due 2022</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the March 2017 Drop Down Assets acquisition, the Company assumed non-recourse debt of $287 million relating to the Utah Solar Portfolio at an interest rate of LIBOR plus 2.625%. The debt matures on December 16, 2022. The $287 million consisted of $222 million outstanding at the time of NRG's acquisition of the Utah Solar Portfolio on November 2, 2016, and additional borrowings of $65 million, net of debt issuance costs, incurred during 2016. The Company holds $284 million of the Utah Solar Portfolio debt as of June 30,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Three months ended June 30, 2017</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8,306</w:t>
            </w:r>
          </w:p>
        </w:tc>
        <w:tc>
          <w:tcPr>
            <w:tcW w:w="0" w:type="dxa"/>
            <w:vAlign w:val="bottom"/>
          </w:tcPr>
          <w:p>
            <w:pPr>
              <w:spacing w:after="0"/>
              <w:rPr>
                <w:sz w:val="1"/>
                <w:szCs w:val="1"/>
                <w:color w:val="auto"/>
              </w:rPr>
            </w:pPr>
          </w:p>
        </w:tc>
      </w:tr>
      <w:tr>
        <w:trPr>
          <w:trHeight w:val="561"/>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Three months ended June 30, 2016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85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283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2C2C2C"/>
              </w:rPr>
              <w:t>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2C2C2C"/>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2C2C2C"/>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77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75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3</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49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128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2C2C2C"/>
              </w:rPr>
              <w:t>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2C2C2C"/>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14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C2C2C"/>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C2C2C"/>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C2C2C"/>
              </w:rPr>
              <w:t>(65)</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41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79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80"/>
              <w:spacing w:after="0"/>
              <w:rPr>
                <w:sz w:val="20"/>
                <w:szCs w:val="20"/>
                <w:color w:val="auto"/>
              </w:rPr>
            </w:pPr>
            <w:r>
              <w:rPr>
                <w:rFonts w:ascii="Arial" w:cs="Arial" w:eastAsia="Arial" w:hAnsi="Arial"/>
                <w:sz w:val="14"/>
                <w:szCs w:val="14"/>
                <w:b w:val="1"/>
                <w:bCs w:val="1"/>
                <w:color w:val="auto"/>
                <w:w w:val="90"/>
              </w:rPr>
              <w:t>Six months ended June 30, 2017</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1"/>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8,306</w:t>
            </w:r>
          </w:p>
        </w:tc>
        <w:tc>
          <w:tcPr>
            <w:tcW w:w="0" w:type="dxa"/>
            <w:vAlign w:val="bottom"/>
          </w:tcPr>
          <w:p>
            <w:pPr>
              <w:spacing w:after="0"/>
              <w:rPr>
                <w:sz w:val="1"/>
                <w:szCs w:val="1"/>
                <w:color w:val="auto"/>
              </w:rPr>
            </w:pPr>
          </w:p>
        </w:tc>
      </w:tr>
      <w:tr>
        <w:trPr>
          <w:trHeight w:val="33"/>
        </w:trPr>
        <w:tc>
          <w:tcPr>
            <w:tcW w:w="4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42"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2016</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164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517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2C2C2C"/>
              </w:rPr>
              <w:t>39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2C2C2C"/>
              </w:rPr>
              <w:t>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2C2C2C"/>
              </w:rPr>
              <w:t>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162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40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149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5</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85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201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2C2C2C"/>
              </w:rPr>
              <w:t>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2C2C2C"/>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18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C2C2C"/>
              </w:rPr>
              <w:t>(32)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C2C2C"/>
              </w:rPr>
              <w:t>(136)</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2C2C2C"/>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2C2C2C"/>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85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transactions and relationships described elsewhere in these notes to the consolidated financial statements, NRG and certain subsidiaries of NRG provide services to the Company and its project entities. Amounts due to NRG subsidiaries are recorded as accounts payable - affiliate and amounts due to the Company from NRG or its subsidiaries are recorded as accounts receivable - affiliate in the Company's balance sheet.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Elbow Creek and Dover are parties to PPAs with NRG Power Marketing and generate revenue under the PPAs, which are recorded to operating revenue in the Company's consolidated statements of operations. For the three months and six months ended June 30, 2017, Elbow Creek and Dover, collectively, generated revenue of $3 million and $7 million, respectively. For the three months and six months ended June 30, 2016, Elbow Creek and Dover, collectively, generated revenue of $3 million and $6 million, respectively.</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NRG Energy Center Dover LLC, NRG Energy Center Minneapolis, NRG Energy Center Phoenix LLC, and NRG Energy Center Paxton LLC, or Thermal entities, are parties to Energy Marketing Services Agreements with NRG Power Marketing, a wholly-owned subsidiary of NRG. Under the agreements, NRG Power Marketing procures fuel and fuel transportation for the operation of Thermal entities. For the three months and six months ended June 30, 2017, Thermal entities purchased $2 million and $6 million, respectively, of natural gas from NRG Power Marketing. For the three months and six months ended June 30, 2016, Thermal entities purchased $1 million and $5 million, respectively, of natural gas from NRG Power Marketing.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Company's subsidiaries and NRG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following table summarizes material O&amp;M costs recorded in the cost of operations line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170180</wp:posOffset>
            </wp:positionV>
            <wp:extent cx="3841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p>
      <w:pPr>
        <w:spacing w:after="0" w:line="340" w:lineRule="exact"/>
        <w:rPr>
          <w:sz w:val="20"/>
          <w:szCs w:val="20"/>
          <w:color w:val="auto"/>
        </w:rPr>
      </w:pPr>
    </w:p>
    <w:p>
      <w:pPr>
        <w:ind w:left="51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38100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6" w:lineRule="exact"/>
        <w:rPr>
          <w:sz w:val="20"/>
          <w:szCs w:val="20"/>
          <w:color w:val="auto"/>
        </w:rPr>
      </w:pPr>
    </w:p>
    <w:p>
      <w:pPr>
        <w:ind w:left="5140"/>
        <w:spacing w:after="0"/>
        <w:tabs>
          <w:tab w:leader="none" w:pos="66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23495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13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23495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8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38100</wp:posOffset>
            </wp:positionV>
            <wp:extent cx="1946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7440" w:space="720"/>
            <w:col w:w="3260"/>
          </w:cols>
          <w:pgMar w:left="240" w:top="968" w:right="239" w:bottom="1440" w:gutter="0" w:footer="0" w:header="0"/>
          <w:type w:val="continuous"/>
        </w:sectPr>
      </w:pPr>
    </w:p>
    <w:tbl>
      <w:tblPr>
        <w:tblLayout w:type="fixed"/>
        <w:tblInd w:w="800" w:type="dxa"/>
        <w:tblCellMar>
          <w:top w:w="0" w:type="dxa"/>
          <w:left w:w="0" w:type="dxa"/>
          <w:bottom w:w="0" w:type="dxa"/>
          <w:right w:w="0" w:type="dxa"/>
        </w:tblCellMar>
      </w:tblP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Thermal entities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3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Conventional entities</w:t>
            </w:r>
          </w:p>
        </w:tc>
        <w:tc>
          <w:tcPr>
            <w:tcW w:w="6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3780" w:type="dxa"/>
            <w:vAlign w:val="bottom"/>
          </w:tcPr>
          <w:p>
            <w:pPr>
              <w:ind w:left="16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bl>
    <w:p>
      <w:pPr>
        <w:spacing w:after="0" w:line="175" w:lineRule="exact"/>
        <w:rPr>
          <w:sz w:val="20"/>
          <w:szCs w:val="20"/>
          <w:color w:val="auto"/>
        </w:rPr>
      </w:pPr>
    </w:p>
    <w:p>
      <w:pPr>
        <w:ind w:right="620" w:firstLine="405"/>
        <w:spacing w:after="0" w:line="342" w:lineRule="auto"/>
        <w:rPr>
          <w:sz w:val="20"/>
          <w:szCs w:val="20"/>
          <w:color w:val="auto"/>
        </w:rPr>
      </w:pPr>
      <w:r>
        <w:rPr>
          <w:rFonts w:ascii="Arial" w:cs="Arial" w:eastAsia="Arial" w:hAnsi="Arial"/>
          <w:sz w:val="16"/>
          <w:szCs w:val="16"/>
          <w:color w:val="auto"/>
        </w:rPr>
        <w:t>There were balances of $20 million and $22 million due from the entities above to NRG in accounts payable — affiliate as of June 30, 2017 and December 31, 2016, respectively. As of June 30, 2017, $9 million was recorded in long term liabilities of the consolidated balance sheet.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68" w:right="239" w:bottom="1440" w:gutter="0" w:footer="0" w:header="0"/>
          <w:type w:val="continuous"/>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GenConn incurs fees under two O&amp;M agreements with wholly-owned subsidiaries of NRG. For the three months and six months ended June 30, 2017 and June 30, 2016, the aggregate fees incurred under the agreements were $2 million and $3 million for each period in each year,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19, 2016, Marsh Landing entered into an administrative services agreement with NRG West Coast LLC, a wholly owned subsidiary of NRG. The administrative services agreement was previously between Marsh Landing and GenOn Energy Services, LLC, a wholly-owned subsidiary of NRG and was subsequently assigned to and assumed by NRG West Coast LLC. The Company reimbursed costs under this agreement of $3 million and $6 million for the three and six months ended June 30, 2017, respectively. The Company reimbursed costs under the agreement of $3 million and $5 million for the three and six months ended June 30, 2016,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 Renew Operation &amp; Maintenance LLC</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Various wholly-owned subsidiaries of the Company in the Renewables segment are party to administrative services agreements with NRG Renew Operation and Maintenance LLC, or RENOM, a wholly-owned subsidiary of NRG, which provides O&amp;M services on behalf of these entities. The Company incurred total expenses for these services in the amount of $7 million and $10 million for the three and six months ended June 30, 2017, respectively. The Company incurred total expenses for these services of $3 million and $5 million for the three and six months ended June 30, 2016, respectively. There was a balance of $3 million and $5 million due to RENOM as of June 30, 2017 and December 31, 2016, respectively.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NRG provides the Company with various operation, management, and administrative services, which include human resources, accounting, tax, legal, information systems, treasury, and risk management, as set forth in the Management Services Agreement. As of June 30, 2017, the base management fee was approximately $8 million per year, subject to an inflation-based adjustment annually at an inflation factor based on the year-over-year U.S. consumer price index. The fee is also subject to adjustments following the consummation of acquisitions and as a result of a change in the scope of services provided under the Management Services Agreement. Costs incurred under this agreement were $4 million and $6 million for the three and six months ended June 30, 2017, respectively. Costs incurred under this agreement for the three and six months ended June 30, 2016 were $3 million and $5 million, respectively. The costs incurred under the Management Service Agreement included certain direct expenses incurred by NRG on behalf of the Company in addition to the base management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June 30, 2017, Yield Operating LLC had outstanding $500 million of the 2024 Senior Notes and $350 million of the 2026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for the year ended December 31, 2016 included in the Company's May 9, 2017 Form 8-K. These Senior Notes are guaranteed by NRG Yield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Unless otherwise noted below, each of the following guarantor subsidiaries fully and unconditionally guaranteed the Senior Notes as of June 30, 2017:</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its business through and derives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NRG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this presentation, NRG Yield LLC consists of parent company operations. Guarantor subsidiaries and non-guarantor subsidiaries of NRG Yield LLC are reported on an equity basis. For companies acquired, the fair values of the assets and liabilities acquired have been presented on a push-down accounting basis. As described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the Company completed the acquisition of the March 2017 Drop Down Assets and CVSR Drop Down Asset from NRG on March 27, 2017 and September 1, 2016, respectively.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jc w:val="center"/>
        <w:ind w:right="-91"/>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112"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Cost of operations</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transaction and</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integration costs</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consolidated</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affiliates</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60"/>
              <w:spacing w:after="0"/>
              <w:rPr>
                <w:sz w:val="20"/>
                <w:szCs w:val="20"/>
                <w:color w:val="auto"/>
              </w:rPr>
            </w:pPr>
            <w:r>
              <w:rPr>
                <w:rFonts w:ascii="Arial" w:cs="Arial" w:eastAsia="Arial" w:hAnsi="Arial"/>
                <w:sz w:val="18"/>
                <w:szCs w:val="18"/>
                <w:color w:val="auto"/>
              </w:rPr>
              <w:t>Equity in earnings of unconsolidated</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20"/>
              <w:spacing w:after="0"/>
              <w:rPr>
                <w:sz w:val="20"/>
                <w:szCs w:val="20"/>
                <w:color w:val="auto"/>
              </w:rPr>
            </w:pPr>
            <w:r>
              <w:rPr>
                <w:rFonts w:ascii="Arial" w:cs="Arial" w:eastAsia="Arial" w:hAnsi="Arial"/>
                <w:sz w:val="18"/>
                <w:szCs w:val="18"/>
                <w:color w:val="auto"/>
              </w:rPr>
              <w:t>affiliates</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Less: Net loss attributable to noncontrolling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5"/>
        </w:trPr>
        <w:tc>
          <w:tcPr>
            <w:tcW w:w="32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6"/>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NRG Yield LLC</w:t>
            </w:r>
          </w:p>
        </w:tc>
        <w:tc>
          <w:tcPr>
            <w:tcW w:w="1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52" w:hanging="152"/>
        <w:spacing w:after="0"/>
        <w:tabs>
          <w:tab w:leader="none" w:pos="152"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3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12"/>
          </w:cols>
          <w:pgMar w:left="248" w:top="742" w:right="339" w:bottom="1440" w:gutter="0" w:footer="0" w:header="0"/>
        </w:sectPr>
      </w:pPr>
    </w:p>
    <w:bookmarkStart w:id="30" w:name="page31"/>
    <w:bookmarkEnd w:id="30"/>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6"/>
        </w:trPr>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1067" w:right="4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74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374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Comprehensive Income Attributable to NRG</w:t>
            </w:r>
          </w:p>
        </w:tc>
        <w:tc>
          <w:tcPr>
            <w:tcW w:w="460" w:type="dxa"/>
            <w:vAlign w:val="bottom"/>
            <w:vMerge w:val="restart"/>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1"/>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derivatives</w:t>
            </w: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5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 NRG</w:t>
            </w:r>
          </w:p>
        </w:tc>
        <w:tc>
          <w:tcPr>
            <w:tcW w:w="500" w:type="dxa"/>
            <w:vAlign w:val="bottom"/>
            <w:vMerge w:val="restart"/>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2017</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8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hanging="158"/>
        <w:spacing w:after="0"/>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742" w:right="3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4,295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Contributed capital</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hanging="158"/>
        <w:spacing w:after="0"/>
        <w:tabs>
          <w:tab w:leader="none" w:pos="16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300" w:top="958" w:right="29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rPr>
              <w:t>LLC (Note</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transactions between Yield LLC and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Acquisition of Drop Down Assets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Decrease in notes receivable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of investment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investments in unconsolidated affiliates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Transfer of funds under intercompany cash management arrangement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contributions from noncontrolling interests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distributions and return of capital to NRG prior to the acquisition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Drop Down Assets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of) proceeds from distributions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Proceeds from Issuance of Class C units</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for long-term debt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Cash, Cash Equivalents and Restricted Cash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5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742"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NRG Yield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 xml:space="preserve">Subsidiaries </w:t>
            </w:r>
            <w:r>
              <w:rPr>
                <w:rFonts w:ascii="Arial" w:cs="Arial" w:eastAsia="Arial" w:hAnsi="Arial"/>
                <w:sz w:val="8"/>
                <w:szCs w:val="8"/>
                <w:b w:val="1"/>
                <w:bCs w:val="1"/>
                <w:color w:val="auto"/>
                <w:w w:val="94"/>
              </w:rPr>
              <w:t>(a)</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w w:val="98"/>
              </w:rPr>
              <w:t>Equity in earnings of consolidated affiliates</w:t>
            </w:r>
          </w:p>
        </w:tc>
        <w:tc>
          <w:tcPr>
            <w:tcW w:w="16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of unconsolidated</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w w:val="97"/>
              </w:rPr>
              <w:t>Less: Net loss attributable to noncontrolling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Income Attributable to NRG Yield LLC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 xml:space="preserve">Retrospectively adjusted to reflect the effects of the March 2017 Drop Down Assets acquisition and the CVSR Drop Down, as further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2"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6"/>
                <w:szCs w:val="16"/>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6"/>
                <w:szCs w:val="16"/>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(a)</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w w:val="98"/>
              </w:rPr>
              <w:t>Equity in income of consolidated affiliates</w:t>
            </w:r>
          </w:p>
        </w:tc>
        <w:tc>
          <w:tcPr>
            <w:tcW w:w="3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of unconsolidated</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affiliates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Income Attributable to NRG Yield LLC</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2"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 xml:space="preserve">Retrospectively adjusted to reflect the effects of the March 2017 Drop Down Assets acquisition and the CVSR Drop Down, as further discussed in Note 1, </w:t>
      </w:r>
      <w:r>
        <w:rPr>
          <w:rFonts w:ascii="Arial" w:cs="Arial" w:eastAsia="Arial" w:hAnsi="Arial"/>
          <w:sz w:val="12"/>
          <w:szCs w:val="12"/>
          <w:i w:val="1"/>
          <w:iCs w:val="1"/>
          <w:color w:val="auto"/>
        </w:rPr>
        <w:t>Nature of Business</w:t>
      </w:r>
      <w:r>
        <w:rPr>
          <w:rFonts w:ascii="Arial" w:cs="Arial" w:eastAsia="Arial" w:hAnsi="Arial"/>
          <w:sz w:val="12"/>
          <w:szCs w:val="12"/>
          <w:color w:val="auto"/>
        </w:rPr>
        <w:t>.</w:t>
      </w:r>
    </w:p>
    <w:p>
      <w:pPr>
        <w:spacing w:after="0" w:line="32"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1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Operating</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LLC</w:t>
            </w:r>
          </w:p>
        </w:tc>
        <w:tc>
          <w:tcPr>
            <w:tcW w:w="20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80" w:type="dxa"/>
            <w:vAlign w:val="bottom"/>
          </w:tcPr>
          <w:p>
            <w:pPr>
              <w:spacing w:after="0"/>
              <w:rPr>
                <w:sz w:val="12"/>
                <w:szCs w:val="12"/>
                <w:color w:val="auto"/>
              </w:rPr>
            </w:pPr>
          </w:p>
        </w:tc>
        <w:tc>
          <w:tcPr>
            <w:tcW w:w="12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Subsidiaries </w:t>
            </w:r>
            <w:r>
              <w:rPr>
                <w:rFonts w:ascii="Arial" w:cs="Arial" w:eastAsia="Arial" w:hAnsi="Arial"/>
                <w:sz w:val="8"/>
                <w:szCs w:val="8"/>
                <w:b w:val="1"/>
                <w:bCs w:val="1"/>
                <w:color w:val="auto"/>
                <w:w w:val="90"/>
              </w:rPr>
              <w:t>(a)</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w w:val="95"/>
              </w:rPr>
              <w:t>Unrealized (loss) gain on derivatives</w:t>
            </w:r>
          </w:p>
        </w:tc>
        <w:tc>
          <w:tcPr>
            <w:tcW w:w="16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8"/>
              </w:rPr>
              <w:t>Other comprehensive (loss) gain</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Comprehensive loss attributable to</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5"/>
        </w:trPr>
        <w:tc>
          <w:tcPr>
            <w:tcW w:w="31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4"/>
              </w:rPr>
              <w:t>Comprehensive Income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6"/>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1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9"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 xml:space="preserve">Retrospectively adjusted to reflect the effects of the March 2017 Drop Down Assets acquisition and the CVSR Drop Down, as further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line="229"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Operating</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LLC</w:t>
            </w:r>
          </w:p>
        </w:tc>
        <w:tc>
          <w:tcPr>
            <w:tcW w:w="200" w:type="dxa"/>
            <w:vAlign w:val="bottom"/>
          </w:tcPr>
          <w:p>
            <w:pPr>
              <w:spacing w:after="0"/>
              <w:rPr>
                <w:sz w:val="16"/>
                <w:szCs w:val="16"/>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80" w:type="dxa"/>
            <w:vAlign w:val="bottom"/>
          </w:tcPr>
          <w:p>
            <w:pPr>
              <w:spacing w:after="0"/>
              <w:rPr>
                <w:sz w:val="16"/>
                <w:szCs w:val="16"/>
                <w:color w:val="auto"/>
              </w:rPr>
            </w:pPr>
          </w:p>
        </w:tc>
        <w:tc>
          <w:tcPr>
            <w:tcW w:w="12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9"/>
                <w:szCs w:val="9"/>
                <w:b w:val="1"/>
                <w:bCs w:val="1"/>
                <w:color w:val="auto"/>
              </w:rPr>
              <w:t>(a)</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Subsidiaries </w:t>
            </w:r>
            <w:r>
              <w:rPr>
                <w:rFonts w:ascii="Arial" w:cs="Arial" w:eastAsia="Arial" w:hAnsi="Arial"/>
                <w:sz w:val="8"/>
                <w:szCs w:val="8"/>
                <w:b w:val="1"/>
                <w:bCs w:val="1"/>
                <w:color w:val="auto"/>
                <w:w w:val="90"/>
              </w:rPr>
              <w:t>(a)</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300" w:type="dxa"/>
            <w:vAlign w:val="bottom"/>
          </w:tcPr>
          <w:p>
            <w:pPr>
              <w:spacing w:after="0"/>
              <w:rPr>
                <w:sz w:val="21"/>
                <w:szCs w:val="21"/>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Comprehensive loss attributable to</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5"/>
        </w:trPr>
        <w:tc>
          <w:tcPr>
            <w:tcW w:w="31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Loss Attributable to</w:t>
            </w:r>
          </w:p>
        </w:tc>
        <w:tc>
          <w:tcPr>
            <w:tcW w:w="3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6"/>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3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9"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 xml:space="preserve">Retrospectively adjusted to reflect the effects of the March 2017 Drop Down Assets acquisition and the CVSR Drop Down, as further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line="229"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60" w:type="dxa"/>
            <w:vAlign w:val="bottom"/>
          </w:tcPr>
          <w:p>
            <w:pPr>
              <w:ind w:left="13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4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34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8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Current portion of long-term debt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external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Accrued expenses and other current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3460" w:type="dxa"/>
            <w:vAlign w:val="bottom"/>
          </w:tcPr>
          <w:p>
            <w:pPr>
              <w:ind w:left="28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Contributed capital</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Guarantor</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8"/>
              </w:rPr>
              <w:t>Operating LLC</w:t>
            </w:r>
          </w:p>
        </w:tc>
        <w:tc>
          <w:tcPr>
            <w:tcW w:w="200" w:type="dxa"/>
            <w:vAlign w:val="bottom"/>
          </w:tcPr>
          <w:p>
            <w:pPr>
              <w:spacing w:after="0"/>
              <w:rPr>
                <w:sz w:val="16"/>
                <w:szCs w:val="16"/>
                <w:color w:val="auto"/>
              </w:rPr>
            </w:pPr>
          </w:p>
        </w:tc>
        <w:tc>
          <w:tcPr>
            <w:tcW w:w="12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 xml:space="preserve">Consolidated </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62"/>
        </w:trPr>
        <w:tc>
          <w:tcPr>
            <w:tcW w:w="4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9"/>
                <w:szCs w:val="9"/>
                <w:b w:val="1"/>
                <w:bCs w:val="1"/>
                <w:color w:val="auto"/>
                <w:w w:val="90"/>
              </w:rPr>
              <w:t>(a)</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2C2C2C"/>
                <w:w w:val="93"/>
              </w:rPr>
              <w:t>(Note Issuer)</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w w:val="99"/>
              </w:rPr>
              <w:t>Net Cash Provided by (Used in) Operating Activities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Intercompany transactions from Yield LLC to</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3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Decrease in notes receivable</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Net investments in unconsolidated affiliates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w w:val="94"/>
              </w:rPr>
              <w:t>Transfer of funds under intercompany cash management</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arrangement</w:t>
            </w:r>
          </w:p>
        </w:tc>
        <w:tc>
          <w:tcPr>
            <w:tcW w:w="3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w w:val="95"/>
              </w:rPr>
              <w:t>Net distributions and return of capital to NRG prior to the</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acquisition of Drop Down Assets</w:t>
            </w:r>
          </w:p>
        </w:tc>
        <w:tc>
          <w:tcPr>
            <w:tcW w:w="3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proceeds from distributions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Proceeds from the revolving credit facility</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the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Payments for long-term debt</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5"/>
        </w:trPr>
        <w:tc>
          <w:tcPr>
            <w:tcW w:w="44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3"/>
              </w:rPr>
              <w:t>Net (Decrease) Increase in Cash, Cash Equivalents and</w:t>
            </w: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5"/>
        </w:trPr>
        <w:tc>
          <w:tcPr>
            <w:tcW w:w="44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Cash, Cash Equivalents and Restricted Cash at End of</w:t>
            </w:r>
          </w:p>
        </w:tc>
        <w:tc>
          <w:tcPr>
            <w:tcW w:w="32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6"/>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3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9"/>
          <w:szCs w:val="9"/>
          <w:color w:val="auto"/>
        </w:rPr>
      </w:pPr>
      <w:r>
        <w:rPr>
          <w:rFonts w:ascii="Arial" w:cs="Arial" w:eastAsia="Arial" w:hAnsi="Arial"/>
          <w:sz w:val="14"/>
          <w:szCs w:val="14"/>
          <w:color w:val="auto"/>
        </w:rPr>
        <w:t xml:space="preserve">Retrospectively adjusted to reflect the effects of the March 2017 Drop Down Assets acquisition and the CVSR Drop Down, as further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line="229"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putative class action lawsuit against NRG Yield, Inc., the current and former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The defendants filed demurrers and a motion challenging jurisdiction on October 18, 2016. On June 16, 2017, the court approved the parties' stipulation which provides the plaintiffs' opposition is due on September 15, 2017 and defendants' reply is due on November 15, 2017.</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Ahmed v. NRG Energy, Inc. and the NRG Yield Board of Directors </w:t>
      </w:r>
      <w:r>
        <w:rPr>
          <w:rFonts w:ascii="Arial" w:cs="Arial" w:eastAsia="Arial" w:hAnsi="Arial"/>
          <w:sz w:val="18"/>
          <w:szCs w:val="18"/>
          <w:color w:val="auto"/>
        </w:rPr>
        <w:t>— On September 15, 2016, plaintiffs filed a putative class action lawsuit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NRG Energy, Inc., the directors of NRG Yield, Inc., and other 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The defendants' reply was filed on March 24, 2017. The court heard oral argument on the defendants' motion to dismiss on June 20, 2017.</w:t>
      </w:r>
    </w:p>
    <w:p>
      <w:pPr>
        <w:spacing w:after="0" w:line="139"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i w:val="1"/>
          <w:iCs w:val="1"/>
          <w:color w:val="auto"/>
        </w:rPr>
        <w:t xml:space="preserve">GenOn Noteholders' Lawsuit </w:t>
      </w:r>
      <w:r>
        <w:rPr>
          <w:rFonts w:ascii="Arial" w:cs="Arial" w:eastAsia="Arial" w:hAnsi="Arial"/>
          <w:sz w:val="16"/>
          <w:szCs w:val="16"/>
          <w:color w:val="auto"/>
        </w:rPr>
        <w:t>— On December 13, 2016, certain indenture trustees for an ad hoc group of holders, or the Noteholders, of the GenOn</w:t>
      </w:r>
      <w:r>
        <w:rPr>
          <w:rFonts w:ascii="Arial" w:cs="Arial" w:eastAsia="Arial" w:hAnsi="Arial"/>
          <w:sz w:val="16"/>
          <w:szCs w:val="16"/>
          <w:i w:val="1"/>
          <w:iCs w:val="1"/>
          <w:color w:val="auto"/>
        </w:rPr>
        <w:t xml:space="preserve"> </w:t>
      </w:r>
      <w:r>
        <w:rPr>
          <w:rFonts w:ascii="Arial" w:cs="Arial" w:eastAsia="Arial" w:hAnsi="Arial"/>
          <w:sz w:val="16"/>
          <w:szCs w:val="16"/>
          <w:color w:val="auto"/>
        </w:rPr>
        <w:t>Energy, Inc., or GenOn, 7.875% Senior Notes due 2017, 9.500% Notes due 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Pursuant to the terms of the restructuring support and lock-up agreement, this matter should ultimately be resolved if GenOn's plan of reorganization is approved by the United States Bankruptcy Court for the Southern District of Texas, Houston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a) the Company's September 2016 acquisition of the controlling interest in CVSR and b) the effect of the March 2017 Drop Down Assets, which were acquired from NRG on March 27, 2017.</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and six months ended June 30, 2017, and 2016. Also refer to the </w:t>
      </w:r>
      <w:r>
        <w:rPr>
          <w:rFonts w:ascii="Arial" w:cs="Arial" w:eastAsia="Arial" w:hAnsi="Arial"/>
          <w:sz w:val="18"/>
          <w:szCs w:val="18"/>
          <w:color w:val="231F20"/>
        </w:rPr>
        <w:t>Company's May 9,</w:t>
      </w:r>
      <w:r>
        <w:rPr>
          <w:rFonts w:ascii="Arial" w:cs="Arial" w:eastAsia="Arial" w:hAnsi="Arial"/>
          <w:sz w:val="18"/>
          <w:szCs w:val="18"/>
          <w:color w:val="auto"/>
        </w:rPr>
        <w:t xml:space="preserve"> 2017 Form 8-K,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NRG Yield LLC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distributions income from a diversified portfolio of lower-risk high-quality assets.</w:t>
      </w:r>
    </w:p>
    <w:p>
      <w:pPr>
        <w:spacing w:after="0" w:line="9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4,879 net MW as of June 30, 2017.</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16 years as of June 30, 2017,</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 steam and chilled</w:t>
      </w:r>
      <w:r>
        <w:rPr>
          <w:rFonts w:ascii="Arial" w:cs="Arial" w:eastAsia="Arial" w:hAnsi="Arial"/>
          <w:sz w:val="17"/>
          <w:szCs w:val="17"/>
          <w:color w:val="auto"/>
        </w:rPr>
        <w:t xml:space="preserve"> </w:t>
      </w:r>
      <w:r>
        <w:rPr>
          <w:rFonts w:ascii="Arial" w:cs="Arial" w:eastAsia="Arial" w:hAnsi="Arial"/>
          <w:sz w:val="17"/>
          <w:szCs w:val="17"/>
          <w:color w:val="231F20"/>
        </w:rPr>
        <w:t>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Transformation Plan</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Yield, Inc. and receives distributions from the Company through its ownership of Class B units and Class D units. NRG stated that the strategic alternatives span a variety of ownership structures and partnership types, including the potential partial or full monetization of NRG's renewables platform and NRG's interest in the Company. NRG is Yield, Inc.'s controlling stockholder and the Company has been highly dependent on NRG for, among other things, growth opportunities and management and administration services.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Company's 2016 Form 10-K as well as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report, for risks related to the NRG Transformation Plan and the Company's relationship with NRG.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2016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3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environmental matters are described in the Company’s 2016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become more stringent over time, although this trend could slow or pause in the near term with respect to federal laws under the current U.S. presidential administration.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trends are described in the Company’s May 9, 2017 Form 8-K in Item 7, Management’s Discussion and Analysis of Financial Condition and Results of Operations - Trends Affecting Results of Operations and Future Business Performance.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Operational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 Segundo Forced Outage</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January 2017, the El Segundo Energy Center began a forced outage on Units 5 and 6 due to increasing vibrations on successive operations at Unit 5. In consultation with the Company’s operations and maintenance service provider, a subsidiary of NRG Energy Inc., the Company elected to replace the rotor on Unit 5. Both Unit 5 and 6 returned to service on February 24, 2017. In July 2017, the Company executed a warranty settlement agreement with the original equipment manufacturer that reduced total cost from $12 million to approximately $5 million.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Walnut Creek Forced Outage</w:t>
      </w:r>
    </w:p>
    <w:p>
      <w:pPr>
        <w:spacing w:after="0" w:line="25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second quarter of 2017, Walnut Creek experienced several forced outages due to mechanical failures of turbine parts that caused downstream damage to several of the plants units. The plant is currently in service as of July 2017. The estimated cost of these outages is approximately $8 million before the recovery of insurance proceeds, a significant portion of which the Company believes is recoverable by year end. The Company continues to work with both NRG, the plant's O&amp;M service provider, and the plant’s original equipment manufacturer on mitigation plans to improve long term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otherwise noted)</w:t>
            </w:r>
          </w:p>
        </w:tc>
        <w:tc>
          <w:tcPr>
            <w:tcW w:w="22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Emissions credit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Operations and maintenance</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28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Business metrics:</w:t>
            </w:r>
          </w:p>
        </w:tc>
        <w:tc>
          <w:tcPr>
            <w:tcW w:w="13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2,041</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3,819</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(a)(b)</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3"/>
                <w:szCs w:val="23"/>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637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Thermal MWt sold (in thousands)</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r>
      <w:tr>
        <w:trPr>
          <w:trHeight w:val="341"/>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14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7"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as the Conventional facilities sell capacity rather than energy.</w:t>
      </w:r>
    </w:p>
    <w:p>
      <w:pPr>
        <w:spacing w:after="0" w:line="20" w:lineRule="exact"/>
        <w:rPr>
          <w:rFonts w:ascii="Arial" w:cs="Arial" w:eastAsia="Arial" w:hAnsi="Arial"/>
          <w:sz w:val="18"/>
          <w:szCs w:val="18"/>
          <w:color w:val="auto"/>
          <w:vertAlign w:val="superscript"/>
        </w:rPr>
      </w:pPr>
    </w:p>
    <w:p>
      <w:pPr>
        <w:ind w:right="120" w:firstLine="8"/>
        <w:spacing w:after="0" w:line="245" w:lineRule="auto"/>
        <w:tabs>
          <w:tab w:leader="none" w:pos="160" w:val="left"/>
        </w:tabs>
        <w:numPr>
          <w:ilvl w:val="0"/>
          <w:numId w:val="27"/>
        </w:numPr>
        <w:rPr>
          <w:rFonts w:ascii="Arial" w:cs="Arial" w:eastAsia="Arial" w:hAnsi="Arial"/>
          <w:sz w:val="19"/>
          <w:szCs w:val="19"/>
          <w:color w:val="auto"/>
          <w:vertAlign w:val="superscript"/>
        </w:rPr>
      </w:pPr>
      <w:r>
        <w:rPr>
          <w:rFonts w:ascii="Arial" w:cs="Arial" w:eastAsia="Arial" w:hAnsi="Arial"/>
          <w:sz w:val="13"/>
          <w:szCs w:val="13"/>
          <w:color w:val="auto"/>
        </w:rPr>
        <w:t xml:space="preserve">MWh sold do not include 11 MWh and 23 MWh during the three months ended June 30, 2017 and 2016, respectively, and 18 MWh and 74 MWh during the six months ended June 30, 2017 and 2016, respectively, generated by NRG Dover, a subsidiary of the Company, under the PPA with NRG Power Marketing, as further described in Note 9,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June 30, 2017 and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6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2017</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$2 million during the three months ended June 30, 2017, compared to the same period in 2016, primarily due to an increase in earnings from the Utah Solar Portfolio, which was acquired by NRG in November 2016, as well as increase in earnings from Desert Sunlight, partially offset by a decrease in earnings from the Company's partnerships with NRG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increased by $17 million during the three months ended June 30, 2017, compared to the same period in 2016, due to:</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de-designated interest rate swaps, as well as the change in fair value of 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29"/>
        </w:trPr>
        <w:tc>
          <w:tcPr>
            <w:tcW w:w="10280" w:type="dxa"/>
            <w:vAlign w:val="bottom"/>
          </w:tcPr>
          <w:p>
            <w:pPr>
              <w:ind w:left="40"/>
              <w:spacing w:after="0"/>
              <w:rPr>
                <w:sz w:val="20"/>
                <w:szCs w:val="20"/>
                <w:color w:val="auto"/>
              </w:rPr>
            </w:pPr>
            <w:r>
              <w:rPr>
                <w:rFonts w:ascii="Arial" w:cs="Arial" w:eastAsia="Arial" w:hAnsi="Arial"/>
                <w:sz w:val="18"/>
                <w:szCs w:val="18"/>
                <w:color w:val="auto"/>
                <w:w w:val="92"/>
              </w:rPr>
              <w:t>Issuance of the new long-term debt in the second half of 2016, including 2026 Senior Notes, CVSR Holdco Notes due 2037, Energy Center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0280" w:type="dxa"/>
            <w:vAlign w:val="bottom"/>
          </w:tcPr>
          <w:p>
            <w:pPr>
              <w:ind w:left="200"/>
              <w:spacing w:after="0"/>
              <w:rPr>
                <w:sz w:val="20"/>
                <w:szCs w:val="20"/>
                <w:color w:val="auto"/>
              </w:rPr>
            </w:pPr>
            <w:r>
              <w:rPr>
                <w:rFonts w:ascii="Arial" w:cs="Arial" w:eastAsia="Arial" w:hAnsi="Arial"/>
                <w:sz w:val="18"/>
                <w:szCs w:val="18"/>
                <w:color w:val="auto"/>
              </w:rPr>
              <w:t>Minneapolis Series D due 2025 Notes</w:t>
            </w: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10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 Solar Portfolio debt assumed in connection with the acquisition of the March 2017 Drop Down Assets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Lower principal balances on certain project level debt in 2017, as well as higher revolver borrowings in 2016</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0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three months ended June 30, 2017, the Company had income of $3 million attributable to NRG's 25% ownership of the Class B interests in NRG Wind TE Holdco and a loss of $22 million attributable to noncontrolling interests with respect to its tax equity financing arrangements and the application of the HLBV method. For the three months ended June 30, 2016, the Company had income of $1 million attributable to NRG's 25% ownership of the Class B interests in NRG Wind TE Holdco and a loss of $16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Management’s Discussion of the Results of Operations for the Six Months Ended June 30, 2017 and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six months ended June 30, 2017 and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Six months ended June 30, 2017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Six months ended June 30, 2016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Emissions credit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Emissions credit amortization</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w w:val="79"/>
              </w:rPr>
              <w:t>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9" w:name="page50"/>
    <w:bookmarkEnd w:id="49"/>
    <w:p>
      <w:pPr>
        <w:jc w:val="both"/>
        <w:ind w:firstLine="648"/>
        <w:spacing w:after="0" w:line="277" w:lineRule="auto"/>
        <w:rPr>
          <w:sz w:val="20"/>
          <w:szCs w:val="20"/>
          <w:color w:val="auto"/>
        </w:rPr>
      </w:pPr>
      <w:r>
        <w:rPr>
          <w:rFonts w:ascii="Arial" w:cs="Arial" w:eastAsia="Arial" w:hAnsi="Arial"/>
          <w:sz w:val="18"/>
          <w:szCs w:val="18"/>
          <w:color w:val="auto"/>
        </w:rPr>
        <w:t>Gross margin decreased by $9 million and economic gross margin decreased by $15 million during the six months ended June 30, 2017, compared to the same period in 2016 due to:</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8% decrease in volume generated at the Alta Wind projects due to lower wind resources in 2017, as well as a 5% decrease in solar</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generation due to lower insolation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w w:val="90"/>
              </w:rPr>
              <w:t>Decrease in Conventional Generation primarily due to lower revenues at El Segundo and Walnut Creek as a result of forced outages in 2017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Decrease in economic 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2"/>
              </w:rPr>
              <w:t>Emissions credit amortization of NOx allowances at Walnut Creek and El Segundo in compliance with amendments to the Regional Clean</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Air Incentives Market program in 2016</w:t>
            </w:r>
          </w:p>
        </w:tc>
        <w:tc>
          <w:tcPr>
            <w:tcW w:w="2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Decrease in gross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0"/>
        </w:trPr>
        <w:tc>
          <w:tcPr>
            <w:tcW w:w="10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increased by $4 million during the six months ended June 30, 2017, compared to the same period in 2016, primarily due to forced outages at Walnut Creek and El Segundo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$17 million during the six months ended June 30, 2017, compared to the same period in 2016, primarily due to the acquisition of Utah Solar Portfolio in November 2016, as well as increase in earnings from Elkhorn Ridge, partially offset by a decrease in earnings from the Company's partnerships with NRG.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$19 million during the six months ended June 30, 2017, compared to the same period in 2016, due to:</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Issuance of the new long-term debt in the second half of 2016, including 2026 Senior Notes, CVSR Holdco Notes due 2037, and Energy</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Center Minneapolis Series D Notes due 2025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Utah Solar Portfolio debt assumed in connection with the acquisition of the March 2017 Drop Down Assets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de-designated interest rate swaps, partially offset by the change in fair value of 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Higher revolver borrowings in 2016 combined with the lower principal balances on project level debt in 2017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six months ended June 30, 2017, the Company had income of $5 million attributable to NRG's 25% ownership of the Class B interests in NRG Wind TE Holdco and a loss of $33 million attributable to noncontrolling interests with respect to its tax equity financing arrangements and the application of the HLBV method. For the six months ended June 30, 2016, the Company had income of $3 million attributable to NRG's 25% ownership of the Class B interests in NRG Wind TE Holdco and a loss of $29 million attributable to noncontrolling interests with respect to its tax equity financing arrangements and application of the HLBV method.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June 30, 2017</w:t>
      </w:r>
      <w:r>
        <w:rPr>
          <w:rFonts w:ascii="Arial" w:cs="Arial" w:eastAsia="Arial" w:hAnsi="Arial"/>
          <w:sz w:val="16"/>
          <w:szCs w:val="16"/>
          <w:color w:val="231F20"/>
        </w:rPr>
        <w:t xml:space="preserve"> and </w:t>
      </w:r>
      <w:r>
        <w:rPr>
          <w:rFonts w:ascii="Arial" w:cs="Arial" w:eastAsia="Arial" w:hAnsi="Arial"/>
          <w:sz w:val="16"/>
          <w:szCs w:val="16"/>
          <w:color w:val="000000"/>
        </w:rPr>
        <w:t>December 31, 2016</w:t>
      </w:r>
      <w:r>
        <w:rPr>
          <w:rFonts w:ascii="Arial" w:cs="Arial" w:eastAsia="Arial" w:hAnsi="Arial"/>
          <w:sz w:val="16"/>
          <w:szCs w:val="16"/>
          <w:color w:val="231F20"/>
        </w:rPr>
        <w:t xml:space="preserve">, the Company's liquidity was approximately $720 million and $921 million, respectively, comprised of cash, restricted cash, and availability under the Company's revolving credit facility. The Company's liquidity includes $114 million and $165 million of restricted cash balances as of </w:t>
      </w:r>
      <w:r>
        <w:rPr>
          <w:rFonts w:ascii="Arial" w:cs="Arial" w:eastAsia="Arial" w:hAnsi="Arial"/>
          <w:sz w:val="16"/>
          <w:szCs w:val="16"/>
          <w:color w:val="000000"/>
        </w:rPr>
        <w:t>June 30, 2017</w:t>
      </w:r>
      <w:r>
        <w:rPr>
          <w:rFonts w:ascii="Arial" w:cs="Arial" w:eastAsia="Arial" w:hAnsi="Arial"/>
          <w:sz w:val="16"/>
          <w:szCs w:val="16"/>
          <w:color w:val="231F20"/>
        </w:rPr>
        <w:t xml:space="preserve"> and </w:t>
      </w:r>
      <w:r>
        <w:rPr>
          <w:rFonts w:ascii="Arial" w:cs="Arial" w:eastAsia="Arial" w:hAnsi="Arial"/>
          <w:sz w:val="16"/>
          <w:szCs w:val="16"/>
          <w:color w:val="000000"/>
        </w:rPr>
        <w:t>December 31, 2016</w:t>
      </w:r>
      <w:r>
        <w:rPr>
          <w:rFonts w:ascii="Arial" w:cs="Arial" w:eastAsia="Arial" w:hAnsi="Arial"/>
          <w:sz w:val="16"/>
          <w:szCs w:val="16"/>
          <w:color w:val="231F20"/>
        </w:rPr>
        <w:t xml:space="preserve">, respectively. Restricted cash consists primarily of funds to satisfy the requirements of certain debt agreements and funds held within the Company's projects that are restricted in their use. The Company's various financing arrangements are described in Note 7, </w:t>
      </w:r>
      <w:r>
        <w:rPr>
          <w:rFonts w:ascii="Arial" w:cs="Arial" w:eastAsia="Arial" w:hAnsi="Arial"/>
          <w:sz w:val="16"/>
          <w:szCs w:val="16"/>
          <w:i w:val="1"/>
          <w:iCs w:val="1"/>
          <w:color w:val="231F20"/>
        </w:rPr>
        <w:t>Long-term Debt.</w:t>
      </w:r>
      <w:r>
        <w:rPr>
          <w:rFonts w:ascii="Arial" w:cs="Arial" w:eastAsia="Arial" w:hAnsi="Arial"/>
          <w:sz w:val="16"/>
          <w:szCs w:val="16"/>
          <w:color w:val="231F20"/>
        </w:rPr>
        <w:t xml:space="preserve"> As of </w:t>
      </w:r>
      <w:r>
        <w:rPr>
          <w:rFonts w:ascii="Arial" w:cs="Arial" w:eastAsia="Arial" w:hAnsi="Arial"/>
          <w:sz w:val="16"/>
          <w:szCs w:val="16"/>
          <w:color w:val="000000"/>
        </w:rPr>
        <w:t>June 30, 2017</w:t>
      </w:r>
      <w:r>
        <w:rPr>
          <w:rFonts w:ascii="Arial" w:cs="Arial" w:eastAsia="Arial" w:hAnsi="Arial"/>
          <w:sz w:val="16"/>
          <w:szCs w:val="16"/>
          <w:color w:val="231F20"/>
        </w:rPr>
        <w:t>, the Company had $427 million of available borrowings under its revolving credit facility.</w:t>
      </w:r>
    </w:p>
    <w:p>
      <w:pPr>
        <w:spacing w:after="0" w:line="10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w:t>
      </w:r>
      <w:r>
        <w:rPr>
          <w:rFonts w:ascii="Arial" w:cs="Arial" w:eastAsia="Arial" w:hAnsi="Arial"/>
          <w:sz w:val="18"/>
          <w:szCs w:val="18"/>
          <w:color w:val="231F20"/>
        </w:rPr>
        <w:t>, there were no outstanding borrowings and there were $68 million of letters of credit outstanding under the Company's revolving credit facility.</w:t>
      </w:r>
    </w:p>
    <w:p>
      <w:pPr>
        <w:spacing w:after="0" w:line="11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 the Company's 2024 Senior Notes and 2026 Senior Notes are rated BB by S&amp;P and Ba2 by Moody's, respectively. The ratings</w:t>
      </w:r>
      <w:r>
        <w:rPr>
          <w:rFonts w:ascii="Arial" w:cs="Arial" w:eastAsia="Arial" w:hAnsi="Arial"/>
          <w:sz w:val="18"/>
          <w:szCs w:val="18"/>
          <w:color w:val="231F20"/>
        </w:rPr>
        <w:t xml:space="preserve"> </w:t>
      </w:r>
      <w:r>
        <w:rPr>
          <w:rFonts w:ascii="Arial" w:cs="Arial" w:eastAsia="Arial" w:hAnsi="Arial"/>
          <w:sz w:val="18"/>
          <w:szCs w:val="18"/>
          <w:color w:val="000000"/>
        </w:rPr>
        <w:t>outlook is stable.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Arial" w:cs="Arial" w:eastAsia="Arial" w:hAnsi="Arial"/>
          <w:sz w:val="18"/>
          <w:szCs w:val="18"/>
          <w:i w:val="1"/>
          <w:iCs w:val="1"/>
          <w:color w:val="231F20"/>
        </w:rPr>
        <w:t>Long-term</w:t>
      </w:r>
      <w:r>
        <w:rPr>
          <w:rFonts w:ascii="Arial" w:cs="Arial" w:eastAsia="Arial" w:hAnsi="Arial"/>
          <w:sz w:val="18"/>
          <w:szCs w:val="18"/>
          <w:color w:val="231F20"/>
        </w:rPr>
        <w:t xml:space="preserve"> </w:t>
      </w:r>
      <w:r>
        <w:rPr>
          <w:rFonts w:ascii="Arial" w:cs="Arial" w:eastAsia="Arial" w:hAnsi="Arial"/>
          <w:sz w:val="18"/>
          <w:szCs w:val="18"/>
          <w:i w:val="1"/>
          <w:iCs w:val="1"/>
          <w:color w:val="231F20"/>
        </w:rPr>
        <w:t>Debt</w:t>
      </w:r>
      <w:r>
        <w:rPr>
          <w:rFonts w:ascii="Arial" w:cs="Arial" w:eastAsia="Arial" w:hAnsi="Arial"/>
          <w:sz w:val="18"/>
          <w:szCs w:val="18"/>
          <w:color w:val="231F20"/>
        </w:rPr>
        <w:t>, to this Form 10-Q and Note 10,</w:t>
      </w:r>
      <w:r>
        <w:rPr>
          <w:rFonts w:ascii="Arial" w:cs="Arial" w:eastAsia="Arial" w:hAnsi="Arial"/>
          <w:sz w:val="18"/>
          <w:szCs w:val="18"/>
          <w:i w:val="1"/>
          <w:iCs w:val="1"/>
          <w:color w:val="231F20"/>
        </w:rPr>
        <w:t xml:space="preserve"> Long-term Debt</w:t>
      </w:r>
      <w:r>
        <w:rPr>
          <w:rFonts w:ascii="Arial" w:cs="Arial" w:eastAsia="Arial" w:hAnsi="Arial"/>
          <w:sz w:val="18"/>
          <w:szCs w:val="18"/>
          <w:color w:val="231F20"/>
        </w:rPr>
        <w:t>, to the consolidated financial statements included in the Company's May 9,</w:t>
      </w:r>
      <w:r>
        <w:rPr>
          <w:rFonts w:ascii="Arial" w:cs="Arial" w:eastAsia="Arial" w:hAnsi="Arial"/>
          <w:sz w:val="18"/>
          <w:szCs w:val="18"/>
          <w:i w:val="1"/>
          <w:iCs w:val="1"/>
          <w:color w:val="231F20"/>
        </w:rPr>
        <w:t xml:space="preserve"> </w:t>
      </w:r>
      <w:r>
        <w:rPr>
          <w:rFonts w:ascii="Arial" w:cs="Arial" w:eastAsia="Arial" w:hAnsi="Arial"/>
          <w:sz w:val="18"/>
          <w:szCs w:val="18"/>
          <w:color w:val="000000"/>
        </w:rPr>
        <w:t>2017 Form 8-K</w:t>
      </w:r>
      <w:r>
        <w:rPr>
          <w:rFonts w:ascii="Arial" w:cs="Arial" w:eastAsia="Arial" w:hAnsi="Arial"/>
          <w:sz w:val="18"/>
          <w:szCs w:val="18"/>
          <w:color w:val="231F20"/>
        </w:rPr>
        <w:t>,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Company's financing arrangements consist of the revolving credit facility, the Senior Notes, the ATM Program, its intercompany borrowings with Yield, Inc. and project-level financings for its various assets.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three months ended June 30, 2017, Yield, Inc. issued 510,112 shares of Class C common stock under the ATM Program for gross proceeds of $9 million. During the six months ended June 30, 2017, Yield, Inc. issued 934,139 shares of Class C common stock under the ATM Program for gross proceeds of $16 million and incurred commission fees of $163 thousand. Yield, Inc. used the net proceeds to acquire 934,139 Class C units from Yield LLC.</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1" w:name="page52"/>
    <w:bookmarkEnd w:id="51"/>
    <w:p>
      <w:pPr>
        <w:ind w:left="420"/>
        <w:spacing w:after="0"/>
        <w:rPr>
          <w:sz w:val="20"/>
          <w:szCs w:val="20"/>
          <w:color w:val="auto"/>
        </w:rPr>
      </w:pPr>
      <w:r>
        <w:rPr>
          <w:rFonts w:ascii="Arial" w:cs="Arial" w:eastAsia="Arial" w:hAnsi="Arial"/>
          <w:sz w:val="18"/>
          <w:szCs w:val="18"/>
          <w:i w:val="1"/>
          <w:iCs w:val="1"/>
          <w:color w:val="auto"/>
        </w:rPr>
        <w:t>Thermal Financing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8"/>
          <w:szCs w:val="18"/>
          <w:color w:val="231F20"/>
        </w:rPr>
        <w:t>The Series F Notes will be secured by substantially all of the</w:t>
      </w:r>
      <w:r>
        <w:rPr>
          <w:rFonts w:ascii="Arial" w:cs="Arial" w:eastAsia="Arial" w:hAnsi="Arial"/>
          <w:sz w:val="18"/>
          <w:szCs w:val="18"/>
          <w:color w:val="auto"/>
        </w:rPr>
        <w:t xml:space="preserve"> </w:t>
      </w:r>
      <w:r>
        <w:rPr>
          <w:rFonts w:ascii="Arial" w:cs="Arial" w:eastAsia="Arial" w:hAnsi="Arial"/>
          <w:sz w:val="18"/>
          <w:szCs w:val="18"/>
          <w:color w:val="231F20"/>
        </w:rPr>
        <w:t>assets of NRG Energy Center Minneapolis LLC. NRG Thermal LLC has guaranteed the indebtedness and its guarantee is secured by a pledge of the equity interests in all of NRG Thermal LLC’s subsidiaries.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distributions.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The Company develops annual capital spending plans based on projected requirements for maintenance and growth capital. For the six months ended </w:t>
      </w:r>
      <w:r>
        <w:rPr>
          <w:rFonts w:ascii="Arial" w:cs="Arial" w:eastAsia="Arial" w:hAnsi="Arial"/>
          <w:sz w:val="18"/>
          <w:szCs w:val="18"/>
          <w:color w:val="000000"/>
        </w:rPr>
        <w:t>June 30, 2017</w:t>
      </w:r>
      <w:r>
        <w:rPr>
          <w:rFonts w:ascii="Arial" w:cs="Arial" w:eastAsia="Arial" w:hAnsi="Arial"/>
          <w:sz w:val="18"/>
          <w:szCs w:val="18"/>
          <w:color w:val="231F20"/>
        </w:rPr>
        <w:t xml:space="preserve">, the Company used approximately $13 million to fund capital expenditures, including growth </w:t>
      </w:r>
      <w:r>
        <w:rPr>
          <w:rFonts w:ascii="Arial" w:cs="Arial" w:eastAsia="Arial" w:hAnsi="Arial"/>
          <w:sz w:val="18"/>
          <w:szCs w:val="18"/>
          <w:color w:val="000000"/>
        </w:rPr>
        <w:t>expenses of $2 million in the Thermal segment incurred in connection with</w:t>
      </w:r>
      <w:r>
        <w:rPr>
          <w:rFonts w:ascii="Arial" w:cs="Arial" w:eastAsia="Arial" w:hAnsi="Arial"/>
          <w:sz w:val="18"/>
          <w:szCs w:val="18"/>
          <w:color w:val="231F20"/>
        </w:rPr>
        <w:t xml:space="preserve"> </w:t>
      </w:r>
      <w:r>
        <w:rPr>
          <w:rFonts w:ascii="Arial" w:cs="Arial" w:eastAsia="Arial" w:hAnsi="Arial"/>
          <w:sz w:val="18"/>
          <w:szCs w:val="18"/>
          <w:color w:val="000000"/>
        </w:rPr>
        <w:t xml:space="preserve">expansion of its customer base. </w:t>
      </w:r>
      <w:r>
        <w:rPr>
          <w:rFonts w:ascii="Arial" w:cs="Arial" w:eastAsia="Arial" w:hAnsi="Arial"/>
          <w:sz w:val="18"/>
          <w:szCs w:val="18"/>
          <w:color w:val="231F20"/>
        </w:rPr>
        <w:t>For the six months ended June 30,</w:t>
      </w:r>
      <w:r>
        <w:rPr>
          <w:rFonts w:ascii="Arial" w:cs="Arial" w:eastAsia="Arial" w:hAnsi="Arial"/>
          <w:sz w:val="18"/>
          <w:szCs w:val="18"/>
          <w:color w:val="000000"/>
        </w:rPr>
        <w:t xml:space="preserve"> 2016</w:t>
      </w:r>
      <w:r>
        <w:rPr>
          <w:rFonts w:ascii="Arial" w:cs="Arial" w:eastAsia="Arial" w:hAnsi="Arial"/>
          <w:sz w:val="18"/>
          <w:szCs w:val="18"/>
          <w:color w:val="231F20"/>
        </w:rPr>
        <w:t>, the Company used approximately $11 million to fund capital expenditures, of which</w:t>
      </w:r>
      <w:r>
        <w:rPr>
          <w:rFonts w:ascii="Arial" w:cs="Arial" w:eastAsia="Arial" w:hAnsi="Arial"/>
          <w:sz w:val="18"/>
          <w:szCs w:val="18"/>
          <w:color w:val="000000"/>
        </w:rPr>
        <w:t xml:space="preserve"> $9 million related to maintenance expenses.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and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24, 2017, the Company amended and restated the ROFO Agreement, expanding the ROFO Assets pipeline with the addition of 234 net MW of utility-scale solar projects, consisting of Buckthorn, a 154 net MW solar facility in Texas, and Hawaii solar projects, which have a combined capacity of 80 net MW. Under the ROFO Agreement, NRG has granted the Company and its affiliates a right of first offer on any proposed sale, transfer or other disposition of certain assets of NRG until February 24, 2022.</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As discussed in Item 1 —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the Company acquired the following interests from NRG: (i) Agua Caliente Borrower 2 LLC, which owns a 16% interest (approximately 31% of NRG's 51% interest) in the Agua Caliente solar farm, one of the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$130 million, plus $1 million of working capital and assumed non-recourse project debt. The purchase price for the acquisition was funded with cash on hand.</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Also as discussed in Item 1 —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August 1, 2017, the Company acquired the remaining 25% interest in NRG Wind TE Holdco, a portfolio of 12 wind projects, from NRG for total cash consideration of $41.5 million, excluding working capital adjustments. The transaction also includes potential additional payments to NRG dependent upon actual energy prices for merchant periods beginning in 2027.</w:t>
      </w:r>
    </w:p>
    <w:p>
      <w:pPr>
        <w:spacing w:after="0" w:line="1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May 23, 2017, NRG offered the Company the opportunity to form a new distributed solar investment partnership enabling up to $50 million in investment by the Company. In addition, on July 31, 2017, NRG offered the Company equity interests in a 38 MW portfolio of distributed and small utility-scale solar assets primarily comprised of assets from NRG's Solar Power Partners, or SPP, funds in addition to other projects developed since the acquisition of SPP. These equity interests are not part of the ROFO Agreement. Both the distributed solar investment partnership and the distributed and small utility-scale solar acquisition are subject to negotiation and approval by Yield, Inc.'s independent directors.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six months ended June 30, 2017, the Company invested $26 million in distributed solar investment partnerships with NRG.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2" w:name="page53"/>
    <w:bookmarkEnd w:id="52"/>
    <w:p>
      <w:pPr>
        <w:ind w:left="420"/>
        <w:spacing w:after="0"/>
        <w:rPr>
          <w:sz w:val="20"/>
          <w:szCs w:val="20"/>
          <w:color w:val="auto"/>
        </w:rPr>
      </w:pPr>
      <w:r>
        <w:rPr>
          <w:rFonts w:ascii="Arial" w:cs="Arial" w:eastAsia="Arial" w:hAnsi="Arial"/>
          <w:sz w:val="18"/>
          <w:szCs w:val="18"/>
          <w:i w:val="1"/>
          <w:iCs w:val="1"/>
          <w:color w:val="231F20"/>
        </w:rPr>
        <w:t>Cash Distributions to Yield, Inc. and NRG</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Arial" w:cs="Arial" w:eastAsia="Arial" w:hAnsi="Arial"/>
          <w:sz w:val="18"/>
          <w:szCs w:val="18"/>
          <w:color w:val="000000"/>
        </w:rPr>
        <w:t>he Class A common stock and Class C common stock are subject to available capital, market conditions, and compliance with associated laws, regulations</w:t>
      </w:r>
      <w:r>
        <w:rPr>
          <w:rFonts w:ascii="Arial" w:cs="Arial" w:eastAsia="Arial" w:hAnsi="Arial"/>
          <w:sz w:val="18"/>
          <w:szCs w:val="18"/>
          <w:color w:val="231F20"/>
        </w:rPr>
        <w:t xml:space="preserve"> </w:t>
      </w:r>
      <w:r>
        <w:rPr>
          <w:rFonts w:ascii="Arial" w:cs="Arial" w:eastAsia="Arial" w:hAnsi="Arial"/>
          <w:sz w:val="18"/>
          <w:szCs w:val="18"/>
          <w:color w:val="000000"/>
        </w:rPr>
        <w:t>and other contractual obligations. The Company expects that, based on current circumstances, comparable cash dividends will continue to be paid in the foreseeable future.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six months ended June 30, 2017:</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2017</w:t>
            </w:r>
          </w:p>
        </w:tc>
        <w:tc>
          <w:tcPr>
            <w:tcW w:w="1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First Quarter 2017</w:t>
            </w:r>
          </w:p>
        </w:tc>
      </w:tr>
      <w:tr>
        <w:trPr>
          <w:trHeight w:val="24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5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25, 2017, the Company declared a distribution on its Class A, Class B, Class C and Class D units of $0.28 per unit payable on September 15, 2017 to unit holders of record as of September 1,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six months ended June 30, 2017, compared to the six months ended June 30,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2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94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(143)</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53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00" w:type="dxa"/>
            <w:vAlign w:val="bottom"/>
          </w:tcPr>
          <w:p>
            <w:pPr>
              <w:ind w:left="40"/>
              <w:spacing w:after="0"/>
              <w:rPr>
                <w:sz w:val="20"/>
                <w:szCs w:val="20"/>
                <w:color w:val="auto"/>
              </w:rPr>
            </w:pPr>
            <w:r>
              <w:rPr>
                <w:rFonts w:ascii="Arial" w:cs="Arial" w:eastAsia="Arial" w:hAnsi="Arial"/>
                <w:sz w:val="18"/>
                <w:szCs w:val="18"/>
                <w:color w:val="auto"/>
                <w:w w:val="96"/>
              </w:rPr>
              <w:t>Changes to net cash provided by operating activities were driven by:</w:t>
            </w: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operating income adjusted for non-cash items</w:t>
            </w:r>
          </w:p>
        </w:tc>
        <w:tc>
          <w:tcPr>
            <w:tcW w:w="2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10180" w:type="dxa"/>
            <w:vAlign w:val="bottom"/>
            <w:gridSpan w:val="7"/>
          </w:tcPr>
          <w:p>
            <w:pPr>
              <w:ind w:left="40"/>
              <w:spacing w:after="0"/>
              <w:rPr>
                <w:sz w:val="20"/>
                <w:szCs w:val="20"/>
                <w:color w:val="auto"/>
              </w:rPr>
            </w:pPr>
            <w:r>
              <w:rPr>
                <w:rFonts w:ascii="Arial" w:cs="Arial" w:eastAsia="Arial" w:hAnsi="Arial"/>
                <w:sz w:val="18"/>
                <w:szCs w:val="18"/>
                <w:color w:val="auto"/>
                <w:w w:val="92"/>
              </w:rPr>
              <w:t>Decrease in working capital driven primarily by timing of cash receipts from the customers in the first six months of 2017 compared to the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0"/>
              <w:spacing w:after="0"/>
              <w:rPr>
                <w:sz w:val="20"/>
                <w:szCs w:val="20"/>
                <w:color w:val="auto"/>
              </w:rPr>
            </w:pPr>
            <w:r>
              <w:rPr>
                <w:rFonts w:ascii="Arial" w:cs="Arial" w:eastAsia="Arial" w:hAnsi="Arial"/>
                <w:sz w:val="18"/>
                <w:szCs w:val="18"/>
                <w:color w:val="auto"/>
              </w:rPr>
              <w:t>same period in 2016</w:t>
            </w:r>
          </w:p>
        </w:tc>
        <w:tc>
          <w:tcPr>
            <w:tcW w:w="2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0160" w:type="dxa"/>
            <w:vAlign w:val="bottom"/>
            <w:gridSpan w:val="6"/>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2"/>
              </w:rPr>
              <w:t>Higher distributions from unconsolidated affiliates due to the acquisition of Utah Solar Portfolio, which was acquired by NRG in November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2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30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0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made to acquire the March 2017 Drop Down Assets</w:t>
            </w:r>
          </w:p>
        </w:tc>
        <w:tc>
          <w:tcPr>
            <w:tcW w:w="2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w w:val="91"/>
              </w:rPr>
              <w:t>Decrease in investments in unconsolidated affiliates in 2017 primarily due to the timing of funding of the projects</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vMerge w:val="restart"/>
          </w:tcPr>
          <w:p>
            <w:pPr>
              <w:jc w:val="right"/>
              <w:ind w:right="1556"/>
              <w:spacing w:after="0"/>
              <w:rPr>
                <w:sz w:val="20"/>
                <w:szCs w:val="20"/>
                <w:color w:val="auto"/>
              </w:rPr>
            </w:pPr>
            <w:r>
              <w:rPr>
                <w:rFonts w:ascii="Arial" w:cs="Arial" w:eastAsia="Arial" w:hAnsi="Arial"/>
                <w:sz w:val="18"/>
                <w:szCs w:val="18"/>
                <w:color w:val="auto"/>
              </w:rPr>
              <w:t>52</w:t>
            </w: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3"/>
        </w:trPr>
        <w:tc>
          <w:tcPr>
            <w:tcW w:w="10160" w:type="dxa"/>
            <w:vAlign w:val="bottom"/>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18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Class C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Net borrowings under the revolving credit facility in 2016</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Proceeds from Agua Caliente Borrower 2 LLC borrowings in the first quarter of 2017 partially offset by higher repayments of long-term</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and increased financing fees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net contributions from noncontrolling interests due to higher production-based payments in 2017 compared to 2016</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Higher payments of distributions to NRG for the Drop Down Assets relating to the pre-acquisition period</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June 30, 2017, the Company has several investments with an ownership interest percentage of 50%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in energy and energy-related entities that are accounted for under the equity method. Utah Solar Portfolio, GenConn, DGPV Holdco 1, RPV Holdco, and DGPV Holdco 2 are variable interest entities for which the Company is not the primary beneficiary.</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$623 million as of June 30, 2017. This indebtedness may restrict the ability of these subsidiaries to issue dividends or distributions to the Company. For a complete description of debt held by unconsolidated affiliates see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for the year ended December 31, 2016 included in the Company's May 9, 2017 Form 8-K.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our capital expenditure programs, as disclosed in the Company's 2016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2017</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2017</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09"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02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8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10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0" w:type="dxa"/>
            <w:vAlign w:val="bottom"/>
          </w:tcPr>
          <w:p>
            <w:pPr>
              <w:spacing w:after="0"/>
              <w:rPr>
                <w:sz w:val="21"/>
                <w:szCs w:val="21"/>
                <w:color w:val="auto"/>
              </w:rPr>
            </w:pPr>
          </w:p>
        </w:tc>
        <w:tc>
          <w:tcPr>
            <w:tcW w:w="102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0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102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182"/>
              <w:spacing w:after="0"/>
              <w:rPr>
                <w:sz w:val="20"/>
                <w:szCs w:val="20"/>
                <w:color w:val="auto"/>
              </w:rPr>
            </w:pPr>
            <w:r>
              <w:rPr>
                <w:rFonts w:ascii="Arial" w:cs="Arial" w:eastAsia="Arial" w:hAnsi="Arial"/>
                <w:sz w:val="14"/>
                <w:szCs w:val="14"/>
                <w:b w:val="1"/>
                <w:bCs w:val="1"/>
                <w:color w:val="auto"/>
                <w:w w:val="91"/>
              </w:rPr>
              <w:t>Fair value of contracts as of June 30, 2017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rPr>
              <w:t>Maturity</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2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60" w:type="dxa"/>
            <w:vAlign w:val="bottom"/>
          </w:tcPr>
          <w:p>
            <w:pPr>
              <w:spacing w:after="0"/>
              <w:rPr>
                <w:sz w:val="13"/>
                <w:szCs w:val="13"/>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8"/>
              </w:rPr>
              <w:t>Greater Than</w:t>
            </w:r>
          </w:p>
        </w:tc>
        <w:tc>
          <w:tcPr>
            <w:tcW w:w="300" w:type="dxa"/>
            <w:vAlign w:val="bottom"/>
          </w:tcPr>
          <w:p>
            <w:pPr>
              <w:spacing w:after="0"/>
              <w:rPr>
                <w:sz w:val="13"/>
                <w:szCs w:val="13"/>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2"/>
                <w:szCs w:val="12"/>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1 Year or Less</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8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3"/>
                <w:szCs w:val="13"/>
                <w:color w:val="auto"/>
              </w:rPr>
            </w:pPr>
          </w:p>
        </w:tc>
        <w:tc>
          <w:tcPr>
            <w:tcW w:w="110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has elected to disclose derivative assets and liabilities on a trade-by-trade basis and does not offset amounts at the counterparty master agreement level. NRG, on behalf of the </w:t>
      </w:r>
      <w:r>
        <w:rPr>
          <w:rFonts w:ascii="Arial" w:cs="Arial" w:eastAsia="Arial" w:hAnsi="Arial"/>
          <w:sz w:val="18"/>
          <w:szCs w:val="18"/>
          <w:color w:val="000000"/>
        </w:rPr>
        <w:t>Company, measures the sensitivity of the portfolio to potential changes in market prices using VaR, a statistical model</w:t>
      </w:r>
      <w:r>
        <w:rPr>
          <w:rFonts w:ascii="Arial" w:cs="Arial" w:eastAsia="Arial" w:hAnsi="Arial"/>
          <w:sz w:val="18"/>
          <w:szCs w:val="18"/>
          <w:color w:val="231F20"/>
        </w:rPr>
        <w:t xml:space="preserve"> </w:t>
      </w:r>
      <w:r>
        <w:rPr>
          <w:rFonts w:ascii="Arial" w:cs="Arial" w:eastAsia="Arial" w:hAnsi="Arial"/>
          <w:sz w:val="18"/>
          <w:szCs w:val="18"/>
          <w:color w:val="000000"/>
        </w:rPr>
        <w:t>which attempts to predict risk of loss based on market price and volatility. NRG's risk management policy places a limit on one-day holding period VaR, which limits the net open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9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3 has been omitted from this report pursuant to the reduced disclosure format permitted by General Instruction H(2) to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second quarter of 2017 that materially affected, or are reasonably likely to materially affect, the Company’s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For a discussion of the material legal proceedings in which the Company was involved through June 30, 2017, see Note 11, </w:t>
      </w:r>
      <w:r>
        <w:rPr>
          <w:rFonts w:ascii="Arial" w:cs="Arial" w:eastAsia="Arial" w:hAnsi="Arial"/>
          <w:sz w:val="16"/>
          <w:szCs w:val="16"/>
          <w:i w:val="1"/>
          <w:iCs w:val="1"/>
          <w:color w:val="auto"/>
        </w:rPr>
        <w:t>Contingencies</w:t>
      </w:r>
      <w:r>
        <w:rPr>
          <w:rFonts w:ascii="Arial" w:cs="Arial" w:eastAsia="Arial" w:hAnsi="Arial"/>
          <w:sz w:val="16"/>
          <w:szCs w:val="16"/>
          <w:color w:val="auto"/>
        </w:rPr>
        <w:t>, to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2016 Form 10-K. Except as presented below, there have been no material changes in the Company's risk factors since those reported in its 2016 Form 10-K.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sale of some or all of NRG’s ownership interest in the Company may have a material adverse effect on the Company’s business, financial condition, results of operations and cash flows.</w:t>
      </w:r>
    </w:p>
    <w:p>
      <w:pPr>
        <w:spacing w:after="0" w:line="1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As part of the NRG Transformation Plan announced on July 12, 2017, NRG stated that it is exploring strategic alternatives for its renewables platform and its interest in the Company, which could span a variety of ownership structures and partnership types, including the potential partial or full monetization of NRG’s interest in its renewables platform and the Company. As a result of NRG’s ownership of all of the Company’s outstanding Class B and Class D common stock, NRG owns 55.1% of the combined voting power of Yield, Inc.’s common stock as of June 30, 2017. If a new owner were to acquire NRG’s interest in the Company, the new owner could exercise substantial influence over the Company’s policies and procedures and exercise substantial influence over the Company’s management and the types of acquisitions the Company makes. Such changes could result in the Company’s capital being used to make acquisitions that are substantially different from the Company’s targeted acquisitions and otherwise effect a significant change in the Company’s current business strategy. Additionally, the Company cannot predict with any certainty the effect that any transfer of ownership would have on the trading price of Yield, Inc.’s Class A or Class C common stock or the Company’s ability to raise capital, borrow additional funds or make investments in the future, because such matters would depend to a large extent on the identity of the new owner and the new owner’s intentions with regard to the Company. A sale of some or all of NRG’s ownership interest in the Company may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280" w:type="dxa"/>
            <w:vAlign w:val="bottom"/>
          </w:tcPr>
          <w:p>
            <w:pPr>
              <w:ind w:left="220"/>
              <w:spacing w:after="0"/>
              <w:rPr>
                <w:sz w:val="20"/>
                <w:szCs w:val="20"/>
                <w:color w:val="auto"/>
              </w:rPr>
            </w:pPr>
            <w:r>
              <w:rPr>
                <w:rFonts w:ascii="Arial" w:cs="Arial" w:eastAsia="Arial" w:hAnsi="Arial"/>
                <w:sz w:val="16"/>
                <w:szCs w:val="16"/>
                <w:b w:val="1"/>
                <w:bCs w:val="1"/>
                <w:color w:val="auto"/>
              </w:rPr>
              <w:t>Description</w:t>
            </w:r>
          </w:p>
        </w:tc>
        <w:tc>
          <w:tcPr>
            <w:tcW w:w="2260" w:type="dxa"/>
            <w:vAlign w:val="bottom"/>
          </w:tcPr>
          <w:p>
            <w:pPr>
              <w:ind w:left="980"/>
              <w:spacing w:after="0"/>
              <w:rPr>
                <w:sz w:val="20"/>
                <w:szCs w:val="20"/>
                <w:color w:val="auto"/>
              </w:rPr>
            </w:pPr>
            <w:r>
              <w:rPr>
                <w:rFonts w:ascii="Arial" w:cs="Arial" w:eastAsia="Arial" w:hAnsi="Arial"/>
                <w:sz w:val="16"/>
                <w:szCs w:val="16"/>
                <w:b w:val="1"/>
                <w:bCs w:val="1"/>
                <w:color w:val="auto"/>
              </w:rPr>
              <w:t>Method of Filing</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Rule 13a-14(a)/15d-14(a) certification of Christopher S. Sotos.</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Rule 13a-14(a)/15d-14(a) certification of Chad Plotkin.</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Callen.</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Section 1350 Certification.</w:t>
            </w:r>
          </w:p>
        </w:tc>
        <w:tc>
          <w:tcPr>
            <w:tcW w:w="2260" w:type="dxa"/>
            <w:vAlign w:val="bottom"/>
          </w:tcPr>
          <w:p>
            <w:pPr>
              <w:ind w:left="980"/>
              <w:spacing w:after="0"/>
              <w:rPr>
                <w:sz w:val="20"/>
                <w:szCs w:val="20"/>
                <w:color w:val="auto"/>
              </w:rPr>
            </w:pPr>
            <w:r>
              <w:rPr>
                <w:rFonts w:ascii="Arial" w:cs="Arial" w:eastAsia="Arial" w:hAnsi="Arial"/>
                <w:sz w:val="16"/>
                <w:szCs w:val="16"/>
                <w:color w:val="auto"/>
                <w:w w:val="89"/>
              </w:rPr>
              <w:t>Furnished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INS</w:t>
            </w:r>
          </w:p>
        </w:tc>
        <w:tc>
          <w:tcPr>
            <w:tcW w:w="5280" w:type="dxa"/>
            <w:vAlign w:val="bottom"/>
          </w:tcPr>
          <w:p>
            <w:pPr>
              <w:ind w:left="220"/>
              <w:spacing w:after="0"/>
              <w:rPr>
                <w:sz w:val="20"/>
                <w:szCs w:val="20"/>
                <w:color w:val="auto"/>
              </w:rPr>
            </w:pPr>
            <w:r>
              <w:rPr>
                <w:rFonts w:ascii="Arial" w:cs="Arial" w:eastAsia="Arial" w:hAnsi="Arial"/>
                <w:sz w:val="16"/>
                <w:szCs w:val="16"/>
                <w:color w:val="auto"/>
              </w:rPr>
              <w:t>XBRL Instance Document.</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SCH</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CAL</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DEF</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LAB</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PRE</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742"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3, 2017</w:t>
            </w: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560" w:type="dxa"/>
            <w:vAlign w:val="bottom"/>
          </w:tcPr>
          <w:p>
            <w:pPr>
              <w:spacing w:after="0"/>
              <w:rPr>
                <w:sz w:val="24"/>
                <w:szCs w:val="24"/>
                <w:color w:val="auto"/>
              </w:rPr>
            </w:pPr>
          </w:p>
        </w:tc>
        <w:tc>
          <w:tcPr>
            <w:tcW w:w="3120" w:type="dxa"/>
            <w:vAlign w:val="bottom"/>
          </w:tcPr>
          <w:p>
            <w:pPr>
              <w:jc w:val="right"/>
              <w:ind w:right="850"/>
              <w:spacing w:after="0"/>
              <w:rPr>
                <w:sz w:val="20"/>
                <w:szCs w:val="20"/>
                <w:color w:val="auto"/>
              </w:rPr>
            </w:pPr>
            <w:r>
              <w:rPr>
                <w:rFonts w:ascii="Arial" w:cs="Arial" w:eastAsia="Arial" w:hAnsi="Arial"/>
                <w:sz w:val="18"/>
                <w:szCs w:val="18"/>
                <w:color w:val="auto"/>
              </w:rPr>
              <w:t>58</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9" w:name="page60"/>
    <w:bookmarkEnd w:id="59"/>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ectPr>
          <w:pgSz w:w="11900" w:h="16838" w:orient="portrait"/>
          <w:cols w:equalWidth="0" w:num="1">
            <w:col w:w="11420"/>
          </w:cols>
          <w:pgMar w:left="240" w:top="661" w:right="239" w:bottom="1440" w:gutter="0" w:footer="0" w:header="0"/>
        </w:sectPr>
      </w:pPr>
    </w:p>
    <w:bookmarkStart w:id="60" w:name="page61"/>
    <w:bookmarkEnd w:id="60"/>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ectPr>
          <w:pgSz w:w="11900" w:h="16838" w:orient="portrait"/>
          <w:cols w:equalWidth="0" w:num="1">
            <w:col w:w="11420"/>
          </w:cols>
          <w:pgMar w:left="240" w:top="661" w:right="239" w:bottom="1440" w:gutter="0" w:footer="0" w:header="0"/>
        </w:sectPr>
      </w:pPr>
    </w:p>
    <w:bookmarkStart w:id="61" w:name="page62"/>
    <w:bookmarkEnd w:id="61"/>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June 30, 2017,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Roman"/>
      <w:start w:val="2"/>
    </w:lvl>
  </w:abstractNum>
  <w:abstractNum w:abstractNumId="7">
    <w:nsid w:val="257130A3"/>
    <w:multiLevelType w:val="hybridMultilevel"/>
    <w:lvl w:ilvl="0">
      <w:lvlJc w:val="left"/>
      <w:lvlText w:val="%1."/>
      <w:numFmt w:val="decimal"/>
      <w:start w:val="18"/>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Roman"/>
      <w:start w:val="2"/>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2019-12-29T05:57:22Z</dcterms:created>
  <dcterms:modified xsi:type="dcterms:W3CDTF">2019-12-29T05:57:22Z</dcterms:modified>
</cp:coreProperties>
</file>