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1880" w:right="2840" w:hanging="1397"/>
        <w:spacing w:after="0" w:line="349" w:lineRule="auto"/>
        <w:tabs>
          <w:tab w:leader="none" w:pos="1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235" w:lineRule="exact"/>
        <w:rPr>
          <w:sz w:val="24"/>
          <w:szCs w:val="24"/>
          <w:color w:val="auto"/>
        </w:rPr>
      </w:pPr>
    </w:p>
    <w:p>
      <w:pPr>
        <w:ind w:left="4280" w:right="2800" w:hanging="3797"/>
        <w:spacing w:after="0" w:line="380" w:lineRule="auto"/>
        <w:tabs>
          <w:tab w:leader="none" w:pos="18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001-36002</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6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46-1777204</w:t>
            </w:r>
          </w:p>
        </w:tc>
      </w:tr>
      <w:tr>
        <w:trPr>
          <w:trHeight w:val="216"/>
        </w:trPr>
        <w:tc>
          <w:tcPr>
            <w:tcW w:w="56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8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6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2"/>
        </w:trPr>
        <w:tc>
          <w:tcPr>
            <w:tcW w:w="56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300 Carnegie Center, Suite 300, Princeton, New Jersey</w:t>
            </w:r>
          </w:p>
        </w:tc>
        <w:tc>
          <w:tcPr>
            <w:tcW w:w="2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34"/>
        </w:trPr>
        <w:tc>
          <w:tcPr>
            <w:tcW w:w="56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3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0"/>
        </w:trPr>
        <w:tc>
          <w:tcPr>
            <w:tcW w:w="36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CWEN.A</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36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CWEN</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08" w:lineRule="exact"/>
        <w:rPr>
          <w:sz w:val="24"/>
          <w:szCs w:val="24"/>
          <w:color w:val="auto"/>
        </w:rPr>
      </w:pPr>
    </w:p>
    <w:p>
      <w:pPr>
        <w:jc w:val="both"/>
        <w:ind w:firstLine="27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5"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Times New Roman" w:cs="Times New Roman" w:eastAsia="Times New Roman" w:hAnsi="Times New Roman"/>
          <w:sz w:val="16"/>
          <w:szCs w:val="16"/>
          <w:color w:val="auto"/>
        </w:rPr>
        <w:t>x</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Times New Roman" w:cs="Times New Roman" w:eastAsia="Times New Roman" w:hAnsi="Times New Roman"/>
          <w:sz w:val="16"/>
          <w:szCs w:val="16"/>
          <w:color w:val="auto"/>
        </w:rPr>
        <w:t>o</w:t>
      </w:r>
    </w:p>
    <w:p>
      <w:pPr>
        <w:spacing w:after="0" w:line="88" w:lineRule="exact"/>
        <w:rPr>
          <w:sz w:val="24"/>
          <w:szCs w:val="24"/>
          <w:color w:val="auto"/>
        </w:rPr>
      </w:pPr>
    </w:p>
    <w:p>
      <w:pPr>
        <w:jc w:val="both"/>
        <w:ind w:firstLine="27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5"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Times New Roman" w:cs="Times New Roman" w:eastAsia="Times New Roman" w:hAnsi="Times New Roman"/>
          <w:sz w:val="16"/>
          <w:szCs w:val="16"/>
          <w:color w:val="auto"/>
        </w:rPr>
        <w:t>x</w:t>
      </w:r>
      <w:r>
        <w:rPr>
          <w:rFonts w:ascii="Times New Roman" w:cs="Times New Roman" w:eastAsia="Times New Roman" w:hAnsi="Times New Roman"/>
          <w:sz w:val="16"/>
          <w:szCs w:val="16"/>
          <w:b w:val="1"/>
          <w:bCs w:val="1"/>
          <w:color w:val="auto"/>
        </w:rPr>
        <w:tab/>
        <w:t xml:space="preserve">No </w:t>
      </w:r>
      <w:r>
        <w:rPr>
          <w:rFonts w:ascii="Times New Roman" w:cs="Times New Roman" w:eastAsia="Times New Roman" w:hAnsi="Times New Roman"/>
          <w:sz w:val="16"/>
          <w:szCs w:val="16"/>
          <w:color w:val="auto"/>
        </w:rPr>
        <w:t>o</w:t>
      </w:r>
    </w:p>
    <w:p>
      <w:pPr>
        <w:spacing w:after="0" w:line="88" w:lineRule="exact"/>
        <w:rPr>
          <w:sz w:val="24"/>
          <w:szCs w:val="24"/>
          <w:color w:val="auto"/>
        </w:rPr>
      </w:pPr>
    </w:p>
    <w:p>
      <w:pPr>
        <w:jc w:val="both"/>
        <w:ind w:firstLine="27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0" w:lineRule="exact"/>
        <w:rPr>
          <w:sz w:val="24"/>
          <w:szCs w:val="24"/>
          <w:color w:val="auto"/>
        </w:rPr>
      </w:pPr>
    </w:p>
    <w:p>
      <w:pPr>
        <w:ind w:left="300"/>
        <w:spacing w:after="0"/>
        <w:tabs>
          <w:tab w:leader="none" w:pos="2480" w:val="left"/>
          <w:tab w:leader="none" w:pos="4400" w:val="left"/>
          <w:tab w:leader="none" w:pos="6700" w:val="left"/>
          <w:tab w:leader="none" w:pos="9220" w:val="left"/>
        </w:tabs>
        <w:rPr>
          <w:sz w:val="20"/>
          <w:szCs w:val="20"/>
          <w:color w:val="auto"/>
        </w:rPr>
      </w:pPr>
      <w:r>
        <w:rPr>
          <w:rFonts w:ascii="Times New Roman" w:cs="Times New Roman" w:eastAsia="Times New Roman" w:hAnsi="Times New Roman"/>
          <w:sz w:val="14"/>
          <w:szCs w:val="14"/>
          <w:b w:val="1"/>
          <w:bCs w:val="1"/>
          <w:color w:val="auto"/>
        </w:rPr>
        <w:t>Large accelerated filer x</w:t>
      </w:r>
      <w:r>
        <w:rPr>
          <w:sz w:val="20"/>
          <w:szCs w:val="20"/>
          <w:color w:val="auto"/>
        </w:rPr>
        <w:tab/>
      </w:r>
      <w:r>
        <w:rPr>
          <w:rFonts w:ascii="Times New Roman" w:cs="Times New Roman" w:eastAsia="Times New Roman" w:hAnsi="Times New Roman"/>
          <w:sz w:val="14"/>
          <w:szCs w:val="14"/>
          <w:b w:val="1"/>
          <w:bCs w:val="1"/>
          <w:color w:val="auto"/>
        </w:rPr>
        <w:t xml:space="preserve">Accelerated filer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Non-accelerated filer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Smaller reporting company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Times New Roman" w:cs="Times New Roman" w:eastAsia="Times New Roman" w:hAnsi="Times New Roman"/>
          <w:sz w:val="14"/>
          <w:szCs w:val="14"/>
          <w:color w:val="auto"/>
        </w:rPr>
        <w:t>o</w:t>
      </w:r>
    </w:p>
    <w:p>
      <w:pPr>
        <w:spacing w:after="0" w:line="4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(Do not check if a smaller reporting</w:t>
      </w:r>
    </w:p>
    <w:p>
      <w:pPr>
        <w:spacing w:after="0" w:line="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company)</w:t>
      </w:r>
    </w:p>
    <w:p>
      <w:pPr>
        <w:spacing w:after="0" w:line="7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0" w:lineRule="exact"/>
        <w:rPr>
          <w:sz w:val="24"/>
          <w:szCs w:val="24"/>
          <w:color w:val="auto"/>
        </w:rPr>
      </w:pPr>
    </w:p>
    <w:p>
      <w:pPr>
        <w:ind w:left="518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Times New Roman" w:cs="Times New Roman" w:eastAsia="Times New Roman" w:hAnsi="Times New Roman"/>
          <w:sz w:val="17"/>
          <w:szCs w:val="17"/>
          <w:color w:val="auto"/>
        </w:rPr>
        <w:t>x</w:t>
      </w:r>
    </w:p>
    <w:p>
      <w:pPr>
        <w:spacing w:after="0" w:line="81" w:lineRule="exact"/>
        <w:rPr>
          <w:sz w:val="24"/>
          <w:szCs w:val="24"/>
          <w:color w:val="auto"/>
        </w:rPr>
      </w:pPr>
    </w:p>
    <w:p>
      <w:pPr>
        <w:jc w:val="both"/>
        <w:ind w:firstLine="270"/>
        <w:spacing w:after="0" w:line="226" w:lineRule="auto"/>
        <w:rPr>
          <w:sz w:val="20"/>
          <w:szCs w:val="20"/>
          <w:color w:val="auto"/>
        </w:rPr>
      </w:pPr>
      <w:r>
        <w:rPr>
          <w:rFonts w:ascii="Times New Roman" w:cs="Times New Roman" w:eastAsia="Times New Roman" w:hAnsi="Times New Roman"/>
          <w:sz w:val="18"/>
          <w:szCs w:val="18"/>
          <w:color w:val="auto"/>
        </w:rPr>
        <w:t>As of April 30, 2019, there were 34,599,645 shares of Class A common stock outstanding, par value $0.01 per share, 42,738,750 shares of Class B common stock outstanding, par value $0.01 per share, 73,325,741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154940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69215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99" w:right="2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CAUTIONARY STATEMENT REGARDING FORWARD LOOKING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3</w:t>
            </w:r>
          </w:p>
        </w:tc>
        <w:tc>
          <w:tcPr>
            <w:tcW w:w="63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4</w:t>
            </w:r>
          </w:p>
        </w:tc>
        <w:tc>
          <w:tcPr>
            <w:tcW w:w="3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26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21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53</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009"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2018, as well as the following:</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0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2018 Form 10-K</w:t>
            </w:r>
          </w:p>
        </w:tc>
        <w:tc>
          <w:tcPr>
            <w:tcW w:w="86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Clearway Energy, Inc.'s (formerly NRG Yield, Inc.) Annual Report on Form 10-K for the year ended December 31,</w:t>
            </w: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2020 Convertible Notes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2024 Senior Notes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2025 Senior Notes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44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AOCL</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0" w:type="dxa"/>
            <w:vAlign w:val="bottom"/>
          </w:tcPr>
          <w:p>
            <w:pPr>
              <w:spacing w:after="0"/>
              <w:rPr>
                <w:sz w:val="1"/>
                <w:szCs w:val="1"/>
                <w:color w:val="auto"/>
              </w:rPr>
            </w:pPr>
          </w:p>
        </w:tc>
      </w:tr>
      <w:tr>
        <w:trPr>
          <w:trHeight w:val="42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ATM Program</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August 2017 Drop Down Assets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remaining 25% interest in Wind TE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Chapter 11 of Title 11 of the U.S. Code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Bankruptcy Court</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Buckthorn Solar Drop Down Asset</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Buckthorn Renewables, LLC, which owns 100% of Buckthorn Solar Portfolio, LLC, which was acquired by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Operating LLC from NRG on March 30, 2018</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CAFD</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unconsolidated affiliates, adjustments to reflect CAFD generated by unconsolidated investments that are not able to</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distribute project dividends due to the PG&amp;E Bankruptcy, cash receipts from notes receivable, cash distributions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noncontrolling interests, less cash distributions to noncontrolling interests, maintenance capital expenditures,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pro-rata Adjusted EBITDA from unconsolidated affiliates, cash interest paid, income taxes paid, principal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indebtedness, Walnut Creek investment payments, and changes in prepaid and accrued capacity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Carlsbad Project</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CDFW</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California Department of Fish and Wildlife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CEG</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CEG Master Services Agreements</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Master Services Agreements between the Company, Clearway Energy LLC and Clearway Energy Operating LLC,</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CEG</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CEG ROFO Agreement</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by the First Amendment to the Right of First Offer Agreement dated February 14, 2019</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CEG ROFO Asset</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to potentially be offered to the Company by CEG under the CEG ROFO Agreement</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LLC</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Group LLC</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holder of the Company's Class B and Class D common shares and Clearway Energy LLC's Class B and Class D</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684"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COD</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CVSR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CVSR Holdco</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DGPV Holdco 1</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DGPV Holdco 2</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DGPV Holdco 2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DGPV Holdco 3</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DGPV Holdco 3 LLC</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Solar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Drop Down Assets</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period ended August 31, 2018</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Earnings before interest, tax, depreciation and amortization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Economic Gross Margin</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ECP</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EGU</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Electric Utility Generating Unit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EPC</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Engineering, Procurement and Construction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GenConn</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GIP</w:t>
            </w:r>
          </w:p>
        </w:tc>
        <w:tc>
          <w:tcPr>
            <w:tcW w:w="86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63"/>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GIP Transaction</w:t>
            </w:r>
          </w:p>
        </w:tc>
        <w:tc>
          <w:tcPr>
            <w:tcW w:w="86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63"/>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energy development and operations platform, to an affiliate of GIP. GIP, NRG and the Company also entered into 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6, 2018</w:t>
            </w: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HLBV</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IASB</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ISO</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KPPH</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Kilo Pascals Per Hour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March 2017 Drop Down Assets</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MBTA</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Migratory Bird Treaty Act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MMBtu</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MW</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Megawatts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MWh</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MWt</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NERC</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850"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NOLs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Operating Losses</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NPPD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Nebraska Public Power District</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Energy, Inc.</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NRG ROFO Agreement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Third Amended and Restated Right of First Offer Agreement, entered into as of August 31, 2018, by and between NRG Energy, Inc. and the Company</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NRG 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Transition Services Agreement dated as of August 31, 2018 by and between NRG Energy, Inc. and the Company</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OECD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Organization for Economic Co-operation and Development</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Other comprehensive income/loss</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Operation and Maintenance</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Gas and Electric Company</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PG&amp;E Bankruptcy</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 relief under the Bankruptcy Code in the U.S. Bankruptcy Court for the Northern District of California</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Renewable Operation &amp; Maintenance LLC</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Right of First Offer</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RPV Holdco 1 LLC</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Originator</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Collectively, the 2024 Senior Notes and the 2026 Senior Notes</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Power Partners</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Tax Cuts and Jobs Act of 2017</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Wind TE Holdco Noncontrolling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ectPr>
          <w:pgSz w:w="11900" w:h="16838" w:orient="portrait"/>
          <w:cols w:equalWidth="0" w:num="1">
            <w:col w:w="11360"/>
          </w:cols>
          <w:pgMar w:left="280" w:top="850" w:right="25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Thermal Business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Transition Services Agreement</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UPMC Thermal Project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 to provide steam, chilled water and 7.5 MW of emergency backup power service to UPMC.</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Department of Energy</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18"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Utility Scale Solar</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80" w:top="850" w:right="2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8"/>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operations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r>
      <w:tr>
        <w:trPr>
          <w:trHeight w:val="237"/>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Pre-acquisition net income of Drop Down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Excluding Pre-acquisition Net Income of Drop Down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88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 Attributable to Clearway Energy,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(Losses) Earnings Per Share Attributable to Clearway Energy,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6"/>
        </w:trPr>
        <w:tc>
          <w:tcPr>
            <w:tcW w:w="40" w:type="dxa"/>
            <w:vAlign w:val="bottom"/>
          </w:tcPr>
          <w:p>
            <w:pPr>
              <w:spacing w:after="0"/>
              <w:rPr>
                <w:sz w:val="23"/>
                <w:szCs w:val="23"/>
                <w:color w:val="auto"/>
              </w:rPr>
            </w:pPr>
          </w:p>
        </w:tc>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A common shares outstanding - basic and diluted</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74"/>
        </w:trPr>
        <w:tc>
          <w:tcPr>
            <w:tcW w:w="40" w:type="dxa"/>
            <w:vAlign w:val="bottom"/>
            <w:shd w:val="clear" w:color="auto" w:fill="CCEEFF"/>
          </w:tcPr>
          <w:p>
            <w:pPr>
              <w:spacing w:after="0"/>
              <w:rPr>
                <w:sz w:val="23"/>
                <w:szCs w:val="23"/>
                <w:color w:val="auto"/>
              </w:rPr>
            </w:pPr>
          </w:p>
        </w:tc>
        <w:tc>
          <w:tcPr>
            <w:tcW w:w="8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C common shares outstanding - basic and diluted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304"/>
        </w:trPr>
        <w:tc>
          <w:tcPr>
            <w:tcW w:w="88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(Losses) Earnings per Weighted Average Class A and Class C Common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r>
      <w:tr>
        <w:trPr>
          <w:trHeight w:val="251"/>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 Per Class A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 Per Class C Common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8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5"/>
        </w:trPr>
        <w:tc>
          <w:tcPr>
            <w:tcW w:w="8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derivatives, net of income tax expense of $0 and $3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0" w:type="dxa"/>
            <w:vAlign w:val="bottom"/>
          </w:tcPr>
          <w:p>
            <w:pPr>
              <w:spacing w:after="0"/>
              <w:rPr>
                <w:sz w:val="20"/>
                <w:szCs w:val="20"/>
                <w:color w:val="auto"/>
              </w:rPr>
            </w:pPr>
          </w:p>
        </w:tc>
        <w:tc>
          <w:tcPr>
            <w:tcW w:w="8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0" w:type="dxa"/>
            <w:vAlign w:val="bottom"/>
          </w:tcPr>
          <w:p>
            <w:pPr>
              <w:spacing w:after="0"/>
              <w:rPr>
                <w:sz w:val="21"/>
                <w:szCs w:val="21"/>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3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Clearway Energy,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80" w:type="dxa"/>
            <w:vAlign w:val="bottom"/>
          </w:tcPr>
          <w:p>
            <w:pPr>
              <w:spacing w:after="0"/>
              <w:rPr>
                <w:sz w:val="13"/>
                <w:szCs w:val="13"/>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3"/>
                <w:szCs w:val="13"/>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Right of use assets,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6,276</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684" w:right="239" w:bottom="279"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pacing w:after="0" w:line="215" w:lineRule="exact"/>
        <w:rPr>
          <w:sz w:val="20"/>
          <w:szCs w:val="20"/>
          <w:color w:val="auto"/>
        </w:rPr>
      </w:pPr>
    </w:p>
    <w:p>
      <w:pPr>
        <w:ind w:left="180" w:right="700"/>
        <w:spacing w:after="0" w:line="272" w:lineRule="auto"/>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 500,000,000, Class B 500,000,000, Class C 1,000,000,000, Class D 1,000,000,000); 193,402,886 shares issued and outstanding (Class A 34,599,645, Class B 42,738,750, Class C 73,325,741, Class D 42,738,750) at March 31, 2019 and 193,251,396 shares issued and outstanding (Class A 34,586,250, Class B 42,738,750, Class C 73,187,646, Class D 42,738,750) at December 31, 2018</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2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1,870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70"/>
        </w:trPr>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17145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8260" w:space="720"/>
            <w:col w:w="2440"/>
          </w:cols>
          <w:pgMar w:left="240" w:top="684" w:right="239" w:bottom="279"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2,224</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4" w:right="239" w:bottom="279"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intangibles and out-of-market contracts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disposal of asset components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interest in Oahu Partnership</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the Buckthorn Solar Drop Down Asset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contributions from noncontrolling interests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proceeds from the issuance of common stock under the ATM</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March 31, 2019</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90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4"/>
        </w:trPr>
        <w:tc>
          <w:tcPr>
            <w:tcW w:w="3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loss on derivatives, net of tax</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Buyout of Wind TE Holdco noncontrolling interest</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58"/>
        </w:trPr>
        <w:tc>
          <w:tcPr>
            <w:tcW w:w="37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Capital contributions from tax equity investors, net of</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cash</w:t>
            </w: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 from CEG for Oahu Partnership, non-cash</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effect from change in accounting principle</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March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2,145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March 31, 2018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1"/>
                <w:szCs w:val="11"/>
                <w:color w:val="auto"/>
              </w:rPr>
            </w:pPr>
          </w:p>
        </w:tc>
        <w:tc>
          <w:tcPr>
            <w:tcW w:w="90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2017</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26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tcPr>
          <w:p>
            <w:pPr>
              <w:spacing w:after="0"/>
              <w:rPr>
                <w:sz w:val="23"/>
                <w:szCs w:val="23"/>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Pre-acquisition net income of Buckthorn Solar Drop Down</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400" w:type="dxa"/>
            <w:vAlign w:val="bottom"/>
          </w:tcPr>
          <w:p>
            <w:pPr>
              <w:spacing w:after="0"/>
              <w:rPr>
                <w:sz w:val="23"/>
                <w:szCs w:val="23"/>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7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the Buckthorn Solar Drop Down Asset</w:t>
            </w:r>
          </w:p>
        </w:tc>
        <w:tc>
          <w:tcPr>
            <w:tcW w:w="4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Capital contributions from tax equity investors, net of</w:t>
            </w:r>
          </w:p>
        </w:tc>
        <w:tc>
          <w:tcPr>
            <w:tcW w:w="400" w:type="dxa"/>
            <w:vAlign w:val="bottom"/>
          </w:tcPr>
          <w:p>
            <w:pPr>
              <w:spacing w:after="0"/>
              <w:rPr>
                <w:sz w:val="13"/>
                <w:szCs w:val="13"/>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cash</w:t>
            </w:r>
          </w:p>
        </w:tc>
        <w:tc>
          <w:tcPr>
            <w:tcW w:w="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Distributions and return of capital to NRG, net of contributions,</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400" w:type="dxa"/>
            <w:vAlign w:val="bottom"/>
          </w:tcPr>
          <w:p>
            <w:pPr>
              <w:spacing w:after="0"/>
              <w:rPr>
                <w:sz w:val="23"/>
                <w:szCs w:val="23"/>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Non-cash adjustment for change in tax basis of property, plant</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equipment</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4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2018</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 For the complete listing of the company's generation assets, refer to Item 2 - </w:t>
      </w:r>
      <w:r>
        <w:rPr>
          <w:rFonts w:ascii="Times New Roman" w:cs="Times New Roman" w:eastAsia="Times New Roman" w:hAnsi="Times New Roman"/>
          <w:sz w:val="18"/>
          <w:szCs w:val="18"/>
          <w:i w:val="1"/>
          <w:iCs w:val="1"/>
          <w:color w:val="auto"/>
        </w:rPr>
        <w:t>MD&amp;A, Introduction, Environmental, Regulatory</w:t>
      </w:r>
      <w:r>
        <w:rPr>
          <w:rFonts w:ascii="Times New Roman" w:cs="Times New Roman" w:eastAsia="Times New Roman" w:hAnsi="Times New Roman"/>
          <w:sz w:val="18"/>
          <w:szCs w:val="18"/>
          <w:color w:val="auto"/>
        </w:rPr>
        <w:t xml:space="preserve"> to this Form 10-Q.</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The Company currently owns 55.8% of the economic interests of Clearway Energy LLC, with CEG retaining 44.2% of the economic interests of Clearway Energy LLC.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120650</wp:posOffset>
            </wp:positionV>
            <wp:extent cx="5848985" cy="4124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2019, and the results of operations, comprehensive income (loss) and cash flows for the three months ended March 31, 2019 and 2018.</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March 31, 2019, the Company had $1.4 billion of property, plant and equipment, net, $352 million investments in unconsolidated affiliates and $1.3 billion of borrowings with final maturity dates ranging from 2023 - 2038 related to these facilities. The related subsidiaries of the Company are parties to financing agreements consisting of non-recourse project level debt and, in certain cases, non-recourse holding company debt. The PG&amp;E Bankruptcy triggered defaults under the PPAs with PG&amp;E and such related financing agreements, and as a result, the Company recorded $1.3 billion of principal, net of the related unamortized debt issuance costs, as short-term debt as of March 31, 2019. As of May 6, 2019, PG&amp;E has neither assumed, rejected, nor sought to renegotiate any of its contracts with the Company. The Company is actively seeking forbearance agreements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xml:space="preserve">with non-recourse project level lenders for each respective financing arrangement. For further discussion see Note 7, </w:t>
      </w:r>
      <w:r>
        <w:rPr>
          <w:rFonts w:ascii="Times New Roman" w:cs="Times New Roman" w:eastAsia="Times New Roman" w:hAnsi="Times New Roman"/>
          <w:sz w:val="18"/>
          <w:szCs w:val="18"/>
          <w:i w:val="1"/>
          <w:iCs w:val="1"/>
          <w:color w:val="auto"/>
        </w:rPr>
        <w:t>Long-term Debt.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transaction and integration costs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$80 million and $109 million as of March 31, 2019 and December 31, 2018, respectively.</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64"/>
        </w:trPr>
        <w:tc>
          <w:tcPr>
            <w:tcW w:w="7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consists primarily of funds held to satisfy the requirements of certain debt agreements and funds held within the Company's projects that are restricted in their use. As of March 31, 2019, these restricted funds were comprised of $57 million designated to fund operating expenses, approximately $43 million designated for current debt service payments, and $39 million restricted for reserves including debt service, performance obligations and other reserves, as well as capital expenditures. The remaining $42 million is held in distributions reserve accounts, of which $36 million related to subsidiaries affected by the PG&amp;E Bankruptcy 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may not be distributed during the pendency of the bankruptcy.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Accumulated Amortization</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the property, plant and equipment, net, and accumulated amortization included in intangible assets, net, respectively, as of March 31,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r>
      <w:tr>
        <w:trPr>
          <w:trHeight w:val="245"/>
        </w:trPr>
        <w:tc>
          <w:tcPr>
            <w:tcW w:w="4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3"/>
          </w:tcPr>
          <w:p>
            <w:pPr>
              <w:jc w:val="right"/>
              <w:ind w:right="13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3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1,590</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w:t>
            </w:r>
          </w:p>
        </w:tc>
      </w:tr>
      <w:tr>
        <w:trPr>
          <w:trHeight w:val="648"/>
        </w:trPr>
        <w:tc>
          <w:tcPr>
            <w:tcW w:w="4920" w:type="dxa"/>
            <w:vAlign w:val="bottom"/>
          </w:tcPr>
          <w:p>
            <w:pPr>
              <w:spacing w:after="0"/>
              <w:rPr>
                <w:sz w:val="24"/>
                <w:szCs w:val="24"/>
                <w:color w:val="auto"/>
              </w:rPr>
            </w:pPr>
          </w:p>
        </w:tc>
        <w:tc>
          <w:tcPr>
            <w:tcW w:w="27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68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w:t>
      </w:r>
    </w:p>
    <w:p>
      <w:pPr>
        <w:spacing w:after="0" w:line="376"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85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First Quarter 2019</w:t>
            </w:r>
          </w:p>
        </w:tc>
      </w:tr>
      <w:tr>
        <w:trPr>
          <w:trHeight w:val="24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1, 2019, the Company declared quarterly dividends on its Class A common stock and Class C common stock of $0.20 per share payable on June 17, 2019, to stockholders of record as of June 3,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8"/>
          <w:szCs w:val="18"/>
          <w:color w:val="auto"/>
        </w:rPr>
        <w:t xml:space="preserve">Noncontrolling interests represent the equity associated with the Company's Class B and Class D common shares, the equity associated with CEG's interest in Repowering Partnership LLC, as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and third-party interests in the net assets under certain tax equity arrangements, which are consolidated by the Company, that have been entered into to finance the cost of wind facilities eligible for tax credits.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to CEG during the period ended March 31, 2019 on Clearway Energy LLC's Class B and D units:</w:t>
      </w:r>
    </w:p>
    <w:p>
      <w:pPr>
        <w:spacing w:after="0" w:line="394" w:lineRule="exact"/>
        <w:rPr>
          <w:sz w:val="20"/>
          <w:szCs w:val="20"/>
          <w:color w:val="auto"/>
        </w:rPr>
      </w:pPr>
    </w:p>
    <w:tbl>
      <w:tblPr>
        <w:tblLayout w:type="fixed"/>
        <w:tblInd w:w="1360" w:type="dxa"/>
        <w:tblCellMar>
          <w:top w:w="0" w:type="dxa"/>
          <w:left w:w="0" w:type="dxa"/>
          <w:bottom w:w="0" w:type="dxa"/>
          <w:right w:w="0" w:type="dxa"/>
        </w:tblCellMar>
      </w:tblPr>
      <w:tr>
        <w:trPr>
          <w:trHeight w:val="195"/>
        </w:trPr>
        <w:tc>
          <w:tcPr>
            <w:tcW w:w="73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2019</w:t>
            </w: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B Unit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D Unit</w:t>
            </w:r>
          </w:p>
        </w:tc>
        <w:tc>
          <w:tcPr>
            <w:tcW w:w="5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22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On May 1, 2019, Clearway Energy LLC declared a distribution on its Class A, Class B, Class C and Class D units of $0.20 per unit payable on June 17, 2019 to unit holders of record as of June 3,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4" w:right="23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87"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9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 of Emission Allowances</w:t>
      </w:r>
    </w:p>
    <w:p>
      <w:pPr>
        <w:spacing w:after="0" w:line="18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40" w:right="2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1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8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3"/>
                <w:szCs w:val="13"/>
                <w:color w:val="auto"/>
              </w:rPr>
            </w:pPr>
          </w:p>
        </w:tc>
        <w:tc>
          <w:tcPr>
            <w:tcW w:w="9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4"/>
                <w:szCs w:val="24"/>
                <w:color w:val="auto"/>
              </w:rPr>
            </w:pP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60" w:type="dxa"/>
            <w:vAlign w:val="bottom"/>
          </w:tcPr>
          <w:p>
            <w:pPr>
              <w:spacing w:after="0"/>
              <w:rPr>
                <w:sz w:val="24"/>
                <w:szCs w:val="24"/>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Lease revenue</w:t>
            </w:r>
          </w:p>
        </w:tc>
        <w:tc>
          <w:tcPr>
            <w:tcW w:w="160" w:type="dxa"/>
            <w:vAlign w:val="bottom"/>
          </w:tcPr>
          <w:p>
            <w:pPr>
              <w:spacing w:after="0"/>
              <w:rPr>
                <w:sz w:val="24"/>
                <w:szCs w:val="24"/>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20" w:hanging="169"/>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21"/>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2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2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2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5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20" w:type="dxa"/>
            <w:vAlign w:val="bottom"/>
          </w:tcPr>
          <w:p>
            <w:pPr>
              <w:spacing w:after="0"/>
              <w:rPr>
                <w:sz w:val="13"/>
                <w:szCs w:val="13"/>
                <w:color w:val="auto"/>
              </w:rPr>
            </w:pPr>
          </w:p>
        </w:tc>
        <w:tc>
          <w:tcPr>
            <w:tcW w:w="11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3"/>
                <w:szCs w:val="13"/>
                <w:color w:val="auto"/>
              </w:rPr>
            </w:pPr>
          </w:p>
        </w:tc>
        <w:tc>
          <w:tcPr>
            <w:tcW w:w="8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60" w:type="dxa"/>
            <w:vAlign w:val="bottom"/>
            <w:tcBorders>
              <w:top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Lease revenue</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80" w:hanging="167"/>
        <w:spacing w:after="0"/>
        <w:tabs>
          <w:tab w:leader="none" w:pos="5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21"/>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2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2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2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40" w:right="239"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balance sheet as of March 31, 2019:</w:t>
      </w:r>
    </w:p>
    <w:p>
      <w:pPr>
        <w:spacing w:after="0" w:line="28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240" w:type="dxa"/>
            <w:vAlign w:val="bottom"/>
          </w:tcPr>
          <w:p>
            <w:pPr>
              <w:spacing w:after="0"/>
              <w:rPr>
                <w:sz w:val="17"/>
                <w:szCs w:val="17"/>
                <w:color w:val="auto"/>
              </w:rPr>
            </w:pPr>
          </w:p>
        </w:tc>
      </w:tr>
      <w:tr>
        <w:trPr>
          <w:trHeight w:val="291"/>
        </w:trPr>
        <w:tc>
          <w:tcPr>
            <w:tcW w:w="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line="264" w:lineRule="exact"/>
              <w:rPr>
                <w:sz w:val="20"/>
                <w:szCs w:val="20"/>
                <w:color w:val="auto"/>
              </w:rPr>
            </w:pPr>
            <w:r>
              <w:rPr>
                <w:rFonts w:ascii="Times New Roman" w:cs="Times New Roman" w:eastAsia="Times New Roman" w:hAnsi="Times New Roman"/>
                <w:sz w:val="18"/>
                <w:szCs w:val="18"/>
                <w:color w:val="auto"/>
              </w:rPr>
              <w:t xml:space="preserve">Total accounts receivable, net </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340" w:right="200" w:hanging="8"/>
        <w:spacing w:after="0" w:line="225" w:lineRule="auto"/>
        <w:tabs>
          <w:tab w:leader="none" w:pos="5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Total accounts receivable, net, excludes $5 million generated at projects affected by PG&amp;E Bankruptcy, which were reclassified to non-current assets as of March 31, 2019</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Prior to the GIP Transaction, Clearway Energy, Inc. was included in certain NRG consolidated unitary state tax return filings which was reflected in the Clearway Energy, Inc. state effective tax rate. Following the GIP Transaction, Clearway Energy, Inc. will file under a separate standalone methodology, resulting in a higher state effective tax rate due to a larger percentage of activity allocated to high-tax jurisdictions.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Business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The acquisition was determined to be an asset acquisition and not a business combination, and therefore no recast of the historical financial information was deemed necessary.</w:t>
      </w:r>
    </w:p>
    <w:p>
      <w:pPr>
        <w:spacing w:after="0" w:line="12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 FuelCell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owned a 154 MW construction-stage utility-scale solar generation project located in Texas, or the Buckthorn Solar Drop Down Asset, for cash consideration of $42 million.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historical value of the entities' equity was recorded as a distribution to NRG and decreased the balance of its noncontrolling interest.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project sells power under a 25-year PPA to the City of Georgetown, Texas, which commenced in July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6" w:right="239" w:bottom="1440" w:gutter="0" w:footer="0" w:header="0"/>
        </w:sectPr>
      </w:pPr>
    </w:p>
    <w:bookmarkStart w:id="18" w:name="page19"/>
    <w:bookmarkEnd w:id="18"/>
    <w:p>
      <w:pPr>
        <w:ind w:right="48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2018 Form 10-K.</w:t>
      </w:r>
    </w:p>
    <w:p>
      <w:pPr>
        <w:spacing w:after="0" w:line="12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a subsidiary of CEG, to acquire the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are contracted to sell power under long-term PPAs with Hawaiian Electric Company, Inc.</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March 8, 2019, the Company made an initial capital contribution in the amount of $4 million, which represents 20% of its total anticipated capital contributions. The Company also assumed non-recourse debt in the amount of $143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a non-controlling interest in the amount of $18 million attributable to a tax equity investor's initial contribution. The Company also recorded a payable in the amount of $16 million due to Clearway Renew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March 31, 2019. The payable represents the remaining 80% of the equity commitment and will be funded on the date the Oahu Solar LLC projects reaches substantial completion.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1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Partnership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30, 2018, Wind TE Holdco, an indirect subsidiary of the Company, entered into a partnership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Clearway Renew LLC, an indirect subsidiary of CEG, in order to facilitate the repowering of wind facilities of two of its indirect subsidiaries, Elbow Creek Wind Project LLC and Wildorado Wind LLC. Wind TE Holdco contributed its interests in the two facilities and Clearway Renew LLC contributed a turbine supply agreement, including title to certain components that qualify for production tax credits. Wind TE Holdco is the managing member of Repowering Partnership LLC and consolidates the entity, which is a VIE. Clearway Renew LLC is entitled to allocations of 21% of income, which is reflected in Wind TE Holdco’s noncontrolling interests.</w:t>
      </w:r>
    </w:p>
    <w:p>
      <w:pPr>
        <w:spacing w:after="0" w:line="129"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2, 2019, the Company bought out 100% of the Class A membership interests from the tax equity investor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6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on March 30, 2018, the Company acquired 100% of NRG’s interest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4" w:right="2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March 31, 2019:</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Oahu Solar</w:t>
            </w:r>
          </w:p>
        </w:tc>
        <w:tc>
          <w:tcPr>
            <w:tcW w:w="2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Alta Wind TE</w:t>
            </w: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Spring Canyon</w:t>
            </w:r>
          </w:p>
        </w:tc>
        <w:tc>
          <w:tcPr>
            <w:tcW w:w="18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Buckthorn</w:t>
            </w:r>
          </w:p>
        </w:tc>
        <w:tc>
          <w:tcPr>
            <w:tcW w:w="160" w:type="dxa"/>
            <w:vAlign w:val="bottom"/>
          </w:tcPr>
          <w:p>
            <w:pPr>
              <w:spacing w:after="0"/>
              <w:rPr>
                <w:sz w:val="13"/>
                <w:szCs w:val="13"/>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Repowering</w:t>
            </w:r>
          </w:p>
        </w:tc>
        <w:tc>
          <w:tcPr>
            <w:tcW w:w="0" w:type="dxa"/>
            <w:vAlign w:val="bottom"/>
          </w:tcPr>
          <w:p>
            <w:pPr>
              <w:spacing w:after="0"/>
              <w:rPr>
                <w:sz w:val="1"/>
                <w:szCs w:val="1"/>
                <w:color w:val="auto"/>
              </w:rPr>
            </w:pPr>
          </w:p>
        </w:tc>
      </w:tr>
      <w:tr>
        <w:trPr>
          <w:trHeight w:val="195"/>
        </w:trPr>
        <w:tc>
          <w:tcPr>
            <w:tcW w:w="3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Holdco</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 LLC</w:t>
            </w:r>
          </w:p>
        </w:tc>
        <w:tc>
          <w:tcPr>
            <w:tcW w:w="160" w:type="dxa"/>
            <w:vAlign w:val="bottom"/>
          </w:tcPr>
          <w:p>
            <w:pPr>
              <w:spacing w:after="0"/>
              <w:rPr>
                <w:sz w:val="16"/>
                <w:szCs w:val="16"/>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Partnership LLC</w:t>
            </w:r>
          </w:p>
        </w:tc>
        <w:tc>
          <w:tcPr>
            <w:tcW w:w="0" w:type="dxa"/>
            <w:vAlign w:val="bottom"/>
          </w:tcPr>
          <w:p>
            <w:pPr>
              <w:spacing w:after="0"/>
              <w:rPr>
                <w:sz w:val="1"/>
                <w:szCs w:val="1"/>
                <w:color w:val="auto"/>
              </w:rPr>
            </w:pPr>
          </w:p>
        </w:tc>
      </w:tr>
      <w:tr>
        <w:trPr>
          <w:trHeight w:val="249"/>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7"/>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3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Method and Variable Interest Entities, </w:t>
      </w:r>
      <w:r>
        <w:rPr>
          <w:rFonts w:ascii="Times New Roman" w:cs="Times New Roman" w:eastAsia="Times New Roman" w:hAnsi="Times New Roman"/>
          <w:sz w:val="18"/>
          <w:szCs w:val="18"/>
          <w:color w:val="auto"/>
        </w:rPr>
        <w:t>to the consolidated financial statements included in the Company's 2018 Form 10-K.</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March 31, 2019, is limited to its equity investment in the unconsolidated entities, as further summarized in the table below:</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8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9"/>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Brothers Solar, LLC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 Energy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DGPV Holdco 3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DGPV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Granite Mountain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DGPV Holdco 2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Iron Springs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$2 million of cash during the three months ended March 31, 2019 into DGPV Holdco 1 LLC.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owns approximately 52 MW of distributed solar capacity, based on cash to be distributed, with a weighted average remaining contract life of approximately 17 years as of March 31, 2019.</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3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$2 million of cash during the three months ended March 31, 2019 into DGPV Holdco 3 LLC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$11 million due to CEG in accounts payable — affiliate as of March 31, 2019 to be funded in tranches as the project milestones are completed. The Company owns approximately 59 MW of distributed solar capacity, based on cash to be distributed, with a weighted average remaining contract life of approximately 21 years as of March 31, 2019.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right="20" w:hanging="240"/>
        <w:spacing w:after="0" w:line="281"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right="20" w:hanging="240"/>
        <w:spacing w:after="0" w:line="281"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hanging="240"/>
        <w:spacing w:after="0" w:line="282"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8" w:right="239" w:bottom="1440" w:gutter="0" w:footer="0" w:header="0"/>
        </w:sectPr>
      </w:pPr>
    </w:p>
    <w:bookmarkStart w:id="20" w:name="page21"/>
    <w:bookmarkEnd w:id="20"/>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32"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26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r>
      <w:tr>
        <w:trPr>
          <w:trHeight w:val="264"/>
        </w:trPr>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67" w:lineRule="exact"/>
        <w:rPr>
          <w:sz w:val="20"/>
          <w:szCs w:val="20"/>
          <w:color w:val="auto"/>
        </w:rPr>
      </w:pPr>
    </w:p>
    <w:p>
      <w:pPr>
        <w:ind w:left="180"/>
        <w:spacing w:after="0"/>
        <w:tabs>
          <w:tab w:leader="none" w:pos="6060" w:val="left"/>
          <w:tab w:leader="none" w:pos="6800" w:val="left"/>
          <w:tab w:leader="none" w:pos="7440" w:val="left"/>
          <w:tab w:leader="none" w:pos="8160" w:val="left"/>
          <w:tab w:leader="none" w:pos="8800" w:val="left"/>
          <w:tab w:leader="none" w:pos="9520" w:val="left"/>
          <w:tab w:leader="none" w:pos="10180" w:val="left"/>
          <w:tab w:leader="none" w:pos="10880" w:val="left"/>
        </w:tabs>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5"/>
          <w:szCs w:val="25"/>
          <w:color w:val="auto"/>
          <w:vertAlign w:val="superscript"/>
        </w:rPr>
        <w: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5,886</w:t>
        <w:tab/>
        <w:t>$</w:t>
      </w:r>
      <w:r>
        <w:rPr>
          <w:sz w:val="20"/>
          <w:szCs w:val="20"/>
          <w:color w:val="auto"/>
        </w:rPr>
        <w:tab/>
      </w:r>
      <w:r>
        <w:rPr>
          <w:rFonts w:ascii="Times New Roman" w:cs="Times New Roman" w:eastAsia="Times New Roman" w:hAnsi="Times New Roman"/>
          <w:sz w:val="18"/>
          <w:szCs w:val="18"/>
          <w:color w:val="auto"/>
        </w:rPr>
        <w:t>5,868</w:t>
        <w:tab/>
        <w:t>$</w:t>
      </w:r>
      <w:r>
        <w:rPr>
          <w:sz w:val="20"/>
          <w:szCs w:val="20"/>
          <w:color w:val="auto"/>
        </w:rPr>
        <w:tab/>
      </w:r>
      <w:r>
        <w:rPr>
          <w:rFonts w:ascii="Times New Roman" w:cs="Times New Roman" w:eastAsia="Times New Roman" w:hAnsi="Times New Roman"/>
          <w:sz w:val="18"/>
          <w:szCs w:val="18"/>
          <w:color w:val="auto"/>
        </w:rPr>
        <w:t>6,043</w:t>
        <w:tab/>
        <w:t>$</w:t>
      </w:r>
      <w:r>
        <w:rPr>
          <w:sz w:val="20"/>
          <w:szCs w:val="20"/>
          <w:color w:val="auto"/>
        </w:rPr>
        <w:tab/>
      </w:r>
      <w:r>
        <w:rPr>
          <w:rFonts w:ascii="Times New Roman" w:cs="Times New Roman" w:eastAsia="Times New Roman" w:hAnsi="Times New Roman"/>
          <w:sz w:val="18"/>
          <w:szCs w:val="18"/>
          <w:color w:val="auto"/>
        </w:rPr>
        <w:t>5,943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deferred financing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2019 and December 31, 2018:</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1,475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4,323</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7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264"/>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2"/>
                <w:szCs w:val="22"/>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jc w:val="center"/>
              <w:ind w:right="1832"/>
              <w:spacing w:after="0"/>
              <w:rPr>
                <w:sz w:val="20"/>
                <w:szCs w:val="20"/>
                <w:color w:val="auto"/>
              </w:rPr>
            </w:pPr>
            <w:r>
              <w:rPr>
                <w:rFonts w:ascii="Times New Roman" w:cs="Times New Roman" w:eastAsia="Times New Roman" w:hAnsi="Times New Roman"/>
                <w:sz w:val="18"/>
                <w:szCs w:val="18"/>
                <w:color w:val="auto"/>
                <w:w w:val="99"/>
              </w:rPr>
              <w:t>Interest rate contracts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jc w:val="center"/>
              <w:ind w:right="1832"/>
              <w:spacing w:after="0"/>
              <w:rPr>
                <w:sz w:val="20"/>
                <w:szCs w:val="20"/>
                <w:color w:val="auto"/>
              </w:rPr>
            </w:pPr>
            <w:r>
              <w:rPr>
                <w:rFonts w:ascii="Times New Roman" w:cs="Times New Roman" w:eastAsia="Times New Roman" w:hAnsi="Times New Roman"/>
                <w:sz w:val="18"/>
                <w:szCs w:val="18"/>
                <w:color w:val="auto"/>
                <w:w w:val="99"/>
              </w:rPr>
              <w:t>Commodity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jc w:val="center"/>
              <w:ind w:right="1832"/>
              <w:spacing w:after="0"/>
              <w:rPr>
                <w:sz w:val="20"/>
                <w:szCs w:val="20"/>
                <w:color w:val="auto"/>
              </w:rPr>
            </w:pPr>
            <w:r>
              <w:rPr>
                <w:rFonts w:ascii="Times New Roman" w:cs="Times New Roman" w:eastAsia="Times New Roman" w:hAnsi="Times New Roman"/>
                <w:sz w:val="18"/>
                <w:szCs w:val="18"/>
                <w:color w:val="auto"/>
                <w:w w:val="99"/>
              </w:rPr>
              <w:t>Interest rate contracts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jc w:val="center"/>
              <w:ind w:right="1832"/>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0" w:lineRule="exact"/>
        <w:rPr>
          <w:sz w:val="20"/>
          <w:szCs w:val="20"/>
          <w:color w:val="auto"/>
        </w:rPr>
      </w:pPr>
    </w:p>
    <w:p>
      <w:pPr>
        <w:ind w:left="340" w:right="420" w:hanging="8"/>
        <w:spacing w:after="0" w:line="219" w:lineRule="auto"/>
        <w:tabs>
          <w:tab w:leader="none" w:pos="5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There were no derivative assets or liabilities classified as Level 1 as of March 31, 2019, and no derivative assets or liabilities classified as Level 1 or Level 3 as of December 31, 2018.</w:t>
      </w:r>
    </w:p>
    <w:p>
      <w:pPr>
        <w:spacing w:after="0" w:line="21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for the three months ended March 31, 2019, the beginning and ending balances for instruments that are recognized at fair value in the condensed consolidated financial statements using significant unobservable inputs: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spacing w:after="0" w:line="200" w:lineRule="exact"/>
        <w:rPr>
          <w:sz w:val="20"/>
          <w:szCs w:val="20"/>
          <w:color w:val="auto"/>
        </w:rPr>
      </w:pPr>
    </w:p>
    <w:p>
      <w:pPr>
        <w:spacing w:after="0" w:line="29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Beginning balance as of January 1, 2019</w:t>
      </w:r>
    </w:p>
    <w:p>
      <w:pPr>
        <w:spacing w:after="0" w:line="7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Purchases</w:t>
      </w:r>
    </w:p>
    <w:p>
      <w:pPr>
        <w:spacing w:after="0" w:line="8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Ending balance as of March 31, 2019</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p>
      <w:pPr>
        <w:spacing w:after="0" w:line="31"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Significant Unobservable Inputs (Level</w:t>
      </w:r>
    </w:p>
    <w:p>
      <w:pPr>
        <w:spacing w:after="0" w:line="9"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203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34290</wp:posOffset>
            </wp:positionV>
            <wp:extent cx="468249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82490" cy="171450"/>
                    </a:xfrm>
                    <a:prstGeom prst="rect">
                      <a:avLst/>
                    </a:prstGeom>
                    <a:noFill/>
                  </pic:spPr>
                </pic:pic>
              </a:graphicData>
            </a:graphic>
          </wp:anchor>
        </w:drawing>
      </w:r>
    </w:p>
    <w:p>
      <w:pPr>
        <w:spacing w:after="0" w:line="4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032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720"/>
            <w:col w:w="5220"/>
          </w:cols>
          <w:pgMar w:left="240" w:top="846" w:right="239" w:bottom="1440" w:gutter="0" w:footer="0" w:header="0"/>
        </w:sectPr>
      </w:pPr>
    </w:p>
    <w:p>
      <w:pPr>
        <w:spacing w:after="0" w:line="2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There were no gains or losses for the period included in earnings attributable to the change in unrealized gains or losses relating to assets or liabilities still held as of March 31,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March 31, 2019, contracts valued with prices provided by models and other valuation techniques make up 17% of derivative liabilities.</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March 31, 2019:</w:t>
      </w:r>
    </w:p>
    <w:p>
      <w:pPr>
        <w:spacing w:after="0" w:line="38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36830</wp:posOffset>
            </wp:positionV>
            <wp:extent cx="5951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Input/Range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65"/>
        </w:trPr>
        <w:tc>
          <w:tcPr>
            <w:tcW w:w="1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3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12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7"/>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Power Contracts   </w:t>
            </w: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Forward Market</w:t>
            </w:r>
          </w:p>
        </w:tc>
        <w:tc>
          <w:tcPr>
            <w:tcW w:w="1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gridSpan w:val="2"/>
            <w:vMerge w:val="continue"/>
            <w:shd w:val="clear" w:color="auto" w:fill="CCEEFF"/>
          </w:tcPr>
          <w:p>
            <w:pPr>
              <w:spacing w:after="0"/>
              <w:rPr>
                <w:sz w:val="20"/>
                <w:szCs w:val="20"/>
                <w:color w:val="auto"/>
              </w:rPr>
            </w:pP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Flow</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Price (per MWh)</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 March 31, 2019:</w:t>
      </w:r>
    </w:p>
    <w:p>
      <w:pPr>
        <w:spacing w:after="0" w:line="30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r>
      <w:tr>
        <w:trPr>
          <w:trHeight w:val="238"/>
        </w:trPr>
        <w:tc>
          <w:tcPr>
            <w:tcW w:w="3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 Observable Input</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r>
      <w:tr>
        <w:trPr>
          <w:trHeight w:val="27"/>
        </w:trPr>
        <w:tc>
          <w:tcPr>
            <w:tcW w:w="3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9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Buy</w:t>
            </w:r>
          </w:p>
        </w:tc>
        <w:tc>
          <w:tcPr>
            <w:tcW w:w="24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Increase/(Decrease)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r>
      <w:tr>
        <w:trPr>
          <w:trHeight w:val="243"/>
        </w:trPr>
        <w:tc>
          <w:tcPr>
            <w:tcW w:w="3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Sell</w:t>
            </w:r>
          </w:p>
        </w:tc>
        <w:tc>
          <w:tcPr>
            <w:tcW w:w="24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Increase/(Decrease)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2019, the non-performance reserve was $2 million gain in cost of operations and interest expense. It is possible that future market prices could vary from those used in recording assets and liabilities and such variations could be material.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46"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 xml:space="preserve">Company's </w:t>
      </w:r>
      <w:r>
        <w:rPr>
          <w:rFonts w:ascii="Times New Roman" w:cs="Times New Roman" w:eastAsia="Times New Roman" w:hAnsi="Times New Roman"/>
          <w:sz w:val="18"/>
          <w:szCs w:val="18"/>
          <w:color w:val="000000"/>
        </w:rPr>
        <w:t>2018 Form 10-K, the following is a discussion of the concentration of credit risk for the Company's financial instruments. Credit risk relates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1" w:lineRule="exact"/>
        <w:rPr>
          <w:sz w:val="20"/>
          <w:szCs w:val="20"/>
          <w:color w:val="auto"/>
        </w:rPr>
      </w:pPr>
    </w:p>
    <w:p>
      <w:pPr>
        <w:jc w:val="both"/>
        <w:ind w:firstLine="8"/>
        <w:spacing w:after="0" w:line="255" w:lineRule="auto"/>
        <w:tabs>
          <w:tab w:leader="none" w:pos="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2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$17 million in accounts receivable due from PG&amp;E for its consolidated projects, of which $5 million was reclassified to non-current assets as of March 31,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7,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the </w:t>
      </w:r>
      <w:r>
        <w:rPr>
          <w:rFonts w:ascii="Times New Roman" w:cs="Times New Roman" w:eastAsia="Times New Roman" w:hAnsi="Times New Roman"/>
          <w:sz w:val="18"/>
          <w:szCs w:val="18"/>
          <w:color w:val="000000"/>
        </w:rPr>
        <w:t>consolidated financial statements included in the Company's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energy-related derivative instruments extending through 2029. At March 31, 2019,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interest rate derivative instruments on non-recourse debt extending through 2041, a portion of which are designated as cash flow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 of the Company's open derivative transactions broken out by type: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3"/>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75"/>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8"/>
                <w:szCs w:val="18"/>
                <w:color w:val="auto"/>
              </w:rPr>
            </w:pPr>
          </w:p>
        </w:tc>
        <w:tc>
          <w:tcPr>
            <w:tcW w:w="3480" w:type="dxa"/>
            <w:vAlign w:val="bottom"/>
            <w:gridSpan w:val="3"/>
          </w:tcPr>
          <w:p>
            <w:pPr>
              <w:jc w:val="right"/>
              <w:ind w:right="13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2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1,929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1,862</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10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320" w:type="dxa"/>
            <w:vAlign w:val="bottom"/>
            <w:tcBorders>
              <w:bottom w:val="single" w:sz="8" w:color="auto"/>
            </w:tcBorders>
            <w:gridSpan w:val="5"/>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 xml:space="preserve">Derivative Assets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64"/>
        </w:trPr>
        <w:tc>
          <w:tcPr>
            <w:tcW w:w="47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4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0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7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3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7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60" w:hanging="252"/>
        <w:spacing w:after="0" w:line="261" w:lineRule="auto"/>
        <w:tabs>
          <w:tab w:leader="none" w:pos="157"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Assets balances classified as current are included within the prepayments and other current assets line item of the consolidated balance sheets as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4" w:right="239" w:bottom="1440" w:gutter="0" w:footer="0" w:header="0"/>
        </w:sectPr>
      </w:pPr>
    </w:p>
    <w:bookmarkStart w:id="24" w:name="page25"/>
    <w:bookmarkEnd w:id="24"/>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March 31, 2019 and December 31, 2018, there was no outstanding collateral paid or received. The following tables summarize the offsetting of derivatives by the counterparty master agreement level as of March 31, 2019 and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2019</w:t>
            </w:r>
          </w:p>
        </w:tc>
        <w:tc>
          <w:tcPr>
            <w:tcW w:w="24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720" w:type="dxa"/>
            <w:vAlign w:val="bottom"/>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Commodity contracts</w:t>
            </w:r>
            <w:r>
              <w:rPr>
                <w:rFonts w:ascii="Times New Roman" w:cs="Times New Roman" w:eastAsia="Times New Roman" w:hAnsi="Times New Roman"/>
                <w:sz w:val="25"/>
                <w:szCs w:val="25"/>
                <w:b w:val="1"/>
                <w:bCs w:val="1"/>
                <w:color w:val="auto"/>
                <w:vertAlign w:val="superscript"/>
              </w:rPr>
              <w:t>(a)</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Total derivative instruments </w:t>
            </w:r>
            <w:r>
              <w:rPr>
                <w:rFonts w:ascii="Times New Roman" w:cs="Times New Roman" w:eastAsia="Times New Roman" w:hAnsi="Times New Roman"/>
                <w:sz w:val="25"/>
                <w:szCs w:val="25"/>
                <w:b w:val="1"/>
                <w:bCs w:val="1"/>
                <w:color w:val="auto"/>
                <w:vertAlign w:val="superscript"/>
              </w:rPr>
              <w:t>(a)</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commodity contracts classified as derivative assets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24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3"/>
                <w:szCs w:val="13"/>
                <w:color w:val="auto"/>
              </w:rPr>
            </w:pPr>
          </w:p>
        </w:tc>
        <w:tc>
          <w:tcPr>
            <w:tcW w:w="210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5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 net of tax: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8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bottom w:val="single" w:sz="8" w:color="auto"/>
            </w:tcBorders>
          </w:tcPr>
          <w:p>
            <w:pPr>
              <w:spacing w:after="0"/>
              <w:rPr>
                <w:sz w:val="21"/>
                <w:szCs w:val="2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 deferred amounts</w:t>
            </w:r>
          </w:p>
        </w:tc>
        <w:tc>
          <w:tcPr>
            <w:tcW w:w="8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OCL ending balance, net of income tax benefit of $7 and $6, respectively</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Clearway Energy, Inc.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expected to be realized from OCL during the next 12 months, net of income tax benefit of $2</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513"/>
        </w:trPr>
        <w:tc>
          <w:tcPr>
            <w:tcW w:w="88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Operations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interest rate derivative instruments that are not designated as cash flow hedges. The effect of interest rate hedges is recorded to interest expense. For the three months ended March 31, 2019 and 2018, the impact to the consolidated statements of operations was a loss of $18 million and a gain of $24 million, respectively.</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 During the three months ended March 31, 2019, Elbow Creek entered into a new long term power hedge, and the impact to the consolidated statements of operations was a $7 million loss for the period.</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4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1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2018 Form 10-K. Long-term debt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1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2019, interest rate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212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9"/>
                <w:szCs w:val="9"/>
                <w:b w:val="1"/>
                <w:bCs w:val="1"/>
                <w:color w:val="auto"/>
              </w:rPr>
              <w:t>(a)</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gridSpan w:val="2"/>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2019 Convertible Notes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220</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3.500</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2020 Convertible Notes</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3.250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2024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5.375</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2025 Senior Notes</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5.750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2026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5.000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Clearway Energy LLC and Clearway Energy Operating LLC Revolving Credit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00" w:type="dxa"/>
            <w:vAlign w:val="bottom"/>
          </w:tcPr>
          <w:p>
            <w:pPr>
              <w:ind w:left="40"/>
              <w:spacing w:after="0" w:line="251" w:lineRule="exact"/>
              <w:rPr>
                <w:sz w:val="20"/>
                <w:szCs w:val="20"/>
                <w:color w:val="auto"/>
              </w:rPr>
            </w:pPr>
            <w:r>
              <w:rPr>
                <w:rFonts w:ascii="Times New Roman" w:cs="Times New Roman" w:eastAsia="Times New Roman" w:hAnsi="Times New Roman"/>
                <w:sz w:val="17"/>
                <w:szCs w:val="17"/>
                <w:color w:val="auto"/>
              </w:rPr>
              <w:t xml:space="preserve">Facility, due 2023 </w:t>
            </w:r>
            <w:r>
              <w:rPr>
                <w:rFonts w:ascii="Times New Roman" w:cs="Times New Roman" w:eastAsia="Times New Roman" w:hAnsi="Times New Roman"/>
                <w:sz w:val="28"/>
                <w:szCs w:val="28"/>
                <w:color w:val="auto"/>
                <w:vertAlign w:val="superscript"/>
              </w:rPr>
              <w:t>(b)</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L+1.75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Project-level debt: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Agua Caliente Borrower 2, due 2038 </w:t>
            </w:r>
            <w:r>
              <w:rPr>
                <w:rFonts w:ascii="Times New Roman" w:cs="Times New Roman" w:eastAsia="Times New Roman" w:hAnsi="Times New Roman"/>
                <w:sz w:val="28"/>
                <w:szCs w:val="28"/>
                <w:color w:val="auto"/>
                <w:vertAlign w:val="superscript"/>
              </w:rPr>
              <w:t>(c)</w:t>
            </w:r>
          </w:p>
        </w:tc>
        <w:tc>
          <w:tcPr>
            <w:tcW w:w="10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5.430</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Alpine, due 2022 </w:t>
            </w:r>
            <w:r>
              <w:rPr>
                <w:rFonts w:ascii="Times New Roman" w:cs="Times New Roman" w:eastAsia="Times New Roman" w:hAnsi="Times New Roman"/>
                <w:sz w:val="28"/>
                <w:szCs w:val="28"/>
                <w:color w:val="auto"/>
                <w:vertAlign w:val="superscript"/>
              </w:rPr>
              <w:t>(c)</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w:t>
            </w:r>
          </w:p>
        </w:tc>
        <w:tc>
          <w:tcPr>
            <w:tcW w:w="2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L+1.750</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Alta Wind I - V lease financing arrangements, due 2034 and 2035</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886</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5.696 - 7.015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Buckthorn Solar, due 2025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132</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L+1.750</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CVSR, due 2037 </w:t>
            </w:r>
            <w:r>
              <w:rPr>
                <w:rFonts w:ascii="Times New Roman" w:cs="Times New Roman" w:eastAsia="Times New Roman" w:hAnsi="Times New Roman"/>
                <w:sz w:val="28"/>
                <w:szCs w:val="28"/>
                <w:color w:val="auto"/>
                <w:vertAlign w:val="superscript"/>
              </w:rPr>
              <w:t>(c)</w:t>
            </w:r>
          </w:p>
        </w:tc>
        <w:tc>
          <w:tcPr>
            <w:tcW w:w="10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702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720</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2.339 - 3.775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CVSR Holdco Notes, due 2037 </w:t>
            </w:r>
            <w:r>
              <w:rPr>
                <w:rFonts w:ascii="Times New Roman" w:cs="Times New Roman" w:eastAsia="Times New Roman" w:hAnsi="Times New Roman"/>
                <w:sz w:val="28"/>
                <w:szCs w:val="28"/>
                <w:color w:val="auto"/>
                <w:vertAlign w:val="superscript"/>
              </w:rPr>
              <w:t>(c)</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188</w:t>
            </w:r>
          </w:p>
        </w:tc>
        <w:tc>
          <w:tcPr>
            <w:tcW w:w="2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4.680</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El Segundo Energy Center, due 2023</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352</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L+1.75 - L+2.375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Energy Center Minneapolis Series D, E, F, G, H Notes, due 2025-2037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328</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various</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Laredo Ridge, due 2028</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89</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L+2.125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Kansas South, due 2030 </w:t>
            </w:r>
            <w:r>
              <w:rPr>
                <w:rFonts w:ascii="Times New Roman" w:cs="Times New Roman" w:eastAsia="Times New Roman" w:hAnsi="Times New Roman"/>
                <w:sz w:val="28"/>
                <w:szCs w:val="28"/>
                <w:color w:val="auto"/>
                <w:vertAlign w:val="superscript"/>
              </w:rPr>
              <w:t>(c)</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2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L+2.00</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Marsh Landing, due 2023 </w:t>
            </w:r>
            <w:r>
              <w:rPr>
                <w:rFonts w:ascii="Times New Roman" w:cs="Times New Roman" w:eastAsia="Times New Roman" w:hAnsi="Times New Roman"/>
                <w:sz w:val="28"/>
                <w:szCs w:val="28"/>
                <w:color w:val="auto"/>
                <w:vertAlign w:val="superscript"/>
              </w:rPr>
              <w:t>(c)</w:t>
            </w:r>
          </w:p>
        </w:tc>
        <w:tc>
          <w:tcPr>
            <w:tcW w:w="10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263</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L+2.125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Oahu Solar Holdings LLC, due 2026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L+1.375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South Trent Wind, due 2020</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L+1.625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Tapestry, due 2021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L+1.75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Utah Solar Portfolio, due 2022</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L+2.625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Viento, due 2023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L+2.00</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Walnut Creek, due 2023</w:t>
            </w:r>
          </w:p>
        </w:tc>
        <w:tc>
          <w:tcPr>
            <w:tcW w:w="1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222</w:t>
            </w:r>
          </w:p>
        </w:tc>
        <w:tc>
          <w:tcPr>
            <w:tcW w:w="2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L+1.75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343</w:t>
            </w:r>
          </w:p>
        </w:tc>
        <w:tc>
          <w:tcPr>
            <w:tcW w:w="2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various</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1"/>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Subtotal project-level debt:</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4,392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4,329</w:t>
            </w: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debt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5,887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6,044</w:t>
            </w:r>
          </w:p>
        </w:tc>
        <w:tc>
          <w:tcPr>
            <w:tcW w:w="2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current maturities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net debt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7"/>
                <w:szCs w:val="17"/>
                <w:color w:val="auto"/>
              </w:rPr>
              <w:t xml:space="preserve">Less discounts </w:t>
            </w:r>
            <w:r>
              <w:rPr>
                <w:rFonts w:ascii="Times New Roman" w:cs="Times New Roman" w:eastAsia="Times New Roman" w:hAnsi="Times New Roman"/>
                <w:sz w:val="28"/>
                <w:szCs w:val="28"/>
                <w:color w:val="auto"/>
                <w:vertAlign w:val="superscript"/>
              </w:rPr>
              <w:t>(d)</w:t>
            </w: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5,447</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80" w:right="20" w:hanging="72"/>
        <w:spacing w:after="0" w:line="249" w:lineRule="auto"/>
        <w:tabs>
          <w:tab w:leader="none" w:pos="146"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March 31, 2019, L+ equals 3 month LIBOR plus x%, except for Viento, due 2023 and Kansas South, due 2030 where L+ equals 6 month LIBOR plus 2.00% and Utah Solar Portfolio, where L+ equals 1 month LIBOR plus 2.625%.</w:t>
      </w:r>
    </w:p>
    <w:p>
      <w:pPr>
        <w:ind w:left="140" w:hanging="132"/>
        <w:spacing w:after="0" w:line="229" w:lineRule="auto"/>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Applicable rate is determined by the borrower leverage ratio, as defined in the credit agreement.</w:t>
      </w:r>
    </w:p>
    <w:p>
      <w:pPr>
        <w:ind w:left="160" w:hanging="152"/>
        <w:spacing w:after="0" w:line="207"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Entities affected by PG&amp;E bankruptcy, see further discussion below.</w:t>
      </w:r>
    </w:p>
    <w:p>
      <w:pPr>
        <w:ind w:left="160" w:hanging="152"/>
        <w:spacing w:after="0" w:line="211"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Discounts relate to the 2019 Convertible Notes and 2020 Convertible Notes.</w:t>
      </w:r>
    </w:p>
    <w:p>
      <w:pPr>
        <w:spacing w:after="0" w:line="13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2019,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three months ended March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84" w:right="2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there were no outstanding borrowings under the revolving credit facility and the Company had $41 million of letters of credit outstanding.</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2019 Convertible Notes Open Market Repurchases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2019, the Company repurchased a combined aggregate principal amount of $50 million of the 2019 Convertible Notes in open market transactions. The repurchases were funded through a partial repayment of the intercompany note between Clearway Energy Operating LLC and Clearway Energy, Inc. The 2019 Convertible Notes matured on February 1, 2019 and the Company paid off the remaining balance of an aggregate principal amount of $170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 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on January 29, 2019, PG&amp;E filed for reorganization under Chapter 11 of the U.S. Bankruptcy Code in the U.S. Bankruptcy Court for the Northern District of California. Certain subsidiaries of the Company listed in the table above are parties to financing agreements consisting of non-recourse project level debt and, in certain cases, non-recourse holding company debt. The PG&amp;E bankruptcy filing has triggered defaults under the PPAs with PG&amp;E and such related financing agreements. The Company recorded approximately $1.3 billion of principal, net of the related unamortized debt issuance costs, with final maturity dates ranging from 2023 - 2038, as short-term debt as a result of events of default under the related financing agreements as of March 31, 2019. In addition, distributions from these projects to Clearway Operating LLC are prohibited under the related debt agreements. The Company is currently seeking forbearance agreements with the lenders for each respective financing arrangement.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Oahu Solar Holdings LLC Debt</w:t>
      </w:r>
    </w:p>
    <w:p>
      <w:pPr>
        <w:spacing w:after="0" w:line="17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the Company consolidates the Oahu Partnership, as further described in Note 4, </w:t>
      </w:r>
      <w:r>
        <w:rPr>
          <w:rFonts w:ascii="Times New Roman" w:cs="Times New Roman" w:eastAsia="Times New Roman" w:hAnsi="Times New Roman"/>
          <w:sz w:val="18"/>
          <w:szCs w:val="18"/>
          <w:i w:val="1"/>
          <w:iCs w:val="1"/>
          <w:color w:val="auto"/>
        </w:rPr>
        <w:t>Investments Accounted for by the Equity Method and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the Company assumed non-recourse debt of $143 million related to Oahu Solar Holdings, LLC. The debt consists of a construction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tax credits, or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Clearway Energy, Inc.'s basic and diluted earnings per share is shown in the following tables: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228"/>
        </w:trPr>
        <w:tc>
          <w:tcPr>
            <w:tcW w:w="6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8"/>
                <w:szCs w:val="8"/>
                <w:b w:val="1"/>
                <w:bCs w:val="1"/>
                <w:color w:val="auto"/>
              </w:rPr>
              <w:t>(a)</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1"/>
        </w:trPr>
        <w:tc>
          <w:tcPr>
            <w:tcW w:w="652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(losses) earnings per share attributable to Clearway Energy, Inc.</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5"/>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(loss) income attributable to Clearway Energy, Inc.</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 and diluted</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(Losses) Earnings per weighted average common share — basic and diluted</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42"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Basic and diluted (losses) earnings per share might not recalculate due to presenting values in millions rather than whole dollars.</w:t>
      </w:r>
    </w:p>
    <w:p>
      <w:pPr>
        <w:spacing w:after="0" w:line="379" w:lineRule="exact"/>
        <w:rPr>
          <w:rFonts w:ascii="Times New Roman" w:cs="Times New Roman" w:eastAsia="Times New Roman" w:hAnsi="Times New Roman"/>
          <w:sz w:val="19"/>
          <w:szCs w:val="19"/>
          <w:color w:val="auto"/>
          <w:vertAlign w:val="superscript"/>
        </w:rPr>
      </w:pPr>
    </w:p>
    <w:p>
      <w:pPr>
        <w:ind w:left="562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6" w:right="2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equity instruments that are anti-dilutive and were not included in the computation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diluted earnings per share:</w:t>
      </w:r>
    </w:p>
    <w:p>
      <w:pPr>
        <w:spacing w:after="0" w:line="21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24765</wp:posOffset>
            </wp:positionV>
            <wp:extent cx="2058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7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50"/>
        </w:trPr>
        <w:tc>
          <w:tcPr>
            <w:tcW w:w="65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920" w:type="dxa"/>
            <w:vAlign w:val="bottom"/>
            <w:tcBorders>
              <w:top w:val="single" w:sz="8" w:color="auto"/>
            </w:tcBorders>
          </w:tcPr>
          <w:p>
            <w:pPr>
              <w:spacing w:after="0"/>
              <w:rPr>
                <w:sz w:val="21"/>
                <w:szCs w:val="21"/>
                <w:color w:val="auto"/>
              </w:rPr>
            </w:pPr>
          </w:p>
        </w:tc>
      </w:tr>
      <w:tr>
        <w:trPr>
          <w:trHeight w:val="255"/>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Convertible Notes - Common Class A</w:t>
            </w:r>
          </w:p>
        </w:tc>
        <w:tc>
          <w:tcPr>
            <w:tcW w:w="138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 Convertible Notes - Common Class C</w:t>
            </w:r>
          </w:p>
        </w:tc>
        <w:tc>
          <w:tcPr>
            <w:tcW w:w="138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2"/>
                <w:szCs w:val="12"/>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 costs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6,052</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535</w:t>
            </w:r>
          </w:p>
        </w:tc>
        <w:tc>
          <w:tcPr>
            <w:tcW w:w="100" w:type="dxa"/>
            <w:vAlign w:val="bottom"/>
          </w:tcPr>
          <w:p>
            <w:pPr>
              <w:spacing w:after="0"/>
              <w:rPr>
                <w:sz w:val="18"/>
                <w:szCs w:val="18"/>
                <w:color w:val="auto"/>
              </w:rPr>
            </w:pPr>
          </w:p>
        </w:tc>
        <w:tc>
          <w:tcPr>
            <w:tcW w:w="64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8,465</w:t>
            </w:r>
          </w:p>
        </w:tc>
        <w:tc>
          <w:tcPr>
            <w:tcW w:w="0" w:type="dxa"/>
            <w:vAlign w:val="bottom"/>
          </w:tcPr>
          <w:p>
            <w:pPr>
              <w:spacing w:after="0"/>
              <w:rPr>
                <w:sz w:val="1"/>
                <w:szCs w:val="1"/>
                <w:color w:val="auto"/>
              </w:rPr>
            </w:pPr>
          </w:p>
        </w:tc>
      </w:tr>
      <w:tr>
        <w:trPr>
          <w:trHeight w:val="433"/>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2"/>
                <w:szCs w:val="12"/>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the overall effective tax rate was different than the statutory rate of 21% primarily due to production and investment tax credits generated from certain wind and solar assets, respectively, and earnings allocated to CEG for the period ended March 31, 2019 and NRG for the period ended March 31, 2018, respectively, resulting from their interest in Clearway Energy LLC.</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on August 31, 2018, NRG sold 100% of its interest in CEG to GIP, and as a result, CEG and its subsidiaries are considered related parties during the period ended March 31, 2019, and NRG and its subsidiaries were considered related parties during the period ended March 31,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 during the period ended March 31, 2019</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Clearway Renewable Operation &amp; Maintenance LLC (formerly NRG Renew Operation &amp; Maintenance LLC)</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or O&amp;M, services to these subsidiaries. The Company incurred total expenses for these services of $7 million for each of the three months ended March 31, 2019 and 2018. There was a balance of $6 million due to RENOM as of March 31, 2019 and December 31, 2018.</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270"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during the period ended March 31, 2018</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Elbow Creek and Dover are parties to PPAs with NRG Power Marketing, a wholly-owned subsidiary of NRG, and generate revenue under the PPAs, which are recorded to operating revenues in the Company's consolidated statements of operations. For the three months ended March 31, 2018, Elbow Creek and Dover, collectively, generated revenue of $3 million.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84" w:right="2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three months ended March 31, 2018, the Thermal entities purchased $4 million of natural gas from NRG Power Marketing.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Company's subsidiaries and NRG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$10 million for the three months ended March 31, 2018.</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the agreement of $3 million for the three months ended March 31, 2018.</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three months ended March 31, 2018 were $2 million.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90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Company's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PPAs.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Topic 842</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each arrangement at inception to determine if it contains a lease. All of the Company’s leases are operating leases as of March 31, 2019.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103"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months ended March 31, 2019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189230</wp:posOffset>
            </wp:positionV>
            <wp:extent cx="703199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r>
      <w:tr>
        <w:trPr>
          <w:trHeight w:val="237"/>
        </w:trPr>
        <w:tc>
          <w:tcPr>
            <w:tcW w:w="180" w:type="dxa"/>
            <w:vAlign w:val="bottom"/>
          </w:tcPr>
          <w:p>
            <w:pPr>
              <w:spacing w:after="0"/>
              <w:rPr>
                <w:sz w:val="20"/>
                <w:szCs w:val="20"/>
                <w:color w:val="auto"/>
              </w:rPr>
            </w:pPr>
          </w:p>
        </w:tc>
        <w:tc>
          <w:tcPr>
            <w:tcW w:w="88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700" w:type="dxa"/>
            <w:vAlign w:val="bottom"/>
            <w:tcBorders>
              <w:top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r>
      <w:tr>
        <w:trPr>
          <w:trHeight w:val="378"/>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information as of March 31, 2019 was as follows: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8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 millions, except term and rate)</w:t>
            </w: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7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80" w:type="dxa"/>
            <w:vAlign w:val="bottom"/>
            <w:tcBorders>
              <w:right w:val="single" w:sz="8" w:color="CCEEFF"/>
            </w:tcBorders>
          </w:tcPr>
          <w:p>
            <w:pPr>
              <w:spacing w:after="0"/>
              <w:rPr>
                <w:sz w:val="24"/>
                <w:szCs w:val="24"/>
                <w:color w:val="auto"/>
              </w:rPr>
            </w:pPr>
          </w:p>
        </w:tc>
        <w:tc>
          <w:tcPr>
            <w:tcW w:w="8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8860" w:type="dxa"/>
            <w:vAlign w:val="bottom"/>
          </w:tcPr>
          <w:p>
            <w:pPr>
              <w:ind w:left="240"/>
              <w:spacing w:after="0" w:line="270" w:lineRule="exact"/>
              <w:rPr>
                <w:sz w:val="20"/>
                <w:szCs w:val="20"/>
                <w:color w:val="auto"/>
              </w:rPr>
            </w:pPr>
            <w:r>
              <w:rPr>
                <w:rFonts w:ascii="Times New Roman" w:cs="Times New Roman" w:eastAsia="Times New Roman" w:hAnsi="Times New Roman"/>
                <w:sz w:val="18"/>
                <w:szCs w:val="18"/>
                <w:color w:val="auto"/>
              </w:rPr>
              <w:t xml:space="preserve">Short-term lease liability - operating leases </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3"/>
                <w:szCs w:val="23"/>
                <w:color w:val="auto"/>
              </w:rPr>
            </w:pPr>
          </w:p>
        </w:tc>
      </w:tr>
      <w:tr>
        <w:trPr>
          <w:trHeight w:val="270"/>
        </w:trPr>
        <w:tc>
          <w:tcPr>
            <w:tcW w:w="180" w:type="dxa"/>
            <w:vAlign w:val="bottom"/>
            <w:tcBorders>
              <w:right w:val="single" w:sz="8" w:color="CCEEFF"/>
            </w:tcBorders>
          </w:tcPr>
          <w:p>
            <w:pPr>
              <w:spacing w:after="0"/>
              <w:rPr>
                <w:sz w:val="23"/>
                <w:szCs w:val="23"/>
                <w:color w:val="auto"/>
              </w:rPr>
            </w:pPr>
          </w:p>
        </w:tc>
        <w:tc>
          <w:tcPr>
            <w:tcW w:w="8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lease liability - operating leases</w:t>
            </w: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top w:val="single" w:sz="8" w:color="auto"/>
            </w:tcBorders>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80" w:type="dxa"/>
            <w:vAlign w:val="bottom"/>
            <w:tcBorders>
              <w:right w:val="single" w:sz="8" w:color="CCEEFF"/>
            </w:tcBorders>
          </w:tcPr>
          <w:p>
            <w:pPr>
              <w:spacing w:after="0"/>
              <w:rPr>
                <w:sz w:val="24"/>
                <w:szCs w:val="24"/>
                <w:color w:val="auto"/>
              </w:rPr>
            </w:pPr>
          </w:p>
        </w:tc>
        <w:tc>
          <w:tcPr>
            <w:tcW w:w="8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7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8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21"/>
                <w:szCs w:val="21"/>
                <w:color w:val="auto"/>
              </w:rPr>
            </w:pPr>
          </w:p>
        </w:tc>
      </w:tr>
    </w:tbl>
    <w:p>
      <w:pPr>
        <w:spacing w:after="0" w:line="274" w:lineRule="exact"/>
        <w:rPr>
          <w:sz w:val="20"/>
          <w:szCs w:val="20"/>
          <w:color w:val="auto"/>
        </w:rPr>
      </w:pPr>
    </w:p>
    <w:p>
      <w:pPr>
        <w:ind w:left="220" w:hanging="131"/>
        <w:spacing w:after="0"/>
        <w:tabs>
          <w:tab w:leader="none" w:pos="22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Short-term lease liability balances are included within the accrued expenses and other current liabilities line item of the consolidated balance sheets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9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2019 are as follows: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Remainder of 2019</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Less imputed interest</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liability - operating leases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2018 are as follows:</w:t>
            </w: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Times New Roman" w:cs="Times New Roman" w:eastAsia="Times New Roman" w:hAnsi="Times New Roman"/>
          <w:sz w:val="18"/>
          <w:szCs w:val="18"/>
          <w:i w:val="1"/>
          <w:iCs w:val="1"/>
          <w:color w:val="auto"/>
        </w:rPr>
        <w:t>Introduction, Environmental, Regulatory</w:t>
      </w:r>
      <w:r>
        <w:rPr>
          <w:rFonts w:ascii="Times New Roman" w:cs="Times New Roman" w:eastAsia="Times New Roman" w:hAnsi="Times New Roman"/>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amounts of energy and capacity revenue are related to the Company’s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Conventional Generation</w:t>
            </w:r>
          </w:p>
        </w:tc>
        <w:tc>
          <w:tcPr>
            <w:tcW w:w="36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648"/>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Minimum future rent payments under the operating leases for the remaining periods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189230</wp:posOffset>
            </wp:positionV>
            <wp:extent cx="529971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Remainder of 2019</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8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8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 net related to the Company’s operating leases were as follows:</w:t>
            </w: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82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20" w:type="dxa"/>
            <w:vAlign w:val="bottom"/>
          </w:tcPr>
          <w:p>
            <w:pPr>
              <w:jc w:val="right"/>
              <w:ind w:right="45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jc w:val="right"/>
              <w:ind w:right="229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analyzes the Company's historical financial condition and results of operations.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2019 and 2018. Also refer to the Company's 2018 Form 10-K, which includes detailed discussions of various items impacting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9" w:lineRule="auto"/>
        <w:tabs>
          <w:tab w:leader="none" w:pos="1367"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07" w:lineRule="exact"/>
        <w:rPr>
          <w:rFonts w:ascii="Times New Roman" w:cs="Times New Roman" w:eastAsia="Times New Roman" w:hAnsi="Times New Roman"/>
          <w:sz w:val="18"/>
          <w:szCs w:val="18"/>
          <w:color w:val="231F20"/>
        </w:rPr>
      </w:pP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w:t>
      </w:r>
    </w:p>
    <w:p>
      <w:pPr>
        <w:spacing w:after="0" w:line="211" w:lineRule="exact"/>
        <w:rPr>
          <w:rFonts w:ascii="Times New Roman" w:cs="Times New Roman" w:eastAsia="Times New Roman" w:hAnsi="Times New Roman"/>
          <w:sz w:val="18"/>
          <w:szCs w:val="18"/>
          <w:color w:val="231F20"/>
        </w:rPr>
      </w:pPr>
    </w:p>
    <w:p>
      <w:pPr>
        <w:ind w:left="980" w:right="120"/>
        <w:spacing w:after="0" w:line="329" w:lineRule="auto"/>
        <w:tabs>
          <w:tab w:leader="none" w:pos="1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07" w:lineRule="exact"/>
        <w:rPr>
          <w:rFonts w:ascii="Times New Roman" w:cs="Times New Roman" w:eastAsia="Times New Roman" w:hAnsi="Times New Roman"/>
          <w:sz w:val="18"/>
          <w:szCs w:val="18"/>
          <w:color w:val="auto"/>
        </w:rPr>
      </w:pPr>
    </w:p>
    <w:p>
      <w:pPr>
        <w:ind w:left="980" w:right="400"/>
        <w:spacing w:after="0" w:line="329" w:lineRule="auto"/>
        <w:tabs>
          <w:tab w:leader="none" w:pos="1367"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 and</w:t>
      </w:r>
    </w:p>
    <w:p>
      <w:pPr>
        <w:spacing w:after="0" w:line="107" w:lineRule="exact"/>
        <w:rPr>
          <w:rFonts w:ascii="Times New Roman" w:cs="Times New Roman" w:eastAsia="Times New Roman" w:hAnsi="Times New Roman"/>
          <w:sz w:val="18"/>
          <w:szCs w:val="18"/>
          <w:color w:val="231F20"/>
        </w:rPr>
      </w:pPr>
    </w:p>
    <w:p>
      <w:pPr>
        <w:ind w:left="980" w:right="120"/>
        <w:spacing w:after="0" w:line="329" w:lineRule="auto"/>
        <w:tabs>
          <w:tab w:leader="none" w:pos="1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w:t>
      </w:r>
      <w:r>
        <w:rPr>
          <w:rFonts w:ascii="Times New Roman" w:cs="Times New Roman" w:eastAsia="Times New Roman" w:hAnsi="Times New Roman"/>
          <w:sz w:val="18"/>
          <w:szCs w:val="18"/>
          <w:color w:val="231F20"/>
        </w:rPr>
        <w:t>14 years as of</w:t>
      </w:r>
      <w:r>
        <w:rPr>
          <w:rFonts w:ascii="Times New Roman" w:cs="Times New Roman" w:eastAsia="Times New Roman" w:hAnsi="Times New Roman"/>
          <w:sz w:val="18"/>
          <w:szCs w:val="18"/>
          <w:color w:val="auto"/>
        </w:rPr>
        <w:t xml:space="preserve"> March 31, 2019 </w:t>
      </w:r>
      <w:r>
        <w:rPr>
          <w:rFonts w:ascii="Times New Roman" w:cs="Times New Roman" w:eastAsia="Times New Roman" w:hAnsi="Times New Roman"/>
          <w:sz w:val="18"/>
          <w:szCs w:val="18"/>
          <w:color w:val="231F20"/>
        </w:rPr>
        <w:t>based on CAFD.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2019, the Company's operating assets are comprised of the following projects: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00" w:type="dxa"/>
            <w:vAlign w:val="bottom"/>
            <w:vMerge w:val="restart"/>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El Segundo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GenConn Middletown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Alpine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Avenal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Avra Valley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Tucson Electric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Blythe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Borrego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Buckthorn Solar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CVSR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Desert Sunlight 300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Roadrunner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El Paso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 xml:space="preserve">Utah Solar Portfolio </w:t>
            </w:r>
            <w:r>
              <w:rPr>
                <w:rFonts w:ascii="Times New Roman" w:cs="Times New Roman" w:eastAsia="Times New Roman" w:hAnsi="Times New Roman"/>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AZ DG Solar Projects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2025 - 2033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2023 - 2039</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IV</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V</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84" w:right="239" w:bottom="1036"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0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1"/>
                <w:szCs w:val="21"/>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Buffalo Bear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Crosswinds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NRG Power Marketing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Elkhorn Ridge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Forward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Goat Wind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Dow Pipeline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Hardin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Odin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53"/>
        </w:trPr>
        <w:tc>
          <w:tcPr>
            <w:tcW w:w="4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Pinnacle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3"/>
        </w:trPr>
        <w:tc>
          <w:tcPr>
            <w:tcW w:w="43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San Juan Mesa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Sleeping Bear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AEP Energy Partners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Spanish Fork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Taloga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8"/>
                <w:szCs w:val="8"/>
                <w:color w:val="auto"/>
              </w:rPr>
              <w:t>(b) (f)</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Power sold into PJM markets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net generation capacity</w:t>
            </w:r>
            <w:r>
              <w:rPr>
                <w:rFonts w:ascii="Times New Roman" w:cs="Times New Roman" w:eastAsia="Times New Roman" w:hAnsi="Times New Roman"/>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xml:space="preserve">Thermal equivalent MWt </w:t>
            </w:r>
            <w:r>
              <w:rPr>
                <w:rFonts w:ascii="Times New Roman" w:cs="Times New Roman" w:eastAsia="Times New Roman" w:hAnsi="Times New Roman"/>
                <w:sz w:val="8"/>
                <w:szCs w:val="8"/>
                <w:color w:val="auto"/>
              </w:rPr>
              <w:t>(d)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9"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capacity represents the maximum, or rated, generating capacity of the facility multiplied by the Company's percentage ownership in the facility as of March 31, 2019.</w:t>
      </w:r>
    </w:p>
    <w:p>
      <w:pPr>
        <w:ind w:left="180" w:hanging="172"/>
        <w:spacing w:after="0" w:line="182" w:lineRule="auto"/>
        <w:tabs>
          <w:tab w:leader="none" w:pos="1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Projects are part of tax equity arrangements.</w:t>
      </w:r>
    </w:p>
    <w:p>
      <w:pPr>
        <w:spacing w:after="0" w:line="10" w:lineRule="exact"/>
        <w:rPr>
          <w:rFonts w:ascii="Times New Roman" w:cs="Times New Roman" w:eastAsia="Times New Roman" w:hAnsi="Times New Roman"/>
          <w:sz w:val="22"/>
          <w:szCs w:val="22"/>
          <w:color w:val="auto"/>
          <w:vertAlign w:val="superscript"/>
        </w:rPr>
      </w:pPr>
    </w:p>
    <w:p>
      <w:pPr>
        <w:ind w:firstLine="8"/>
        <w:spacing w:after="0" w:line="207" w:lineRule="auto"/>
        <w:tabs>
          <w:tab w:leader="none" w:pos="17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Company's total generation capacity is net of 6 MWs for noncontrolling interest for Spring Canyon II and III. The Company's generation capacity including this noncontrolling interest was 5,411 MWs.</w:t>
      </w:r>
    </w:p>
    <w:p>
      <w:pPr>
        <w:spacing w:after="0" w:line="1" w:lineRule="exact"/>
        <w:rPr>
          <w:rFonts w:ascii="Times New Roman" w:cs="Times New Roman" w:eastAsia="Times New Roman" w:hAnsi="Times New Roman"/>
          <w:sz w:val="22"/>
          <w:szCs w:val="22"/>
          <w:color w:val="auto"/>
          <w:vertAlign w:val="superscript"/>
        </w:rPr>
      </w:pPr>
    </w:p>
    <w:p>
      <w:pPr>
        <w:ind w:firstLine="8"/>
        <w:spacing w:after="0" w:line="232" w:lineRule="auto"/>
        <w:tabs>
          <w:tab w:leader="none" w:pos="16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thermal energy, net capacity represents MWt for steam or chilled water and excludes 112 MWt available under the right-to-use provisions contained in agreements between two of the Company's thermal facilities and certain of its customers.</w:t>
      </w:r>
    </w:p>
    <w:p>
      <w:pPr>
        <w:ind w:right="280" w:firstLine="8"/>
        <w:spacing w:after="0" w:line="232"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Projects are part of Wind TE Holdco portfolio.</w:t>
      </w:r>
    </w:p>
    <w:p>
      <w:pPr>
        <w:spacing w:after="0" w:line="13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facilities owned or leased in the table above,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March 31, 2019. For further discussions, see Item 15 — Note 4, </w:t>
      </w:r>
      <w:r>
        <w:rPr>
          <w:rFonts w:ascii="Times New Roman" w:cs="Times New Roman" w:eastAsia="Times New Roman" w:hAnsi="Times New Roman"/>
          <w:sz w:val="18"/>
          <w:szCs w:val="18"/>
          <w:i w:val="1"/>
          <w:iCs w:val="1"/>
          <w:color w:val="auto"/>
        </w:rPr>
        <w:t>Investments Accounted for by the Equity 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Variable Interest Entities </w:t>
      </w:r>
      <w:r>
        <w:rPr>
          <w:rFonts w:ascii="Times New Roman" w:cs="Times New Roman" w:eastAsia="Times New Roman" w:hAnsi="Times New Roman"/>
          <w:sz w:val="18"/>
          <w:szCs w:val="18"/>
          <w:color w:val="auto"/>
        </w:rPr>
        <w:t>of this Form 10-Q and Item 1 — Note 5,</w:t>
      </w:r>
      <w:r>
        <w:rPr>
          <w:rFonts w:ascii="Times New Roman" w:cs="Times New Roman" w:eastAsia="Times New Roman" w:hAnsi="Times New Roman"/>
          <w:sz w:val="18"/>
          <w:szCs w:val="18"/>
          <w:i w:val="1"/>
          <w:iCs w:val="1"/>
          <w:color w:val="auto"/>
        </w:rPr>
        <w:t xml:space="preserve"> Investments Accounted for by the Equity Method and Variable Interest Entities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2018 Form 10-K.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832"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92" w:lineRule="exact"/>
        <w:rPr>
          <w:sz w:val="20"/>
          <w:szCs w:val="20"/>
          <w:color w:val="auto"/>
        </w:rPr>
      </w:pPr>
    </w:p>
    <w:p>
      <w:pPr>
        <w:jc w:val="both"/>
        <w:ind w:left="340" w:hanging="332"/>
        <w:spacing w:after="0" w:line="25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March 31, 2019, the Company had $1.4 billion of property, plant and equipment, net, $352 million investments in unconsolidated affiliates and $1.3 billion of borrowings with final maturity dates ranging from 2023 - 2038 related to these facilities. The related subsidiaries of the Company are parties to financing agreements consisting of non-recourse project level debt and, in certain cases, non-recourse holding company debt. The PG&amp;E Bankruptcy has triggered defaults under the PPAs with PG&amp;E and such related financing agreements, as further discussed in Item 1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a result, the Company recorded approximately $1.3 billion of principal, net of the related unamortized debt issuance costs, with final maturity dates ranging from 2023 - 2038, as short-term debt. The Company continues to assess the potential future impacts of the PG&amp;E bankruptcy filing as events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2019 Convertible Notes</w:t>
      </w:r>
    </w:p>
    <w:p>
      <w:pPr>
        <w:spacing w:after="0" w:line="173" w:lineRule="exact"/>
        <w:rPr>
          <w:sz w:val="20"/>
          <w:szCs w:val="20"/>
          <w:color w:val="auto"/>
        </w:rPr>
      </w:pPr>
    </w:p>
    <w:p>
      <w:pPr>
        <w:jc w:val="both"/>
        <w:ind w:left="340" w:hanging="251"/>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 The 2019 Convertible Notes matured on February 1, 2019 and the Company paid off the remaining balance of an aggregate principal amount of $170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Project</w:t>
      </w:r>
    </w:p>
    <w:p>
      <w:pPr>
        <w:spacing w:after="0" w:line="173" w:lineRule="exact"/>
        <w:rPr>
          <w:sz w:val="20"/>
          <w:szCs w:val="20"/>
          <w:color w:val="auto"/>
        </w:rPr>
      </w:pPr>
    </w:p>
    <w:p>
      <w:pPr>
        <w:jc w:val="both"/>
        <w:ind w:left="340" w:hanging="251"/>
        <w:spacing w:after="0" w:line="255"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2018, the Company entered into an agreement with NRG to purchase 100% of the membership interests in Carlsbad Energy Holdings LLC, which indirectly owns the Carlsbad project, a 527 MW 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Reduction</w:t>
      </w:r>
    </w:p>
    <w:p>
      <w:pPr>
        <w:spacing w:after="0" w:line="173" w:lineRule="exact"/>
        <w:rPr>
          <w:sz w:val="20"/>
          <w:szCs w:val="20"/>
          <w:color w:val="auto"/>
        </w:rPr>
      </w:pPr>
    </w:p>
    <w:p>
      <w:pPr>
        <w:jc w:val="both"/>
        <w:ind w:left="340" w:hanging="332"/>
        <w:spacing w:after="0" w:line="256" w:lineRule="auto"/>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February 12, 2019, and as a result of impacts related to the PG&amp;E Bankruptcy, the Company's Board of Directors declared a quarterly dividend on its Class A and Class C common stock of $0.20 per share paid on March 15, 2019, to stockholders of record as of March 1, 2019. This dividend was reduced from the prior quarterly dividend paid in December 2018 of $0.331 per share. A similar decrease was made to Clearway Energy LLC's distributions to its unitholders. Again on May 1, 2019, the Company's Board of Directors declared a quarterly dividend on Class A and Class C common stock of $0.20 per share, payable on June 15, 2019 to stockholders of record as of June 1, 2019. The Company will continue to assess the level of the distribution pending developments in the PG&amp;E Bankruptcy, including the Company’s ability to receive unrestricted project distributions.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CEG ROFO Agreement Amendment</w:t>
      </w:r>
    </w:p>
    <w:p>
      <w:pPr>
        <w:spacing w:after="0" w:line="173"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February 14, 2019, the CEG ROFO Agreement was amended to grant the Company a right of first offer for Hawaii Solar Phase II, which consists of the Mililani I and Waiawa solar and storage projects located in Oahu, Hawaii.</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8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Hawaii Solar Phase I ROFO Acquisition</w:t>
      </w:r>
    </w:p>
    <w:p>
      <w:pPr>
        <w:spacing w:after="0" w:line="173" w:lineRule="exact"/>
        <w:rPr>
          <w:sz w:val="20"/>
          <w:szCs w:val="20"/>
          <w:color w:val="auto"/>
        </w:rPr>
      </w:pPr>
    </w:p>
    <w:p>
      <w:pPr>
        <w:jc w:val="both"/>
        <w:ind w:left="34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8, 2019, the Company entered into a partnership with Clearway Renew LLC, a subsidiary of CEG, to own, finance, operate, and maintain the Oahu Solar projects, which consist of Lanikuhana and Waipio, utility-scale solar generation projects which represent 15 MW and 46 MW respectively, in Oahu, Hawaii. The Company made an original capital contribution in the amount of $4 million and recorded a payable in the amount of $16 million due to Clearway Renew LLC in the accounts payable - affiliate on the Company's consolidated balance sheets as of March 31, 2019.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Oahu Partnership is a component of the Hawaii Solar Phase I ROFO Acquisition which in aggregate totals 80 MW of utility-scale solar projects located in Kawailoa and Oahu, Hawaii and is being purchased from Clearway Group for a total cash consideration of $28 million plus the assumption of non-recourse debt of $169 million. The purchase price for the Hawaii Solar Phase I ROFO Acquisition projects will be funded with existing liquidity. The projects are expected to be completed in summer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 TE Holdco Buyout</w:t>
      </w:r>
    </w:p>
    <w:p>
      <w:pPr>
        <w:spacing w:after="0" w:line="173"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Duquesne Thermal</w:t>
      </w:r>
    </w:p>
    <w:p>
      <w:pPr>
        <w:spacing w:after="0" w:line="173" w:lineRule="exact"/>
        <w:rPr>
          <w:sz w:val="20"/>
          <w:szCs w:val="20"/>
          <w:color w:val="auto"/>
        </w:rPr>
      </w:pPr>
    </w:p>
    <w:p>
      <w:pPr>
        <w:jc w:val="both"/>
        <w:ind w:left="340" w:hanging="332"/>
        <w:spacing w:after="0" w:line="256" w:lineRule="auto"/>
        <w:tabs>
          <w:tab w:leader="none" w:pos="3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May 1, 2019, the Company, through its indirect subsidiary ECP Uptown Campus LLC, acquired the Duquesne University district energy system, totaling 87 combined MWt, located in Pittsburgh, PA. The total investment for the project, including capital expenditures required to interconnect the project to the Company's existing system, is approximately $107 million. In connection with the transaction, ECP Uptown Campus LLC issued non-recourse project debt of $95 million. The Company used proceeds from debt, in combination with cash on hand to purchase the project from the University.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Tapestry Refinancing</w:t>
      </w:r>
    </w:p>
    <w:p>
      <w:pPr>
        <w:spacing w:after="0" w:line="173"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April 29, 2019, the Company, through Tapestry Wind LLC, refinanced $147 million of non-recourse debt due 2021 by issuing $164 million of new non-recourse financing due 2031 at an interest rate of LIBOR plus 1.375%. As a result of this refinancing, the Company received $11 million, net of fees and financing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Regulatory Matters</w:t>
      </w:r>
    </w:p>
    <w:p>
      <w:pPr>
        <w:spacing w:after="0" w:line="173" w:lineRule="exact"/>
        <w:rPr>
          <w:sz w:val="20"/>
          <w:szCs w:val="20"/>
          <w:color w:val="auto"/>
        </w:rPr>
      </w:pPr>
    </w:p>
    <w:p>
      <w:pPr>
        <w:ind w:right="20"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and regulatory matters are described in the Company’s 2018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73"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2018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28"/>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Contract amortization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economic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40" w:type="dxa"/>
            <w:vAlign w:val="bottom"/>
          </w:tcPr>
          <w:p>
            <w:pPr>
              <w:spacing w:after="0"/>
              <w:rPr>
                <w:sz w:val="20"/>
                <w:szCs w:val="20"/>
                <w:color w:val="auto"/>
              </w:rPr>
            </w:pP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Total operating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Cost of fuels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Other costs of operations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Pre-acquisition net income of Drop Down Assets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Excluding Pre-acquisition Net Income of Drop Down Assets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 Attributable to Clearway Energy,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4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r>
      <w:tr>
        <w:trPr>
          <w:trHeight w:val="264"/>
        </w:trPr>
        <w:tc>
          <w:tcPr>
            <w:tcW w:w="84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69"/>
        </w:trPr>
        <w:tc>
          <w:tcPr>
            <w:tcW w:w="8460" w:type="dxa"/>
            <w:vAlign w:val="bottom"/>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1,616</w:t>
            </w: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460" w:type="dxa"/>
            <w:vAlign w:val="bottom"/>
            <w:gridSpan w:val="4"/>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460" w:type="dxa"/>
            <w:vAlign w:val="bottom"/>
            <w:gridSpan w:val="4"/>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5"/>
                <w:szCs w:val="25"/>
                <w:color w:val="auto"/>
                <w:vertAlign w:val="superscript"/>
              </w:rPr>
              <w:t>(a)(c)</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84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85.0%</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65"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16" w:lineRule="exact"/>
        <w:rPr>
          <w:rFonts w:ascii="Times New Roman" w:cs="Times New Roman" w:eastAsia="Times New Roman" w:hAnsi="Times New Roman"/>
          <w:sz w:val="19"/>
          <w:szCs w:val="19"/>
          <w:color w:val="auto"/>
          <w:vertAlign w:val="superscript"/>
        </w:rPr>
      </w:pPr>
    </w:p>
    <w:p>
      <w:pPr>
        <w:ind w:firstLine="8"/>
        <w:spacing w:after="0" w:line="251" w:lineRule="auto"/>
        <w:tabs>
          <w:tab w:leader="none" w:pos="153"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MWh sold do not include 1 MWh and 10 MWh during the three months ended March 31, 2019 and 2018, respectively, generated by Dover, a subsidiary of the Company, under the PPA with NRG Power Marketing, as further described in Note 11, </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w:t>
      </w:r>
    </w:p>
    <w:p>
      <w:pPr>
        <w:ind w:left="160" w:hanging="152"/>
        <w:spacing w:after="0" w:line="207"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8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March 31, 2019 and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4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three months ended March 31, 2019 and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0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6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2019</w:t>
            </w: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42" w:name="page43"/>
    <w:bookmarkEnd w:id="42"/>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by $7 million during the three months ended March 31, 2019, compared to the same period in 2018 primarily due to a combination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Reason for Increase</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 million mark-to-market loss on the Elbow Creek forward power sale contract entered into during the first</w:t>
            </w:r>
          </w:p>
        </w:tc>
        <w:tc>
          <w:tcPr>
            <w:tcW w:w="0" w:type="dxa"/>
            <w:vAlign w:val="bottom"/>
          </w:tcPr>
          <w:p>
            <w:pPr>
              <w:spacing w:after="0"/>
              <w:rPr>
                <w:sz w:val="1"/>
                <w:szCs w:val="1"/>
                <w:color w:val="auto"/>
              </w:rPr>
            </w:pPr>
          </w:p>
        </w:tc>
      </w:tr>
      <w:tr>
        <w:trPr>
          <w:trHeight w:val="216"/>
        </w:trPr>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of 2019, as well as a decrease of $3 million due to lower wind and solar resources, partially offset by</w:t>
            </w:r>
          </w:p>
        </w:tc>
        <w:tc>
          <w:tcPr>
            <w:tcW w:w="0" w:type="dxa"/>
            <w:vAlign w:val="bottom"/>
          </w:tcPr>
          <w:p>
            <w:pPr>
              <w:spacing w:after="0"/>
              <w:rPr>
                <w:sz w:val="1"/>
                <w:szCs w:val="1"/>
                <w:color w:val="auto"/>
              </w:rPr>
            </w:pPr>
          </w:p>
        </w:tc>
      </w:tr>
      <w:tr>
        <w:trPr>
          <w:trHeight w:val="234"/>
        </w:trPr>
        <w:tc>
          <w:tcPr>
            <w:tcW w:w="1620" w:type="dxa"/>
            <w:vAlign w:val="bottom"/>
            <w:gridSpan w:val="2"/>
            <w:vMerge w:val="continue"/>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generated at the Buckthorn Solar facility which went COD in July 2018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Thermal: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generated at the UPMC Thermal Project, which was completed in the second quarter of 2018</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Conventional:</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Fewer outages in 2019 compared to 2018</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w:t>
      </w:r>
    </w:p>
    <w:p>
      <w:pPr>
        <w:spacing w:after="0" w:line="14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decreased by $5 million during the three months ended March 31, 2019, compared to the same period in 2018, primarily due to reduced outages and general maintenance costs at El Segundo and Walnut Creek projects of the Conventional segment.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17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Company incurred $1 million of development cost expense during the three months ended March 31, 2019, which primarily related to business development, personnel and benefits costs within the Company's Thermal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$1 million during the three months ended March 31, 2019, compared to the same period in 2018, primarily driven by lower income allocated to the Company's interests in DGPV Holdco entities partially offset by higher income allocated to the Company's interests in the Utah Solar Portfolio.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$46 million during the three months ended March 31, 2019, compared to the same period in 2018, primarily due to the following:</w:t>
      </w:r>
    </w:p>
    <w:p>
      <w:pPr>
        <w:sectPr>
          <w:pgSz w:w="11900" w:h="16838" w:orient="portrait"/>
          <w:cols w:equalWidth="0" w:num="1">
            <w:col w:w="11420"/>
          </w:cols>
          <w:pgMar w:left="240" w:top="688" w:right="239" w:bottom="1440" w:gutter="0" w:footer="0" w:header="0"/>
        </w:sect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36830</wp:posOffset>
            </wp:positionV>
            <wp:extent cx="69208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 in fair value of interest rate swaps</w:t>
      </w:r>
    </w:p>
    <w:p>
      <w:pPr>
        <w:spacing w:after="0" w:line="63" w:lineRule="exact"/>
        <w:rPr>
          <w:sz w:val="20"/>
          <w:szCs w:val="20"/>
          <w:color w:val="auto"/>
        </w:rPr>
      </w:pPr>
    </w:p>
    <w:p>
      <w:pPr>
        <w:ind w:left="300" w:right="620"/>
        <w:spacing w:after="0" w:line="281" w:lineRule="auto"/>
        <w:rPr>
          <w:sz w:val="20"/>
          <w:szCs w:val="20"/>
          <w:color w:val="auto"/>
        </w:rPr>
      </w:pPr>
      <w:r>
        <w:rPr>
          <w:rFonts w:ascii="Times New Roman" w:cs="Times New Roman" w:eastAsia="Times New Roman" w:hAnsi="Times New Roman"/>
          <w:sz w:val="18"/>
          <w:szCs w:val="18"/>
          <w:color w:val="auto"/>
        </w:rPr>
        <w:t>Issuance of Energy Center Minneapolis Series E, F, G, H Notes in June 2018 and additional interest expense for the Buckthorn Solar project-level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-3810</wp:posOffset>
            </wp:positionV>
            <wp:extent cx="6920865"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0865" cy="445770"/>
                    </a:xfrm>
                    <a:prstGeom prst="rect">
                      <a:avLst/>
                    </a:prstGeom>
                    <a:noFill/>
                  </pic:spPr>
                </pic:pic>
              </a:graphicData>
            </a:graphic>
          </wp:anchor>
        </w:drawing>
      </w:r>
    </w:p>
    <w:p>
      <w:pPr>
        <w:ind w:left="460" w:hanging="161"/>
        <w:spacing w:after="0" w:line="266" w:lineRule="auto"/>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due to maturity and repayment of the remaining balance of the 2019 Convertible Notes in February 2019, as well as partial repayment of the 2020 Convertible Notes in October 2018</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Normal amortization for project-level debt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w:t>
      </w:r>
    </w:p>
    <w:p>
      <w:pPr>
        <w:spacing w:after="0" w:line="67" w:lineRule="exact"/>
        <w:rPr>
          <w:sz w:val="20"/>
          <w:szCs w:val="20"/>
          <w:color w:val="auto"/>
        </w:rPr>
      </w:pPr>
    </w:p>
    <w:p>
      <w:pPr>
        <w:ind w:left="1400" w:hanging="1392"/>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7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132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57" w:lineRule="exact"/>
        <w:rPr>
          <w:sz w:val="20"/>
          <w:szCs w:val="20"/>
          <w:color w:val="auto"/>
        </w:rPr>
      </w:pPr>
    </w:p>
    <w:p>
      <w:pPr>
        <w:ind w:left="1400" w:hanging="1392"/>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132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51435</wp:posOffset>
            </wp:positionV>
            <wp:extent cx="1132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9240" w:space="160"/>
            <w:col w:w="2020"/>
          </w:cols>
          <w:pgMar w:left="240" w:top="688" w:right="239" w:bottom="1440" w:gutter="0" w:footer="0" w:header="0"/>
          <w:type w:val="continuous"/>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the Company recorded an income tax benefit of $7 million on a pretax loss of $54 million. For the same period in 2018, the Company recorded an income tax benefit of $1 million on a pretax loss of $1 million.</w:t>
      </w:r>
    </w:p>
    <w:p>
      <w:pPr>
        <w:spacing w:after="0" w:line="108"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2019 and 2018, the overall effective tax rates of 13.0% and 100.0%, respectively, were different than the statutory rate of 21% primarily due to production and investment tax credits generated from certain wind and solar assets, respectively, and earnings allocated to CEG for the period ended March 31, 2019 and NRG for the period ended March 31, 2018, respectively, resulting from their interest in Clearway Energy LLC.</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8"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2019, the Company had a loss of $23 million attributable to CEG's economic interest in Clearway Energy LLC and Repowering Partnership LLC. Additionally, for the three months ended March 31, 2019, the Company had a loss of $4 million attributable to noncontrolling interests with respect to its tax equity financing arrangements and the application of the HLBV method. For the three months ended March 31, 2018, the Company had income of $17 million attributable to NRG's economic interest in Clearway Energy LLC and a loss of $37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Times New Roman" w:cs="Times New Roman" w:eastAsia="Times New Roman" w:hAnsi="Times New Roman"/>
          <w:sz w:val="18"/>
          <w:szCs w:val="18"/>
          <w:color w:val="000000"/>
        </w:rPr>
        <w:t>As a normal part of the Company's business, depending on market conditions,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the Company had $454 million of available borrowings under its revolving credit facility. 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r>
        <w:rPr>
          <w:rFonts w:ascii="Times New Roman" w:cs="Times New Roman" w:eastAsia="Times New Roman" w:hAnsi="Times New Roman"/>
          <w:sz w:val="18"/>
          <w:szCs w:val="18"/>
          <w:color w:val="231F20"/>
        </w:rPr>
        <w:t>, the Company's liquidity was $752 million and $1,037 million, respectively, comprised of the following:</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6"/>
                <w:szCs w:val="16"/>
                <w:color w:val="auto"/>
              </w:rPr>
            </w:pPr>
          </w:p>
        </w:tc>
        <w:tc>
          <w:tcPr>
            <w:tcW w:w="16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accounts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583</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7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Company's liquidity includes $181 million and $176 million of restricted cash balances as of March 31, 2019 and December 31,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March 31, 2019, these restricted funds were comprised of $57 million designated to fund operating expenses, $43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designated for current debt service payments, and $39 million restricted for reserves including debt service, performance obligations and other reserves, as well as capital expenditures. The remaining $42 million is held in distribution reserve accounts, of which $36 million related to subsidiaries affected by the PG&amp;E Bankruptcy as discussed further below and may not be distributed during the pendency of the PG&amp;E Bankruptcy.</w:t>
      </w:r>
    </w:p>
    <w:p>
      <w:pPr>
        <w:spacing w:after="0" w:line="1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there were no outstanding borrowings and $41 million of letters of credit outstanding under the Company's revolving credit facility.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March 31, 2019, all project level cash balances for these subsidiaries were classified as restricted cash.</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4" w:right="239" w:bottom="1440" w:gutter="0" w:footer="0" w:header="0"/>
        </w:sectPr>
      </w:pPr>
    </w:p>
    <w:bookmarkStart w:id="44" w:name="page45"/>
    <w:bookmarkEnd w:id="44"/>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March 31, 2019:</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Clearway Energy,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bl>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Debt</w:t>
      </w:r>
      <w:r>
        <w:rPr>
          <w:rFonts w:ascii="Times New Roman" w:cs="Times New Roman" w:eastAsia="Times New Roman" w:hAnsi="Times New Roman"/>
          <w:sz w:val="18"/>
          <w:szCs w:val="18"/>
          <w:color w:val="231F20"/>
        </w:rPr>
        <w:t>, to this Form 10-Q and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000000"/>
        </w:rPr>
        <w:t xml:space="preserve"> Long-term Debt</w:t>
      </w:r>
      <w:r>
        <w:rPr>
          <w:rFonts w:ascii="Times New Roman" w:cs="Times New Roman" w:eastAsia="Times New Roman" w:hAnsi="Times New Roman"/>
          <w:sz w:val="18"/>
          <w:szCs w:val="18"/>
          <w:color w:val="231F20"/>
        </w:rPr>
        <w:t>, to the consolidated financial statements included in the Company's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2018 Form 10-K</w:t>
      </w:r>
      <w:r>
        <w:rPr>
          <w:rFonts w:ascii="Times New Roman" w:cs="Times New Roman" w:eastAsia="Times New Roman" w:hAnsi="Times New Roman"/>
          <w:sz w:val="18"/>
          <w:szCs w:val="18"/>
          <w:color w:val="231F20"/>
        </w:rPr>
        <w:t>, the Company's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 xml:space="preserve">financing arrangements consist of </w:t>
      </w:r>
      <w:r>
        <w:rPr>
          <w:rFonts w:ascii="Times New Roman" w:cs="Times New Roman" w:eastAsia="Times New Roman" w:hAnsi="Times New Roman"/>
          <w:sz w:val="18"/>
          <w:szCs w:val="18"/>
          <w:color w:val="000000"/>
        </w:rPr>
        <w:t>corporate level debt, which includes Senior Notes, 2020 Convertible Notes, and the revolving credit facility; the ATM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Program; and project-level financings for its various assets.</w:t>
      </w:r>
    </w:p>
    <w:p>
      <w:pPr>
        <w:spacing w:after="0" w:line="128"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Sales </w:t>
      </w:r>
      <w:r>
        <w:rPr>
          <w:rFonts w:ascii="Times New Roman" w:cs="Times New Roman" w:eastAsia="Times New Roman" w:hAnsi="Times New Roman"/>
          <w:sz w:val="18"/>
          <w:szCs w:val="18"/>
          <w:color w:val="auto"/>
        </w:rPr>
        <w:t>— The Company did not sell any shares of Class C common stock during the three months ended March 31, 2019. As of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$36 million of Class C common stock remains available for issuance under the ATM Program.</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Item 1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(ii) capital expenditures; (iii) acquisitions and investments; and (iv) cash dividends to investors.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three months ended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the Company used approximately $16 million to fund capital expenditures, including growth</w:t>
      </w:r>
      <w:r>
        <w:rPr>
          <w:rFonts w:ascii="Times New Roman" w:cs="Times New Roman" w:eastAsia="Times New Roman" w:hAnsi="Times New Roman"/>
          <w:sz w:val="18"/>
          <w:szCs w:val="18"/>
          <w:color w:val="000000"/>
        </w:rPr>
        <w:t xml:space="preserve"> expenditures of $12 million, primarily in the Renewables segment in connection with the Oahu Partnership entered by the Company on March 8, 2019, and to a lesser extent in the Thermal segment in connection with the Mylan development project. </w:t>
      </w:r>
      <w:r>
        <w:rPr>
          <w:rFonts w:ascii="Times New Roman" w:cs="Times New Roman" w:eastAsia="Times New Roman" w:hAnsi="Times New Roman"/>
          <w:sz w:val="18"/>
          <w:szCs w:val="18"/>
          <w:color w:val="231F20"/>
        </w:rPr>
        <w:t>For the three months ended March 31, 2018, the Company used approximately $18 million to fund capital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expenditures, of which </w:t>
      </w:r>
      <w:r>
        <w:rPr>
          <w:rFonts w:ascii="Times New Roman" w:cs="Times New Roman" w:eastAsia="Times New Roman" w:hAnsi="Times New Roman"/>
          <w:sz w:val="18"/>
          <w:szCs w:val="18"/>
          <w:color w:val="000000"/>
        </w:rPr>
        <w:t>$10 million related to growth expenditures in the Renewables segment paid by NRG in connection with the construction of Buckthorn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Solar. </w:t>
      </w:r>
      <w:r>
        <w:rPr>
          <w:rFonts w:ascii="Times New Roman" w:cs="Times New Roman" w:eastAsia="Times New Roman" w:hAnsi="Times New Roman"/>
          <w:sz w:val="18"/>
          <w:szCs w:val="18"/>
          <w:color w:val="231F20"/>
        </w:rPr>
        <w:t>The Company develops annual capital spending plans based on projected requirements for maintenance and growth capital. The Company estimates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$30 million of maintenance expenditures for 2019. </w:t>
      </w:r>
      <w:r>
        <w:rPr>
          <w:rFonts w:ascii="Times New Roman" w:cs="Times New Roman" w:eastAsia="Times New Roman" w:hAnsi="Times New Roman"/>
          <w:sz w:val="18"/>
          <w:szCs w:val="18"/>
          <w:color w:val="000000"/>
        </w:rPr>
        <w:t>These estimates are subject to continuing review and adjustment and actual capital expenditures may vary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from these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688" w:right="239" w:bottom="1440" w:gutter="0" w:footer="0" w:header="0"/>
        </w:sectPr>
      </w:pPr>
    </w:p>
    <w:bookmarkStart w:id="45" w:name="page46"/>
    <w:bookmarkEnd w:id="45"/>
    <w:p>
      <w:pPr>
        <w:jc w:val="both"/>
        <w:ind w:right="2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 2019, the Company bought out 100% of Class A membership interest from the TE Investor,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$19 million, as further described in Item 1 —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8, 2019, the Company entered into a partnership with Clearway Renew LLC, a subsidiary of CEG, to own,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operate, and maintain the Oahu Solar projects, which consist of Lanikuhana and Waipio, utility-scale solar generation projects which represent 15 MW and 46 MW respectively, in Oahu, Hawaii. The Company made an original capital contribution in the amount of $4 million and recorded a payable in the amount of $16 million due to Clearway Renew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March 31, 2019.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2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Duquesne Thermal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 LLC, acquired the Duquesne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energy system, totaling 87 combined MWt, located in Pittsburgh, PA. The total investment for the project, including capital expenditures required to interconnect the project to the Company's existing system, is approximately $107 million. In connection with the transaction, ECP Uptown Campus LLC issued non-recourse project debt of $95 million. The Company used proceeds from debt, in combination with cash on hand to purchase the project from the University.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Partnership with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2019, the Company invested $4 million in distributed generation partnerships with CEG.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Dividends to Investors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Times New Roman" w:cs="Times New Roman" w:eastAsia="Times New Roman" w:hAnsi="Times New Roman"/>
          <w:sz w:val="18"/>
          <w:szCs w:val="18"/>
          <w:color w:val="000000"/>
        </w:rPr>
        <w:t>he Class A common stock and Class C common stock are subject to available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lists the dividends paid on Clearway Energy, Inc.'s Class A common stock and Class C common stock during the three months ended March 31, 2019:</w:t>
      </w:r>
    </w:p>
    <w:p>
      <w:pPr>
        <w:spacing w:after="0" w:line="25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95"/>
        </w:trPr>
        <w:tc>
          <w:tcPr>
            <w:tcW w:w="7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1, 2019, the Company declared quarterly dividends on its Class A common stock and Class C common stock of $0.20 per share payable on June 17, 2019, to stockholders of record as of June 3,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8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three months ended March 31, 2019, compared to the three months ended March 31, 2018:</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420"/>
          </w:cols>
          <w:pgMar w:left="240" w:top="684"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Decrease in operating income adjusted for non-cash items</w:t>
      </w:r>
    </w:p>
    <w:p>
      <w:pPr>
        <w:spacing w:after="0" w:line="63" w:lineRule="exact"/>
        <w:rPr>
          <w:sz w:val="20"/>
          <w:szCs w:val="20"/>
          <w:color w:val="auto"/>
        </w:rPr>
      </w:pPr>
    </w:p>
    <w:p>
      <w:pPr>
        <w:ind w:left="40" w:right="271"/>
        <w:spacing w:after="0" w:line="344" w:lineRule="auto"/>
        <w:rPr>
          <w:sz w:val="20"/>
          <w:szCs w:val="20"/>
          <w:color w:val="auto"/>
        </w:rPr>
      </w:pPr>
      <w:r>
        <w:rPr>
          <w:rFonts w:ascii="Times New Roman" w:cs="Times New Roman" w:eastAsia="Times New Roman" w:hAnsi="Times New Roman"/>
          <w:sz w:val="18"/>
          <w:szCs w:val="18"/>
          <w:color w:val="auto"/>
        </w:rPr>
        <w:t>Decrease in working capital driven primarily by the timing of accounts receivable collections and payment of accounts payable Lower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22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969" w:hanging="969"/>
        <w:spacing w:after="0"/>
        <w:tabs>
          <w:tab w:leader="none" w:pos="9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63" w:lineRule="exact"/>
        <w:rPr>
          <w:rFonts w:ascii="Times New Roman" w:cs="Times New Roman" w:eastAsia="Times New Roman" w:hAnsi="Times New Roman"/>
          <w:sz w:val="18"/>
          <w:szCs w:val="18"/>
          <w:color w:val="auto"/>
        </w:rPr>
      </w:pPr>
    </w:p>
    <w:p>
      <w:pPr>
        <w:ind w:left="9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63" w:lineRule="exact"/>
        <w:rPr>
          <w:rFonts w:ascii="Times New Roman" w:cs="Times New Roman" w:eastAsia="Times New Roman" w:hAnsi="Times New Roman"/>
          <w:sz w:val="18"/>
          <w:szCs w:val="18"/>
          <w:color w:val="auto"/>
        </w:rPr>
      </w:pPr>
    </w:p>
    <w:p>
      <w:pPr>
        <w:ind w:left="9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975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969" w:hanging="969"/>
        <w:spacing w:after="0"/>
        <w:tabs>
          <w:tab w:leader="none" w:pos="9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97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797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71" w:space="720"/>
            <w:col w:w="1229"/>
          </w:cols>
          <w:pgMar w:left="240" w:top="684" w:right="2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26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for the Buckthorn Solar Drop Down Asset in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to acquire the Class A interest in the Oahu Partnership</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to buy out an existing tax equity partner of Wind TE Holdco on January 2, 2019</w:t>
            </w:r>
          </w:p>
        </w:tc>
        <w:tc>
          <w:tcPr>
            <w:tcW w:w="2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69"/>
        </w:trPr>
        <w:tc>
          <w:tcPr>
            <w:tcW w:w="10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 net investment in unconsolidated affiliates primarily in the DGPV partnerships with CEG during 2019</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0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10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Higher net repayments of long-term debt in 2019 compared to 2018, primarily driven by the maturity and repayment of the 2019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in the first quarter of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 net contributions from noncontrolling interests in 2019 compared to 2018</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the Clearway Energy, Inc. common stock offering under the ATM Program in 2018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the revolving credit facility in 2018</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dividends paid to common stockholders from 2018 to 2019</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84" w:right="2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the Company has a cumulative federal NOL carry forward balance of $945 million based on the latest income tax filing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Act.</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jurisdiction and various state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4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March 31, 2019, the Company has several investments with an ownership interest percentage of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approximately $926 million as of March 31, 2019. This indebtedness may restrict the ability of these subsidiaries to issue dividends or distributions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to this Form 10-Q for a discussion of additional contingencies that occurred during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Item — 1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Activity (Losses)/Gains</w:t>
            </w: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December 31, 2018</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March 31, 2019</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00" w:type="dxa"/>
            <w:vAlign w:val="bottom"/>
          </w:tcPr>
          <w:p>
            <w:pPr>
              <w:spacing w:after="0"/>
              <w:rPr>
                <w:sz w:val="12"/>
                <w:szCs w:val="12"/>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 (Losses)/Gains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 Years to 5</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3"/>
                <w:szCs w:val="13"/>
                <w:color w:val="auto"/>
              </w:rPr>
            </w:pPr>
          </w:p>
        </w:tc>
        <w:tc>
          <w:tcPr>
            <w:tcW w:w="94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BFE4FF"/>
            </w:tcBorders>
            <w:gridSpan w:val="3"/>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NRG, on behalf of the </w:t>
      </w:r>
      <w:r>
        <w:rPr>
          <w:rFonts w:ascii="Times New Roman" w:cs="Times New Roman" w:eastAsia="Times New Roman" w:hAnsi="Times New Roman"/>
          <w:sz w:val="18"/>
          <w:szCs w:val="18"/>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See Item — 1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912"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 update to,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2018 Form 10-K.</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Times New Roman" w:cs="Times New Roman" w:eastAsia="Times New Roman" w:hAnsi="Times New Roman"/>
          <w:sz w:val="18"/>
          <w:szCs w:val="18"/>
          <w:color w:val="000000"/>
        </w:rPr>
        <w:t>— 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Accounting for 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 level debt. See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2018 included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 the 2018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231F20"/>
        </w:rPr>
        <w:t>.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color w:val="231F20"/>
        </w:rPr>
        <w:t>, a 1% change in interest rates would result in an approximately $2 million change in market interest expense on a rolling twelve-month basis.</w:t>
      </w:r>
    </w:p>
    <w:p>
      <w:pPr>
        <w:spacing w:after="0" w:line="15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 xml:space="preserve">, the fair value of the Company's debt was $5,868 million and the carrying value was $5,886 million. The Company estimates that a 1% decrease in market interest rates would have increased the fair value of its long-term debt by approximately </w:t>
      </w:r>
      <w:r>
        <w:rPr>
          <w:rFonts w:ascii="Times New Roman" w:cs="Times New Roman" w:eastAsia="Times New Roman" w:hAnsi="Times New Roman"/>
          <w:sz w:val="18"/>
          <w:szCs w:val="18"/>
          <w:color w:val="000000"/>
        </w:rPr>
        <w:t>$232 million</w:t>
      </w:r>
      <w:r>
        <w:rPr>
          <w:rFonts w:ascii="Times New Roman" w:cs="Times New Roman" w:eastAsia="Times New Roman" w:hAnsi="Times New Roman"/>
          <w:sz w:val="18"/>
          <w:szCs w:val="18"/>
          <w:color w:val="231F20"/>
        </w:rPr>
        <w:t>.</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Times New Roman" w:cs="Times New Roman" w:eastAsia="Times New Roman" w:hAnsi="Times New Roman"/>
          <w:sz w:val="18"/>
          <w:szCs w:val="18"/>
          <w:color w:val="000000"/>
        </w:rPr>
        <w:t>$4 million</w:t>
      </w:r>
      <w:r>
        <w:rPr>
          <w:rFonts w:ascii="Times New Roman" w:cs="Times New Roman" w:eastAsia="Times New Roman" w:hAnsi="Times New Roman"/>
          <w:sz w:val="18"/>
          <w:szCs w:val="18"/>
          <w:color w:val="231F20"/>
        </w:rPr>
        <w:t xml:space="preserve"> to the net value of derivatives as of </w:t>
      </w:r>
      <w:r>
        <w:rPr>
          <w:rFonts w:ascii="Times New Roman" w:cs="Times New Roman" w:eastAsia="Times New Roman" w:hAnsi="Times New Roman"/>
          <w:sz w:val="18"/>
          <w:szCs w:val="18"/>
          <w:color w:val="000000"/>
        </w:rPr>
        <w:t>March 31, 2019</w:t>
      </w:r>
      <w:r>
        <w:rPr>
          <w:rFonts w:ascii="Times New Roman" w:cs="Times New Roman" w:eastAsia="Times New Roman" w:hAnsi="Times New Roman"/>
          <w:sz w:val="18"/>
          <w:szCs w:val="18"/>
          <w:color w:val="231F20"/>
        </w:rPr>
        <w:t>.</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Nature of Business</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GIP Transaction, the Company entered into a TSA pursuant to which NRG Energy, Inc. provided information technology, systems, applications, and business processes to the Company. Under the TSA with NRG Energy, Inc., the Company continues to review, document and evaluate the internal controls over financial reporting through March 31, 2019. There were no changes in the Company’s internal control over financial reporting (as such term is defined in Rule 13a-15(f) under the Exchange Act) during the quarter ended March 31, 2019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84"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March 31, 2019, see Note 12,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2018 Form 10-K. There have been no material changes in the Company's risk factors since those reported in its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5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5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First Amendment to Right of First Offer Agreement, dated February 14, 2019, by and</w:t>
              </w:r>
            </w:hyperlink>
          </w:p>
        </w:tc>
      </w:tr>
      <w:tr>
        <w:trPr>
          <w:trHeight w:val="183"/>
        </w:trPr>
        <w:tc>
          <w:tcPr>
            <w:tcW w:w="1040" w:type="dxa"/>
            <w:vAlign w:val="bottom"/>
          </w:tcPr>
          <w:p>
            <w:pPr>
              <w:spacing w:after="0"/>
              <w:rPr>
                <w:sz w:val="15"/>
                <w:szCs w:val="15"/>
                <w:color w:val="auto"/>
              </w:rPr>
            </w:pPr>
          </w:p>
        </w:tc>
        <w:tc>
          <w:tcPr>
            <w:tcW w:w="5540" w:type="dxa"/>
            <w:vAlign w:val="bottom"/>
            <w:gridSpan w:val="5"/>
          </w:tcPr>
          <w:p>
            <w:pPr>
              <w:spacing w:after="0" w:line="183"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between Clearway Energy Group LLC and Clearway Energy, Inc.</w:t>
              </w:r>
            </w:hyperlink>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Rule 13a-14(a)/15d-14(a) certification of Christopher S. Sotos.</w:t>
              </w:r>
            </w:hyperlink>
          </w:p>
        </w:tc>
        <w:tc>
          <w:tcPr>
            <w:tcW w:w="18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540" w:type="dxa"/>
            <w:vAlign w:val="bottom"/>
            <w:gridSpan w:val="5"/>
          </w:tcPr>
          <w:p>
            <w:pPr>
              <w:spacing w:after="0"/>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Rule 13a-14(a)/15d-14(a) certification of Chad Plotkin.</w:t>
              </w:r>
            </w:hyperlink>
          </w:p>
        </w:tc>
      </w:tr>
      <w:tr>
        <w:trPr>
          <w:trHeight w:val="20"/>
        </w:trPr>
        <w:tc>
          <w:tcPr>
            <w:tcW w:w="10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398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w:anchor="page57">
              <w:r>
                <w:rPr>
                  <w:rFonts w:ascii="Times New Roman" w:cs="Times New Roman" w:eastAsia="Times New Roman" w:hAnsi="Times New Roman"/>
                  <w:sz w:val="16"/>
                  <w:szCs w:val="16"/>
                  <w:color w:val="0000FF"/>
                </w:rPr>
                <w:t>Rule 13a-14(a)/15d-14(a) certification of Mary-Lee Stillwell.</w:t>
              </w:r>
            </w:hyperlink>
          </w:p>
        </w:tc>
        <w:tc>
          <w:tcPr>
            <w:tcW w:w="1560" w:type="dxa"/>
            <w:vAlign w:val="bottom"/>
            <w:gridSpan w:val="3"/>
          </w:tcPr>
          <w:p>
            <w:pPr>
              <w:spacing w:after="0"/>
              <w:rPr>
                <w:sz w:val="21"/>
                <w:szCs w:val="21"/>
                <w:color w:val="auto"/>
              </w:rPr>
            </w:pPr>
          </w:p>
        </w:tc>
      </w:tr>
    </w:tbl>
    <w:p>
      <w:pPr>
        <w:spacing w:after="0" w:line="81" w:lineRule="exact"/>
        <w:rPr>
          <w:sz w:val="20"/>
          <w:szCs w:val="20"/>
          <w:color w:val="auto"/>
        </w:rPr>
      </w:pPr>
    </w:p>
    <w:p>
      <w:pPr>
        <w:ind w:left="1080" w:hanging="1045"/>
        <w:spacing w:after="0"/>
        <w:tabs>
          <w:tab w:leader="none" w:pos="1080" w:val="left"/>
        </w:tabs>
        <w:numPr>
          <w:ilvl w:val="0"/>
          <w:numId w:val="32"/>
        </w:numPr>
        <w:rPr>
          <w:rFonts w:ascii="Times New Roman" w:cs="Times New Roman" w:eastAsia="Times New Roman" w:hAnsi="Times New Roman"/>
          <w:sz w:val="16"/>
          <w:szCs w:val="16"/>
          <w:u w:val="single" w:color="auto"/>
          <w:color w:val="0000FF"/>
        </w:rPr>
      </w:pPr>
      <w:hyperlink w:anchor="page58">
        <w:r>
          <w:rPr>
            <w:rFonts w:ascii="Times New Roman" w:cs="Times New Roman" w:eastAsia="Times New Roman" w:hAnsi="Times New Roman"/>
            <w:sz w:val="16"/>
            <w:szCs w:val="16"/>
            <w:u w:val="single" w:color="auto"/>
            <w:color w:val="0000FF"/>
          </w:rPr>
          <w:t>Section 1350 Certification.</w:t>
        </w:r>
      </w:hyperlink>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INS</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7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r>
        <w:trPr>
          <w:trHeight w:val="27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LAB</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bl>
    <w:p>
      <w:pPr>
        <w:spacing w:after="0" w:line="200" w:lineRule="exact"/>
        <w:rPr>
          <w:sz w:val="20"/>
          <w:szCs w:val="20"/>
          <w:color w:val="auto"/>
        </w:rPr>
      </w:pPr>
    </w:p>
    <w:p>
      <w:pPr>
        <w:spacing w:after="0" w:line="3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February 14, 2019.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ectPr>
          <w:pgSz w:w="11900" w:h="16838" w:orient="portrait"/>
          <w:cols w:equalWidth="0" w:num="2">
            <w:col w:w="6620" w:space="500"/>
            <w:col w:w="4060"/>
          </w:cols>
          <w:pgMar w:left="240" w:top="684" w:right="4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CLEARWAY ENERGY, INC.</w:t>
            </w:r>
          </w:p>
        </w:tc>
      </w:tr>
      <w:tr>
        <w:trPr>
          <w:trHeight w:val="234"/>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Christopher S. Sotos</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CHAD PLOTKIN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Chad Plotkin</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MARY-LEE STILLWELL</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Mary-Lee Stillwell</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54</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54" w:name="page55"/>
    <w:bookmarkEnd w:id="54"/>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34290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657" w:right="239" w:bottom="1440" w:gutter="0" w:footer="0" w:header="0"/>
        </w:sectPr>
      </w:pPr>
    </w:p>
    <w:bookmarkStart w:id="55" w:name="page56"/>
    <w:bookmarkEnd w:id="55"/>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34290</wp:posOffset>
            </wp:positionV>
            <wp:extent cx="1620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Chad Plotkin</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657" w:right="239" w:bottom="1440" w:gutter="0" w:footer="0" w:header="0"/>
        </w:sectPr>
      </w:pPr>
    </w:p>
    <w:bookmarkStart w:id="56" w:name="page57"/>
    <w:bookmarkEnd w:id="56"/>
    <w:p>
      <w:pPr>
        <w:ind w:left="1028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34290</wp:posOffset>
            </wp:positionV>
            <wp:extent cx="1844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March 31,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Plotkin</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Roman"/>
      <w:start w:val="5"/>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7" Type="http://schemas.openxmlformats.org/officeDocument/2006/relationships/hyperlink" Target="http://www.sec.gov/Archives/edgar/data/1567683/000110465919008742/a19-4739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2019-12-28T12:49:33Z</dcterms:created>
  <dcterms:modified xsi:type="dcterms:W3CDTF">2019-12-28T12:49:33Z</dcterms:modified>
</cp:coreProperties>
</file>