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943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36100"/>
                    </a:xfrm>
                    <a:prstGeom prst="rect">
                      <a:avLst/>
                    </a:prstGeom>
                    <a:noFill/>
                  </pic:spPr>
                </pic:pic>
              </a:graphicData>
            </a:graphic>
          </wp:anchor>
        </w:drawing>
      </w:r>
    </w:p>
    <w:p>
      <w:pPr>
        <w:spacing w:after="0" w:line="110" w:lineRule="exact"/>
        <w:rPr>
          <w:sz w:val="24"/>
          <w:szCs w:val="24"/>
          <w:color w:val="auto"/>
        </w:rPr>
      </w:pPr>
    </w:p>
    <w:p>
      <w:pPr>
        <w:sectPr>
          <w:pgSz w:w="11900" w:h="16858" w:orient="portrait"/>
          <w:cols w:equalWidth="0" w:num="2">
            <w:col w:w="2160" w:space="500"/>
            <w:col w:w="8420"/>
          </w:cols>
          <w:pgMar w:left="460" w:top="214"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Global Infrastructure Investors III, LLC</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auto"/>
              </w:rPr>
              <w:t>(Last)</w:t>
            </w:r>
          </w:p>
        </w:tc>
        <w:tc>
          <w:tcPr>
            <w:tcW w:w="940" w:type="dxa"/>
            <w:vAlign w:val="bottom"/>
          </w:tcPr>
          <w:p>
            <w:pPr>
              <w:ind w:left="14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1345 AVENUE OF THE AMERICAS</w:t>
            </w:r>
          </w:p>
        </w:tc>
      </w:tr>
      <w:tr>
        <w:trPr>
          <w:trHeight w:val="249"/>
        </w:trPr>
        <w:tc>
          <w:tcPr>
            <w:tcW w:w="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30TH FLOOR</w:t>
            </w: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2"/>
        </w:trPr>
        <w:tc>
          <w:tcPr>
            <w:tcW w:w="11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10105</w:t>
            </w:r>
          </w:p>
        </w:tc>
      </w:tr>
      <w:tr>
        <w:trPr>
          <w:trHeight w:val="144"/>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auto"/>
              </w:rPr>
              <w:t>(City)</w:t>
            </w:r>
          </w:p>
        </w:tc>
        <w:tc>
          <w:tcPr>
            <w:tcW w:w="940" w:type="dxa"/>
            <w:vAlign w:val="bottom"/>
          </w:tcPr>
          <w:p>
            <w:pPr>
              <w:ind w:left="14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12"/>
        </w:trPr>
        <w:tc>
          <w:tcPr>
            <w:tcW w:w="3840" w:type="dxa"/>
            <w:vAlign w:val="bottom"/>
            <w:gridSpan w:val="4"/>
          </w:tcPr>
          <w:p>
            <w:pPr>
              <w:ind w:left="6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40" w:type="dxa"/>
            <w:vAlign w:val="bottom"/>
            <w:tcBorders>
              <w:top w:val="single" w:sz="8" w:color="0000EE"/>
              <w:bottom w:val="single" w:sz="8" w:color="2C2C2C"/>
            </w:tcBorders>
          </w:tcPr>
          <w:p>
            <w:pPr>
              <w:spacing w:after="0"/>
              <w:rPr>
                <w:sz w:val="9"/>
                <w:szCs w:val="9"/>
                <w:color w:val="auto"/>
              </w:rPr>
            </w:pPr>
          </w:p>
        </w:tc>
        <w:tc>
          <w:tcPr>
            <w:tcW w:w="1640" w:type="dxa"/>
            <w:vAlign w:val="bottom"/>
            <w:tcBorders>
              <w:top w:val="single" w:sz="8" w:color="0000EE"/>
              <w:bottom w:val="single" w:sz="8" w:color="2C2C2C"/>
            </w:tcBorders>
          </w:tcPr>
          <w:p>
            <w:pPr>
              <w:spacing w:after="0"/>
              <w:rPr>
                <w:sz w:val="9"/>
                <w:szCs w:val="9"/>
                <w:color w:val="auto"/>
              </w:rPr>
            </w:pPr>
          </w:p>
        </w:tc>
        <w:tc>
          <w:tcPr>
            <w:tcW w:w="20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ind w:left="400"/>
              <w:spacing w:after="0" w:line="85"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5" w:lineRule="exact"/>
              <w:rPr>
                <w:sz w:val="20"/>
                <w:szCs w:val="20"/>
                <w:color w:val="auto"/>
              </w:rPr>
            </w:pPr>
            <w:r>
              <w:rPr>
                <w:rFonts w:ascii="Arial" w:cs="Arial" w:eastAsia="Arial" w:hAnsi="Arial"/>
                <w:sz w:val="9"/>
                <w:szCs w:val="9"/>
                <w:color w:val="auto"/>
              </w:rPr>
              <w:t>10% Owner</w:t>
            </w:r>
          </w:p>
        </w:tc>
      </w:tr>
      <w:tr>
        <w:trPr>
          <w:trHeight w:val="187"/>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3.</w:t>
            </w:r>
          </w:p>
        </w:tc>
        <w:tc>
          <w:tcPr>
            <w:tcW w:w="364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06/26/2024</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w:t>
            </w:r>
          </w:p>
        </w:tc>
      </w:tr>
    </w:tbl>
    <w:p>
      <w:pPr>
        <w:ind w:left="3900"/>
        <w:spacing w:after="0"/>
        <w:rPr>
          <w:sz w:val="20"/>
          <w:szCs w:val="20"/>
          <w:color w:val="auto"/>
        </w:rPr>
      </w:pPr>
      <w:r>
        <w:rPr>
          <w:rFonts w:ascii="Arial" w:cs="Arial" w:eastAsia="Arial" w:hAnsi="Arial"/>
          <w:sz w:val="12"/>
          <w:szCs w:val="12"/>
          <w:color w:val="auto"/>
        </w:rPr>
        <w:t>Line)</w:t>
      </w:r>
    </w:p>
    <w:p>
      <w:pPr>
        <w:spacing w:after="0" w:line="24"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One Reporting Person</w:t>
      </w:r>
    </w:p>
    <w:p>
      <w:pPr>
        <w:spacing w:after="0" w:line="74"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17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4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58" w:orient="portrait"/>
          <w:cols w:equalWidth="0" w:num="2">
            <w:col w:w="3760" w:space="8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2"/>
                <w:szCs w:val="12"/>
                <w:color w:val="auto"/>
              </w:rPr>
            </w:pPr>
          </w:p>
        </w:tc>
        <w:tc>
          <w:tcPr>
            <w:tcW w:w="1340" w:type="dxa"/>
            <w:vAlign w:val="bottom"/>
            <w:gridSpan w:val="3"/>
          </w:tcPr>
          <w:p>
            <w:pPr>
              <w:ind w:left="3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3"/>
          </w:tcPr>
          <w:p>
            <w:pPr>
              <w:ind w:left="34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11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3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00" w:type="dxa"/>
            <w:vAlign w:val="bottom"/>
            <w:gridSpan w:val="4"/>
            <w:vMerge w:val="restart"/>
          </w:tcPr>
          <w:p>
            <w:pPr>
              <w:ind w:left="700"/>
              <w:spacing w:after="0"/>
              <w:rPr>
                <w:sz w:val="20"/>
                <w:szCs w:val="20"/>
                <w:color w:val="auto"/>
              </w:rPr>
            </w:pPr>
            <w:r>
              <w:rPr>
                <w:rFonts w:ascii="Times New Roman" w:cs="Times New Roman" w:eastAsia="Times New Roman" w:hAnsi="Times New Roman"/>
                <w:sz w:val="16"/>
                <w:szCs w:val="16"/>
                <w:color w:val="0000FF"/>
              </w:rPr>
              <w:t>06/26/2024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375,000</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16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6"/>
                <w:szCs w:val="16"/>
                <w:color w:val="0000FF"/>
              </w:rPr>
              <w:t>435,152</w:t>
            </w:r>
          </w:p>
        </w:tc>
        <w:tc>
          <w:tcPr>
            <w:tcW w:w="360" w:type="dxa"/>
            <w:vAlign w:val="bottom"/>
          </w:tcPr>
          <w:p>
            <w:pPr>
              <w:spacing w:after="0"/>
              <w:rPr>
                <w:sz w:val="20"/>
                <w:szCs w:val="20"/>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w w:val="96"/>
              </w:rPr>
              <w:t>footnotes</w:t>
            </w:r>
            <w:r>
              <w:rPr>
                <w:rFonts w:ascii="Times New Roman" w:cs="Times New Roman" w:eastAsia="Times New Roman" w:hAnsi="Times New Roman"/>
                <w:sz w:val="20"/>
                <w:szCs w:val="20"/>
                <w:color w:val="008000"/>
                <w:w w:val="96"/>
                <w:vertAlign w:val="superscript"/>
              </w:rPr>
              <w:t>(2)(3)(4)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00" w:type="dxa"/>
            <w:vAlign w:val="bottom"/>
            <w:tcBorders>
              <w:top w:val="single" w:sz="8" w:color="2C2C2C"/>
            </w:tcBorders>
            <w:gridSpan w:val="4"/>
            <w:vMerge w:val="restart"/>
          </w:tcPr>
          <w:p>
            <w:pPr>
              <w:ind w:left="700"/>
              <w:spacing w:after="0"/>
              <w:rPr>
                <w:sz w:val="20"/>
                <w:szCs w:val="20"/>
                <w:color w:val="auto"/>
              </w:rPr>
            </w:pPr>
            <w:r>
              <w:rPr>
                <w:rFonts w:ascii="Times New Roman" w:cs="Times New Roman" w:eastAsia="Times New Roman" w:hAnsi="Times New Roman"/>
                <w:sz w:val="16"/>
                <w:szCs w:val="16"/>
                <w:color w:val="0000FF"/>
              </w:rPr>
              <w:t>06/28/2024</w:t>
            </w:r>
          </w:p>
        </w:tc>
        <w:tc>
          <w:tcPr>
            <w:tcW w:w="1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(5)</w:t>
            </w: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6"/>
                <w:szCs w:val="16"/>
                <w:color w:val="0000FF"/>
              </w:rPr>
              <w:t>375,000</w:t>
            </w:r>
          </w:p>
        </w:tc>
        <w:tc>
          <w:tcPr>
            <w:tcW w:w="62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ind w:right="1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24.69</w:t>
            </w:r>
          </w:p>
        </w:tc>
        <w:tc>
          <w:tcPr>
            <w:tcW w:w="1160" w:type="dxa"/>
            <w:vAlign w:val="bottom"/>
            <w:tcBorders>
              <w:top w:val="single" w:sz="8" w:color="2C2C2C"/>
            </w:tcBorders>
            <w:gridSpan w:val="2"/>
            <w:vMerge w:val="restart"/>
          </w:tcPr>
          <w:p>
            <w:pPr>
              <w:jc w:val="right"/>
              <w:ind w:right="323"/>
              <w:spacing w:after="0"/>
              <w:rPr>
                <w:sz w:val="20"/>
                <w:szCs w:val="20"/>
                <w:color w:val="auto"/>
              </w:rPr>
            </w:pPr>
            <w:r>
              <w:rPr>
                <w:rFonts w:ascii="Times New Roman" w:cs="Times New Roman" w:eastAsia="Times New Roman" w:hAnsi="Times New Roman"/>
                <w:sz w:val="16"/>
                <w:szCs w:val="16"/>
                <w:color w:val="0000FF"/>
              </w:rPr>
              <w:t>60,152</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8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3"/>
            <w:vMerge w:val="restart"/>
          </w:tcPr>
          <w:p>
            <w:pPr>
              <w:ind w:left="80"/>
              <w:spacing w:after="0" w:line="262" w:lineRule="exact"/>
              <w:rPr>
                <w:sz w:val="20"/>
                <w:szCs w:val="20"/>
                <w:color w:val="auto"/>
              </w:rPr>
            </w:pPr>
            <w:r>
              <w:rPr>
                <w:rFonts w:ascii="Times New Roman" w:cs="Times New Roman" w:eastAsia="Times New Roman" w:hAnsi="Times New Roman"/>
                <w:sz w:val="30"/>
                <w:szCs w:val="30"/>
                <w:color w:val="0000FF"/>
                <w:w w:val="93"/>
                <w:vertAlign w:val="subscript"/>
              </w:rPr>
              <w:t>footnotes</w:t>
            </w:r>
            <w:r>
              <w:rPr>
                <w:rFonts w:ascii="Times New Roman" w:cs="Times New Roman" w:eastAsia="Times New Roman" w:hAnsi="Times New Roman"/>
                <w:sz w:val="10"/>
                <w:szCs w:val="10"/>
                <w:color w:val="008000"/>
                <w:w w:val="93"/>
              </w:rPr>
              <w:t>(2)(3)(4)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40" w:type="dxa"/>
            <w:vAlign w:val="bottom"/>
            <w:tcBorders>
              <w:top w:val="single" w:sz="8" w:color="2C2C2C"/>
            </w:tcBorders>
            <w:gridSpan w:val="13"/>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540" w:type="dxa"/>
            <w:vAlign w:val="bottom"/>
            <w:gridSpan w:val="10"/>
          </w:tcPr>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D</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color w:val="0000FF"/>
              </w:rPr>
              <w:t>06/26/2024</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0000FF"/>
              </w:rPr>
              <w:t>375,000</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Class C</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375,000</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41,961,750</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w w:val="96"/>
              </w:rPr>
              <w:t>See footnotes</w:t>
            </w:r>
            <w:r>
              <w:rPr>
                <w:rFonts w:ascii="Times New Roman" w:cs="Times New Roman" w:eastAsia="Times New Roman" w:hAnsi="Times New Roman"/>
                <w:sz w:val="20"/>
                <w:szCs w:val="20"/>
                <w:color w:val="008000"/>
                <w:w w:val="96"/>
                <w:vertAlign w:val="superscript"/>
              </w:rPr>
              <w:t>(2)</w:t>
            </w: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tcPr>
          <w:p>
            <w:pPr>
              <w:ind w:left="60"/>
              <w:spacing w:after="0" w:line="51" w:lineRule="exact"/>
              <w:rPr>
                <w:sz w:val="20"/>
                <w:szCs w:val="20"/>
                <w:color w:val="auto"/>
              </w:rPr>
            </w:pPr>
            <w:r>
              <w:rPr>
                <w:rFonts w:ascii="Times New Roman" w:cs="Times New Roman" w:eastAsia="Times New Roman" w:hAnsi="Times New Roman"/>
                <w:sz w:val="5"/>
                <w:szCs w:val="5"/>
                <w:color w:val="0000FF"/>
              </w:rPr>
              <w:t>Clearway</w:t>
            </w:r>
          </w:p>
        </w:tc>
        <w:tc>
          <w:tcPr>
            <w:tcW w:w="7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ind w:left="4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6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008000"/>
              </w:rPr>
              <w:t>(3)(4)</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Times New Roman" w:cs="Times New Roman" w:eastAsia="Times New Roman" w:hAnsi="Times New Roman"/>
                <w:sz w:val="12"/>
                <w:szCs w:val="12"/>
                <w:color w:val="0000FF"/>
              </w:rPr>
              <w:t>Energy</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ind w:left="140"/>
              <w:spacing w:after="0" w:line="123"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8"/>
          </w:tcPr>
          <w:p>
            <w:pPr>
              <w:ind w:left="20"/>
              <w:spacing w:after="0" w:line="212"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Global Infrastructure Investors III, LLC</w:t>
              </w:r>
            </w:hyperlink>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color w:val="auto"/>
              </w:rPr>
              <w:t>(Middle)</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1345 AVENUE OF THE AMERICAS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30TH FLOOR</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10105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color w:val="auto"/>
              </w:rPr>
              <w:t>(Zip)</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5"/>
          </w:tcPr>
          <w:p>
            <w:pPr>
              <w:ind w:left="20"/>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Zephyr Holdings GP, LLC</w:t>
              </w:r>
            </w:hyperlink>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color w:val="auto"/>
              </w:rPr>
              <w:t>(Middle)</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1345 AVENUE OF THE AMERICAS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30TH FLOOR</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10105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color w:val="auto"/>
              </w:rPr>
              <w:t>(Zip)</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10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8"/>
          </w:tcPr>
          <w:p>
            <w:pPr>
              <w:ind w:left="20"/>
              <w:spacing w:after="0" w:line="212"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Global Infrastructure GP III, L.P.</w:t>
              </w:r>
            </w:hyperlink>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color w:val="auto"/>
              </w:rPr>
              <w:t>(Middle)</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-5824220</wp:posOffset>
            </wp:positionV>
            <wp:extent cx="28575" cy="1883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883410"/>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1345 AVENUE OF THE AMERICAS</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30TH FLOOR</w:t>
      </w:r>
    </w:p>
    <w:p>
      <w:pPr>
        <w:sectPr>
          <w:pgSz w:w="11900" w:h="16858" w:orient="portrait"/>
          <w:cols w:equalWidth="0" w:num="1">
            <w:col w:w="11080"/>
          </w:cols>
          <w:pgMar w:left="460" w:top="214" w:right="359" w:bottom="0" w:gutter="0" w:footer="0" w:header="0"/>
          <w:type w:val="continuous"/>
        </w:sectPr>
      </w:pPr>
    </w:p>
    <w:bookmarkStart w:id="1" w:name="page2"/>
    <w:bookmarkEnd w:id="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07970" cy="5752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7970" cy="575246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5"/>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10105</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160" w:type="dxa"/>
            <w:vAlign w:val="bottom"/>
          </w:tcPr>
          <w:p>
            <w:pPr>
              <w:ind w:left="26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GIP III Zephyr Midco Holdings, L.P.</w:t>
        </w:r>
      </w:hyperlink>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480" w:type="dxa"/>
            <w:vAlign w:val="bottom"/>
          </w:tcPr>
          <w:p>
            <w:pPr>
              <w:ind w:left="220"/>
              <w:spacing w:after="0"/>
              <w:rPr>
                <w:sz w:val="20"/>
                <w:szCs w:val="20"/>
                <w:color w:val="auto"/>
              </w:rPr>
            </w:pPr>
            <w:r>
              <w:rPr>
                <w:rFonts w:ascii="Arial" w:cs="Arial" w:eastAsia="Arial" w:hAnsi="Arial"/>
                <w:sz w:val="12"/>
                <w:szCs w:val="12"/>
                <w:color w:val="auto"/>
              </w:rPr>
              <w:t>(First)</w:t>
            </w:r>
          </w:p>
        </w:tc>
        <w:tc>
          <w:tcPr>
            <w:tcW w:w="152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1345 AVENUE OF THE AMERICAS</w:t>
            </w:r>
          </w:p>
        </w:tc>
        <w:tc>
          <w:tcPr>
            <w:tcW w:w="15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30TH FLOOR</w:t>
            </w:r>
          </w:p>
        </w:tc>
        <w:tc>
          <w:tcPr>
            <w:tcW w:w="1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2"/>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10105</w:t>
            </w:r>
          </w:p>
        </w:tc>
      </w:tr>
      <w:tr>
        <w:trPr>
          <w:trHeight w:val="144"/>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480" w:type="dxa"/>
            <w:vAlign w:val="bottom"/>
          </w:tcPr>
          <w:p>
            <w:pPr>
              <w:ind w:left="220"/>
              <w:spacing w:after="0"/>
              <w:rPr>
                <w:sz w:val="20"/>
                <w:szCs w:val="20"/>
                <w:color w:val="auto"/>
              </w:rPr>
            </w:pPr>
            <w:r>
              <w:rPr>
                <w:rFonts w:ascii="Arial" w:cs="Arial" w:eastAsia="Arial" w:hAnsi="Arial"/>
                <w:sz w:val="12"/>
                <w:szCs w:val="12"/>
                <w:color w:val="auto"/>
              </w:rPr>
              <w:t>(State)</w:t>
            </w:r>
          </w:p>
        </w:tc>
        <w:tc>
          <w:tcPr>
            <w:tcW w:w="152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GIP III Zephyr Acquisition Partners L.P.</w:t>
        </w:r>
      </w:hyperlink>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1345 AVENUE OF THE AMERICAS</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30TH FLOOR</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10105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6"/>
        </w:trPr>
        <w:tc>
          <w:tcPr>
            <w:tcW w:w="27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660" w:type="dxa"/>
            <w:vAlign w:val="bottom"/>
            <w:gridSpan w:val="4"/>
          </w:tcPr>
          <w:p>
            <w:pPr>
              <w:ind w:left="20"/>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Clearway Energy Group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12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1345 AVENUE OF THE AMERICAS</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30TH FLOOR</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10105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6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jc w:val="both"/>
        <w:ind w:left="20" w:right="20" w:hanging="3"/>
        <w:spacing w:after="0" w:line="259"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an Amended and Restated Exchange Agreement, dated as of May 14, 2015, among the Issuer, Clearway Energy LLC and other parties thereto (the "Exchange Agreement"), the Class D Units of Clearway Energy LLC are exchangeable at any time for shares of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13" w:lineRule="exact"/>
        <w:rPr>
          <w:rFonts w:ascii="Times New Roman" w:cs="Times New Roman" w:eastAsia="Times New Roman" w:hAnsi="Times New Roman"/>
          <w:sz w:val="12"/>
          <w:szCs w:val="12"/>
          <w:color w:val="008000"/>
        </w:rPr>
      </w:pPr>
    </w:p>
    <w:p>
      <w:pPr>
        <w:ind w:left="20" w:hanging="3"/>
        <w:spacing w:after="0" w:line="252"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held directly by Clearway Energy Group. Zephyr Holdings GP, LLC ("Zephyr GP") is the general partner of GIP III Zephyr Acquisition Partners, L.P. ("Zephyr") which is the sole member of Clearway Energy Group, LLC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18" w:lineRule="exact"/>
        <w:rPr>
          <w:rFonts w:ascii="Times New Roman" w:cs="Times New Roman" w:eastAsia="Times New Roman" w:hAnsi="Times New Roman"/>
          <w:sz w:val="12"/>
          <w:szCs w:val="12"/>
          <w:color w:val="008000"/>
        </w:rPr>
      </w:pPr>
    </w:p>
    <w:p>
      <w:pPr>
        <w:ind w:left="20" w:right="140" w:hanging="3"/>
        <w:spacing w:after="0" w:line="26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154" w:lineRule="exact"/>
        <w:rPr>
          <w:rFonts w:ascii="Times New Roman" w:cs="Times New Roman" w:eastAsia="Times New Roman" w:hAnsi="Times New Roman"/>
          <w:sz w:val="12"/>
          <w:szCs w:val="12"/>
          <w:color w:val="008000"/>
        </w:rPr>
      </w:pPr>
    </w:p>
    <w:p>
      <w:pPr>
        <w:ind w:left="20" w:right="160" w:hanging="3"/>
        <w:spacing w:after="0" w:line="259"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13" w:lineRule="exact"/>
        <w:rPr>
          <w:rFonts w:ascii="Times New Roman" w:cs="Times New Roman" w:eastAsia="Times New Roman" w:hAnsi="Times New Roman"/>
          <w:sz w:val="12"/>
          <w:szCs w:val="12"/>
          <w:color w:val="008000"/>
        </w:rPr>
      </w:pPr>
    </w:p>
    <w:p>
      <w:pPr>
        <w:ind w:left="20" w:right="300" w:hanging="3"/>
        <w:spacing w:after="0" w:line="281"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p>
      <w:pPr>
        <w:sectPr>
          <w:pgSz w:w="11900" w:h="16894" w:orient="portrait"/>
          <w:cols w:equalWidth="0" w:num="1">
            <w:col w:w="10920"/>
          </w:cols>
          <w:pgMar w:left="480" w:top="363" w:right="499" w:bottom="0" w:gutter="0" w:footer="0" w:header="0"/>
        </w:sectPr>
      </w:pPr>
    </w:p>
    <w:p>
      <w:pPr>
        <w:spacing w:after="0" w:line="2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3506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5064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344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344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Jonathan Bram Name: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100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100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8813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881380"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3506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5064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GP III,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505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505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Infrastructure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614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its general partner By: /s/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214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Myers Name: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328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328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014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0877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160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160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045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045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985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985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Infrastructure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614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its general partner By: /s/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214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Myers Name: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328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328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014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ZEPHYR HOLDINGS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3417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1602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160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Jonathan Bram Title: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8427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84275"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7194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945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2364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306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306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ectPr>
          <w:pgSz w:w="11900" w:h="16894" w:orient="portrait"/>
          <w:cols w:equalWidth="0" w:num="2">
            <w:col w:w="8720" w:space="60"/>
            <w:col w:w="2140"/>
          </w:cols>
          <w:pgMar w:left="480" w:top="363" w:right="499" w:bottom="0" w:gutter="0" w:footer="0" w:header="0"/>
          <w:type w:val="continuous"/>
        </w:sectPr>
      </w:pPr>
    </w:p>
    <w:bookmarkStart w:id="2" w:name="page3"/>
    <w:bookmarkEnd w:id="2"/>
    <w:p>
      <w:pPr>
        <w:ind w:left="6563"/>
        <w:spacing w:after="0"/>
        <w:rPr>
          <w:sz w:val="20"/>
          <w:szCs w:val="20"/>
          <w:color w:val="auto"/>
        </w:rPr>
      </w:pPr>
      <w:r>
        <w:rPr>
          <w:rFonts w:ascii="Times New Roman" w:cs="Times New Roman" w:eastAsia="Times New Roman" w:hAnsi="Times New Roman"/>
          <w:sz w:val="16"/>
          <w:szCs w:val="16"/>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846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12712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16967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16967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2946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94640"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99822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1417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141730" cy="7620"/>
                    </a:xfrm>
                    <a:prstGeom prst="rect">
                      <a:avLst/>
                    </a:prstGeom>
                    <a:noFill/>
                  </pic:spPr>
                </pic:pic>
              </a:graphicData>
            </a:graphic>
          </wp:anchor>
        </w:drawing>
      </w:r>
    </w:p>
    <w:p>
      <w:pPr>
        <w:jc w:val="right"/>
        <w:ind w:right="459"/>
        <w:spacing w:after="0"/>
        <w:tabs>
          <w:tab w:leader="none" w:pos="720" w:val="left"/>
        </w:tabs>
        <w:rPr>
          <w:sz w:val="20"/>
          <w:szCs w:val="20"/>
          <w:color w:val="auto"/>
        </w:rPr>
      </w:pPr>
      <w:r>
        <w:rPr>
          <w:rFonts w:ascii="Times New Roman" w:cs="Times New Roman" w:eastAsia="Times New Roman" w:hAnsi="Times New Roman"/>
          <w:sz w:val="16"/>
          <w:szCs w:val="16"/>
          <w:color w:val="0000FF"/>
        </w:rPr>
        <w:t>Stevenson Name: Alicia</w:t>
      </w:r>
      <w:r>
        <w:rPr>
          <w:sz w:val="20"/>
          <w:szCs w:val="20"/>
          <w:color w:val="auto"/>
        </w:rPr>
        <w:tab/>
      </w:r>
      <w:r>
        <w:rPr>
          <w:rFonts w:ascii="Times New Roman" w:cs="Times New Roman" w:eastAsia="Times New Roman" w:hAnsi="Times New Roman"/>
          <w:sz w:val="16"/>
          <w:szCs w:val="16"/>
          <w:color w:val="0000FF"/>
        </w:rPr>
        <w:t>06/28/2024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8675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2299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999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9245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924560" cy="7620"/>
                    </a:xfrm>
                    <a:prstGeom prst="rect">
                      <a:avLst/>
                    </a:prstGeom>
                    <a:noFill/>
                  </pic:spPr>
                </pic:pic>
              </a:graphicData>
            </a:graphic>
          </wp:anchor>
        </w:drawing>
      </w:r>
    </w:p>
    <w:p>
      <w:pPr>
        <w:spacing w:after="0" w:line="34"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5"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2024-06-28T17:29:21Z</dcterms:created>
  <dcterms:modified xsi:type="dcterms:W3CDTF">2024-06-28T17:29:21Z</dcterms:modified>
</cp:coreProperties>
</file>