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66"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6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Global Infrastructure Investors III, LLC</w:t>
              </w:r>
            </w:hyperlink>
          </w:p>
        </w:tc>
        <w:tc>
          <w:tcPr>
            <w:tcW w:w="2960" w:type="dxa"/>
            <w:vAlign w:val="bottom"/>
            <w:gridSpan w:val="9"/>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Clearway Energy,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7"/>
            <w:vMerge w:val="continue"/>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gridSpan w:val="6"/>
            <w:vMerge w:val="continue"/>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13"/>
                <w:szCs w:val="13"/>
                <w:color w:val="auto"/>
              </w:rPr>
            </w:pPr>
          </w:p>
        </w:tc>
        <w:tc>
          <w:tcPr>
            <w:tcW w:w="1660" w:type="dxa"/>
            <w:vAlign w:val="bottom"/>
            <w:gridSpan w:val="6"/>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6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6"/>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66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60" w:type="dxa"/>
            <w:vAlign w:val="bottom"/>
            <w:gridSpan w:val="9"/>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8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1345 AVENUE OF THE AMERICAS, 30TH</w:t>
            </w:r>
          </w:p>
        </w:tc>
        <w:tc>
          <w:tcPr>
            <w:tcW w:w="1320" w:type="dxa"/>
            <w:vAlign w:val="bottom"/>
            <w:gridSpan w:val="5"/>
          </w:tcPr>
          <w:p>
            <w:pPr>
              <w:ind w:left="80"/>
              <w:spacing w:after="0"/>
              <w:rPr>
                <w:sz w:val="20"/>
                <w:szCs w:val="20"/>
                <w:color w:val="auto"/>
              </w:rPr>
            </w:pPr>
            <w:r>
              <w:rPr>
                <w:rFonts w:ascii="Arial" w:cs="Arial" w:eastAsia="Arial" w:hAnsi="Arial"/>
                <w:sz w:val="17"/>
                <w:szCs w:val="17"/>
                <w:color w:val="0000FF"/>
              </w:rPr>
              <w:t>01/01/2021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2" w:lineRule="exact"/>
              <w:rPr>
                <w:sz w:val="20"/>
                <w:szCs w:val="20"/>
                <w:color w:val="auto"/>
              </w:rPr>
            </w:pPr>
            <w:r>
              <w:rPr>
                <w:rFonts w:ascii="Arial" w:cs="Arial" w:eastAsia="Arial" w:hAnsi="Arial"/>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1340" w:type="dxa"/>
            <w:vAlign w:val="bottom"/>
            <w:tcBorders>
              <w:bottom w:val="single" w:sz="8" w:color="9A9A9A"/>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60" w:type="dxa"/>
            <w:vAlign w:val="bottom"/>
            <w:gridSpan w:val="10"/>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9"/>
                <w:szCs w:val="19"/>
                <w:color w:val="auto"/>
              </w:rPr>
            </w:pPr>
          </w:p>
        </w:tc>
        <w:tc>
          <w:tcPr>
            <w:tcW w:w="3420" w:type="dxa"/>
            <w:vAlign w:val="bottom"/>
            <w:gridSpan w:val="1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gridSpan w:val="4"/>
          </w:tcPr>
          <w:p>
            <w:pPr>
              <w:ind w:left="80"/>
              <w:spacing w:after="0" w:line="120" w:lineRule="exact"/>
              <w:rPr>
                <w:sz w:val="20"/>
                <w:szCs w:val="20"/>
                <w:color w:val="auto"/>
              </w:rPr>
            </w:pPr>
            <w:r>
              <w:rPr>
                <w:rFonts w:ascii="Arial" w:cs="Arial" w:eastAsia="Arial" w:hAnsi="Arial"/>
                <w:sz w:val="13"/>
                <w:szCs w:val="13"/>
                <w:color w:val="auto"/>
              </w:rPr>
              <w:t>Line)</w:t>
            </w:r>
          </w:p>
        </w:tc>
        <w:tc>
          <w:tcPr>
            <w:tcW w:w="2940" w:type="dxa"/>
            <w:vAlign w:val="bottom"/>
            <w:gridSpan w:val="9"/>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340" w:type="dxa"/>
            <w:vAlign w:val="bottom"/>
          </w:tcPr>
          <w:p>
            <w:pPr>
              <w:ind w:left="14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40" w:type="dxa"/>
            <w:vAlign w:val="bottom"/>
            <w:gridSpan w:val="9"/>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1"/>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380" w:type="dxa"/>
            <w:vAlign w:val="bottom"/>
            <w:gridSpan w:val="6"/>
          </w:tcPr>
          <w:p>
            <w:pPr>
              <w:ind w:left="28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6"/>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4"/>
            <w:vMerge w:val="continue"/>
          </w:tcPr>
          <w:p>
            <w:pPr>
              <w:spacing w:after="0"/>
              <w:rPr>
                <w:sz w:val="7"/>
                <w:szCs w:val="7"/>
                <w:color w:val="auto"/>
              </w:rPr>
            </w:pPr>
          </w:p>
        </w:tc>
        <w:tc>
          <w:tcPr>
            <w:tcW w:w="11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860" w:type="dxa"/>
            <w:vAlign w:val="bottom"/>
            <w:gridSpan w:val="4"/>
            <w:vMerge w:val="restart"/>
          </w:tcPr>
          <w:p>
            <w:pPr>
              <w:ind w:left="680"/>
              <w:spacing w:after="0"/>
              <w:rPr>
                <w:sz w:val="20"/>
                <w:szCs w:val="20"/>
                <w:color w:val="auto"/>
              </w:rPr>
            </w:pPr>
            <w:r>
              <w:rPr>
                <w:rFonts w:ascii="Arial" w:cs="Arial" w:eastAsia="Arial" w:hAnsi="Arial"/>
                <w:sz w:val="17"/>
                <w:szCs w:val="17"/>
                <w:color w:val="0000FF"/>
              </w:rPr>
              <w:t>01/01/2021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vMerge w:val="restart"/>
          </w:tcPr>
          <w:p>
            <w:pPr>
              <w:ind w:left="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840" w:type="dxa"/>
            <w:vAlign w:val="bottom"/>
            <w:vMerge w:val="restart"/>
          </w:tcPr>
          <w:p>
            <w:pPr>
              <w:jc w:val="right"/>
              <w:ind w:right="172"/>
              <w:spacing w:after="0"/>
              <w:rPr>
                <w:sz w:val="20"/>
                <w:szCs w:val="20"/>
                <w:color w:val="auto"/>
              </w:rPr>
            </w:pPr>
            <w:r>
              <w:rPr>
                <w:rFonts w:ascii="Arial" w:cs="Arial" w:eastAsia="Arial" w:hAnsi="Arial"/>
                <w:sz w:val="17"/>
                <w:szCs w:val="17"/>
                <w:color w:val="0000FF"/>
              </w:rPr>
              <w:t>7,830</w:t>
            </w:r>
          </w:p>
        </w:tc>
        <w:tc>
          <w:tcPr>
            <w:tcW w:w="50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0000FF"/>
              </w:rPr>
              <w:t>11,457</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860" w:type="dxa"/>
            <w:vAlign w:val="bottom"/>
            <w:tcBorders>
              <w:top w:val="single" w:sz="8" w:color="2C2C2C"/>
            </w:tcBorders>
            <w:gridSpan w:val="4"/>
            <w:vMerge w:val="restart"/>
          </w:tcPr>
          <w:p>
            <w:pPr>
              <w:ind w:left="680"/>
              <w:spacing w:after="0"/>
              <w:rPr>
                <w:sz w:val="20"/>
                <w:szCs w:val="20"/>
                <w:color w:val="auto"/>
              </w:rPr>
            </w:pPr>
            <w:r>
              <w:rPr>
                <w:rFonts w:ascii="Arial" w:cs="Arial" w:eastAsia="Arial" w:hAnsi="Arial"/>
                <w:sz w:val="17"/>
                <w:szCs w:val="17"/>
                <w:color w:val="0000FF"/>
              </w:rPr>
              <w:t>01/02/2021</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vMerge w:val="restart"/>
          </w:tcPr>
          <w:p>
            <w:pPr>
              <w:ind w:left="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(4)</w:t>
            </w:r>
          </w:p>
        </w:tc>
        <w:tc>
          <w:tcPr>
            <w:tcW w:w="840" w:type="dxa"/>
            <w:vAlign w:val="bottom"/>
            <w:tcBorders>
              <w:top w:val="single" w:sz="8" w:color="2C2C2C"/>
            </w:tcBorders>
            <w:vMerge w:val="restart"/>
          </w:tcPr>
          <w:p>
            <w:pPr>
              <w:jc w:val="right"/>
              <w:ind w:right="132"/>
              <w:spacing w:after="0"/>
              <w:rPr>
                <w:sz w:val="20"/>
                <w:szCs w:val="20"/>
                <w:color w:val="auto"/>
              </w:rPr>
            </w:pPr>
            <w:r>
              <w:rPr>
                <w:rFonts w:ascii="Arial" w:cs="Arial" w:eastAsia="Arial" w:hAnsi="Arial"/>
                <w:sz w:val="17"/>
                <w:szCs w:val="17"/>
                <w:color w:val="0000FF"/>
              </w:rPr>
              <w:t>24,345</w:t>
            </w:r>
          </w:p>
        </w:tc>
        <w:tc>
          <w:tcPr>
            <w:tcW w:w="5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31.93</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7"/>
                <w:szCs w:val="17"/>
                <w:color w:val="0000FF"/>
              </w:rPr>
              <w:t>35,802</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Global Infrastructure Investors III, LLC</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1"/>
          </w:tcPr>
          <w:p>
            <w:pPr>
              <w:spacing w:after="0"/>
              <w:rPr>
                <w:sz w:val="20"/>
                <w:szCs w:val="20"/>
                <w:color w:val="auto"/>
              </w:rPr>
            </w:pPr>
            <w:r>
              <w:rPr>
                <w:rFonts w:ascii="Arial" w:cs="Arial" w:eastAsia="Arial" w:hAnsi="Arial"/>
                <w:sz w:val="17"/>
                <w:szCs w:val="17"/>
                <w:color w:val="0000FF"/>
              </w:rPr>
              <w:t>1345 AVENUE OF THE AMERICAS, 30TH FLOOR</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Global Infrastructure GP III, L.P.</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1"/>
          </w:tcPr>
          <w:p>
            <w:pPr>
              <w:spacing w:after="0"/>
              <w:rPr>
                <w:sz w:val="20"/>
                <w:szCs w:val="20"/>
                <w:color w:val="auto"/>
              </w:rPr>
            </w:pPr>
            <w:r>
              <w:rPr>
                <w:rFonts w:ascii="Arial" w:cs="Arial" w:eastAsia="Arial" w:hAnsi="Arial"/>
                <w:sz w:val="17"/>
                <w:szCs w:val="17"/>
                <w:color w:val="0000FF"/>
              </w:rPr>
              <w:t>1345 AVENUE OF THE AMERICAS, 30TH FLOOR</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GIP III Zephyr Acquisition Partners L.P.</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-7360920</wp:posOffset>
            </wp:positionV>
            <wp:extent cx="7031355" cy="7547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031355" cy="7547610"/>
                    </a:xfrm>
                    <a:prstGeom prst="rect">
                      <a:avLst/>
                    </a:prstGeom>
                    <a:noFill/>
                  </pic:spPr>
                </pic:pic>
              </a:graphicData>
            </a:graphic>
          </wp:anchor>
        </w:drawing>
      </w:r>
    </w:p>
    <w:p>
      <w:pPr>
        <w:sectPr>
          <w:pgSz w:w="11900" w:h="16866"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1345 AVENUE OF THE AMERICAS, 30TH FLOOR</w:t>
      </w:r>
    </w:p>
    <w:p>
      <w:pPr>
        <w:sectPr>
          <w:pgSz w:w="11900" w:h="16866"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00" w:type="dxa"/>
            <w:vAlign w:val="bottom"/>
          </w:tcPr>
          <w:p>
            <w:pPr>
              <w:ind w:left="22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80" w:type="dxa"/>
            <w:vAlign w:val="bottom"/>
            <w:gridSpan w:val="2"/>
          </w:tcPr>
          <w:p>
            <w:pPr>
              <w:spacing w:after="0"/>
              <w:rPr>
                <w:rFonts w:ascii="Arial" w:cs="Arial" w:eastAsia="Arial" w:hAnsi="Arial"/>
                <w:sz w:val="21"/>
                <w:szCs w:val="21"/>
                <w:u w:val="single" w:color="auto"/>
                <w:color w:val="0000EE"/>
                <w:w w:val="99"/>
              </w:rPr>
            </w:pPr>
            <w:hyperlink r:id="rId18">
              <w:r>
                <w:rPr>
                  <w:rFonts w:ascii="Arial" w:cs="Arial" w:eastAsia="Arial" w:hAnsi="Arial"/>
                  <w:sz w:val="21"/>
                  <w:szCs w:val="21"/>
                  <w:u w:val="single" w:color="auto"/>
                  <w:color w:val="0000EE"/>
                  <w:w w:val="99"/>
                </w:rPr>
                <w:t>Clearway Energy Group LLC</w:t>
              </w:r>
            </w:hyperlink>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24790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783840" cy="247904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0000FF"/>
        </w:rPr>
        <w:t>1345 AVENUE OF THE AMERICAS, 30TH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grants of shares of restricted stock of the Issuer granted by Clearway Energy Group LLC ("Clearway Energy Group") under its Long Term Equity Incentive Program to one of its employees. The transaction reported herein may be deemed to be matchable under Section 16(b) of the Securities Exchange Act of 1934, as amended, against the acquisitions of the Issuer's common stock on August 31, 2020 previously reported by the Reporting Persons. The Reporting Persons have agreed to voluntarily disgorge any profits deemed realized from such transactions to the Issuer.</w:t>
      </w:r>
    </w:p>
    <w:p>
      <w:pPr>
        <w:spacing w:after="0" w:line="8" w:lineRule="exact"/>
        <w:rPr>
          <w:rFonts w:ascii="Arial" w:cs="Arial" w:eastAsia="Arial" w:hAnsi="Arial"/>
          <w:sz w:val="12"/>
          <w:szCs w:val="12"/>
          <w:color w:val="008000"/>
        </w:rPr>
      </w:pPr>
    </w:p>
    <w:p>
      <w:pPr>
        <w:jc w:val="both"/>
        <w:ind w:left="20" w:right="2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2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pacing w:after="0" w:line="25" w:lineRule="exact"/>
        <w:rPr>
          <w:rFonts w:ascii="Arial" w:cs="Arial" w:eastAsia="Arial" w:hAnsi="Arial"/>
          <w:sz w:val="12"/>
          <w:szCs w:val="12"/>
          <w:color w:val="008000"/>
        </w:rPr>
      </w:pPr>
    </w:p>
    <w:p>
      <w:pPr>
        <w:ind w:left="20" w:right="6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certain of its employees.</w:t>
      </w:r>
    </w:p>
    <w:p>
      <w:pPr>
        <w:sectPr>
          <w:pgSz w:w="11900" w:h="16838" w:orient="portrait"/>
          <w:cols w:equalWidth="0" w:num="1">
            <w:col w:w="10840"/>
          </w:cols>
          <w:pgMar w:left="480" w:top="459" w:right="579" w:bottom="1440" w:gutter="0" w:footer="0" w:header="0"/>
        </w:sectPr>
      </w:pPr>
    </w:p>
    <w:p>
      <w:pPr>
        <w:spacing w:after="0" w:line="4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0000FF"/>
        </w:rPr>
        <w:t>01/05/2021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01/05/2021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01/05/2021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01/05/2021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080"/>
          </w:cols>
          <w:pgMar w:left="480" w:top="459" w:right="57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459"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13" Type="http://schemas.openxmlformats.org/officeDocument/2006/relationships/hyperlink" Target="http://www.sec.gov/cgi-bin/browse-edgar?action=getcompany&amp;CIK=000174719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752556" TargetMode="External"/><Relationship Id="rId18"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2021-01-05T20:24:56Z</dcterms:created>
  <dcterms:modified xsi:type="dcterms:W3CDTF">2021-01-05T20:24:56Z</dcterms:modified>
</cp:coreProperties>
</file>