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14,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33"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33"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0"/>
                <w:szCs w:val="20"/>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2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20" w:type="dxa"/>
            <w:vAlign w:val="bottom"/>
          </w:tcPr>
          <w:p>
            <w:pPr>
              <w:spacing w:after="0"/>
              <w:rPr>
                <w:sz w:val="16"/>
                <w:szCs w:val="16"/>
                <w:color w:val="auto"/>
              </w:rPr>
            </w:pPr>
          </w:p>
        </w:tc>
        <w:tc>
          <w:tcPr>
            <w:tcW w:w="3620" w:type="dxa"/>
            <w:vAlign w:val="bottom"/>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220" w:type="dxa"/>
            <w:vAlign w:val="bottom"/>
          </w:tcPr>
          <w:p>
            <w:pPr>
              <w:spacing w:after="0"/>
              <w:rPr>
                <w:sz w:val="16"/>
                <w:szCs w:val="16"/>
                <w:color w:val="auto"/>
              </w:rPr>
            </w:pPr>
          </w:p>
        </w:tc>
        <w:tc>
          <w:tcPr>
            <w:tcW w:w="3460" w:type="dxa"/>
            <w:vAlign w:val="bottom"/>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w:t>
            </w:r>
          </w:p>
        </w:tc>
        <w:tc>
          <w:tcPr>
            <w:tcW w:w="22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8"/>
              </w:rPr>
              <w:t>CWEN</w:t>
            </w: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Seventeenth Supplemental Indenture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May 14, 2021, Clearway Energy Operating LLC (“Clearway Operating LLC”), a subsidiary of Clearway Energy LLC (“Clearway LLC”), the guarantors currently party to the 2026 Notes Indenture (defined below), WV Wind Holdings LLC (the “Guaranteeing Subsidiary”) and Delaware Trust Company (as successor in interest to Law Debenture Trust Company of New York), as trustee (the “Trustee”), entered into the seventeenth supplemental indenture (the “Seventeenth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Seventeenth Supplemental Indenture, the Guaranteeing Subsidiary became a guarantor of Clearway Operating LLC’s obligations under the 2026 Notes. Each of Clearway Operating LLC, Clearway LLC and the Guaranteeing Subsidiary are subsidiaries of Clearway Energy, Inc.</w:t>
      </w:r>
    </w:p>
    <w:p>
      <w:pPr>
        <w:spacing w:after="0" w:line="16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foregoing description of the Seventeenth Supplemental Indenture does not purport to be complete and is qualified in its entirety by reference to the Seventeenth Supplemental Indenture, which is attached as Exhibit 4.1 to this Current Report on Form 8-K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14, 2021, Clearway Operating LLC, the guarantors currently party to the 2028 Notes Indenture (defined below), the Guaranteeing Subsidiary and the Trustee also entered into the ninth supplemental indenture (the “Ninth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Ninth Supplemental Indenture, the Guaranteeing Subsidiary became a guarantor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Ninth Supplemental Indenture does not purport to be complete and is qualified in its entirety by reference to the Ninth Supplemental Indenture, which is attached as Exhibit 4.2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14, 2021, Clearway Operating LLC, the guarantors currently party to the 2031 Notes Indenture (defined below), the Guaranteeing Subsidiary and the Trustee also entered into the first supplemental indenture (the “First Supplemental Indenture”), supplementing the indenture, dated as of March 9, 2021 (as amended or supplemented to the date hereof, the “2031 Notes Indenture”), by and among Clearway Operating LLC, the guarantors party thereto and the Trustee, pursuant to which Clearway Operating LLC issued $925,000,000 in aggregate principal amount of its 3.750% Senior Notes due 2031 (the “2031 Notes”). Pursuant to the First Supplemental Indenture, the Guaranteeing Subsidiary became a guarantor of Clearway Operating LLC’s obligations under the 2031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First Supplemental Indenture does not purport to be complete and is qualified in its entirety by reference to the First Supplemental Indenture, which is attached as Exhibit 4.3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gridSpan w:val="5"/>
          </w:tcPr>
          <w:p>
            <w:pPr>
              <w:ind w:left="260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74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Seventeenth Supplemental Indenture, dated as of May 14, 2021, among Clearway Energy Operating LLC, the guarantors named</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therein and Delaware Trust Company (as successor in interest to Law Debenture Trust Company of New York).</w:t>
              </w:r>
            </w:hyperlink>
          </w:p>
        </w:tc>
        <w:tc>
          <w:tcPr>
            <w:tcW w:w="1180" w:type="dxa"/>
            <w:vAlign w:val="bottom"/>
            <w:tcBorders>
              <w:top w:val="single" w:sz="8" w:color="0000EE"/>
            </w:tcBorders>
          </w:tcPr>
          <w:p>
            <w:pPr>
              <w:spacing w:after="0"/>
              <w:rPr>
                <w:sz w:val="17"/>
                <w:szCs w:val="17"/>
                <w:color w:val="auto"/>
              </w:rPr>
            </w:pPr>
          </w:p>
        </w:tc>
        <w:tc>
          <w:tcPr>
            <w:tcW w:w="540" w:type="dxa"/>
            <w:vAlign w:val="bottom"/>
            <w:gridSpan w:val="3"/>
          </w:tcPr>
          <w:p>
            <w:pPr>
              <w:spacing w:after="0"/>
              <w:rPr>
                <w:sz w:val="17"/>
                <w:szCs w:val="17"/>
                <w:color w:val="auto"/>
              </w:rPr>
            </w:pPr>
          </w:p>
        </w:tc>
      </w:tr>
      <w:tr>
        <w:trPr>
          <w:trHeight w:val="196"/>
        </w:trPr>
        <w:tc>
          <w:tcPr>
            <w:tcW w:w="74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6"/>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Ninth Supplemental Indenture, dated as of May 14, 2021, among Clearway Energy Operating LLC, the guarantors named therein and</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Delaware Trust Company.</w:t>
              </w:r>
            </w:hyperlink>
          </w:p>
        </w:tc>
        <w:tc>
          <w:tcPr>
            <w:tcW w:w="160" w:type="dxa"/>
            <w:vAlign w:val="bottom"/>
          </w:tcPr>
          <w:p>
            <w:pPr>
              <w:spacing w:after="0"/>
              <w:rPr>
                <w:sz w:val="17"/>
                <w:szCs w:val="17"/>
                <w:color w:val="auto"/>
              </w:rPr>
            </w:pPr>
          </w:p>
        </w:tc>
      </w:tr>
      <w:tr>
        <w:trPr>
          <w:trHeight w:val="20"/>
        </w:trPr>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740" w:type="dxa"/>
            <w:vAlign w:val="bottom"/>
            <w:gridSpan w:val="2"/>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6"/>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First Supplemental Indenture, dated as of May 14, 2021, among Clearway Energy Operating LLC, the guarantors named therein and</w:t>
              </w:r>
            </w:hyperlink>
          </w:p>
        </w:tc>
      </w:tr>
      <w:tr>
        <w:trPr>
          <w:trHeight w:val="196"/>
        </w:trPr>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Delaware Trust Company.</w:t>
              </w:r>
            </w:hyperlink>
          </w:p>
        </w:tc>
        <w:tc>
          <w:tcPr>
            <w:tcW w:w="240" w:type="dxa"/>
            <w:vAlign w:val="bottom"/>
            <w:gridSpan w:val="2"/>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 w:lineRule="exact"/>
        <w:rPr>
          <w:sz w:val="20"/>
          <w:szCs w:val="20"/>
          <w:color w:val="auto"/>
        </w:rPr>
      </w:pPr>
    </w:p>
    <w:p>
      <w:pPr>
        <w:ind w:left="5560" w:right="3240" w:hanging="5066"/>
        <w:spacing w:after="0" w:line="778" w:lineRule="auto"/>
        <w:tabs>
          <w:tab w:leader="none" w:pos="148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Malcarney</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Kevin P. Malcarney</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May 19, 2021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SEVENTEENTH SUPPLEMENTAL INDENTURE</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SEVENTEENTH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May 14, 2021, among WV Wind Holdings LLC (the “</w:t>
      </w:r>
      <w:r>
        <w:rPr>
          <w:rFonts w:ascii="Arial" w:cs="Arial" w:eastAsia="Arial" w:hAnsi="Arial"/>
          <w:sz w:val="17"/>
          <w:szCs w:val="17"/>
          <w:i w:val="1"/>
          <w:iCs w:val="1"/>
          <w:color w:val="auto"/>
        </w:rPr>
        <w:t>Guaranteeing Subsidiary</w:t>
      </w:r>
      <w:r>
        <w:rPr>
          <w:rFonts w:ascii="Arial" w:cs="Arial" w:eastAsia="Arial" w:hAnsi="Arial"/>
          <w:sz w:val="17"/>
          <w:szCs w:val="17"/>
          <w:color w:val="auto"/>
        </w:rPr>
        <w:t>”),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280" w:hanging="624"/>
        <w:spacing w:after="0"/>
        <w:tabs>
          <w:tab w:leader="none" w:pos="1280" w:val="left"/>
        </w:tabs>
        <w:numPr>
          <w:ilvl w:val="0"/>
          <w:numId w:val="4"/>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246"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287"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656"/>
        <w:spacing w:after="0" w:line="263" w:lineRule="auto"/>
        <w:tabs>
          <w:tab w:leader="none" w:pos="1314"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17"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40" w:hanging="684"/>
        <w:spacing w:after="0"/>
        <w:tabs>
          <w:tab w:leader="none" w:pos="134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354"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296"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86" w:lineRule="auto"/>
        <w:tabs>
          <w:tab w:leader="none" w:pos="1287" w:val="left"/>
        </w:tabs>
        <w:numPr>
          <w:ilvl w:val="0"/>
          <w:numId w:val="5"/>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WV WIND HOLDINGS LLC</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Name:Chad Plotkin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CLEARWAY ENERGY OPERATING LLC CLEARWAY ENERGY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Name:Chad Plotkin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right"/>
        <w:ind w:right="801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4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NINTH SUPPLEMENTAL INDENTURE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NINTH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May 14, 2021, among WV Wind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280" w:hanging="624"/>
        <w:spacing w:after="0"/>
        <w:tabs>
          <w:tab w:leader="none" w:pos="1280" w:val="left"/>
        </w:tabs>
        <w:numPr>
          <w:ilvl w:val="0"/>
          <w:numId w:val="6"/>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399" w:val="left"/>
        </w:tabs>
        <w:numPr>
          <w:ilvl w:val="0"/>
          <w:numId w:val="6"/>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18" w:val="left"/>
        </w:tabs>
        <w:numPr>
          <w:ilvl w:val="0"/>
          <w:numId w:val="6"/>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656"/>
        <w:spacing w:after="0" w:line="263" w:lineRule="auto"/>
        <w:tabs>
          <w:tab w:leader="none" w:pos="1345" w:val="left"/>
        </w:tabs>
        <w:numPr>
          <w:ilvl w:val="0"/>
          <w:numId w:val="7"/>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277" w:val="left"/>
        </w:tabs>
        <w:numPr>
          <w:ilvl w:val="0"/>
          <w:numId w:val="7"/>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280" w:hanging="624"/>
        <w:spacing w:after="0"/>
        <w:tabs>
          <w:tab w:leader="none" w:pos="128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399"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58" w:val="left"/>
        </w:tabs>
        <w:numPr>
          <w:ilvl w:val="0"/>
          <w:numId w:val="7"/>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86" w:lineRule="auto"/>
        <w:tabs>
          <w:tab w:leader="none" w:pos="1318" w:val="left"/>
        </w:tabs>
        <w:numPr>
          <w:ilvl w:val="0"/>
          <w:numId w:val="7"/>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WV WIND HOLDINGS LLC</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Name:Chad Plotkin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CLEARWAY ENERGY OPERATING LLC CLEARWAY ENERGY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Name:Chad Plotkin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ROSAMOND SOLAR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Treasurer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right"/>
        <w:ind w:right="801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4.3</w:t>
      </w: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FIRST SUPPLEMENTAL INDENTURE</w:t>
      </w:r>
    </w:p>
    <w:p>
      <w:pPr>
        <w:spacing w:after="0" w:line="21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FIRST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May 14, 2021, among WV Wind Holdings LLC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March 9, 2021 providing for the issuance of 3.750% Senior Notes due 2031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8"/>
        </w:numPr>
        <w:rPr>
          <w:rFonts w:ascii="Arial" w:cs="Arial" w:eastAsia="Arial" w:hAnsi="Arial"/>
          <w:sz w:val="17"/>
          <w:szCs w:val="17"/>
          <w:color w:val="010000"/>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010000"/>
        </w:rPr>
      </w:pPr>
    </w:p>
    <w:p>
      <w:pPr>
        <w:jc w:val="both"/>
        <w:ind w:firstLine="656"/>
        <w:spacing w:after="0" w:line="259" w:lineRule="auto"/>
        <w:tabs>
          <w:tab w:leader="none" w:pos="1399" w:val="left"/>
        </w:tabs>
        <w:numPr>
          <w:ilvl w:val="0"/>
          <w:numId w:val="8"/>
        </w:numPr>
        <w:rPr>
          <w:rFonts w:ascii="Arial" w:cs="Arial" w:eastAsia="Arial" w:hAnsi="Arial"/>
          <w:sz w:val="18"/>
          <w:szCs w:val="18"/>
          <w:color w:val="010000"/>
        </w:rPr>
      </w:pPr>
      <w:r>
        <w:rPr>
          <w:rFonts w:ascii="Arial" w:cs="Arial" w:eastAsia="Arial" w:hAnsi="Arial"/>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18" w:val="left"/>
        </w:tabs>
        <w:numPr>
          <w:ilvl w:val="0"/>
          <w:numId w:val="8"/>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both"/>
        <w:ind w:firstLine="656"/>
        <w:spacing w:after="0" w:line="263" w:lineRule="auto"/>
        <w:tabs>
          <w:tab w:leader="none" w:pos="1345"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17" w:val="left"/>
        </w:tabs>
        <w:numPr>
          <w:ilvl w:val="0"/>
          <w:numId w:val="9"/>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40" w:hanging="684"/>
        <w:spacing w:after="0"/>
        <w:tabs>
          <w:tab w:leader="none" w:pos="134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010000"/>
        </w:rPr>
      </w:pPr>
    </w:p>
    <w:p>
      <w:pPr>
        <w:jc w:val="both"/>
        <w:ind w:firstLine="656"/>
        <w:spacing w:after="0" w:line="263" w:lineRule="auto"/>
        <w:tabs>
          <w:tab w:leader="none" w:pos="1399" w:val="left"/>
        </w:tabs>
        <w:numPr>
          <w:ilvl w:val="0"/>
          <w:numId w:val="9"/>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58" w:val="left"/>
        </w:tabs>
        <w:numPr>
          <w:ilvl w:val="0"/>
          <w:numId w:val="9"/>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86" w:lineRule="auto"/>
        <w:tabs>
          <w:tab w:leader="none" w:pos="1350" w:val="left"/>
        </w:tabs>
        <w:numPr>
          <w:ilvl w:val="0"/>
          <w:numId w:val="9"/>
        </w:numPr>
        <w:rPr>
          <w:rFonts w:ascii="Arial" w:cs="Arial" w:eastAsia="Arial" w:hAnsi="Arial"/>
          <w:sz w:val="16"/>
          <w:szCs w:val="16"/>
          <w:color w:val="010000"/>
        </w:rPr>
      </w:pPr>
      <w:r>
        <w:rPr>
          <w:rFonts w:ascii="Arial" w:cs="Arial" w:eastAsia="Arial" w:hAnsi="Arial"/>
          <w:sz w:val="16"/>
          <w:szCs w:val="16"/>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an Officer of the Company, any Guaranteeing Subsidiary or any other Guarantor to the Trustee shall be considered signed or executed by such person on behalf of the Company, such Guaranteeing Subsidiary, or such other Guarantor, as applicable. Each of the Company, the Guaranteeing Subsidiary,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WV WIND HOLDINGS LLC</w:t>
      </w:r>
    </w:p>
    <w:p>
      <w:pPr>
        <w:spacing w:after="0" w:line="225"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50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DGPV HOLDING LLC</w:t>
      </w:r>
    </w:p>
    <w:p>
      <w:pPr>
        <w:spacing w:after="0" w:line="200" w:lineRule="exact"/>
        <w:rPr>
          <w:sz w:val="20"/>
          <w:szCs w:val="20"/>
          <w:color w:val="auto"/>
        </w:rPr>
      </w:pPr>
    </w:p>
    <w:p>
      <w:pPr>
        <w:spacing w:after="0" w:line="227"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500" w:type="dxa"/>
            <w:vAlign w:val="bottom"/>
          </w:tcPr>
          <w:p>
            <w:pPr>
              <w:spacing w:after="0"/>
              <w:rPr>
                <w:sz w:val="20"/>
                <w:szCs w:val="20"/>
                <w:color w:val="auto"/>
              </w:rPr>
            </w:pPr>
            <w:r>
              <w:rPr>
                <w:rFonts w:ascii="Arial" w:cs="Arial" w:eastAsia="Arial" w:hAnsi="Arial"/>
                <w:sz w:val="18"/>
                <w:szCs w:val="18"/>
                <w:color w:val="auto"/>
              </w:rPr>
              <w:t>Senior Vice President, Chief Financial Officer &amp;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406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CWSP RATTLESNAKE HOLDING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LIGHTHOUSE RENEWABLE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ROSAMOND SOLAR HOLDCO LLC RPV HOLDING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THERMAL INFRASTRUCTURE DEVELOPMENT HOLDINGS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UTAH SOLAR MASTER HOLDCO LLC</w:t>
      </w:r>
    </w:p>
    <w:p>
      <w:pPr>
        <w:spacing w:after="0" w:line="200" w:lineRule="exact"/>
        <w:rPr>
          <w:sz w:val="20"/>
          <w:szCs w:val="20"/>
          <w:color w:val="auto"/>
        </w:rPr>
      </w:pPr>
    </w:p>
    <w:p>
      <w:pPr>
        <w:spacing w:after="0" w:line="227" w:lineRule="exact"/>
        <w:rPr>
          <w:sz w:val="20"/>
          <w:szCs w:val="20"/>
          <w:color w:val="auto"/>
        </w:rPr>
      </w:pPr>
    </w:p>
    <w:tbl>
      <w:tblPr>
        <w:tblLayout w:type="fixed"/>
        <w:tblInd w:w="4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500" w:type="dxa"/>
            <w:vAlign w:val="bottom"/>
          </w:tcPr>
          <w:p>
            <w:pPr>
              <w:spacing w:after="0"/>
              <w:rPr>
                <w:sz w:val="20"/>
                <w:szCs w:val="20"/>
                <w:color w:val="auto"/>
              </w:rPr>
            </w:pPr>
            <w:r>
              <w:rPr>
                <w:rFonts w:ascii="Arial" w:cs="Arial" w:eastAsia="Arial" w:hAnsi="Arial"/>
                <w:sz w:val="18"/>
                <w:szCs w:val="18"/>
                <w:color w:val="auto"/>
              </w:rPr>
              <w:t>Vice President &amp; Treasurer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right"/>
        <w:ind w:right="811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2021-05-19T15:06:50Z</dcterms:created>
  <dcterms:modified xsi:type="dcterms:W3CDTF">2021-05-19T15:06:50Z</dcterms:modified>
</cp:coreProperties>
</file>