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8"/>
        </w:trPr>
        <w:tc>
          <w:tcPr>
            <w:tcW w:w="198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7"/>
                <w:szCs w:val="17"/>
                <w:color w:val="0000FF"/>
              </w:rPr>
              <w:t>04/03/2024</w:t>
            </w:r>
          </w:p>
        </w:tc>
        <w:tc>
          <w:tcPr>
            <w:tcW w:w="18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2" w:lineRule="exact"/>
        <w:rPr>
          <w:sz w:val="24"/>
          <w:szCs w:val="24"/>
          <w:color w:val="auto"/>
        </w:rPr>
      </w:pPr>
    </w:p>
    <w:tbl>
      <w:tblPr>
        <w:tblLayout w:type="fixed"/>
        <w:tblInd w:w="41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04/01/2024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318,828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44,135</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grants of shares of restricted stock of Clearway Energy, Inc. (the "Issuer") granted by Clearway Energy Group LLC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3"/>
          <w:szCs w:val="13"/>
          <w:color w:val="008000"/>
        </w:rPr>
        <w:t>This Form 4/A amends the original Form 4 filed by the Reporting Persons on April 3, 2024. This amendment restates the number of shares of restricted stock granted on April 1, 2024 to reflect a grant that was declined by one or more of the Clearway Energy Group employees and never issued, and the resulting balances of securities beneficially owned following the transactions reported herein.</w:t>
      </w:r>
    </w:p>
    <w:p>
      <w:pPr>
        <w:sectPr>
          <w:pgSz w:w="11900" w:h="16838" w:orient="portrait"/>
          <w:cols w:equalWidth="0" w:num="1">
            <w:col w:w="10920"/>
          </w:cols>
          <w:pgMar w:left="480" w:top="125" w:right="499" w:bottom="753"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60"/>
          </w:cols>
          <w:pgMar w:left="480" w:top="125" w:right="499" w:bottom="7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2024-04-16T15:42:08Z</dcterms:created>
  <dcterms:modified xsi:type="dcterms:W3CDTF">2024-04-16T15:42:08Z</dcterms:modified>
</cp:coreProperties>
</file>