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26,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17"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20" w:space="720"/>
            <w:col w:w="2800" w:space="720"/>
            <w:col w:w="3060"/>
          </w:cols>
          <w:pgMar w:left="240" w:top="517"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517"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2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0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780"/>
        <w:spacing w:after="0" w:line="207" w:lineRule="exact"/>
        <w:tabs>
          <w:tab w:leader="none" w:pos="9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Tenth Supplemental Indenture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26, 2020, Clearway Energy Operating LLC (“Clearway Operating LLC”), a subsidiary of Clearway Energy LLC (“Clearway LLC”), the guarantors currently party to the 2026 Notes Indenture (defined below), SREC HoldCo LLC (“DG”), CWEN Pinnacle Repowering Holdings LLC (together with DG, the “Guaranteeing Subsidiaries”) and Delaware Trust Company (as successor in interest to Law Debenture Trust Company of New York), as trustee (the “Trustee”), entered into the tenth supplemental indenture (the “Tenth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Tenth Supplemental Indenture, the Guaranteeing Subsidiaries became guarantors of Clearway Operating LLC’s obligations under the 2026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Tenth Supplemental Indenture does not purport to be complete and is qualified in its entirety by reference to the Tenth Supplemental Indenture, which is attached as Exhibit 4.1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26, 2020, Clearway Operating LLC, the guarantors currently party to the 2025 Notes Indenture (defined below), the Guaranteeing Subsidiaries and the Trustee also entered into the sixth supplemental indenture (the “Sixth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Sixth Supplemental Indenture, the Guaranteeing Subsidiaries became guarantors of Clearway Operating LLC’s obligations under the 2025 Notes.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Sixth Supplemental Indenture does not purport to be complete and is qualified in its entirety by reference to the Sixth Supplemental Indenture, which is attached as Exhibit 4.2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26, 2020, Clearway Operating LLC, the guarantors currently party to the 2028 Notes Indenture (defined below), the Guaranteeing Subsidiaries and the Trustee also entered into the second supplemental indenture (the “Second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$600,000,000 in aggregate principal amount of its 4.750% Senior Notes due 2028 (the “2028 Notes”). Pursuant to the Second Supplemental Indenture, the Guaranteeing Subsidiaries became guarantors of Clearway Operating LLC’s obligations under the 2028 Notes.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Second Supplemental Indenture does not purport to be complete and is qualified in its entirety by reference to the Second Supplemental Indenture, which is attached as Exhibit 4.3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740" w:type="dxa"/>
            <w:vAlign w:val="bottom"/>
            <w:tcBorders>
              <w:bottom w:val="single" w:sz="8" w:color="auto"/>
            </w:tcBorders>
            <w:gridSpan w:val="5"/>
          </w:tcPr>
          <w:p>
            <w:pPr>
              <w:ind w:left="238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520" w:type="dxa"/>
            <w:vAlign w:val="bottom"/>
          </w:tcPr>
          <w:p>
            <w:pPr>
              <w:spacing w:after="0"/>
              <w:rPr>
                <w:sz w:val="24"/>
                <w:szCs w:val="24"/>
                <w:color w:val="auto"/>
              </w:rPr>
            </w:pPr>
          </w:p>
        </w:tc>
        <w:tc>
          <w:tcPr>
            <w:tcW w:w="740" w:type="dxa"/>
            <w:vAlign w:val="bottom"/>
            <w:gridSpan w:val="2"/>
          </w:tcPr>
          <w:p>
            <w:pPr>
              <w:jc w:val="right"/>
              <w:ind w:right="52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24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Tenth Supplemental Indenture, dated as of February 26, 2020, among Clearway Energy Operating LLC, the guarantors named therein</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and Delaware Trust Company (as successor in interest to Law Debenture Trust Company of New York).</w:t>
              </w:r>
            </w:hyperlink>
          </w:p>
        </w:tc>
        <w:tc>
          <w:tcPr>
            <w:tcW w:w="2120" w:type="dxa"/>
            <w:vAlign w:val="bottom"/>
            <w:tcBorders>
              <w:top w:val="single" w:sz="8" w:color="0000EE"/>
            </w:tcBorders>
          </w:tcPr>
          <w:p>
            <w:pPr>
              <w:spacing w:after="0"/>
              <w:rPr>
                <w:sz w:val="17"/>
                <w:szCs w:val="17"/>
                <w:color w:val="auto"/>
              </w:rPr>
            </w:pPr>
          </w:p>
        </w:tc>
        <w:tc>
          <w:tcPr>
            <w:tcW w:w="300" w:type="dxa"/>
            <w:vAlign w:val="bottom"/>
            <w:gridSpan w:val="3"/>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740" w:type="dxa"/>
            <w:vAlign w:val="bottom"/>
            <w:gridSpan w:val="2"/>
          </w:tcPr>
          <w:p>
            <w:pPr>
              <w:jc w:val="right"/>
              <w:ind w:right="52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24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Sixth Supplemental Indenture, dated as of February 26, 2020, among Clearway Energy Operating LLC, the guarantors named therein and</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Delaware Trust Company.</w:t>
              </w:r>
            </w:hyperlink>
          </w:p>
        </w:tc>
        <w:tc>
          <w:tcPr>
            <w:tcW w:w="80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740" w:type="dxa"/>
            <w:vAlign w:val="bottom"/>
            <w:gridSpan w:val="2"/>
          </w:tcPr>
          <w:p>
            <w:pPr>
              <w:jc w:val="right"/>
              <w:ind w:right="520"/>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24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Second Supplemental Indenture, dated as of February 26, 2020, among Clearway Energy Operating LLC, the guarantors named therein</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and Delaware Trust Company.</w:t>
              </w:r>
            </w:hyperlink>
          </w:p>
        </w:tc>
        <w:tc>
          <w:tcPr>
            <w:tcW w:w="180" w:type="dxa"/>
            <w:vAlign w:val="bottom"/>
            <w:gridSpan w:val="2"/>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5660" w:right="4140" w:hanging="5159"/>
        <w:spacing w:after="0" w:line="778" w:lineRule="auto"/>
        <w:tabs>
          <w:tab w:leader="none" w:pos="148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 2020</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904"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TENTH SUPPLEMENTAL INDENTURE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February 26, 2020, among DG SREC HoldCo LLC and CWEN Pinnacle Repowering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1"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368"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449"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ind w:firstLine="656"/>
        <w:spacing w:after="0" w:line="264" w:lineRule="auto"/>
        <w:tabs>
          <w:tab w:leader="none" w:pos="1476"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firstLine="656"/>
        <w:spacing w:after="0" w:line="277" w:lineRule="auto"/>
        <w:tabs>
          <w:tab w:leader="none" w:pos="1395"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4" w:lineRule="auto"/>
        <w:tabs>
          <w:tab w:leader="none" w:pos="153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1" w:lineRule="exact"/>
        <w:rPr>
          <w:rFonts w:ascii="Arial" w:cs="Arial" w:eastAsia="Arial" w:hAnsi="Arial"/>
          <w:sz w:val="18"/>
          <w:szCs w:val="18"/>
          <w:color w:val="010000"/>
        </w:rPr>
      </w:pPr>
    </w:p>
    <w:p>
      <w:pPr>
        <w:jc w:val="both"/>
        <w:ind w:firstLine="656"/>
        <w:spacing w:after="0" w:line="259" w:lineRule="auto"/>
        <w:tabs>
          <w:tab w:leader="none" w:pos="1472"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 SREC HOLDCO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CWEN PINNACLE REPOWERING HOLDINGS LLC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259"/>
        <w:spacing w:after="0"/>
        <w:rPr>
          <w:sz w:val="20"/>
          <w:szCs w:val="20"/>
          <w:color w:val="auto"/>
        </w:rPr>
      </w:pPr>
      <w:r>
        <w:rPr>
          <w:rFonts w:ascii="Arial" w:cs="Arial" w:eastAsia="Arial" w:hAnsi="Arial"/>
          <w:sz w:val="17"/>
          <w:szCs w:val="17"/>
          <w:color w:val="auto"/>
        </w:rPr>
        <w:t>By: /s/ Benjamin Hancock</w:t>
      </w:r>
    </w:p>
    <w:p>
      <w:pPr>
        <w:spacing w:after="0" w:line="35" w:lineRule="exact"/>
        <w:rPr>
          <w:sz w:val="20"/>
          <w:szCs w:val="20"/>
          <w:color w:val="auto"/>
        </w:rPr>
      </w:pPr>
    </w:p>
    <w:p>
      <w:pPr>
        <w:jc w:val="right"/>
        <w:ind w:right="825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7023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04"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4.2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SUPPLEMENTAL INDENTURE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SIXTH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February 26, 2020, among DG SREC HoldCo LLC and CWEN Pinnacle Repowering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24" w:lineRule="exact"/>
        <w:rPr>
          <w:sz w:val="20"/>
          <w:szCs w:val="20"/>
          <w:color w:val="auto"/>
        </w:rPr>
      </w:pPr>
    </w:p>
    <w:p>
      <w:pPr>
        <w:ind w:left="1280" w:hanging="6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a Guarantor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41"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 w:name="page10"/>
    <w:bookmarkEnd w:id="9"/>
    <w:p>
      <w:pPr>
        <w:ind w:left="-656" w:right="20" w:firstLine="656"/>
        <w:spacing w:after="0" w:line="277" w:lineRule="auto"/>
        <w:tabs>
          <w:tab w:leader="none" w:pos="676"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24" w:hanging="624"/>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left="-656" w:firstLine="656"/>
        <w:spacing w:after="0" w:line="264" w:lineRule="auto"/>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DG SREC HOLDCO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CWEN PINNACLE REPOWERING HOLDINGS LLC</w:t>
      </w:r>
    </w:p>
    <w:p>
      <w:pPr>
        <w:spacing w:after="0" w:line="200" w:lineRule="exact"/>
        <w:rPr>
          <w:sz w:val="20"/>
          <w:szCs w:val="20"/>
          <w:color w:val="auto"/>
        </w:rPr>
      </w:pPr>
    </w:p>
    <w:p>
      <w:pPr>
        <w:spacing w:after="0" w:line="227"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436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8259"/>
        <w:spacing w:after="0"/>
        <w:rPr>
          <w:sz w:val="20"/>
          <w:szCs w:val="20"/>
          <w:color w:val="auto"/>
        </w:rPr>
      </w:pPr>
      <w:r>
        <w:rPr>
          <w:rFonts w:ascii="Arial" w:cs="Arial" w:eastAsia="Arial" w:hAnsi="Arial"/>
          <w:sz w:val="17"/>
          <w:szCs w:val="17"/>
          <w:color w:val="auto"/>
        </w:rPr>
        <w:t>By: /s/ Benjamin Hancock</w:t>
      </w:r>
    </w:p>
    <w:p>
      <w:pPr>
        <w:spacing w:after="0" w:line="35" w:lineRule="exact"/>
        <w:rPr>
          <w:sz w:val="20"/>
          <w:szCs w:val="20"/>
          <w:color w:val="auto"/>
        </w:rPr>
      </w:pPr>
    </w:p>
    <w:p>
      <w:pPr>
        <w:jc w:val="right"/>
        <w:ind w:right="825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both"/>
        <w:ind w:firstLine="1537"/>
        <w:spacing w:after="0" w:line="257" w:lineRule="auto"/>
        <w:rPr>
          <w:sz w:val="20"/>
          <w:szCs w:val="20"/>
          <w:color w:val="auto"/>
        </w:rPr>
      </w:pPr>
      <w:r>
        <w:rPr>
          <w:rFonts w:ascii="Arial" w:cs="Arial" w:eastAsia="Arial" w:hAnsi="Arial"/>
          <w:sz w:val="18"/>
          <w:szCs w:val="18"/>
          <w:color w:val="auto"/>
        </w:rPr>
        <w:t>SECOND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February 26, 2020, among DG SREC HoldCo LLC and CWEN Pinnacle Repowering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522"/>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62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right="20" w:firstLine="1562"/>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586"/>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1" w:lineRule="exact"/>
        <w:rPr>
          <w:sz w:val="20"/>
          <w:szCs w:val="20"/>
          <w:color w:val="auto"/>
        </w:rPr>
      </w:pPr>
    </w:p>
    <w:p>
      <w:pPr>
        <w:ind w:left="1600" w:hanging="944"/>
        <w:spacing w:after="0"/>
        <w:tabs>
          <w:tab w:leader="none" w:pos="1600" w:val="left"/>
        </w:tabs>
        <w:numPr>
          <w:ilvl w:val="0"/>
          <w:numId w:val="8"/>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634" w:val="left"/>
        </w:tabs>
        <w:numPr>
          <w:ilvl w:val="0"/>
          <w:numId w:val="8"/>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674"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both"/>
        <w:ind w:firstLine="656"/>
        <w:spacing w:after="0" w:line="264" w:lineRule="auto"/>
        <w:tabs>
          <w:tab w:leader="none" w:pos="162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firstLine="656"/>
        <w:spacing w:after="0" w:line="277" w:lineRule="auto"/>
        <w:tabs>
          <w:tab w:leader="none" w:pos="166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9"/>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4" w:lineRule="auto"/>
        <w:tabs>
          <w:tab w:leader="none" w:pos="1688"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1" w:lineRule="exact"/>
        <w:rPr>
          <w:rFonts w:ascii="Arial" w:cs="Arial" w:eastAsia="Arial" w:hAnsi="Arial"/>
          <w:sz w:val="18"/>
          <w:szCs w:val="18"/>
          <w:color w:val="010000"/>
        </w:rPr>
      </w:pPr>
    </w:p>
    <w:p>
      <w:pPr>
        <w:jc w:val="both"/>
        <w:ind w:firstLine="656"/>
        <w:spacing w:after="0" w:line="259" w:lineRule="auto"/>
        <w:tabs>
          <w:tab w:leader="none" w:pos="1593" w:val="left"/>
        </w:tabs>
        <w:numPr>
          <w:ilvl w:val="0"/>
          <w:numId w:val="9"/>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DG SREC HOLDCO LLC</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CWEN PINNACLE REPOWERING HOLDINGS LLC</w:t>
      </w:r>
    </w:p>
    <w:p>
      <w:pPr>
        <w:spacing w:after="0" w:line="279"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260" w:type="dxa"/>
            <w:vAlign w:val="bottom"/>
          </w:tcPr>
          <w:p>
            <w:pPr>
              <w:spacing w:after="0"/>
              <w:rPr>
                <w:sz w:val="20"/>
                <w:szCs w:val="20"/>
                <w:color w:val="auto"/>
              </w:rPr>
            </w:pPr>
            <w:r>
              <w:rPr>
                <w:rFonts w:ascii="Arial" w:cs="Arial" w:eastAsia="Arial" w:hAnsi="Arial"/>
                <w:sz w:val="18"/>
                <w:szCs w:val="18"/>
                <w:color w:val="auto"/>
              </w:rPr>
              <w:t>Chad Plotkin</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CLEARWAY ENERGY OPERATING LLC</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CLEARWAY ENERGY LLC</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DGPV HOLDING LLC</w:t>
      </w:r>
    </w:p>
    <w:p>
      <w:pPr>
        <w:spacing w:after="0" w:line="279"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260" w:type="dxa"/>
            <w:vAlign w:val="bottom"/>
          </w:tcPr>
          <w:p>
            <w:pPr>
              <w:spacing w:after="0"/>
              <w:rPr>
                <w:sz w:val="20"/>
                <w:szCs w:val="20"/>
                <w:color w:val="auto"/>
              </w:rPr>
            </w:pPr>
            <w:r>
              <w:rPr>
                <w:rFonts w:ascii="Arial" w:cs="Arial" w:eastAsia="Arial" w:hAnsi="Arial"/>
                <w:sz w:val="18"/>
                <w:szCs w:val="18"/>
                <w:color w:val="auto"/>
              </w:rPr>
              <w:t>Chad Plotkin</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4360"/>
        <w:spacing w:after="0"/>
        <w:rPr>
          <w:sz w:val="20"/>
          <w:szCs w:val="20"/>
          <w:color w:val="auto"/>
        </w:rPr>
      </w:pPr>
      <w:r>
        <w:rPr>
          <w:rFonts w:ascii="Arial" w:cs="Arial" w:eastAsia="Arial" w:hAnsi="Arial"/>
          <w:sz w:val="18"/>
          <w:szCs w:val="18"/>
          <w:color w:val="auto"/>
        </w:rPr>
        <w:t>ALTA WIND 1-5 HOLDING COMPANY,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ALTA WIND COMPANY,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CBAD HOLDINGS II,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CENTRAL CA FUEL CELL 1,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CLEARWAY SOLAR STAR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ECP UPTOWN CAMPUS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CAGUAS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FAJARDO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FUEL CELL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PORTFOLIO SOLAR 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RPV HOLDING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FLAGSTAFF ONE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IGUANA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LAS VEGAS MB 1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TABERNACLE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SOUTH TRENT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ASSET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II-B,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CANADA INFRASTRUCTURE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HAWAII DEVELOPMENT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INFRASTRUCTURE DEVELOPMENT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UB FUEL CELL, LLC</w:t>
      </w:r>
    </w:p>
    <w:p>
      <w:pPr>
        <w:spacing w:after="0" w:line="279"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280" w:type="dxa"/>
            <w:vAlign w:val="bottom"/>
          </w:tcPr>
          <w:p>
            <w:pPr>
              <w:spacing w:after="0"/>
              <w:rPr>
                <w:sz w:val="20"/>
                <w:szCs w:val="20"/>
                <w:color w:val="auto"/>
              </w:rPr>
            </w:pPr>
            <w:r>
              <w:rPr>
                <w:rFonts w:ascii="Arial" w:cs="Arial" w:eastAsia="Arial" w:hAnsi="Arial"/>
                <w:sz w:val="18"/>
                <w:szCs w:val="18"/>
                <w:color w:val="auto"/>
              </w:rPr>
              <w:t>Chad Plotkin</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25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22225</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8" w:lineRule="exact"/>
        <w:rPr>
          <w:sz w:val="20"/>
          <w:szCs w:val="20"/>
          <w:color w:val="auto"/>
        </w:rPr>
      </w:pPr>
    </w:p>
    <w:p>
      <w:pPr>
        <w:jc w:val="right"/>
        <w:ind w:right="8259"/>
        <w:spacing w:after="0"/>
        <w:rPr>
          <w:sz w:val="20"/>
          <w:szCs w:val="20"/>
          <w:color w:val="auto"/>
        </w:rPr>
      </w:pPr>
      <w:r>
        <w:rPr>
          <w:rFonts w:ascii="Arial" w:cs="Arial" w:eastAsia="Arial" w:hAnsi="Arial"/>
          <w:sz w:val="18"/>
          <w:szCs w:val="18"/>
          <w:color w:val="auto"/>
        </w:rPr>
        <w:t>Authorized Signatory:</w:t>
      </w:r>
    </w:p>
    <w:p>
      <w:pPr>
        <w:spacing w:after="0" w:line="245" w:lineRule="exact"/>
        <w:rPr>
          <w:sz w:val="20"/>
          <w:szCs w:val="20"/>
          <w:color w:val="auto"/>
        </w:rPr>
      </w:pPr>
    </w:p>
    <w:p>
      <w:pPr>
        <w:jc w:val="right"/>
        <w:ind w:right="22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Second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2020-03-03T15:23:18Z</dcterms:created>
  <dcterms:modified xsi:type="dcterms:W3CDTF">2020-03-03T15:23:18Z</dcterms:modified>
</cp:coreProperties>
</file>