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673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67372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ONEAL E STANLEY</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160" w:type="dxa"/>
            <w:vAlign w:val="bottom"/>
          </w:tcPr>
          <w:p>
            <w:pPr>
              <w:ind w:left="120"/>
              <w:spacing w:after="0"/>
              <w:rPr>
                <w:sz w:val="20"/>
                <w:szCs w:val="20"/>
                <w:color w:val="auto"/>
              </w:rPr>
            </w:pPr>
            <w:r>
              <w:rPr>
                <w:rFonts w:ascii="Arial" w:cs="Arial" w:eastAsia="Arial" w:hAnsi="Arial"/>
                <w:sz w:val="14"/>
                <w:szCs w:val="14"/>
                <w:color w:val="auto"/>
              </w:rPr>
              <w:t>(First)</w:t>
            </w:r>
          </w:p>
        </w:tc>
        <w:tc>
          <w:tcPr>
            <w:tcW w:w="1360" w:type="dxa"/>
            <w:vAlign w:val="bottom"/>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0000FF"/>
                <w:w w:val="99"/>
              </w:rPr>
              <w:t>CLEARWAY ENERGY, INC.</w:t>
            </w:r>
          </w:p>
        </w:tc>
        <w:tc>
          <w:tcPr>
            <w:tcW w:w="13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300 CARNEGIE CENTER, SUITE 300</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27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PRINCETON</w:t>
            </w:r>
          </w:p>
        </w:tc>
        <w:tc>
          <w:tcPr>
            <w:tcW w:w="1160" w:type="dxa"/>
            <w:vAlign w:val="bottom"/>
          </w:tcPr>
          <w:p>
            <w:pPr>
              <w:ind w:left="120"/>
              <w:spacing w:after="0"/>
              <w:rPr>
                <w:sz w:val="20"/>
                <w:szCs w:val="20"/>
                <w:color w:val="auto"/>
              </w:rPr>
            </w:pPr>
            <w:r>
              <w:rPr>
                <w:rFonts w:ascii="Arial" w:cs="Arial" w:eastAsia="Arial" w:hAnsi="Arial"/>
                <w:sz w:val="18"/>
                <w:szCs w:val="18"/>
                <w:color w:val="0000FF"/>
              </w:rPr>
              <w:t>NJ</w:t>
            </w:r>
          </w:p>
        </w:tc>
        <w:tc>
          <w:tcPr>
            <w:tcW w:w="1360" w:type="dxa"/>
            <w:vAlign w:val="bottom"/>
          </w:tcPr>
          <w:p>
            <w:pPr>
              <w:ind w:left="180"/>
              <w:spacing w:after="0"/>
              <w:rPr>
                <w:sz w:val="20"/>
                <w:szCs w:val="20"/>
                <w:color w:val="auto"/>
              </w:rPr>
            </w:pPr>
            <w:r>
              <w:rPr>
                <w:rFonts w:ascii="Arial" w:cs="Arial" w:eastAsia="Arial" w:hAnsi="Arial"/>
                <w:sz w:val="18"/>
                <w:szCs w:val="18"/>
                <w:color w:val="0000FF"/>
              </w:rPr>
              <w:t>08540</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120"/>
              <w:spacing w:after="0"/>
              <w:rPr>
                <w:sz w:val="20"/>
                <w:szCs w:val="20"/>
                <w:color w:val="auto"/>
              </w:rPr>
            </w:pPr>
            <w:r>
              <w:rPr>
                <w:rFonts w:ascii="Arial" w:cs="Arial" w:eastAsia="Arial" w:hAnsi="Arial"/>
                <w:sz w:val="14"/>
                <w:szCs w:val="14"/>
                <w:color w:val="auto"/>
              </w:rPr>
              <w:t>(State)</w:t>
            </w:r>
          </w:p>
        </w:tc>
        <w:tc>
          <w:tcPr>
            <w:tcW w:w="1360" w:type="dxa"/>
            <w:vAlign w:val="bottom"/>
          </w:tcPr>
          <w:p>
            <w:pPr>
              <w:ind w:left="1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06/01/2023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8"/>
                <w:szCs w:val="18"/>
                <w:color w:val="0000FF"/>
                <w:w w:val="95"/>
              </w:rPr>
              <w:t>Class C Common Stock, par value $.01</w:t>
            </w:r>
          </w:p>
        </w:tc>
        <w:tc>
          <w:tcPr>
            <w:tcW w:w="1160" w:type="dxa"/>
            <w:vAlign w:val="bottom"/>
            <w:gridSpan w:val="2"/>
            <w:vMerge w:val="restart"/>
          </w:tcPr>
          <w:p>
            <w:pPr>
              <w:jc w:val="right"/>
              <w:ind w:right="119"/>
              <w:spacing w:after="0"/>
              <w:rPr>
                <w:sz w:val="20"/>
                <w:szCs w:val="20"/>
                <w:color w:val="auto"/>
              </w:rPr>
            </w:pPr>
            <w:r>
              <w:rPr>
                <w:rFonts w:ascii="Arial" w:cs="Arial" w:eastAsia="Arial" w:hAnsi="Arial"/>
                <w:sz w:val="18"/>
                <w:szCs w:val="18"/>
                <w:color w:val="0000FF"/>
              </w:rPr>
              <w:t>06/01/2023</w:t>
            </w: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220"/>
              <w:spacing w:after="0"/>
              <w:rPr>
                <w:sz w:val="20"/>
                <w:szCs w:val="20"/>
                <w:color w:val="auto"/>
              </w:rPr>
            </w:pPr>
            <w:r>
              <w:rPr>
                <w:rFonts w:ascii="Arial" w:cs="Arial" w:eastAsia="Arial" w:hAnsi="Arial"/>
                <w:sz w:val="14"/>
                <w:szCs w:val="14"/>
                <w:color w:val="0000FF"/>
              </w:rPr>
              <w:t>A</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0000FF"/>
              </w:rPr>
              <w:t>8,087</w:t>
            </w:r>
            <w:r>
              <w:rPr>
                <w:rFonts w:ascii="Arial" w:cs="Arial" w:eastAsia="Arial" w:hAnsi="Arial"/>
                <w:sz w:val="22"/>
                <w:szCs w:val="22"/>
                <w:color w:val="008000"/>
                <w:vertAlign w:val="superscript"/>
              </w:rPr>
              <w:t>(1)</w:t>
            </w:r>
          </w:p>
        </w:tc>
        <w:tc>
          <w:tcPr>
            <w:tcW w:w="660" w:type="dxa"/>
            <w:vAlign w:val="bottom"/>
            <w:vMerge w:val="restart"/>
          </w:tcPr>
          <w:p>
            <w:pPr>
              <w:ind w:left="300"/>
              <w:spacing w:after="0"/>
              <w:rPr>
                <w:sz w:val="20"/>
                <w:szCs w:val="20"/>
                <w:color w:val="auto"/>
              </w:rPr>
            </w:pPr>
            <w:r>
              <w:rPr>
                <w:rFonts w:ascii="Arial" w:cs="Arial" w:eastAsia="Arial" w:hAnsi="Arial"/>
                <w:sz w:val="18"/>
                <w:szCs w:val="18"/>
                <w:color w:val="0000FF"/>
              </w:rPr>
              <w:t>A</w:t>
            </w:r>
          </w:p>
        </w:tc>
        <w:tc>
          <w:tcPr>
            <w:tcW w:w="320" w:type="dxa"/>
            <w:vAlign w:val="bottom"/>
            <w:gridSpan w:val="2"/>
            <w:vMerge w:val="restart"/>
          </w:tcPr>
          <w:p>
            <w:pPr>
              <w:jc w:val="right"/>
              <w:spacing w:after="0"/>
              <w:rPr>
                <w:sz w:val="20"/>
                <w:szCs w:val="20"/>
                <w:color w:val="auto"/>
              </w:rPr>
            </w:pPr>
            <w:r>
              <w:rPr>
                <w:rFonts w:ascii="Arial" w:cs="Arial" w:eastAsia="Arial" w:hAnsi="Arial"/>
                <w:sz w:val="11"/>
                <w:szCs w:val="11"/>
                <w:color w:val="008000"/>
              </w:rPr>
              <w:t>(2)</w:t>
            </w:r>
          </w:p>
        </w:tc>
        <w:tc>
          <w:tcPr>
            <w:tcW w:w="240" w:type="dxa"/>
            <w:vAlign w:val="bottom"/>
          </w:tcPr>
          <w:p>
            <w:pPr>
              <w:spacing w:after="0"/>
              <w:rPr>
                <w:sz w:val="22"/>
                <w:szCs w:val="22"/>
                <w:color w:val="auto"/>
              </w:rPr>
            </w:pPr>
          </w:p>
        </w:tc>
        <w:tc>
          <w:tcPr>
            <w:tcW w:w="118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rPr>
              <w:t>52,657</w:t>
            </w:r>
          </w:p>
        </w:tc>
        <w:tc>
          <w:tcPr>
            <w:tcW w:w="92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w w:val="86"/>
              </w:rPr>
              <w:t>per 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80" w:type="dxa"/>
            <w:vAlign w:val="bottom"/>
            <w:tcBorders>
              <w:bottom w:val="single" w:sz="8" w:color="2C2C2C"/>
            </w:tcBorders>
            <w:gridSpan w:val="4"/>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8"/>
                <w:szCs w:val="18"/>
                <w:color w:val="0000FF"/>
                <w:w w:val="95"/>
              </w:rPr>
              <w:t>Class C Common Stock, par value $.01</w:t>
            </w:r>
          </w:p>
        </w:tc>
        <w:tc>
          <w:tcPr>
            <w:tcW w:w="1160" w:type="dxa"/>
            <w:vAlign w:val="bottom"/>
            <w:gridSpan w:val="2"/>
            <w:vMerge w:val="restart"/>
          </w:tcPr>
          <w:p>
            <w:pPr>
              <w:jc w:val="right"/>
              <w:ind w:right="119"/>
              <w:spacing w:after="0"/>
              <w:rPr>
                <w:sz w:val="20"/>
                <w:szCs w:val="20"/>
                <w:color w:val="auto"/>
              </w:rPr>
            </w:pPr>
            <w:r>
              <w:rPr>
                <w:rFonts w:ascii="Arial" w:cs="Arial" w:eastAsia="Arial" w:hAnsi="Arial"/>
                <w:sz w:val="18"/>
                <w:szCs w:val="18"/>
                <w:color w:val="0000FF"/>
              </w:rPr>
              <w:t>06/01/2023</w:t>
            </w: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220"/>
              <w:spacing w:after="0"/>
              <w:rPr>
                <w:sz w:val="20"/>
                <w:szCs w:val="20"/>
                <w:color w:val="auto"/>
              </w:rPr>
            </w:pPr>
            <w:r>
              <w:rPr>
                <w:rFonts w:ascii="Arial" w:cs="Arial" w:eastAsia="Arial" w:hAnsi="Arial"/>
                <w:sz w:val="14"/>
                <w:szCs w:val="14"/>
                <w:color w:val="0000FF"/>
              </w:rPr>
              <w:t>A</w:t>
            </w:r>
          </w:p>
        </w:tc>
        <w:tc>
          <w:tcPr>
            <w:tcW w:w="740" w:type="dxa"/>
            <w:vAlign w:val="bottom"/>
            <w:vMerge w:val="restart"/>
          </w:tcPr>
          <w:p>
            <w:pPr>
              <w:jc w:val="right"/>
              <w:ind w:right="72"/>
              <w:spacing w:after="0"/>
              <w:rPr>
                <w:sz w:val="20"/>
                <w:szCs w:val="20"/>
                <w:color w:val="auto"/>
              </w:rPr>
            </w:pPr>
            <w:r>
              <w:rPr>
                <w:rFonts w:ascii="Arial" w:cs="Arial" w:eastAsia="Arial" w:hAnsi="Arial"/>
                <w:sz w:val="18"/>
                <w:szCs w:val="18"/>
                <w:color w:val="0000FF"/>
              </w:rPr>
              <w:t>599</w:t>
            </w:r>
          </w:p>
        </w:tc>
        <w:tc>
          <w:tcPr>
            <w:tcW w:w="660" w:type="dxa"/>
            <w:vAlign w:val="bottom"/>
            <w:vMerge w:val="restart"/>
          </w:tcPr>
          <w:p>
            <w:pPr>
              <w:ind w:left="300"/>
              <w:spacing w:after="0"/>
              <w:rPr>
                <w:sz w:val="20"/>
                <w:szCs w:val="20"/>
                <w:color w:val="auto"/>
              </w:rPr>
            </w:pPr>
            <w:r>
              <w:rPr>
                <w:rFonts w:ascii="Arial" w:cs="Arial" w:eastAsia="Arial" w:hAnsi="Arial"/>
                <w:sz w:val="18"/>
                <w:szCs w:val="18"/>
                <w:color w:val="0000FF"/>
              </w:rPr>
              <w:t>A</w:t>
            </w:r>
          </w:p>
        </w:tc>
        <w:tc>
          <w:tcPr>
            <w:tcW w:w="320" w:type="dxa"/>
            <w:vAlign w:val="bottom"/>
            <w:gridSpan w:val="2"/>
            <w:vMerge w:val="restart"/>
          </w:tcPr>
          <w:p>
            <w:pPr>
              <w:jc w:val="right"/>
              <w:spacing w:after="0"/>
              <w:rPr>
                <w:sz w:val="20"/>
                <w:szCs w:val="20"/>
                <w:color w:val="auto"/>
              </w:rPr>
            </w:pPr>
            <w:r>
              <w:rPr>
                <w:rFonts w:ascii="Arial" w:cs="Arial" w:eastAsia="Arial" w:hAnsi="Arial"/>
                <w:sz w:val="11"/>
                <w:szCs w:val="11"/>
                <w:color w:val="008000"/>
              </w:rPr>
              <w:t>(3)</w:t>
            </w:r>
          </w:p>
        </w:tc>
        <w:tc>
          <w:tcPr>
            <w:tcW w:w="240" w:type="dxa"/>
            <w:vAlign w:val="bottom"/>
          </w:tcPr>
          <w:p>
            <w:pPr>
              <w:spacing w:after="0"/>
              <w:rPr>
                <w:sz w:val="22"/>
                <w:szCs w:val="22"/>
                <w:color w:val="auto"/>
              </w:rPr>
            </w:pPr>
          </w:p>
        </w:tc>
        <w:tc>
          <w:tcPr>
            <w:tcW w:w="1180" w:type="dxa"/>
            <w:vAlign w:val="bottom"/>
            <w:gridSpan w:val="2"/>
            <w:vMerge w:val="restart"/>
          </w:tcPr>
          <w:p>
            <w:pPr>
              <w:jc w:val="center"/>
              <w:ind w:right="239"/>
              <w:spacing w:after="0"/>
              <w:rPr>
                <w:sz w:val="20"/>
                <w:szCs w:val="20"/>
                <w:color w:val="auto"/>
              </w:rPr>
            </w:pPr>
            <w:r>
              <w:rPr>
                <w:rFonts w:ascii="Arial" w:cs="Arial" w:eastAsia="Arial" w:hAnsi="Arial"/>
                <w:sz w:val="18"/>
                <w:szCs w:val="18"/>
                <w:color w:val="0000FF"/>
              </w:rPr>
              <w:t>53,256</w:t>
            </w:r>
            <w:r>
              <w:rPr>
                <w:rFonts w:ascii="Arial" w:cs="Arial" w:eastAsia="Arial" w:hAnsi="Arial"/>
                <w:sz w:val="22"/>
                <w:szCs w:val="22"/>
                <w:color w:val="008000"/>
                <w:vertAlign w:val="superscript"/>
              </w:rPr>
              <w:t>(4)</w:t>
            </w:r>
          </w:p>
        </w:tc>
        <w:tc>
          <w:tcPr>
            <w:tcW w:w="92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w w:val="86"/>
              </w:rPr>
              <w:t>per 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40" w:type="dxa"/>
            <w:vAlign w:val="bottom"/>
            <w:gridSpan w:val="10"/>
          </w:tcPr>
          <w:p>
            <w:pPr>
              <w:jc w:val="center"/>
              <w:ind w:right="9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8,087 Deferred Stock Units issued to the Reporting Person by Clearway Energy, Inc. under Clearway Energy, Inc.'s Amended and Restated 2013 Equity Incentive Plan.</w:t>
      </w:r>
    </w:p>
    <w:p>
      <w:pPr>
        <w:spacing w:after="0" w:line="64" w:lineRule="exact"/>
        <w:rPr>
          <w:rFonts w:ascii="Arial" w:cs="Arial" w:eastAsia="Arial" w:hAnsi="Arial"/>
          <w:sz w:val="12"/>
          <w:szCs w:val="12"/>
          <w:color w:val="008000"/>
        </w:rPr>
      </w:pPr>
    </w:p>
    <w:p>
      <w:pPr>
        <w:jc w:val="both"/>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Deferred Stock Unit is equivalent to one share of Clearway Energy, Inc.'s Class C Common Stock, par value $.01 per share. The reporting person will receive from Clearway Energy, Inc. one such share of Class C Common Stock for each Deferred Stock Unit he owns upon termination of his service on Clearway Energy, Inc.'s Board of Directors or change in ownership or effective control of Clearway Energy, Inc.</w:t>
      </w:r>
    </w:p>
    <w:p>
      <w:pPr>
        <w:spacing w:after="0" w:line="3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4,863 dividend equivalent rights that may only be settled in Class C Common Stock.</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Kevin P. Malcarney,</w:t>
            </w: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06/05/2023</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Attorney-in-Fact</w:t>
            </w:r>
          </w:p>
        </w:tc>
        <w:tc>
          <w:tcPr>
            <w:tcW w:w="440" w:type="dxa"/>
            <w:vAlign w:val="bottom"/>
            <w:vMerge w:val="restart"/>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2337"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2023-06-05T15:55:45Z</dcterms:created>
  <dcterms:modified xsi:type="dcterms:W3CDTF">2023-06-05T15:55:45Z</dcterms:modified>
</cp:coreProperties>
</file>