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817880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76" w:lineRule="exact"/>
        <w:rPr>
          <w:sz w:val="24"/>
          <w:szCs w:val="24"/>
          <w:color w:val="auto"/>
        </w:rPr>
      </w:pPr>
    </w:p>
    <w:p>
      <w:pPr>
        <w:ind w:left="500" w:right="3900" w:hanging="249"/>
        <w:spacing w:after="0" w:line="391" w:lineRule="auto"/>
        <w:tabs>
          <w:tab w:leader="none" w:pos="62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122" w:lineRule="exact"/>
        <w:rPr>
          <w:rFonts w:ascii="MS PGothic" w:cs="MS PGothic" w:eastAsia="MS PGothic" w:hAnsi="MS PGothic"/>
          <w:sz w:val="18"/>
          <w:szCs w:val="18"/>
          <w:color w:val="auto"/>
        </w:rPr>
      </w:pPr>
    </w:p>
    <w:p>
      <w:pPr>
        <w:ind w:left="4160" w:right="3840" w:hanging="3875"/>
        <w:spacing w:after="0" w:line="555" w:lineRule="auto"/>
        <w:tabs>
          <w:tab w:leader="none" w:pos="661"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333-203369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Clearway Energy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0" w:lineRule="exact"/>
        <w:rPr>
          <w:sz w:val="24"/>
          <w:szCs w:val="24"/>
          <w:color w:val="auto"/>
        </w:rPr>
      </w:pPr>
    </w:p>
    <w:p>
      <w:pPr>
        <w:jc w:val="center"/>
        <w:ind w:right="4040"/>
        <w:spacing w:after="0"/>
        <w:rPr>
          <w:sz w:val="20"/>
          <w:szCs w:val="20"/>
          <w:color w:val="auto"/>
        </w:rPr>
      </w:pPr>
      <w:r>
        <w:rPr>
          <w:rFonts w:ascii="Arial" w:cs="Arial" w:eastAsia="Arial" w:hAnsi="Arial"/>
          <w:sz w:val="18"/>
          <w:szCs w:val="18"/>
          <w:b w:val="1"/>
          <w:bCs w:val="1"/>
          <w:color w:val="auto"/>
        </w:rPr>
        <w:t>Delaware</w:t>
      </w:r>
    </w:p>
    <w:p>
      <w:pPr>
        <w:spacing w:after="0" w:line="11" w:lineRule="exact"/>
        <w:rPr>
          <w:sz w:val="24"/>
          <w:szCs w:val="24"/>
          <w:color w:val="auto"/>
        </w:rPr>
      </w:pPr>
    </w:p>
    <w:p>
      <w:pPr>
        <w:jc w:val="center"/>
        <w:ind w:right="4040"/>
        <w:spacing w:after="0"/>
        <w:rPr>
          <w:sz w:val="20"/>
          <w:szCs w:val="20"/>
          <w:color w:val="auto"/>
        </w:rPr>
      </w:pPr>
      <w:r>
        <w:rPr>
          <w:rFonts w:ascii="Arial" w:cs="Arial" w:eastAsia="Arial" w:hAnsi="Arial"/>
          <w:sz w:val="18"/>
          <w:szCs w:val="18"/>
          <w:color w:val="auto"/>
        </w:rPr>
        <w:t>(State or other jurisdiction</w:t>
      </w:r>
    </w:p>
    <w:p>
      <w:pPr>
        <w:jc w:val="center"/>
        <w:ind w:right="40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32-0407370</w:t>
      </w:r>
    </w:p>
    <w:p>
      <w:pPr>
        <w:spacing w:after="0" w:line="11" w:lineRule="exact"/>
        <w:rPr>
          <w:sz w:val="24"/>
          <w:szCs w:val="24"/>
          <w:color w:val="auto"/>
        </w:rPr>
      </w:pPr>
    </w:p>
    <w:p>
      <w:pPr>
        <w:jc w:val="center"/>
        <w:ind w:right="1420"/>
        <w:spacing w:after="0"/>
        <w:rPr>
          <w:sz w:val="20"/>
          <w:szCs w:val="20"/>
          <w:color w:val="auto"/>
        </w:rPr>
      </w:pPr>
      <w:r>
        <w:rPr>
          <w:rFonts w:ascii="Arial" w:cs="Arial" w:eastAsia="Arial" w:hAnsi="Arial"/>
          <w:sz w:val="18"/>
          <w:szCs w:val="18"/>
          <w:color w:val="auto"/>
        </w:rPr>
        <w:t>(I.R.S. Employer</w:t>
      </w:r>
    </w:p>
    <w:p>
      <w:pPr>
        <w:jc w:val="center"/>
        <w:ind w:right="1420"/>
        <w:spacing w:after="0"/>
        <w:rPr>
          <w:sz w:val="20"/>
          <w:szCs w:val="20"/>
          <w:color w:val="auto"/>
        </w:rPr>
      </w:pPr>
      <w:r>
        <w:rPr>
          <w:rFonts w:ascii="Arial" w:cs="Arial" w:eastAsia="Arial" w:hAnsi="Arial"/>
          <w:sz w:val="17"/>
          <w:szCs w:val="17"/>
          <w:color w:val="auto"/>
        </w:rPr>
        <w:t>Identification No.)</w:t>
      </w:r>
    </w:p>
    <w:p>
      <w:pPr>
        <w:spacing w:after="0" w:line="68" w:lineRule="exact"/>
        <w:rPr>
          <w:sz w:val="24"/>
          <w:szCs w:val="24"/>
          <w:color w:val="auto"/>
        </w:rPr>
      </w:pPr>
    </w:p>
    <w:p>
      <w:pPr>
        <w:sectPr>
          <w:pgSz w:w="11900" w:h="16838" w:orient="portrait"/>
          <w:cols w:equalWidth="0" w:num="2">
            <w:col w:w="7760" w:space="720"/>
            <w:col w:w="2760"/>
          </w:cols>
          <w:pgMar w:left="320" w:top="1440" w:right="339" w:bottom="1440" w:gutter="0" w:footer="0" w:header="0"/>
          <w:type w:val="continuous"/>
        </w:sectPr>
      </w:pPr>
    </w:p>
    <w:p>
      <w:pPr>
        <w:ind w:left="2160" w:right="100" w:hanging="1477"/>
        <w:spacing w:after="0" w:line="297" w:lineRule="auto"/>
        <w:rPr>
          <w:sz w:val="20"/>
          <w:szCs w:val="20"/>
          <w:color w:val="auto"/>
        </w:rPr>
      </w:pPr>
      <w:r>
        <w:rPr>
          <w:rFonts w:ascii="Arial" w:cs="Arial" w:eastAsia="Arial" w:hAnsi="Arial"/>
          <w:sz w:val="18"/>
          <w:szCs w:val="18"/>
          <w:b w:val="1"/>
          <w:bCs w:val="1"/>
          <w:color w:val="auto"/>
        </w:rPr>
        <w:t>300 Carnegie Center, Suite 300</w:t>
      </w:r>
      <w:r>
        <w:rPr>
          <w:sz w:val="20"/>
          <w:szCs w:val="20"/>
          <w:color w:val="auto"/>
        </w:rPr>
        <w:t xml:space="preserve"> </w:t>
      </w:r>
      <w:r>
        <w:rPr>
          <w:rFonts w:ascii="Arial" w:cs="Arial" w:eastAsia="Arial" w:hAnsi="Arial"/>
          <w:sz w:val="18"/>
          <w:szCs w:val="18"/>
          <w:b w:val="1"/>
          <w:bCs w:val="1"/>
          <w:color w:val="auto"/>
        </w:rPr>
        <w:t xml:space="preserve">Princeton </w:t>
      </w: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8"/>
          <w:szCs w:val="18"/>
          <w:b w:val="1"/>
          <w:bCs w:val="1"/>
          <w:color w:val="auto"/>
        </w:rPr>
        <w:t>08540</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(Zip Code)</w:t>
      </w:r>
    </w:p>
    <w:p>
      <w:pPr>
        <w:spacing w:after="0" w:line="242" w:lineRule="exact"/>
        <w:rPr>
          <w:sz w:val="24"/>
          <w:szCs w:val="24"/>
          <w:color w:val="auto"/>
        </w:rPr>
      </w:pPr>
    </w:p>
    <w:p>
      <w:pPr>
        <w:sectPr>
          <w:pgSz w:w="11900" w:h="16838" w:orient="portrait"/>
          <w:cols w:equalWidth="0" w:num="3">
            <w:col w:w="5120" w:space="720"/>
            <w:col w:w="2180" w:space="720"/>
            <w:col w:w="2500"/>
          </w:cols>
          <w:pgMar w:left="320" w:top="1440"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122" w:lineRule="exact"/>
        <w:rPr>
          <w:sz w:val="24"/>
          <w:szCs w:val="24"/>
          <w:color w:val="auto"/>
        </w:rPr>
      </w:pPr>
    </w:p>
    <w:p>
      <w:pPr>
        <w:jc w:val="both"/>
        <w:ind w:firstLine="283"/>
        <w:spacing w:after="0" w:line="29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o</w:t>
      </w:r>
    </w:p>
    <w:p>
      <w:pPr>
        <w:spacing w:after="0" w:line="101" w:lineRule="exact"/>
        <w:rPr>
          <w:sz w:val="24"/>
          <w:szCs w:val="24"/>
          <w:color w:val="auto"/>
        </w:rPr>
      </w:pPr>
    </w:p>
    <w:p>
      <w:pPr>
        <w:jc w:val="both"/>
        <w:ind w:firstLine="283"/>
        <w:spacing w:after="0" w:line="310"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x </w:t>
      </w:r>
      <w:r>
        <w:rPr>
          <w:rFonts w:ascii="Arial" w:cs="Arial" w:eastAsia="Arial" w:hAnsi="Arial"/>
          <w:sz w:val="15"/>
          <w:szCs w:val="15"/>
          <w:b w:val="1"/>
          <w:bCs w:val="1"/>
          <w:color w:val="auto"/>
        </w:rPr>
        <w:t>No</w:t>
      </w:r>
      <w:r>
        <w:rPr>
          <w:rFonts w:ascii="Arial" w:cs="Arial" w:eastAsia="Arial" w:hAnsi="Arial"/>
          <w:sz w:val="15"/>
          <w:szCs w:val="15"/>
          <w:color w:val="auto"/>
        </w:rPr>
        <w:t xml:space="preserve"> o</w:t>
      </w:r>
    </w:p>
    <w:p>
      <w:pPr>
        <w:spacing w:after="0" w:line="40" w:lineRule="exact"/>
        <w:rPr>
          <w:sz w:val="24"/>
          <w:szCs w:val="24"/>
          <w:color w:val="auto"/>
        </w:rPr>
      </w:pPr>
    </w:p>
    <w:p>
      <w:pPr>
        <w:jc w:val="both"/>
        <w:ind w:firstLine="283"/>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200" w:type="dxa"/>
        <w:tblCellMar>
          <w:top w:w="0" w:type="dxa"/>
          <w:left w:w="0" w:type="dxa"/>
          <w:bottom w:w="0" w:type="dxa"/>
          <w:right w:w="0" w:type="dxa"/>
        </w:tblCellMar>
      </w:tblP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202"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6" w:lineRule="exact"/>
        <w:rPr>
          <w:sz w:val="24"/>
          <w:szCs w:val="24"/>
          <w:color w:val="auto"/>
        </w:rPr>
      </w:pPr>
    </w:p>
    <w:p>
      <w:pPr>
        <w:ind w:left="5100"/>
        <w:spacing w:after="0" w:line="196" w:lineRule="exact"/>
        <w:tabs>
          <w:tab w:leader="none" w:pos="580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66" w:lineRule="exact"/>
        <w:rPr>
          <w:sz w:val="24"/>
          <w:szCs w:val="24"/>
          <w:color w:val="auto"/>
        </w:rPr>
      </w:pPr>
    </w:p>
    <w:p>
      <w:pPr>
        <w:ind w:firstLine="283"/>
        <w:spacing w:after="0" w:line="275" w:lineRule="auto"/>
        <w:rPr>
          <w:sz w:val="20"/>
          <w:szCs w:val="20"/>
          <w:color w:val="auto"/>
        </w:rPr>
      </w:pPr>
      <w:r>
        <w:rPr>
          <w:rFonts w:ascii="Arial" w:cs="Arial" w:eastAsia="Arial" w:hAnsi="Arial"/>
          <w:sz w:val="16"/>
          <w:szCs w:val="16"/>
          <w:color w:val="auto"/>
        </w:rPr>
        <w:t>As of October 31, 2020, there were 34,599,645 Class A units outstanding, 42,738,750 Class B units outstanding, 81,558,845 Class C units outstanding, and 42,738,750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21590</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-3810</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3080" w:type="dxa"/>
            <w:vAlign w:val="bottom"/>
            <w:gridSpan w:val="4"/>
          </w:tcPr>
          <w:p>
            <w:pPr>
              <w:spacing w:after="0"/>
              <w:rPr>
                <w:sz w:val="17"/>
                <w:szCs w:val="17"/>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09"/>
        </w:trPr>
        <w:tc>
          <w:tcPr>
            <w:tcW w:w="9900" w:type="dxa"/>
            <w:vAlign w:val="bottom"/>
            <w:gridSpan w:val="20"/>
          </w:tcPr>
          <w:p>
            <w:pPr>
              <w:spacing w:after="0"/>
              <w:rPr>
                <w:sz w:val="20"/>
                <w:szCs w:val="20"/>
                <w:color w:val="auto"/>
              </w:rPr>
            </w:pPr>
            <w:r>
              <w:rPr>
                <w:rFonts w:ascii="Arial" w:cs="Arial" w:eastAsia="Arial" w:hAnsi="Arial"/>
                <w:sz w:val="18"/>
                <w:szCs w:val="18"/>
                <w:b w:val="1"/>
                <w:bCs w:val="1"/>
                <w:color w:val="0000FF"/>
              </w:rPr>
              <w:t>GLOSSARY OF TERMS</w:t>
            </w:r>
          </w:p>
        </w:tc>
        <w:tc>
          <w:tcPr>
            <w:tcW w:w="12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rPr>
              <w:t>PART I — FINANCIAL INFORMATION</w:t>
            </w:r>
          </w:p>
        </w:tc>
        <w:tc>
          <w:tcPr>
            <w:tcW w:w="6640" w:type="dxa"/>
            <w:vAlign w:val="bottom"/>
            <w:gridSpan w:val="8"/>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1 — FINANCIAL STATEMENTS AND NOTES</w:t>
            </w:r>
          </w:p>
        </w:tc>
        <w:tc>
          <w:tcPr>
            <w:tcW w:w="12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2 — MANAGEMENT’S DISCUSSION AND ANALYSIS OF FINANCIAL CONDITION AND RESULTS OF</w:t>
            </w:r>
          </w:p>
        </w:tc>
        <w:tc>
          <w:tcPr>
            <w:tcW w:w="1280" w:type="dxa"/>
            <w:vAlign w:val="bottom"/>
            <w:vMerge w:val="restart"/>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53</w:t>
              </w:r>
            </w:hyperlink>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56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rPr>
              <w:t>OPERATIONS</w:t>
            </w:r>
          </w:p>
        </w:tc>
        <w:tc>
          <w:tcPr>
            <w:tcW w:w="10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0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8"/>
              </w:rPr>
              <w:t>ITEM 3 — QUANTITATIVE AND QUALITATIVE DISCLOSURES ABOUT MARKET RISK</w:t>
            </w:r>
          </w:p>
        </w:tc>
        <w:tc>
          <w:tcPr>
            <w:tcW w:w="2700" w:type="dxa"/>
            <w:vAlign w:val="bottom"/>
            <w:gridSpan w:val="2"/>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34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5"/>
              </w:rPr>
              <w:t>ITEM 4 — CONTROLS AND PROCEDURES</w:t>
            </w:r>
          </w:p>
        </w:tc>
        <w:tc>
          <w:tcPr>
            <w:tcW w:w="6240" w:type="dxa"/>
            <w:vAlign w:val="bottom"/>
            <w:gridSpan w:val="6"/>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09"/>
        </w:trPr>
        <w:tc>
          <w:tcPr>
            <w:tcW w:w="29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rPr>
              <w:t>PART II — OTHER INFORMATION</w:t>
            </w:r>
          </w:p>
        </w:tc>
        <w:tc>
          <w:tcPr>
            <w:tcW w:w="6940" w:type="dxa"/>
            <w:vAlign w:val="bottom"/>
            <w:gridSpan w:val="9"/>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78</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1 — LEGAL PROCEEDINGS</w:t>
            </w:r>
          </w:p>
        </w:tc>
        <w:tc>
          <w:tcPr>
            <w:tcW w:w="128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78</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6"/>
              </w:rPr>
              <w:t>ITEM 1A — RISK FACTORS</w:t>
            </w:r>
          </w:p>
        </w:tc>
        <w:tc>
          <w:tcPr>
            <w:tcW w:w="480" w:type="dxa"/>
            <w:vAlign w:val="bottom"/>
            <w:tcBorders>
              <w:top w:val="single" w:sz="8" w:color="0000FF"/>
            </w:tcBorders>
          </w:tcPr>
          <w:p>
            <w:pPr>
              <w:spacing w:after="0"/>
              <w:rPr>
                <w:sz w:val="18"/>
                <w:szCs w:val="18"/>
                <w:color w:val="auto"/>
              </w:rPr>
            </w:pPr>
          </w:p>
        </w:tc>
        <w:tc>
          <w:tcPr>
            <w:tcW w:w="6980" w:type="dxa"/>
            <w:vAlign w:val="bottom"/>
            <w:gridSpan w:val="11"/>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78</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2 — UNREGISTERED SALES OF EQUITY SECURITIES AND USE OF PROCEEDS</w:t>
            </w:r>
          </w:p>
        </w:tc>
        <w:tc>
          <w:tcPr>
            <w:tcW w:w="128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78</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ITEM 3</w:t>
            </w:r>
          </w:p>
        </w:tc>
        <w:tc>
          <w:tcPr>
            <w:tcW w:w="3460" w:type="dxa"/>
            <w:vAlign w:val="bottom"/>
            <w:tcBorders>
              <w:top w:val="single" w:sz="8" w:color="0000FF"/>
              <w:bottom w:val="single" w:sz="8" w:color="0000FF"/>
            </w:tcBorders>
            <w:gridSpan w:val="13"/>
          </w:tcPr>
          <w:p>
            <w:pPr>
              <w:ind w:left="20"/>
              <w:spacing w:after="0"/>
              <w:rPr>
                <w:sz w:val="20"/>
                <w:szCs w:val="20"/>
                <w:color w:val="auto"/>
              </w:rPr>
            </w:pPr>
            <w:r>
              <w:rPr>
                <w:rFonts w:ascii="Arial" w:cs="Arial" w:eastAsia="Arial" w:hAnsi="Arial"/>
                <w:sz w:val="18"/>
                <w:szCs w:val="18"/>
                <w:color w:val="0000FF"/>
                <w:w w:val="94"/>
              </w:rPr>
              <w:t>— DEFAULTS UPON SENIOR SECURITIES</w:t>
            </w:r>
          </w:p>
        </w:tc>
        <w:tc>
          <w:tcPr>
            <w:tcW w:w="2860" w:type="dxa"/>
            <w:vAlign w:val="bottom"/>
            <w:tcBorders>
              <w:top w:val="single" w:sz="8" w:color="0000FF"/>
            </w:tcBorders>
            <w:gridSpan w:val="2"/>
          </w:tcPr>
          <w:p>
            <w:pPr>
              <w:spacing w:after="0"/>
              <w:rPr>
                <w:sz w:val="18"/>
                <w:szCs w:val="18"/>
                <w:color w:val="auto"/>
              </w:rPr>
            </w:pPr>
          </w:p>
        </w:tc>
        <w:tc>
          <w:tcPr>
            <w:tcW w:w="2780" w:type="dxa"/>
            <w:vAlign w:val="bottom"/>
            <w:gridSpan w:val="3"/>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78</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4</w:t>
            </w:r>
          </w:p>
        </w:tc>
        <w:tc>
          <w:tcPr>
            <w:tcW w:w="2700" w:type="dxa"/>
            <w:vAlign w:val="bottom"/>
            <w:tcBorders>
              <w:bottom w:val="single" w:sz="8" w:color="0000FF"/>
            </w:tcBorders>
            <w:gridSpan w:val="11"/>
          </w:tcPr>
          <w:p>
            <w:pPr>
              <w:ind w:left="20"/>
              <w:spacing w:after="0"/>
              <w:rPr>
                <w:sz w:val="20"/>
                <w:szCs w:val="20"/>
                <w:color w:val="auto"/>
              </w:rPr>
            </w:pPr>
            <w:r>
              <w:rPr>
                <w:rFonts w:ascii="Arial" w:cs="Arial" w:eastAsia="Arial" w:hAnsi="Arial"/>
                <w:sz w:val="18"/>
                <w:szCs w:val="18"/>
                <w:color w:val="0000FF"/>
                <w:w w:val="95"/>
              </w:rPr>
              <w:t>— MINE SAFETY DISCLOSURES</w:t>
            </w:r>
          </w:p>
        </w:tc>
        <w:tc>
          <w:tcPr>
            <w:tcW w:w="6400" w:type="dxa"/>
            <w:vAlign w:val="bottom"/>
            <w:gridSpan w:val="7"/>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78</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5</w:t>
            </w:r>
          </w:p>
        </w:tc>
        <w:tc>
          <w:tcPr>
            <w:tcW w:w="2140" w:type="dxa"/>
            <w:vAlign w:val="bottom"/>
            <w:tcBorders>
              <w:bottom w:val="single" w:sz="8" w:color="0000FF"/>
            </w:tcBorders>
            <w:gridSpan w:val="8"/>
          </w:tcPr>
          <w:p>
            <w:pPr>
              <w:ind w:left="20"/>
              <w:spacing w:after="0"/>
              <w:rPr>
                <w:sz w:val="20"/>
                <w:szCs w:val="20"/>
                <w:color w:val="auto"/>
              </w:rPr>
            </w:pPr>
            <w:r>
              <w:rPr>
                <w:rFonts w:ascii="Arial" w:cs="Arial" w:eastAsia="Arial" w:hAnsi="Arial"/>
                <w:sz w:val="18"/>
                <w:szCs w:val="18"/>
                <w:color w:val="0000FF"/>
                <w:w w:val="96"/>
              </w:rPr>
              <w:t>— OTHER INFORMATION</w:t>
            </w:r>
          </w:p>
        </w:tc>
        <w:tc>
          <w:tcPr>
            <w:tcW w:w="6960" w:type="dxa"/>
            <w:vAlign w:val="bottom"/>
            <w:gridSpan w:val="10"/>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78</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6</w:t>
            </w:r>
          </w:p>
        </w:tc>
        <w:tc>
          <w:tcPr>
            <w:tcW w:w="108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98"/>
              </w:rPr>
              <w:t>— EXHIBITS</w:t>
            </w:r>
          </w:p>
        </w:tc>
        <w:tc>
          <w:tcPr>
            <w:tcW w:w="8020" w:type="dxa"/>
            <w:vAlign w:val="bottom"/>
            <w:gridSpan w:val="15"/>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79</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b w:val="1"/>
                <w:bCs w:val="1"/>
                <w:color w:val="0000FF"/>
              </w:rPr>
              <w:t>SIGNATURES</w:t>
            </w:r>
          </w:p>
        </w:tc>
        <w:tc>
          <w:tcPr>
            <w:tcW w:w="128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80</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215"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II of the Company's Quarterly Report on Form 10-Q for the fiscal quarter ended March 31, 2020 and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of the Company's Annual Report on Form 10-K for the year ended December 31, 2019, as well as the following:</w:t>
      </w:r>
    </w:p>
    <w:p>
      <w:pPr>
        <w:spacing w:after="0" w:line="11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Potential risks related to the Company's relationships with GIP and CEG, including the Company's ability to acquire assets from GIP or CEG;</w:t>
      </w:r>
    </w:p>
    <w:p>
      <w:pPr>
        <w:spacing w:after="0" w:line="6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COVID-19 or any other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8500" w:type="dxa"/>
            <w:vAlign w:val="bottom"/>
          </w:tcPr>
          <w:p>
            <w:pPr>
              <w:ind w:left="190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240" w:type="dxa"/>
            <w:vAlign w:val="bottom"/>
            <w:gridSpan w:val="2"/>
          </w:tcPr>
          <w:p>
            <w:pPr>
              <w:ind w:left="30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2019 Form 10-K</w:t>
            </w:r>
          </w:p>
        </w:tc>
        <w:tc>
          <w:tcPr>
            <w:tcW w:w="8500" w:type="dxa"/>
            <w:vAlign w:val="bottom"/>
            <w:vMerge w:val="restart"/>
          </w:tcPr>
          <w:p>
            <w:pPr>
              <w:ind w:left="260"/>
              <w:spacing w:after="0"/>
              <w:rPr>
                <w:sz w:val="20"/>
                <w:szCs w:val="20"/>
                <w:color w:val="auto"/>
              </w:rPr>
            </w:pPr>
            <w:r>
              <w:rPr>
                <w:rFonts w:ascii="Arial" w:cs="Arial" w:eastAsia="Arial" w:hAnsi="Arial"/>
                <w:sz w:val="18"/>
                <w:szCs w:val="18"/>
                <w:color w:val="auto"/>
              </w:rPr>
              <w:t>Clearway Energy LLC's Annual Report on Form 10-K for the year ended December 31, 2019</w:t>
            </w: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8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2020 Convertible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3"/>
              </w:rPr>
              <w:t>$45 million aggregate principal amount of 3.25% convertible notes due 2020, issued by Clearway Energy, Inc.,</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which were repaid on June 1, 2020</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2024 Senior Notes</w:t>
            </w:r>
          </w:p>
        </w:tc>
        <w:tc>
          <w:tcPr>
            <w:tcW w:w="8500" w:type="dxa"/>
            <w:vAlign w:val="bottom"/>
          </w:tcPr>
          <w:p>
            <w:pPr>
              <w:ind w:left="260"/>
              <w:spacing w:after="0" w:line="176" w:lineRule="exact"/>
              <w:rPr>
                <w:sz w:val="20"/>
                <w:szCs w:val="20"/>
                <w:color w:val="auto"/>
              </w:rPr>
            </w:pPr>
            <w:r>
              <w:rPr>
                <w:rFonts w:ascii="Arial" w:cs="Arial" w:eastAsia="Arial" w:hAnsi="Arial"/>
                <w:sz w:val="18"/>
                <w:szCs w:val="18"/>
                <w:color w:val="auto"/>
                <w:w w:val="90"/>
              </w:rPr>
              <w:t>$500 million aggregate principal amount of 5.375% unsecured senior notes due 2024, issued by Clearway Energy</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 which were repaid on January 3,2020</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2025 Senior Notes</w:t>
            </w:r>
          </w:p>
        </w:tc>
        <w:tc>
          <w:tcPr>
            <w:tcW w:w="8500" w:type="dxa"/>
            <w:vAlign w:val="bottom"/>
          </w:tcPr>
          <w:p>
            <w:pPr>
              <w:ind w:left="260"/>
              <w:spacing w:after="0" w:line="176" w:lineRule="exact"/>
              <w:rPr>
                <w:sz w:val="20"/>
                <w:szCs w:val="20"/>
                <w:color w:val="auto"/>
              </w:rPr>
            </w:pPr>
            <w:r>
              <w:rPr>
                <w:rFonts w:ascii="Arial" w:cs="Arial" w:eastAsia="Arial" w:hAnsi="Arial"/>
                <w:sz w:val="18"/>
                <w:szCs w:val="18"/>
                <w:color w:val="auto"/>
                <w:w w:val="90"/>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2026 Senior Notes</w:t>
            </w:r>
          </w:p>
        </w:tc>
        <w:tc>
          <w:tcPr>
            <w:tcW w:w="8500" w:type="dxa"/>
            <w:vAlign w:val="bottom"/>
          </w:tcPr>
          <w:p>
            <w:pPr>
              <w:ind w:left="260"/>
              <w:spacing w:after="0" w:line="176" w:lineRule="exact"/>
              <w:rPr>
                <w:sz w:val="20"/>
                <w:szCs w:val="20"/>
                <w:color w:val="auto"/>
              </w:rPr>
            </w:pPr>
            <w:r>
              <w:rPr>
                <w:rFonts w:ascii="Arial" w:cs="Arial" w:eastAsia="Arial" w:hAnsi="Arial"/>
                <w:sz w:val="18"/>
                <w:szCs w:val="18"/>
                <w:color w:val="auto"/>
                <w:w w:val="91"/>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2028 Senior Notes</w:t>
            </w:r>
          </w:p>
        </w:tc>
        <w:tc>
          <w:tcPr>
            <w:tcW w:w="8500" w:type="dxa"/>
            <w:vAlign w:val="bottom"/>
          </w:tcPr>
          <w:p>
            <w:pPr>
              <w:ind w:left="260"/>
              <w:spacing w:after="0" w:line="176" w:lineRule="exact"/>
              <w:rPr>
                <w:sz w:val="20"/>
                <w:szCs w:val="20"/>
                <w:color w:val="auto"/>
              </w:rPr>
            </w:pPr>
            <w:r>
              <w:rPr>
                <w:rFonts w:ascii="Arial" w:cs="Arial" w:eastAsia="Arial" w:hAnsi="Arial"/>
                <w:sz w:val="18"/>
                <w:szCs w:val="18"/>
                <w:color w:val="auto"/>
                <w:w w:val="90"/>
              </w:rPr>
              <w:t>$850 million aggregate principal amount of 4.750% unsecured senior notes due 2028, issued by Clearway Energy</w:t>
            </w:r>
          </w:p>
        </w:tc>
        <w:tc>
          <w:tcPr>
            <w:tcW w:w="0" w:type="dxa"/>
            <w:vAlign w:val="bottom"/>
          </w:tcPr>
          <w:p>
            <w:pPr>
              <w:spacing w:after="0"/>
              <w:rPr>
                <w:sz w:val="1"/>
                <w:szCs w:val="1"/>
                <w:color w:val="auto"/>
              </w:rPr>
            </w:pPr>
          </w:p>
        </w:tc>
      </w:tr>
      <w:tr>
        <w:trPr>
          <w:trHeight w:val="230"/>
        </w:trPr>
        <w:tc>
          <w:tcPr>
            <w:tcW w:w="2740" w:type="dxa"/>
            <w:vAlign w:val="bottom"/>
            <w:vMerge w:val="restart"/>
          </w:tcPr>
          <w:p>
            <w:pPr>
              <w:ind w:left="20"/>
              <w:spacing w:after="0"/>
              <w:rPr>
                <w:sz w:val="20"/>
                <w:szCs w:val="20"/>
                <w:color w:val="auto"/>
              </w:rPr>
            </w:pPr>
            <w:r>
              <w:rPr>
                <w:rFonts w:ascii="Arial" w:cs="Arial" w:eastAsia="Arial" w:hAnsi="Arial"/>
                <w:sz w:val="18"/>
                <w:szCs w:val="18"/>
                <w:color w:val="auto"/>
              </w:rPr>
              <w:t>Adjusted EBITDA</w:t>
            </w: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14"/>
        </w:trPr>
        <w:tc>
          <w:tcPr>
            <w:tcW w:w="2740" w:type="dxa"/>
            <w:vAlign w:val="bottom"/>
            <w:vMerge w:val="continue"/>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A non-GAAP measure, represents earnings before interest, tax, depreciation and amortization adjusted for mark-</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3"/>
              </w:rPr>
              <w:t>to-market gains or losses, asset write offs and impairments; and factors which the Company does not consider</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indicative of future operating performance</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AOCI</w:t>
            </w:r>
          </w:p>
        </w:tc>
        <w:tc>
          <w:tcPr>
            <w:tcW w:w="85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0" w:type="dxa"/>
            <w:vAlign w:val="bottom"/>
          </w:tcPr>
          <w:p>
            <w:pPr>
              <w:spacing w:after="0"/>
              <w:rPr>
                <w:sz w:val="1"/>
                <w:szCs w:val="1"/>
                <w:color w:val="auto"/>
              </w:rPr>
            </w:pPr>
          </w:p>
        </w:tc>
      </w:tr>
      <w:tr>
        <w:trPr>
          <w:trHeight w:val="351"/>
        </w:trPr>
        <w:tc>
          <w:tcPr>
            <w:tcW w:w="2740" w:type="dxa"/>
            <w:vAlign w:val="bottom"/>
          </w:tcPr>
          <w:p>
            <w:pPr>
              <w:ind w:left="20"/>
              <w:spacing w:after="0"/>
              <w:rPr>
                <w:sz w:val="20"/>
                <w:szCs w:val="20"/>
                <w:color w:val="auto"/>
              </w:rPr>
            </w:pPr>
            <w:r>
              <w:rPr>
                <w:rFonts w:ascii="Arial" w:cs="Arial" w:eastAsia="Arial" w:hAnsi="Arial"/>
                <w:sz w:val="18"/>
                <w:szCs w:val="18"/>
                <w:color w:val="auto"/>
              </w:rPr>
              <w:t>ASC</w:t>
            </w:r>
          </w:p>
        </w:tc>
        <w:tc>
          <w:tcPr>
            <w:tcW w:w="8500" w:type="dxa"/>
            <w:vAlign w:val="bottom"/>
          </w:tcPr>
          <w:p>
            <w:pPr>
              <w:ind w:left="26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ASU</w:t>
            </w:r>
          </w:p>
        </w:tc>
        <w:tc>
          <w:tcPr>
            <w:tcW w:w="8500" w:type="dxa"/>
            <w:vAlign w:val="bottom"/>
          </w:tcPr>
          <w:p>
            <w:pPr>
              <w:ind w:left="26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ATM Program</w:t>
            </w:r>
          </w:p>
        </w:tc>
        <w:tc>
          <w:tcPr>
            <w:tcW w:w="8500" w:type="dxa"/>
            <w:vAlign w:val="bottom"/>
          </w:tcPr>
          <w:p>
            <w:pPr>
              <w:ind w:left="26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Bankruptcy Code</w:t>
            </w:r>
          </w:p>
        </w:tc>
        <w:tc>
          <w:tcPr>
            <w:tcW w:w="8500" w:type="dxa"/>
            <w:vAlign w:val="bottom"/>
          </w:tcPr>
          <w:p>
            <w:pPr>
              <w:ind w:left="260"/>
              <w:spacing w:after="0"/>
              <w:rPr>
                <w:sz w:val="20"/>
                <w:szCs w:val="20"/>
                <w:color w:val="auto"/>
              </w:rPr>
            </w:pPr>
            <w:r>
              <w:rPr>
                <w:rFonts w:ascii="Arial" w:cs="Arial" w:eastAsia="Arial" w:hAnsi="Arial"/>
                <w:sz w:val="18"/>
                <w:szCs w:val="18"/>
                <w:color w:val="auto"/>
              </w:rPr>
              <w:t>Title 11 of the U.S. Code</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Bankruptcy Court</w:t>
            </w:r>
          </w:p>
        </w:tc>
        <w:tc>
          <w:tcPr>
            <w:tcW w:w="8500" w:type="dxa"/>
            <w:vAlign w:val="bottom"/>
          </w:tcPr>
          <w:p>
            <w:pPr>
              <w:ind w:left="260"/>
              <w:spacing w:after="0"/>
              <w:rPr>
                <w:sz w:val="20"/>
                <w:szCs w:val="20"/>
                <w:color w:val="auto"/>
              </w:rPr>
            </w:pPr>
            <w:r>
              <w:rPr>
                <w:rFonts w:ascii="Arial" w:cs="Arial" w:eastAsia="Arial" w:hAnsi="Arial"/>
                <w:sz w:val="18"/>
                <w:szCs w:val="18"/>
                <w:color w:val="auto"/>
              </w:rPr>
              <w:t>U.S. Bankruptcy Court for the Northern District of California</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8"/>
                <w:szCs w:val="18"/>
                <w:color w:val="auto"/>
              </w:rPr>
              <w:t>CAFD</w:t>
            </w:r>
          </w:p>
        </w:tc>
        <w:tc>
          <w:tcPr>
            <w:tcW w:w="8500" w:type="dxa"/>
            <w:vAlign w:val="bottom"/>
          </w:tcPr>
          <w:p>
            <w:pPr>
              <w:ind w:left="260"/>
              <w:spacing w:after="0"/>
              <w:rPr>
                <w:sz w:val="20"/>
                <w:szCs w:val="20"/>
                <w:color w:val="auto"/>
              </w:rPr>
            </w:pPr>
            <w:r>
              <w:rPr>
                <w:rFonts w:ascii="Arial" w:cs="Arial" w:eastAsia="Arial" w:hAnsi="Arial"/>
                <w:sz w:val="18"/>
                <w:szCs w:val="18"/>
                <w:color w:val="auto"/>
                <w:w w:val="99"/>
              </w:rPr>
              <w:t>A non-GAAP measure, Cash Available for Distribution is defined as of September 30, 2020 as Adjusted</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2"/>
              </w:rPr>
              <w:t>EBITDA plus cash distributions/return of investment from unconsolidated affiliates, adjustments to reflect CAFD</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7"/>
              </w:rPr>
              <w:t>generated by unconsolidated investments that were not able to distribute project dividends prior to PG&amp;E's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2"/>
              </w:rPr>
              <w:t>emergence from bankruptcy on July 1, 2020 and subsequent release post-bankruptcy, cash receipts from notes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0"/>
              </w:rPr>
              <w:t>receivable, cash distributions from noncontrolling interests, adjustments to reflect sales-type lease cash payments,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3"/>
              </w:rPr>
              <w:t>less cash distributions to noncontrolling interests, maintenance capital expenditures, pro-rata Adjusted EBITDA</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5"/>
              </w:rPr>
              <w:t>from unconsolidated affiliates, cash interest paid, income taxes paid, principal amortization of indebtedness,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7"/>
              </w:rPr>
              <w:t>Walnut Creek investment payments, changes in prepaid and accrued capacity payments, and adjusted for</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development expenses.</w:t>
            </w:r>
          </w:p>
        </w:tc>
        <w:tc>
          <w:tcPr>
            <w:tcW w:w="0" w:type="dxa"/>
            <w:vAlign w:val="bottom"/>
          </w:tcPr>
          <w:p>
            <w:pPr>
              <w:spacing w:after="0"/>
              <w:rPr>
                <w:sz w:val="1"/>
                <w:szCs w:val="1"/>
                <w:color w:val="auto"/>
              </w:rPr>
            </w:pPr>
          </w:p>
        </w:tc>
      </w:tr>
      <w:tr>
        <w:trPr>
          <w:trHeight w:val="242"/>
        </w:trPr>
        <w:tc>
          <w:tcPr>
            <w:tcW w:w="2740" w:type="dxa"/>
            <w:vAlign w:val="bottom"/>
          </w:tcPr>
          <w:p>
            <w:pPr>
              <w:ind w:left="20"/>
              <w:spacing w:after="0"/>
              <w:rPr>
                <w:sz w:val="20"/>
                <w:szCs w:val="20"/>
                <w:color w:val="auto"/>
              </w:rPr>
            </w:pPr>
            <w:r>
              <w:rPr>
                <w:rFonts w:ascii="Arial" w:cs="Arial" w:eastAsia="Arial" w:hAnsi="Arial"/>
                <w:sz w:val="18"/>
                <w:szCs w:val="18"/>
                <w:color w:val="auto"/>
              </w:rPr>
              <w:t>CEG</w:t>
            </w:r>
          </w:p>
        </w:tc>
        <w:tc>
          <w:tcPr>
            <w:tcW w:w="8500" w:type="dxa"/>
            <w:vAlign w:val="bottom"/>
          </w:tcPr>
          <w:p>
            <w:pPr>
              <w:ind w:left="26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w w:val="98"/>
              </w:rPr>
              <w:t>CEG Master Services Agreements</w:t>
            </w:r>
          </w:p>
        </w:tc>
        <w:tc>
          <w:tcPr>
            <w:tcW w:w="8500" w:type="dxa"/>
            <w:vAlign w:val="bottom"/>
          </w:tcPr>
          <w:p>
            <w:pPr>
              <w:ind w:left="260"/>
              <w:spacing w:after="0" w:line="176" w:lineRule="exact"/>
              <w:rPr>
                <w:sz w:val="20"/>
                <w:szCs w:val="20"/>
                <w:color w:val="auto"/>
              </w:rPr>
            </w:pPr>
            <w:r>
              <w:rPr>
                <w:rFonts w:ascii="Arial" w:cs="Arial" w:eastAsia="Arial" w:hAnsi="Arial"/>
                <w:sz w:val="18"/>
                <w:szCs w:val="18"/>
                <w:color w:val="auto"/>
                <w:w w:val="93"/>
              </w:rPr>
              <w:t>Master Services Agreements entered into as of August 31, 2018 between the Company, Clearway Energy LLC</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and Clearway Energy Operating LLC, and CEG</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CEG ROFO Agreement</w:t>
            </w:r>
          </w:p>
        </w:tc>
        <w:tc>
          <w:tcPr>
            <w:tcW w:w="8500" w:type="dxa"/>
            <w:vAlign w:val="bottom"/>
          </w:tcPr>
          <w:p>
            <w:pPr>
              <w:ind w:left="260"/>
              <w:spacing w:after="0" w:line="176" w:lineRule="exact"/>
              <w:rPr>
                <w:sz w:val="20"/>
                <w:szCs w:val="20"/>
                <w:color w:val="auto"/>
              </w:rPr>
            </w:pPr>
            <w:r>
              <w:rPr>
                <w:rFonts w:ascii="Arial" w:cs="Arial" w:eastAsia="Arial" w:hAnsi="Arial"/>
                <w:sz w:val="18"/>
                <w:szCs w:val="18"/>
                <w:color w:val="auto"/>
                <w:w w:val="95"/>
              </w:rPr>
              <w:t>Right of First Offer Agreement, entered into as of August 31, 2018, by and between Clearway Energy Group</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8500" w:type="dxa"/>
            <w:vAlign w:val="bottom"/>
          </w:tcPr>
          <w:p>
            <w:pPr>
              <w:ind w:left="260"/>
              <w:spacing w:after="0" w:line="176" w:lineRule="exact"/>
              <w:rPr>
                <w:sz w:val="20"/>
                <w:szCs w:val="20"/>
                <w:color w:val="auto"/>
              </w:rPr>
            </w:pPr>
            <w:r>
              <w:rPr>
                <w:rFonts w:ascii="Arial" w:cs="Arial" w:eastAsia="Arial" w:hAnsi="Arial"/>
                <w:sz w:val="18"/>
                <w:szCs w:val="18"/>
                <w:color w:val="auto"/>
                <w:w w:val="96"/>
              </w:rPr>
              <w:t>LLC and Clearway Energy, Inc., and solely for purposes of Section 2.4, GIP III Zephyr Acquisition Partners,</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8500" w:type="dxa"/>
            <w:vAlign w:val="bottom"/>
          </w:tcPr>
          <w:p>
            <w:pPr>
              <w:ind w:left="260"/>
              <w:spacing w:after="0" w:line="176" w:lineRule="exact"/>
              <w:rPr>
                <w:sz w:val="20"/>
                <w:szCs w:val="20"/>
                <w:color w:val="auto"/>
              </w:rPr>
            </w:pPr>
            <w:r>
              <w:rPr>
                <w:rFonts w:ascii="Arial" w:cs="Arial" w:eastAsia="Arial" w:hAnsi="Arial"/>
                <w:sz w:val="18"/>
                <w:szCs w:val="18"/>
                <w:color w:val="auto"/>
                <w:w w:val="94"/>
              </w:rPr>
              <w:t>L.P., as amended by the First Amendment dated February 14, 2019, the Second Amendment dated August 1,</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6"/>
              </w:rPr>
              <w:t>2019, the Third Amendment dated December 6, 2019 and the Fourth Amendment dated November 2, 2020</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Clearway Energy LLC</w:t>
            </w:r>
          </w:p>
        </w:tc>
        <w:tc>
          <w:tcPr>
            <w:tcW w:w="8500" w:type="dxa"/>
            <w:vAlign w:val="bottom"/>
          </w:tcPr>
          <w:p>
            <w:pPr>
              <w:ind w:left="260"/>
              <w:spacing w:after="0" w:line="176" w:lineRule="exact"/>
              <w:rPr>
                <w:sz w:val="20"/>
                <w:szCs w:val="20"/>
                <w:color w:val="auto"/>
              </w:rPr>
            </w:pPr>
            <w:r>
              <w:rPr>
                <w:rFonts w:ascii="Arial" w:cs="Arial" w:eastAsia="Arial" w:hAnsi="Arial"/>
                <w:sz w:val="18"/>
                <w:szCs w:val="18"/>
                <w:color w:val="auto"/>
                <w:w w:val="91"/>
              </w:rPr>
              <w:t>The holding company through which the projects are owned by Clearway Energy Group LLC, the holder of Class</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5"/>
              </w:rPr>
              <w:t>B and Class D units of the Company, and Clearway Energy, Inc., the holder of the Class A and Class C units</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Clearway Energy Group LLC</w:t>
            </w:r>
          </w:p>
        </w:tc>
        <w:tc>
          <w:tcPr>
            <w:tcW w:w="8500" w:type="dxa"/>
            <w:vAlign w:val="bottom"/>
          </w:tcPr>
          <w:p>
            <w:pPr>
              <w:ind w:left="260"/>
              <w:spacing w:after="0" w:line="176" w:lineRule="exact"/>
              <w:rPr>
                <w:sz w:val="20"/>
                <w:szCs w:val="20"/>
                <w:color w:val="auto"/>
              </w:rPr>
            </w:pPr>
            <w:r>
              <w:rPr>
                <w:rFonts w:ascii="Arial" w:cs="Arial" w:eastAsia="Arial" w:hAnsi="Arial"/>
                <w:sz w:val="18"/>
                <w:szCs w:val="18"/>
                <w:color w:val="auto"/>
                <w:w w:val="91"/>
              </w:rPr>
              <w:t>The holder of Clearway Energy, Inc.'s Class B and Class D common shares and Clearway Energy LLC's Class B</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and Class D units</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500" w:type="dxa"/>
            <w:vAlign w:val="bottom"/>
          </w:tcPr>
          <w:p>
            <w:pPr>
              <w:ind w:left="26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COD</w:t>
            </w:r>
          </w:p>
        </w:tc>
        <w:tc>
          <w:tcPr>
            <w:tcW w:w="8500" w:type="dxa"/>
            <w:vAlign w:val="bottom"/>
          </w:tcPr>
          <w:p>
            <w:pPr>
              <w:ind w:left="260"/>
              <w:spacing w:after="0"/>
              <w:rPr>
                <w:sz w:val="20"/>
                <w:szCs w:val="20"/>
                <w:color w:val="auto"/>
              </w:rPr>
            </w:pPr>
            <w:r>
              <w:rPr>
                <w:rFonts w:ascii="Arial" w:cs="Arial" w:eastAsia="Arial" w:hAnsi="Arial"/>
                <w:sz w:val="18"/>
                <w:szCs w:val="18"/>
                <w:color w:val="auto"/>
              </w:rPr>
              <w:t>Commercial Operation Date</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Company</w:t>
            </w:r>
          </w:p>
        </w:tc>
        <w:tc>
          <w:tcPr>
            <w:tcW w:w="8500" w:type="dxa"/>
            <w:vAlign w:val="bottom"/>
          </w:tcPr>
          <w:p>
            <w:pPr>
              <w:ind w:left="260"/>
              <w:spacing w:after="0"/>
              <w:rPr>
                <w:sz w:val="20"/>
                <w:szCs w:val="20"/>
                <w:color w:val="auto"/>
              </w:rPr>
            </w:pPr>
            <w:r>
              <w:rPr>
                <w:rFonts w:ascii="Arial" w:cs="Arial" w:eastAsia="Arial" w:hAnsi="Arial"/>
                <w:sz w:val="18"/>
                <w:szCs w:val="18"/>
                <w:color w:val="auto"/>
              </w:rPr>
              <w:t>Clearway Energy LLC, together with its consolidated subsidiaries</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CVSR</w:t>
            </w:r>
          </w:p>
        </w:tc>
        <w:tc>
          <w:tcPr>
            <w:tcW w:w="8500" w:type="dxa"/>
            <w:vAlign w:val="bottom"/>
          </w:tcPr>
          <w:p>
            <w:pPr>
              <w:ind w:left="26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877"/>
        </w:trPr>
        <w:tc>
          <w:tcPr>
            <w:tcW w:w="2740" w:type="dxa"/>
            <w:vAlign w:val="bottom"/>
          </w:tcPr>
          <w:p>
            <w:pPr>
              <w:spacing w:after="0"/>
              <w:rPr>
                <w:sz w:val="24"/>
                <w:szCs w:val="24"/>
                <w:color w:val="auto"/>
              </w:rPr>
            </w:pPr>
          </w:p>
        </w:tc>
        <w:tc>
          <w:tcPr>
            <w:tcW w:w="8500" w:type="dxa"/>
            <w:vAlign w:val="bottom"/>
          </w:tcPr>
          <w:p>
            <w:pPr>
              <w:ind w:left="28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8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840" w:type="dxa"/>
            <w:vAlign w:val="bottom"/>
          </w:tcPr>
          <w:p>
            <w:pPr>
              <w:ind w:left="60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DGPV Holdco 1</w:t>
            </w:r>
          </w:p>
        </w:tc>
        <w:tc>
          <w:tcPr>
            <w:tcW w:w="8840" w:type="dxa"/>
            <w:vAlign w:val="bottom"/>
          </w:tcPr>
          <w:p>
            <w:pPr>
              <w:ind w:left="600"/>
              <w:spacing w:after="0"/>
              <w:rPr>
                <w:sz w:val="20"/>
                <w:szCs w:val="20"/>
                <w:color w:val="auto"/>
              </w:rPr>
            </w:pPr>
            <w:r>
              <w:rPr>
                <w:rFonts w:ascii="Arial" w:cs="Arial" w:eastAsia="Arial" w:hAnsi="Arial"/>
                <w:sz w:val="18"/>
                <w:szCs w:val="18"/>
                <w:color w:val="auto"/>
              </w:rPr>
              <w:t>DGPV Holdco 1 LLC</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DGPV Holdco 2</w:t>
            </w:r>
          </w:p>
        </w:tc>
        <w:tc>
          <w:tcPr>
            <w:tcW w:w="8840" w:type="dxa"/>
            <w:vAlign w:val="bottom"/>
          </w:tcPr>
          <w:p>
            <w:pPr>
              <w:ind w:left="600"/>
              <w:spacing w:after="0"/>
              <w:rPr>
                <w:sz w:val="20"/>
                <w:szCs w:val="20"/>
                <w:color w:val="auto"/>
              </w:rPr>
            </w:pPr>
            <w:r>
              <w:rPr>
                <w:rFonts w:ascii="Arial" w:cs="Arial" w:eastAsia="Arial" w:hAnsi="Arial"/>
                <w:sz w:val="18"/>
                <w:szCs w:val="18"/>
                <w:color w:val="auto"/>
              </w:rPr>
              <w:t>DGPV Holdco 2 LLC</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DGPV Holdco 3</w:t>
            </w:r>
          </w:p>
        </w:tc>
        <w:tc>
          <w:tcPr>
            <w:tcW w:w="8840" w:type="dxa"/>
            <w:vAlign w:val="bottom"/>
          </w:tcPr>
          <w:p>
            <w:pPr>
              <w:ind w:left="600"/>
              <w:spacing w:after="0"/>
              <w:rPr>
                <w:sz w:val="20"/>
                <w:szCs w:val="20"/>
                <w:color w:val="auto"/>
              </w:rPr>
            </w:pPr>
            <w:r>
              <w:rPr>
                <w:rFonts w:ascii="Arial" w:cs="Arial" w:eastAsia="Arial" w:hAnsi="Arial"/>
                <w:sz w:val="18"/>
                <w:szCs w:val="18"/>
                <w:color w:val="auto"/>
              </w:rPr>
              <w:t>DGPV Holdco 3 LLC</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line="176" w:lineRule="exact"/>
              <w:rPr>
                <w:sz w:val="20"/>
                <w:szCs w:val="20"/>
                <w:color w:val="auto"/>
              </w:rPr>
            </w:pPr>
            <w:r>
              <w:rPr>
                <w:rFonts w:ascii="Arial" w:cs="Arial" w:eastAsia="Arial" w:hAnsi="Arial"/>
                <w:sz w:val="18"/>
                <w:szCs w:val="18"/>
                <w:color w:val="auto"/>
              </w:rPr>
              <w:t>Distributed Solar</w:t>
            </w: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7"/>
              </w:rPr>
              <w:t>Solar power projects, typically less than 20 MW in size, that primarily sell power produced to customers for</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usage on site, or are interconnected to sell power into the local distribution grid</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line="176" w:lineRule="exact"/>
              <w:rPr>
                <w:sz w:val="20"/>
                <w:szCs w:val="20"/>
                <w:color w:val="auto"/>
              </w:rPr>
            </w:pPr>
            <w:r>
              <w:rPr>
                <w:rFonts w:ascii="Arial" w:cs="Arial" w:eastAsia="Arial" w:hAnsi="Arial"/>
                <w:sz w:val="18"/>
                <w:szCs w:val="18"/>
                <w:color w:val="auto"/>
              </w:rPr>
              <w:t>Drop Down Assets</w:t>
            </w: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4"/>
              </w:rPr>
              <w:t>Collectively, assets under common control acquired by the Company from NRG from January 1, 2014 through</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1"/>
              </w:rPr>
              <w:t>the period ended August 31, 2018 and from CEG from August 31, 2018 through the period ending September 30,</w:t>
            </w:r>
          </w:p>
        </w:tc>
        <w:tc>
          <w:tcPr>
            <w:tcW w:w="0" w:type="dxa"/>
            <w:vAlign w:val="bottom"/>
          </w:tcPr>
          <w:p>
            <w:pPr>
              <w:spacing w:after="0"/>
              <w:rPr>
                <w:sz w:val="1"/>
                <w:szCs w:val="1"/>
                <w:color w:val="auto"/>
              </w:rPr>
            </w:pPr>
          </w:p>
        </w:tc>
      </w:tr>
      <w:tr>
        <w:trPr>
          <w:trHeight w:val="230"/>
        </w:trPr>
        <w:tc>
          <w:tcPr>
            <w:tcW w:w="2400" w:type="dxa"/>
            <w:vAlign w:val="bottom"/>
            <w:vMerge w:val="restart"/>
          </w:tcPr>
          <w:p>
            <w:pPr>
              <w:ind w:left="20"/>
              <w:spacing w:after="0"/>
              <w:rPr>
                <w:sz w:val="20"/>
                <w:szCs w:val="20"/>
                <w:color w:val="auto"/>
              </w:rPr>
            </w:pPr>
            <w:r>
              <w:rPr>
                <w:rFonts w:ascii="Arial" w:cs="Arial" w:eastAsia="Arial" w:hAnsi="Arial"/>
                <w:sz w:val="18"/>
                <w:szCs w:val="18"/>
                <w:color w:val="auto"/>
              </w:rPr>
              <w:t>Economic Gross Margin</w:t>
            </w:r>
          </w:p>
        </w:tc>
        <w:tc>
          <w:tcPr>
            <w:tcW w:w="8840" w:type="dxa"/>
            <w:vAlign w:val="bottom"/>
          </w:tcPr>
          <w:p>
            <w:pPr>
              <w:ind w:left="6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60"/>
        </w:trPr>
        <w:tc>
          <w:tcPr>
            <w:tcW w:w="2400" w:type="dxa"/>
            <w:vAlign w:val="bottom"/>
            <w:vMerge w:val="continue"/>
          </w:tcPr>
          <w:p>
            <w:pPr>
              <w:spacing w:after="0"/>
              <w:rPr>
                <w:sz w:val="22"/>
                <w:szCs w:val="22"/>
                <w:color w:val="auto"/>
              </w:rPr>
            </w:pPr>
          </w:p>
        </w:tc>
        <w:tc>
          <w:tcPr>
            <w:tcW w:w="8840" w:type="dxa"/>
            <w:vAlign w:val="bottom"/>
          </w:tcPr>
          <w:p>
            <w:pPr>
              <w:ind w:left="600"/>
              <w:spacing w:after="0"/>
              <w:rPr>
                <w:sz w:val="20"/>
                <w:szCs w:val="20"/>
                <w:color w:val="auto"/>
              </w:rPr>
            </w:pPr>
            <w:r>
              <w:rPr>
                <w:rFonts w:ascii="Arial" w:cs="Arial" w:eastAsia="Arial" w:hAnsi="Arial"/>
                <w:sz w:val="20"/>
                <w:szCs w:val="20"/>
                <w:color w:val="auto"/>
              </w:rPr>
              <w:t>A non-GAAP measure, energy and capacity revenue less cost of fuels</w:t>
            </w:r>
          </w:p>
        </w:tc>
        <w:tc>
          <w:tcPr>
            <w:tcW w:w="0" w:type="dxa"/>
            <w:vAlign w:val="bottom"/>
          </w:tcPr>
          <w:p>
            <w:pPr>
              <w:spacing w:after="0"/>
              <w:rPr>
                <w:sz w:val="1"/>
                <w:szCs w:val="1"/>
                <w:color w:val="auto"/>
              </w:rPr>
            </w:pPr>
          </w:p>
        </w:tc>
      </w:tr>
      <w:tr>
        <w:trPr>
          <w:trHeight w:val="238"/>
        </w:trPr>
        <w:tc>
          <w:tcPr>
            <w:tcW w:w="2400" w:type="dxa"/>
            <w:vAlign w:val="bottom"/>
          </w:tcPr>
          <w:p>
            <w:pPr>
              <w:ind w:left="20"/>
              <w:spacing w:after="0"/>
              <w:rPr>
                <w:sz w:val="20"/>
                <w:szCs w:val="20"/>
                <w:color w:val="auto"/>
              </w:rPr>
            </w:pPr>
            <w:r>
              <w:rPr>
                <w:rFonts w:ascii="Arial" w:cs="Arial" w:eastAsia="Arial" w:hAnsi="Arial"/>
                <w:sz w:val="18"/>
                <w:szCs w:val="18"/>
                <w:color w:val="auto"/>
              </w:rPr>
              <w:t>ECP</w:t>
            </w:r>
          </w:p>
        </w:tc>
        <w:tc>
          <w:tcPr>
            <w:tcW w:w="8840" w:type="dxa"/>
            <w:vAlign w:val="bottom"/>
          </w:tcPr>
          <w:p>
            <w:pPr>
              <w:ind w:left="600"/>
              <w:spacing w:after="0"/>
              <w:rPr>
                <w:sz w:val="20"/>
                <w:szCs w:val="20"/>
                <w:color w:val="auto"/>
              </w:rPr>
            </w:pPr>
            <w:r>
              <w:rPr>
                <w:rFonts w:ascii="Arial" w:cs="Arial" w:eastAsia="Arial" w:hAnsi="Arial"/>
                <w:sz w:val="18"/>
                <w:szCs w:val="18"/>
                <w:color w:val="auto"/>
              </w:rPr>
              <w:t>Energy Center Pittsburgh LLC, a subsidiary of the Company</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EPA</w:t>
            </w:r>
          </w:p>
        </w:tc>
        <w:tc>
          <w:tcPr>
            <w:tcW w:w="8840" w:type="dxa"/>
            <w:vAlign w:val="bottom"/>
          </w:tcPr>
          <w:p>
            <w:pPr>
              <w:ind w:left="600"/>
              <w:spacing w:after="0"/>
              <w:rPr>
                <w:sz w:val="20"/>
                <w:szCs w:val="20"/>
                <w:color w:val="auto"/>
              </w:rPr>
            </w:pPr>
            <w:r>
              <w:rPr>
                <w:rFonts w:ascii="Arial" w:cs="Arial" w:eastAsia="Arial" w:hAnsi="Arial"/>
                <w:sz w:val="18"/>
                <w:szCs w:val="18"/>
                <w:color w:val="auto"/>
              </w:rPr>
              <w:t>U.S. Environmental Protection Agency</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840" w:type="dxa"/>
            <w:vAlign w:val="bottom"/>
          </w:tcPr>
          <w:p>
            <w:pPr>
              <w:ind w:left="60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FASB</w:t>
            </w:r>
          </w:p>
        </w:tc>
        <w:tc>
          <w:tcPr>
            <w:tcW w:w="8840" w:type="dxa"/>
            <w:vAlign w:val="bottom"/>
          </w:tcPr>
          <w:p>
            <w:pPr>
              <w:ind w:left="60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GAAP</w:t>
            </w:r>
          </w:p>
        </w:tc>
        <w:tc>
          <w:tcPr>
            <w:tcW w:w="8840" w:type="dxa"/>
            <w:vAlign w:val="bottom"/>
          </w:tcPr>
          <w:p>
            <w:pPr>
              <w:ind w:left="60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GenConn</w:t>
            </w:r>
          </w:p>
        </w:tc>
        <w:tc>
          <w:tcPr>
            <w:tcW w:w="8840" w:type="dxa"/>
            <w:vAlign w:val="bottom"/>
          </w:tcPr>
          <w:p>
            <w:pPr>
              <w:ind w:left="60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GIP</w:t>
            </w:r>
          </w:p>
        </w:tc>
        <w:tc>
          <w:tcPr>
            <w:tcW w:w="8840" w:type="dxa"/>
            <w:vAlign w:val="bottom"/>
            <w:vMerge w:val="restart"/>
          </w:tcPr>
          <w:p>
            <w:pPr>
              <w:ind w:left="600"/>
              <w:spacing w:after="0"/>
              <w:rPr>
                <w:sz w:val="20"/>
                <w:szCs w:val="20"/>
                <w:color w:val="auto"/>
              </w:rPr>
            </w:pPr>
            <w:r>
              <w:rPr>
                <w:rFonts w:ascii="Arial" w:cs="Arial" w:eastAsia="Arial" w:hAnsi="Arial"/>
                <w:sz w:val="18"/>
                <w:szCs w:val="18"/>
                <w:color w:val="auto"/>
                <w:w w:val="94"/>
              </w:rPr>
              <w:t>Collectively, Global Infrastructure Partners III-C Intermediate AIV 3, L.P., Global Infrastructure Partners III-A/B</w:t>
            </w:r>
          </w:p>
        </w:tc>
        <w:tc>
          <w:tcPr>
            <w:tcW w:w="0" w:type="dxa"/>
            <w:vAlign w:val="bottom"/>
          </w:tcPr>
          <w:p>
            <w:pPr>
              <w:spacing w:after="0"/>
              <w:rPr>
                <w:sz w:val="1"/>
                <w:szCs w:val="1"/>
                <w:color w:val="auto"/>
              </w:rPr>
            </w:pPr>
          </w:p>
        </w:tc>
      </w:tr>
      <w:tr>
        <w:trPr>
          <w:trHeight w:val="40"/>
        </w:trPr>
        <w:tc>
          <w:tcPr>
            <w:tcW w:w="2400" w:type="dxa"/>
            <w:vAlign w:val="bottom"/>
          </w:tcPr>
          <w:p>
            <w:pPr>
              <w:spacing w:after="0"/>
              <w:rPr>
                <w:sz w:val="3"/>
                <w:szCs w:val="3"/>
                <w:color w:val="auto"/>
              </w:rPr>
            </w:pPr>
          </w:p>
        </w:tc>
        <w:tc>
          <w:tcPr>
            <w:tcW w:w="8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5"/>
              </w:rPr>
              <w:t>AIV 3, L.P., Global Infrastructure Partners III-C Intermediate AIV 2, L.P., Global Infrastructure Partners III-C2</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Intermediate AIV, L.P. and GIP III Zephyr Friends &amp; Family, LLC</w:t>
            </w:r>
          </w:p>
        </w:tc>
        <w:tc>
          <w:tcPr>
            <w:tcW w:w="0" w:type="dxa"/>
            <w:vAlign w:val="bottom"/>
          </w:tcPr>
          <w:p>
            <w:pPr>
              <w:spacing w:after="0"/>
              <w:rPr>
                <w:sz w:val="1"/>
                <w:szCs w:val="1"/>
                <w:color w:val="auto"/>
              </w:rPr>
            </w:pPr>
          </w:p>
        </w:tc>
      </w:tr>
      <w:tr>
        <w:trPr>
          <w:trHeight w:val="309"/>
        </w:trPr>
        <w:tc>
          <w:tcPr>
            <w:tcW w:w="2400" w:type="dxa"/>
            <w:vAlign w:val="bottom"/>
          </w:tcPr>
          <w:p>
            <w:pPr>
              <w:ind w:left="20"/>
              <w:spacing w:after="0"/>
              <w:rPr>
                <w:sz w:val="20"/>
                <w:szCs w:val="20"/>
                <w:color w:val="auto"/>
              </w:rPr>
            </w:pPr>
            <w:r>
              <w:rPr>
                <w:rFonts w:ascii="Arial" w:cs="Arial" w:eastAsia="Arial" w:hAnsi="Arial"/>
                <w:sz w:val="18"/>
                <w:szCs w:val="18"/>
                <w:color w:val="auto"/>
              </w:rPr>
              <w:t>HLBV</w:t>
            </w:r>
          </w:p>
        </w:tc>
        <w:tc>
          <w:tcPr>
            <w:tcW w:w="8840" w:type="dxa"/>
            <w:vAlign w:val="bottom"/>
          </w:tcPr>
          <w:p>
            <w:pPr>
              <w:ind w:left="60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LIBOR</w:t>
            </w:r>
          </w:p>
        </w:tc>
        <w:tc>
          <w:tcPr>
            <w:tcW w:w="8840" w:type="dxa"/>
            <w:vAlign w:val="bottom"/>
          </w:tcPr>
          <w:p>
            <w:pPr>
              <w:ind w:left="60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MMBtu</w:t>
            </w:r>
          </w:p>
        </w:tc>
        <w:tc>
          <w:tcPr>
            <w:tcW w:w="8840" w:type="dxa"/>
            <w:vAlign w:val="bottom"/>
          </w:tcPr>
          <w:p>
            <w:pPr>
              <w:ind w:left="60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MW</w:t>
            </w:r>
          </w:p>
        </w:tc>
        <w:tc>
          <w:tcPr>
            <w:tcW w:w="8840" w:type="dxa"/>
            <w:vAlign w:val="bottom"/>
          </w:tcPr>
          <w:p>
            <w:pPr>
              <w:ind w:left="600"/>
              <w:spacing w:after="0"/>
              <w:rPr>
                <w:sz w:val="20"/>
                <w:szCs w:val="20"/>
                <w:color w:val="auto"/>
              </w:rPr>
            </w:pPr>
            <w:r>
              <w:rPr>
                <w:rFonts w:ascii="Arial" w:cs="Arial" w:eastAsia="Arial" w:hAnsi="Arial"/>
                <w:sz w:val="18"/>
                <w:szCs w:val="18"/>
                <w:color w:val="auto"/>
              </w:rPr>
              <w:t>Megawatts</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MWh</w:t>
            </w:r>
          </w:p>
        </w:tc>
        <w:tc>
          <w:tcPr>
            <w:tcW w:w="8840" w:type="dxa"/>
            <w:vAlign w:val="bottom"/>
          </w:tcPr>
          <w:p>
            <w:pPr>
              <w:ind w:left="60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MWt</w:t>
            </w:r>
          </w:p>
        </w:tc>
        <w:tc>
          <w:tcPr>
            <w:tcW w:w="8840" w:type="dxa"/>
            <w:vAlign w:val="bottom"/>
          </w:tcPr>
          <w:p>
            <w:pPr>
              <w:ind w:left="60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Net Exposure</w:t>
            </w:r>
          </w:p>
        </w:tc>
        <w:tc>
          <w:tcPr>
            <w:tcW w:w="8840" w:type="dxa"/>
            <w:vAlign w:val="bottom"/>
          </w:tcPr>
          <w:p>
            <w:pPr>
              <w:ind w:left="60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NOLs</w:t>
            </w:r>
          </w:p>
        </w:tc>
        <w:tc>
          <w:tcPr>
            <w:tcW w:w="8840" w:type="dxa"/>
            <w:vAlign w:val="bottom"/>
          </w:tcPr>
          <w:p>
            <w:pPr>
              <w:ind w:left="60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NPPD</w:t>
            </w:r>
          </w:p>
        </w:tc>
        <w:tc>
          <w:tcPr>
            <w:tcW w:w="8840" w:type="dxa"/>
            <w:vAlign w:val="bottom"/>
          </w:tcPr>
          <w:p>
            <w:pPr>
              <w:ind w:left="600"/>
              <w:spacing w:after="0"/>
              <w:rPr>
                <w:sz w:val="20"/>
                <w:szCs w:val="20"/>
                <w:color w:val="auto"/>
              </w:rPr>
            </w:pPr>
            <w:r>
              <w:rPr>
                <w:rFonts w:ascii="Arial" w:cs="Arial" w:eastAsia="Arial" w:hAnsi="Arial"/>
                <w:sz w:val="18"/>
                <w:szCs w:val="18"/>
                <w:color w:val="auto"/>
              </w:rPr>
              <w:t>Nebraska Public Power District</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NRG</w:t>
            </w:r>
          </w:p>
        </w:tc>
        <w:tc>
          <w:tcPr>
            <w:tcW w:w="8840" w:type="dxa"/>
            <w:vAlign w:val="bottom"/>
          </w:tcPr>
          <w:p>
            <w:pPr>
              <w:ind w:left="60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OCL</w:t>
            </w:r>
          </w:p>
        </w:tc>
        <w:tc>
          <w:tcPr>
            <w:tcW w:w="8840" w:type="dxa"/>
            <w:vAlign w:val="bottom"/>
          </w:tcPr>
          <w:p>
            <w:pPr>
              <w:ind w:left="600"/>
              <w:spacing w:after="0"/>
              <w:rPr>
                <w:sz w:val="20"/>
                <w:szCs w:val="20"/>
                <w:color w:val="auto"/>
              </w:rPr>
            </w:pPr>
            <w:r>
              <w:rPr>
                <w:rFonts w:ascii="Arial" w:cs="Arial" w:eastAsia="Arial" w:hAnsi="Arial"/>
                <w:sz w:val="18"/>
                <w:szCs w:val="18"/>
                <w:color w:val="auto"/>
              </w:rPr>
              <w:t>Other comprehensive loss</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O&amp;M</w:t>
            </w:r>
          </w:p>
        </w:tc>
        <w:tc>
          <w:tcPr>
            <w:tcW w:w="8840" w:type="dxa"/>
            <w:vAlign w:val="bottom"/>
          </w:tcPr>
          <w:p>
            <w:pPr>
              <w:ind w:left="600"/>
              <w:spacing w:after="0"/>
              <w:rPr>
                <w:sz w:val="20"/>
                <w:szCs w:val="20"/>
                <w:color w:val="auto"/>
              </w:rPr>
            </w:pPr>
            <w:r>
              <w:rPr>
                <w:rFonts w:ascii="Arial" w:cs="Arial" w:eastAsia="Arial" w:hAnsi="Arial"/>
                <w:sz w:val="18"/>
                <w:szCs w:val="18"/>
                <w:color w:val="auto"/>
              </w:rPr>
              <w:t>Operation and Maintenance</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PG&amp;E</w:t>
            </w:r>
          </w:p>
        </w:tc>
        <w:tc>
          <w:tcPr>
            <w:tcW w:w="8840" w:type="dxa"/>
            <w:vAlign w:val="bottom"/>
          </w:tcPr>
          <w:p>
            <w:pPr>
              <w:ind w:left="60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line="176" w:lineRule="exact"/>
              <w:rPr>
                <w:sz w:val="20"/>
                <w:szCs w:val="20"/>
                <w:color w:val="auto"/>
              </w:rPr>
            </w:pPr>
            <w:r>
              <w:rPr>
                <w:rFonts w:ascii="Arial" w:cs="Arial" w:eastAsia="Arial" w:hAnsi="Arial"/>
                <w:sz w:val="18"/>
                <w:szCs w:val="18"/>
                <w:color w:val="auto"/>
              </w:rPr>
              <w:t>PG&amp;E Bankruptcy</w:t>
            </w: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6"/>
              </w:rPr>
              <w:t>On January 29, 2019, PG&amp;E Corporation and Pacific Gas and Electric Company filed voluntary petitions for</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w w:val="95"/>
              </w:rPr>
              <w:t>relief under the Bankruptcy Code in the Bankruptcy Court. On July 1, 2020, PG&amp;E emerged from bankruptcy</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PPA</w:t>
            </w:r>
          </w:p>
        </w:tc>
        <w:tc>
          <w:tcPr>
            <w:tcW w:w="8840" w:type="dxa"/>
            <w:vAlign w:val="bottom"/>
          </w:tcPr>
          <w:p>
            <w:pPr>
              <w:ind w:left="60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PTC</w:t>
            </w:r>
          </w:p>
        </w:tc>
        <w:tc>
          <w:tcPr>
            <w:tcW w:w="8840" w:type="dxa"/>
            <w:vAlign w:val="bottom"/>
          </w:tcPr>
          <w:p>
            <w:pPr>
              <w:ind w:left="600"/>
              <w:spacing w:after="0"/>
              <w:rPr>
                <w:sz w:val="20"/>
                <w:szCs w:val="20"/>
                <w:color w:val="auto"/>
              </w:rPr>
            </w:pPr>
            <w:r>
              <w:rPr>
                <w:rFonts w:ascii="Arial" w:cs="Arial" w:eastAsia="Arial" w:hAnsi="Arial"/>
                <w:sz w:val="18"/>
                <w:szCs w:val="18"/>
                <w:color w:val="auto"/>
              </w:rPr>
              <w:t>Production Tax Credit</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RENOM</w:t>
            </w:r>
          </w:p>
        </w:tc>
        <w:tc>
          <w:tcPr>
            <w:tcW w:w="8840" w:type="dxa"/>
            <w:vAlign w:val="bottom"/>
          </w:tcPr>
          <w:p>
            <w:pPr>
              <w:ind w:left="60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RPV Holdco</w:t>
            </w:r>
          </w:p>
        </w:tc>
        <w:tc>
          <w:tcPr>
            <w:tcW w:w="8840" w:type="dxa"/>
            <w:vAlign w:val="bottom"/>
          </w:tcPr>
          <w:p>
            <w:pPr>
              <w:ind w:left="600"/>
              <w:spacing w:after="0"/>
              <w:rPr>
                <w:sz w:val="20"/>
                <w:szCs w:val="20"/>
                <w:color w:val="auto"/>
              </w:rPr>
            </w:pPr>
            <w:r>
              <w:rPr>
                <w:rFonts w:ascii="Arial" w:cs="Arial" w:eastAsia="Arial" w:hAnsi="Arial"/>
                <w:sz w:val="18"/>
                <w:szCs w:val="18"/>
                <w:color w:val="auto"/>
              </w:rPr>
              <w:t>RPV Holdco 1 LLC</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RTO</w:t>
            </w:r>
          </w:p>
        </w:tc>
        <w:tc>
          <w:tcPr>
            <w:tcW w:w="8840" w:type="dxa"/>
            <w:vAlign w:val="bottom"/>
          </w:tcPr>
          <w:p>
            <w:pPr>
              <w:ind w:left="600"/>
              <w:spacing w:after="0"/>
              <w:rPr>
                <w:sz w:val="20"/>
                <w:szCs w:val="20"/>
                <w:color w:val="auto"/>
              </w:rPr>
            </w:pPr>
            <w:r>
              <w:rPr>
                <w:rFonts w:ascii="Arial" w:cs="Arial" w:eastAsia="Arial" w:hAnsi="Arial"/>
                <w:sz w:val="18"/>
                <w:szCs w:val="18"/>
                <w:color w:val="auto"/>
              </w:rPr>
              <w:t>Regional Transmission Organization</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SEC</w:t>
            </w:r>
          </w:p>
        </w:tc>
        <w:tc>
          <w:tcPr>
            <w:tcW w:w="8840" w:type="dxa"/>
            <w:vAlign w:val="bottom"/>
          </w:tcPr>
          <w:p>
            <w:pPr>
              <w:ind w:left="60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8840" w:type="dxa"/>
            <w:vAlign w:val="bottom"/>
          </w:tcPr>
          <w:p>
            <w:pPr>
              <w:ind w:left="600"/>
              <w:spacing w:after="0"/>
              <w:rPr>
                <w:sz w:val="20"/>
                <w:szCs w:val="20"/>
                <w:color w:val="auto"/>
              </w:rPr>
            </w:pPr>
            <w:r>
              <w:rPr>
                <w:rFonts w:ascii="Arial" w:cs="Arial" w:eastAsia="Arial" w:hAnsi="Arial"/>
                <w:sz w:val="18"/>
                <w:szCs w:val="18"/>
                <w:color w:val="auto"/>
              </w:rPr>
              <w:t>Collectively, the 2025 Senior Notes, the 2026 Senior Notes and the 2028 Senior Notes</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SPP</w:t>
            </w:r>
          </w:p>
        </w:tc>
        <w:tc>
          <w:tcPr>
            <w:tcW w:w="8840" w:type="dxa"/>
            <w:vAlign w:val="bottom"/>
          </w:tcPr>
          <w:p>
            <w:pPr>
              <w:ind w:left="600"/>
              <w:spacing w:after="0"/>
              <w:rPr>
                <w:sz w:val="20"/>
                <w:szCs w:val="20"/>
                <w:color w:val="auto"/>
              </w:rPr>
            </w:pPr>
            <w:r>
              <w:rPr>
                <w:rFonts w:ascii="Arial" w:cs="Arial" w:eastAsia="Arial" w:hAnsi="Arial"/>
                <w:sz w:val="18"/>
                <w:szCs w:val="18"/>
                <w:color w:val="auto"/>
              </w:rPr>
              <w:t>Solar Power Partners</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SREC</w:t>
            </w:r>
          </w:p>
        </w:tc>
        <w:tc>
          <w:tcPr>
            <w:tcW w:w="8840" w:type="dxa"/>
            <w:vAlign w:val="bottom"/>
          </w:tcPr>
          <w:p>
            <w:pPr>
              <w:ind w:left="600"/>
              <w:spacing w:after="0"/>
              <w:rPr>
                <w:sz w:val="20"/>
                <w:szCs w:val="20"/>
                <w:color w:val="auto"/>
              </w:rPr>
            </w:pPr>
            <w:r>
              <w:rPr>
                <w:rFonts w:ascii="Arial" w:cs="Arial" w:eastAsia="Arial" w:hAnsi="Arial"/>
                <w:sz w:val="18"/>
                <w:szCs w:val="18"/>
                <w:color w:val="auto"/>
              </w:rPr>
              <w:t>Solar Renewable Energy Credit</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Tax Act</w:t>
            </w:r>
          </w:p>
        </w:tc>
        <w:tc>
          <w:tcPr>
            <w:tcW w:w="8840" w:type="dxa"/>
            <w:vAlign w:val="bottom"/>
          </w:tcPr>
          <w:p>
            <w:pPr>
              <w:ind w:left="600"/>
              <w:spacing w:after="0"/>
              <w:rPr>
                <w:sz w:val="20"/>
                <w:szCs w:val="20"/>
                <w:color w:val="auto"/>
              </w:rPr>
            </w:pPr>
            <w:r>
              <w:rPr>
                <w:rFonts w:ascii="Arial" w:cs="Arial" w:eastAsia="Arial" w:hAnsi="Arial"/>
                <w:sz w:val="18"/>
                <w:szCs w:val="18"/>
                <w:color w:val="auto"/>
              </w:rPr>
              <w:t>Tax Cuts and Jobs Act of 2017</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line="176" w:lineRule="exact"/>
              <w:rPr>
                <w:sz w:val="20"/>
                <w:szCs w:val="20"/>
                <w:color w:val="auto"/>
              </w:rPr>
            </w:pPr>
            <w:r>
              <w:rPr>
                <w:rFonts w:ascii="Arial" w:cs="Arial" w:eastAsia="Arial" w:hAnsi="Arial"/>
                <w:sz w:val="18"/>
                <w:szCs w:val="18"/>
                <w:color w:val="auto"/>
              </w:rPr>
              <w:t>Thermal Business</w:t>
            </w: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3"/>
              </w:rPr>
              <w:t>The Company's thermal business, which consists of thermal infrastructure assets that provide steam, hot water</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8840" w:type="dxa"/>
            <w:vAlign w:val="bottom"/>
          </w:tcPr>
          <w:p>
            <w:pPr>
              <w:ind w:left="600"/>
              <w:spacing w:after="0" w:line="176" w:lineRule="exact"/>
              <w:rPr>
                <w:sz w:val="20"/>
                <w:szCs w:val="20"/>
                <w:color w:val="auto"/>
              </w:rPr>
            </w:pPr>
            <w:r>
              <w:rPr>
                <w:rFonts w:ascii="Arial" w:cs="Arial" w:eastAsia="Arial" w:hAnsi="Arial"/>
                <w:sz w:val="18"/>
                <w:szCs w:val="18"/>
                <w:color w:val="auto"/>
                <w:w w:val="95"/>
              </w:rPr>
              <w:t>and/or chilled water, and in some instances electricity, to commercial businesses, universities, hospitals and</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governmental units</w:t>
            </w:r>
          </w:p>
        </w:tc>
        <w:tc>
          <w:tcPr>
            <w:tcW w:w="0" w:type="dxa"/>
            <w:vAlign w:val="bottom"/>
          </w:tcPr>
          <w:p>
            <w:pPr>
              <w:spacing w:after="0"/>
              <w:rPr>
                <w:sz w:val="1"/>
                <w:szCs w:val="1"/>
                <w:color w:val="auto"/>
              </w:rPr>
            </w:pPr>
          </w:p>
        </w:tc>
      </w:tr>
      <w:tr>
        <w:trPr>
          <w:trHeight w:val="877"/>
        </w:trPr>
        <w:tc>
          <w:tcPr>
            <w:tcW w:w="2400" w:type="dxa"/>
            <w:vAlign w:val="bottom"/>
          </w:tcPr>
          <w:p>
            <w:pPr>
              <w:spacing w:after="0"/>
              <w:rPr>
                <w:sz w:val="24"/>
                <w:szCs w:val="24"/>
                <w:color w:val="auto"/>
              </w:rPr>
            </w:pPr>
          </w:p>
        </w:tc>
        <w:tc>
          <w:tcPr>
            <w:tcW w:w="8840" w:type="dxa"/>
            <w:vAlign w:val="bottom"/>
          </w:tcPr>
          <w:p>
            <w:pPr>
              <w:ind w:left="3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5"/>
        </w:trPr>
        <w:tc>
          <w:tcPr>
            <w:tcW w:w="2400" w:type="dxa"/>
            <w:vAlign w:val="bottom"/>
            <w:tcBorders>
              <w:bottom w:val="single" w:sz="8" w:color="9A9A9A"/>
            </w:tcBorders>
          </w:tcPr>
          <w:p>
            <w:pPr>
              <w:spacing w:after="0"/>
              <w:rPr>
                <w:sz w:val="10"/>
                <w:szCs w:val="10"/>
                <w:color w:val="auto"/>
              </w:rPr>
            </w:pPr>
          </w:p>
        </w:tc>
        <w:tc>
          <w:tcPr>
            <w:tcW w:w="8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UPMC Thermal Project</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7"/>
          <w:szCs w:val="17"/>
          <w:color w:val="auto"/>
        </w:rPr>
        <w:t>The University of Pittsburgh Medical Center Thermal Project, a 73 MWt district energy system that allows ECP to provide steam, chilled water and 7.5 MW of emergency backup power service to UPMC</w:t>
      </w:r>
    </w:p>
    <w:p>
      <w:pPr>
        <w:spacing w:after="0" w:line="1" w:lineRule="exact"/>
        <w:rPr>
          <w:sz w:val="20"/>
          <w:szCs w:val="20"/>
          <w:color w:val="auto"/>
        </w:rPr>
      </w:pPr>
    </w:p>
    <w:p>
      <w:pPr>
        <w:sectPr>
          <w:pgSz w:w="11900" w:h="16838" w:orient="portrait"/>
          <w:cols w:equalWidth="0" w:num="2">
            <w:col w:w="2260" w:space="720"/>
            <w:col w:w="8060"/>
          </w:cols>
          <w:pgMar w:left="340" w:top="935" w:right="519" w:bottom="1440" w:gutter="0" w:footer="0" w:header="0"/>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46" w:lineRule="exact"/>
        <w:rPr>
          <w:sz w:val="20"/>
          <w:szCs w:val="20"/>
          <w:color w:val="auto"/>
        </w:rPr>
      </w:pPr>
    </w:p>
    <w:p>
      <w:pPr>
        <w:sectPr>
          <w:pgSz w:w="11900" w:h="16838" w:orient="portrait"/>
          <w:cols w:equalWidth="0" w:num="2">
            <w:col w:w="2260" w:space="720"/>
            <w:col w:w="8060"/>
          </w:cols>
          <w:pgMar w:left="340" w:top="935" w:right="51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jc w:val="both"/>
        <w:ind w:right="20"/>
        <w:spacing w:after="0" w:line="224"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w:t>
      </w:r>
    </w:p>
    <w:p>
      <w:pPr>
        <w:spacing w:after="0" w:line="1" w:lineRule="exact"/>
        <w:rPr>
          <w:sz w:val="20"/>
          <w:szCs w:val="20"/>
          <w:color w:val="auto"/>
        </w:rPr>
      </w:pPr>
    </w:p>
    <w:p>
      <w:pPr>
        <w:sectPr>
          <w:pgSz w:w="11900" w:h="16838" w:orient="portrait"/>
          <w:cols w:equalWidth="0" w:num="2">
            <w:col w:w="2260" w:space="720"/>
            <w:col w:w="8060"/>
          </w:cols>
          <w:pgMar w:left="340" w:top="935" w:right="519" w:bottom="1440" w:gutter="0" w:footer="0" w:header="0"/>
          <w:type w:val="continuous"/>
        </w:sectPr>
      </w:pPr>
    </w:p>
    <w:p>
      <w:pPr>
        <w:spacing w:after="0"/>
        <w:rPr>
          <w:sz w:val="20"/>
          <w:szCs w:val="20"/>
          <w:color w:val="auto"/>
        </w:rPr>
      </w:pPr>
      <w:r>
        <w:rPr>
          <w:rFonts w:ascii="Arial" w:cs="Arial" w:eastAsia="Arial" w:hAnsi="Arial"/>
          <w:sz w:val="17"/>
          <w:szCs w:val="17"/>
          <w:color w:val="auto"/>
        </w:rPr>
        <w:t>Utility Scale Solar</w:t>
      </w:r>
    </w:p>
    <w:p>
      <w:pPr>
        <w:spacing w:after="0" w:line="20" w:lineRule="exact"/>
        <w:rPr>
          <w:sz w:val="20"/>
          <w:szCs w:val="20"/>
          <w:color w:val="auto"/>
        </w:rPr>
      </w:pPr>
      <w:r>
        <w:rPr>
          <w:sz w:val="20"/>
          <w:szCs w:val="20"/>
          <w:color w:val="auto"/>
        </w:rPr>
        <w:br w:type="column"/>
      </w:r>
    </w:p>
    <w:p>
      <w:pPr>
        <w:ind w:right="460"/>
        <w:spacing w:after="0" w:line="248" w:lineRule="auto"/>
        <w:rPr>
          <w:sz w:val="20"/>
          <w:szCs w:val="20"/>
          <w:color w:val="auto"/>
        </w:rPr>
      </w:pPr>
      <w:r>
        <w:rPr>
          <w:rFonts w:ascii="Arial" w:cs="Arial" w:eastAsia="Arial" w:hAnsi="Arial"/>
          <w:sz w:val="17"/>
          <w:szCs w:val="17"/>
          <w:color w:val="auto"/>
        </w:rPr>
        <w:t>Solar power projects, typically 20 MW or greater in size (on an alternating current, or AC, basis), that are interconnected into the transmission or distribution grid to sell power at a wholesale level</w:t>
      </w:r>
    </w:p>
    <w:p>
      <w:pPr>
        <w:spacing w:after="0" w:line="1" w:lineRule="exact"/>
        <w:rPr>
          <w:sz w:val="20"/>
          <w:szCs w:val="20"/>
          <w:color w:val="auto"/>
        </w:rPr>
      </w:pPr>
    </w:p>
    <w:p>
      <w:pPr>
        <w:sectPr>
          <w:pgSz w:w="11900" w:h="16838" w:orient="portrait"/>
          <w:cols w:equalWidth="0" w:num="2">
            <w:col w:w="2260" w:space="720"/>
            <w:col w:w="8060"/>
          </w:cols>
          <w:pgMar w:left="340" w:top="935" w:right="519" w:bottom="1440" w:gutter="0" w:footer="0" w:header="0"/>
          <w:type w:val="continuous"/>
        </w:sectPr>
      </w:pPr>
    </w:p>
    <w:p>
      <w:pPr>
        <w:spacing w:after="0"/>
        <w:rPr>
          <w:sz w:val="20"/>
          <w:szCs w:val="20"/>
          <w:color w:val="auto"/>
        </w:rPr>
      </w:pPr>
      <w:r>
        <w:rPr>
          <w:rFonts w:ascii="Arial" w:cs="Arial" w:eastAsia="Arial" w:hAnsi="Arial"/>
          <w:sz w:val="16"/>
          <w:szCs w:val="16"/>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46" w:lineRule="exact"/>
        <w:rPr>
          <w:sz w:val="20"/>
          <w:szCs w:val="20"/>
          <w:color w:val="auto"/>
        </w:rPr>
      </w:pPr>
    </w:p>
    <w:p>
      <w:pPr>
        <w:sectPr>
          <w:pgSz w:w="11900" w:h="16838" w:orient="portrait"/>
          <w:cols w:equalWidth="0" w:num="2">
            <w:col w:w="2260" w:space="720"/>
            <w:col w:w="8060"/>
          </w:cols>
          <w:pgMar w:left="340" w:top="935" w:right="51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45" w:lineRule="exact"/>
        <w:rPr>
          <w:sz w:val="20"/>
          <w:szCs w:val="20"/>
          <w:color w:val="auto"/>
        </w:rPr>
      </w:pPr>
    </w:p>
    <w:p>
      <w:pPr>
        <w:sectPr>
          <w:pgSz w:w="11900" w:h="16838" w:orient="portrait"/>
          <w:cols w:equalWidth="0" w:num="2">
            <w:col w:w="2260" w:space="720"/>
            <w:col w:w="8060"/>
          </w:cols>
          <w:pgMar w:left="340" w:top="935" w:right="519" w:bottom="1440" w:gutter="0" w:footer="0" w:header="0"/>
          <w:type w:val="continuous"/>
        </w:sectPr>
      </w:pPr>
    </w:p>
    <w:p>
      <w:pPr>
        <w:spacing w:after="0"/>
        <w:rPr>
          <w:sz w:val="20"/>
          <w:szCs w:val="20"/>
          <w:color w:val="auto"/>
        </w:rPr>
      </w:pPr>
      <w:r>
        <w:rPr>
          <w:rFonts w:ascii="Arial" w:cs="Arial" w:eastAsia="Arial" w:hAnsi="Arial"/>
          <w:sz w:val="17"/>
          <w:szCs w:val="17"/>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Wind TE Holdco LLC, an 814 net MW portfolio of twelve wind projects</w:t>
      </w:r>
    </w:p>
    <w:p>
      <w:pPr>
        <w:spacing w:after="0" w:line="211" w:lineRule="exact"/>
        <w:rPr>
          <w:sz w:val="20"/>
          <w:szCs w:val="20"/>
          <w:color w:val="auto"/>
        </w:rPr>
      </w:pPr>
    </w:p>
    <w:p>
      <w:pPr>
        <w:sectPr>
          <w:pgSz w:w="11900" w:h="16838" w:orient="portrait"/>
          <w:cols w:equalWidth="0" w:num="2">
            <w:col w:w="2260" w:space="720"/>
            <w:col w:w="8060"/>
          </w:cols>
          <w:pgMar w:left="340" w:top="93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40" w:top="935" w:right="51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56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88"/>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474747"/>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332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rPr>
              <w:t>Cost of operations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474747"/>
              </w:rPr>
              <w:t>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5520" w:type="dxa"/>
            <w:vAlign w:val="bottom"/>
          </w:tcPr>
          <w:p>
            <w:pPr>
              <w:ind w:left="120"/>
              <w:spacing w:after="0"/>
              <w:rPr>
                <w:sz w:val="20"/>
                <w:szCs w:val="20"/>
                <w:color w:val="auto"/>
              </w:rPr>
            </w:pPr>
            <w:r>
              <w:rPr>
                <w:rFonts w:ascii="Arial" w:cs="Arial" w:eastAsia="Arial" w:hAnsi="Arial"/>
                <w:sz w:val="18"/>
                <w:szCs w:val="18"/>
                <w:color w:val="auto"/>
              </w:rPr>
              <w:t>Impairment losses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474747"/>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Transaction and integration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474747"/>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209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123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Gain on sale of unconsolidated affiliate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474747"/>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Loss on debt extinguishment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474747"/>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75"/>
        </w:trPr>
        <w:tc>
          <w:tcPr>
            <w:tcW w:w="5520" w:type="dxa"/>
            <w:vAlign w:val="bottom"/>
          </w:tcPr>
          <w:p>
            <w:pPr>
              <w:ind w:left="120"/>
              <w:spacing w:after="0" w:line="176" w:lineRule="exact"/>
              <w:rPr>
                <w:sz w:val="20"/>
                <w:szCs w:val="20"/>
                <w:color w:val="auto"/>
              </w:rPr>
            </w:pPr>
            <w:r>
              <w:rPr>
                <w:rFonts w:ascii="Arial" w:cs="Arial" w:eastAsia="Arial" w:hAnsi="Arial"/>
                <w:sz w:val="18"/>
                <w:szCs w:val="18"/>
                <w:color w:val="auto"/>
              </w:rPr>
              <w:t>Less: Loss attributable to noncontrolling interests and redeemable</w:t>
            </w:r>
          </w:p>
        </w:tc>
        <w:tc>
          <w:tcPr>
            <w:tcW w:w="2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474747"/>
              </w:rPr>
              <w:t>(20)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Clearway Energy, LLC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2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Three months ended September</w:t>
            </w:r>
          </w:p>
        </w:tc>
        <w:tc>
          <w:tcPr>
            <w:tcW w:w="120" w:type="dxa"/>
            <w:vAlign w:val="bottom"/>
          </w:tcPr>
          <w:p>
            <w:pPr>
              <w:spacing w:after="0"/>
              <w:rPr>
                <w:sz w:val="14"/>
                <w:szCs w:val="14"/>
                <w:color w:val="auto"/>
              </w:rPr>
            </w:pPr>
          </w:p>
        </w:tc>
        <w:tc>
          <w:tcPr>
            <w:tcW w:w="2260" w:type="dxa"/>
            <w:vAlign w:val="bottom"/>
            <w:gridSpan w:val="4"/>
            <w:vMerge w:val="restart"/>
          </w:tcPr>
          <w:p>
            <w:pPr>
              <w:jc w:val="center"/>
              <w:ind w:right="33"/>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89"/>
              </w:rPr>
              <w:t>51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derivatives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89"/>
              </w:rPr>
              <w:t>10</w:t>
            </w: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89"/>
              </w:rPr>
              <w:t>10</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89"/>
              </w:rPr>
              <w:t>61</w:t>
            </w: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Less: Comprehensive loss attributable to noncontrolling interests and redeemable interests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93"/>
              </w:rPr>
              <w:t>(20)</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Clearway Energy LLC</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89"/>
              </w:rPr>
              <w:t>81</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3"/>
              </w:rPr>
              <w:t>September 30, 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9"/>
              </w:rPr>
              <w:t>December 31, 2019</w:t>
            </w:r>
          </w:p>
        </w:tc>
        <w:tc>
          <w:tcPr>
            <w:tcW w:w="0" w:type="dxa"/>
            <w:vAlign w:val="bottom"/>
          </w:tcPr>
          <w:p>
            <w:pPr>
              <w:spacing w:after="0"/>
              <w:rPr>
                <w:sz w:val="1"/>
                <w:szCs w:val="1"/>
                <w:color w:val="auto"/>
              </w:rPr>
            </w:pPr>
          </w:p>
        </w:tc>
      </w:tr>
      <w:tr>
        <w:trPr>
          <w:trHeight w:val="197"/>
        </w:trPr>
        <w:tc>
          <w:tcPr>
            <w:tcW w:w="7500" w:type="dxa"/>
            <w:vAlign w:val="bottom"/>
          </w:tcPr>
          <w:p>
            <w:pPr>
              <w:ind w:left="346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750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 trade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7500" w:type="dxa"/>
            <w:vAlign w:val="bottom"/>
          </w:tcPr>
          <w:p>
            <w:pPr>
              <w:ind w:left="180"/>
              <w:spacing w:after="0"/>
              <w:rPr>
                <w:sz w:val="20"/>
                <w:szCs w:val="20"/>
                <w:color w:val="auto"/>
              </w:rPr>
            </w:pPr>
            <w:r>
              <w:rPr>
                <w:rFonts w:ascii="Arial" w:cs="Arial" w:eastAsia="Arial" w:hAnsi="Arial"/>
                <w:sz w:val="16"/>
                <w:szCs w:val="16"/>
                <w:color w:val="auto"/>
              </w:rPr>
              <w:t>Accounts receivable — affiliate</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Prepayments and other current assets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80"/>
              <w:spacing w:after="0"/>
              <w:rPr>
                <w:sz w:val="20"/>
                <w:szCs w:val="20"/>
                <w:color w:val="auto"/>
              </w:rPr>
            </w:pPr>
            <w:r>
              <w:rPr>
                <w:rFonts w:ascii="Arial" w:cs="Arial" w:eastAsia="Arial" w:hAnsi="Arial"/>
                <w:sz w:val="16"/>
                <w:szCs w:val="16"/>
                <w:color w:val="auto"/>
              </w:rPr>
              <w:t>Equity investments in affiliates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30"/>
        </w:trPr>
        <w:tc>
          <w:tcPr>
            <w:tcW w:w="7500" w:type="dxa"/>
            <w:vAlign w:val="bottom"/>
          </w:tcPr>
          <w:p>
            <w:pPr>
              <w:ind w:left="180"/>
              <w:spacing w:after="0"/>
              <w:rPr>
                <w:sz w:val="20"/>
                <w:szCs w:val="20"/>
                <w:color w:val="auto"/>
              </w:rPr>
            </w:pPr>
            <w:r>
              <w:rPr>
                <w:rFonts w:ascii="Arial" w:cs="Arial" w:eastAsia="Arial" w:hAnsi="Arial"/>
                <w:sz w:val="16"/>
                <w:szCs w:val="16"/>
                <w:color w:val="auto"/>
              </w:rPr>
              <w:t>Right of use assets, net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260"/>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 — affiliate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750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 affiliate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50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expense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19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debt — external</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29"/>
        </w:trPr>
        <w:tc>
          <w:tcPr>
            <w:tcW w:w="7500" w:type="dxa"/>
            <w:vAlign w:val="bottom"/>
          </w:tcPr>
          <w:p>
            <w:pPr>
              <w:ind w:left="20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lease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Members' Equity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Contributed capital</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29"/>
        </w:trPr>
        <w:tc>
          <w:tcPr>
            <w:tcW w:w="750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6"/>
        </w:trPr>
        <w:tc>
          <w:tcPr>
            <w:tcW w:w="84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2019</w:t>
            </w:r>
          </w:p>
        </w:tc>
      </w:tr>
      <w:tr>
        <w:trPr>
          <w:trHeight w:val="212"/>
        </w:trPr>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440" w:type="dxa"/>
            <w:vAlign w:val="bottom"/>
          </w:tcPr>
          <w:p>
            <w:pPr>
              <w:ind w:left="10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8440" w:type="dxa"/>
            <w:vAlign w:val="bottom"/>
          </w:tcPr>
          <w:p>
            <w:pPr>
              <w:ind w:left="320"/>
              <w:spacing w:after="0"/>
              <w:rPr>
                <w:sz w:val="20"/>
                <w:szCs w:val="20"/>
                <w:color w:val="auto"/>
              </w:rPr>
            </w:pPr>
            <w:r>
              <w:rPr>
                <w:rFonts w:ascii="Arial" w:cs="Arial" w:eastAsia="Arial" w:hAnsi="Arial"/>
                <w:sz w:val="18"/>
                <w:szCs w:val="18"/>
                <w:color w:val="auto"/>
              </w:rPr>
              <w:t>Distributions from unconsolidated affiliates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8440" w:type="dxa"/>
            <w:vAlign w:val="bottom"/>
          </w:tcPr>
          <w:p>
            <w:pPr>
              <w:ind w:left="320"/>
              <w:spacing w:after="0"/>
              <w:rPr>
                <w:sz w:val="20"/>
                <w:szCs w:val="20"/>
                <w:color w:val="auto"/>
              </w:rPr>
            </w:pPr>
            <w:r>
              <w:rPr>
                <w:rFonts w:ascii="Arial" w:cs="Arial" w:eastAsia="Arial" w:hAnsi="Arial"/>
                <w:sz w:val="18"/>
                <w:szCs w:val="18"/>
                <w:color w:val="auto"/>
              </w:rPr>
              <w:t>Amortization of financing costs and debt discounts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intangibles and out-of-market contracts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440" w:type="dxa"/>
            <w:vAlign w:val="bottom"/>
          </w:tcPr>
          <w:p>
            <w:pPr>
              <w:ind w:left="320"/>
              <w:spacing w:after="0"/>
              <w:rPr>
                <w:sz w:val="20"/>
                <w:szCs w:val="20"/>
                <w:color w:val="auto"/>
              </w:rPr>
            </w:pPr>
            <w:r>
              <w:rPr>
                <w:rFonts w:ascii="Arial" w:cs="Arial" w:eastAsia="Arial" w:hAnsi="Arial"/>
                <w:sz w:val="18"/>
                <w:szCs w:val="18"/>
                <w:color w:val="auto"/>
              </w:rPr>
              <w:t>Loss on debt extinguishment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Right-of-use asset amortization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440" w:type="dxa"/>
            <w:vAlign w:val="bottom"/>
          </w:tcPr>
          <w:p>
            <w:pPr>
              <w:ind w:left="320"/>
              <w:spacing w:after="0"/>
              <w:rPr>
                <w:sz w:val="20"/>
                <w:szCs w:val="20"/>
                <w:color w:val="auto"/>
              </w:rPr>
            </w:pPr>
            <w:r>
              <w:rPr>
                <w:rFonts w:ascii="Arial" w:cs="Arial" w:eastAsia="Arial" w:hAnsi="Arial"/>
                <w:sz w:val="18"/>
                <w:szCs w:val="18"/>
                <w:color w:val="auto"/>
              </w:rPr>
              <w:t>Gain on sale of unconsolidated affiliate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losses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440" w:type="dxa"/>
            <w:vAlign w:val="bottom"/>
          </w:tcPr>
          <w:p>
            <w:pPr>
              <w:ind w:left="320"/>
              <w:spacing w:after="0"/>
              <w:rPr>
                <w:sz w:val="20"/>
                <w:szCs w:val="20"/>
                <w:color w:val="auto"/>
              </w:rPr>
            </w:pPr>
            <w:r>
              <w:rPr>
                <w:rFonts w:ascii="Arial" w:cs="Arial" w:eastAsia="Arial" w:hAnsi="Arial"/>
                <w:sz w:val="18"/>
                <w:szCs w:val="18"/>
                <w:color w:val="auto"/>
              </w:rPr>
              <w:t>Changes in derivative instruments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asset components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440" w:type="dxa"/>
            <w:vAlign w:val="bottom"/>
          </w:tcPr>
          <w:p>
            <w:pPr>
              <w:ind w:left="100"/>
              <w:spacing w:after="0"/>
              <w:rPr>
                <w:sz w:val="20"/>
                <w:szCs w:val="20"/>
                <w:color w:val="auto"/>
              </w:rPr>
            </w:pPr>
            <w:r>
              <w:rPr>
                <w:rFonts w:ascii="Arial" w:cs="Arial" w:eastAsia="Arial" w:hAnsi="Arial"/>
                <w:sz w:val="18"/>
                <w:szCs w:val="18"/>
                <w:color w:val="auto"/>
              </w:rPr>
              <w:t>Cash used in changes in other working capital</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Changes in other working capital</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8440" w:type="dxa"/>
            <w:vAlign w:val="bottom"/>
          </w:tcPr>
          <w:p>
            <w:pPr>
              <w:ind w:left="320"/>
              <w:spacing w:after="0"/>
              <w:rPr>
                <w:sz w:val="20"/>
                <w:szCs w:val="20"/>
                <w:color w:val="auto"/>
              </w:rPr>
            </w:pPr>
            <w:r>
              <w:rPr>
                <w:rFonts w:ascii="Arial" w:cs="Arial" w:eastAsia="Arial" w:hAnsi="Arial"/>
                <w:sz w:val="18"/>
                <w:szCs w:val="18"/>
                <w:color w:val="auto"/>
              </w:rPr>
              <w:t>Acquisition of Drop Down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Buyout of Wind TE Holdco noncontrolling interest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440" w:type="dxa"/>
            <w:vAlign w:val="bottom"/>
          </w:tcPr>
          <w:p>
            <w:pPr>
              <w:ind w:left="320"/>
              <w:spacing w:after="0"/>
              <w:rPr>
                <w:sz w:val="20"/>
                <w:szCs w:val="20"/>
                <w:color w:val="auto"/>
              </w:rPr>
            </w:pPr>
            <w:r>
              <w:rPr>
                <w:rFonts w:ascii="Arial" w:cs="Arial" w:eastAsia="Arial" w:hAnsi="Arial"/>
                <w:sz w:val="18"/>
                <w:szCs w:val="18"/>
                <w:color w:val="auto"/>
              </w:rPr>
              <w:t>Consolidation of DGPV Holdco 3 LLC</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8440" w:type="dxa"/>
            <w:vAlign w:val="bottom"/>
          </w:tcPr>
          <w:p>
            <w:pPr>
              <w:ind w:left="320"/>
              <w:spacing w:after="0"/>
              <w:rPr>
                <w:sz w:val="20"/>
                <w:szCs w:val="20"/>
                <w:color w:val="auto"/>
              </w:rPr>
            </w:pPr>
            <w:r>
              <w:rPr>
                <w:rFonts w:ascii="Arial" w:cs="Arial" w:eastAsia="Arial" w:hAnsi="Arial"/>
                <w:sz w:val="18"/>
                <w:szCs w:val="18"/>
                <w:color w:val="auto"/>
              </w:rPr>
              <w:t>Return of investment from unconsolidated affiliates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Investments in unconsolidated affiliates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440" w:type="dxa"/>
            <w:vAlign w:val="bottom"/>
          </w:tcPr>
          <w:p>
            <w:pPr>
              <w:ind w:left="320"/>
              <w:spacing w:after="0"/>
              <w:rPr>
                <w:sz w:val="20"/>
                <w:szCs w:val="20"/>
                <w:color w:val="auto"/>
              </w:rPr>
            </w:pPr>
            <w:r>
              <w:rPr>
                <w:rFonts w:ascii="Arial" w:cs="Arial" w:eastAsia="Arial" w:hAnsi="Arial"/>
                <w:sz w:val="18"/>
                <w:szCs w:val="18"/>
                <w:color w:val="auto"/>
              </w:rPr>
              <w:t>Proceeds from sale of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 proceeds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440" w:type="dxa"/>
            <w:vAlign w:val="bottom"/>
          </w:tcPr>
          <w:p>
            <w:pPr>
              <w:ind w:left="320"/>
              <w:spacing w:after="0"/>
              <w:rPr>
                <w:sz w:val="20"/>
                <w:szCs w:val="20"/>
                <w:color w:val="auto"/>
              </w:rPr>
            </w:pPr>
            <w:r>
              <w:rPr>
                <w:rFonts w:ascii="Arial" w:cs="Arial" w:eastAsia="Arial" w:hAnsi="Arial"/>
                <w:sz w:val="18"/>
                <w:szCs w:val="18"/>
                <w:color w:val="auto"/>
              </w:rPr>
              <w:t>Net contributions (distributions) from noncontrolling interests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Buyout of Repowering Partnership II LLC noncontrolling interest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320"/>
              <w:spacing w:after="0"/>
              <w:rPr>
                <w:sz w:val="20"/>
                <w:szCs w:val="20"/>
                <w:color w:val="auto"/>
              </w:rPr>
            </w:pPr>
            <w:r>
              <w:rPr>
                <w:rFonts w:ascii="Arial" w:cs="Arial" w:eastAsia="Arial" w:hAnsi="Arial"/>
                <w:sz w:val="18"/>
                <w:szCs w:val="18"/>
                <w:color w:val="auto"/>
              </w:rPr>
              <w:t>Net proceeds from the issuance of Class C units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of distributions, net of contributions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8440" w:type="dxa"/>
            <w:vAlign w:val="bottom"/>
          </w:tcPr>
          <w:p>
            <w:pPr>
              <w:ind w:left="320"/>
              <w:spacing w:after="0"/>
              <w:rPr>
                <w:sz w:val="20"/>
                <w:szCs w:val="20"/>
                <w:color w:val="auto"/>
              </w:rPr>
            </w:pPr>
            <w:r>
              <w:rPr>
                <w:rFonts w:ascii="Arial" w:cs="Arial" w:eastAsia="Arial" w:hAnsi="Arial"/>
                <w:sz w:val="18"/>
                <w:szCs w:val="18"/>
                <w:color w:val="auto"/>
              </w:rPr>
              <w:t>Payments of debt issuance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revolving credit facility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440" w:type="dxa"/>
            <w:vAlign w:val="bottom"/>
          </w:tcPr>
          <w:p>
            <w:pPr>
              <w:ind w:left="320"/>
              <w:spacing w:after="0"/>
              <w:rPr>
                <w:sz w:val="20"/>
                <w:szCs w:val="20"/>
                <w:color w:val="auto"/>
              </w:rPr>
            </w:pPr>
            <w:r>
              <w:rPr>
                <w:rFonts w:ascii="Arial" w:cs="Arial" w:eastAsia="Arial" w:hAnsi="Arial"/>
                <w:sz w:val="18"/>
                <w:szCs w:val="18"/>
                <w:color w:val="auto"/>
              </w:rPr>
              <w:t>Payments for the revolving credit facility</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issuance of long-term debt — external</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30"/>
        </w:trPr>
        <w:tc>
          <w:tcPr>
            <w:tcW w:w="8440" w:type="dxa"/>
            <w:vAlign w:val="bottom"/>
          </w:tcPr>
          <w:p>
            <w:pPr>
              <w:ind w:left="320"/>
              <w:spacing w:after="0"/>
              <w:rPr>
                <w:sz w:val="20"/>
                <w:szCs w:val="20"/>
                <w:color w:val="auto"/>
              </w:rPr>
            </w:pPr>
            <w:r>
              <w:rPr>
                <w:rFonts w:ascii="Arial" w:cs="Arial" w:eastAsia="Arial" w:hAnsi="Arial"/>
                <w:sz w:val="18"/>
                <w:szCs w:val="18"/>
                <w:color w:val="auto"/>
              </w:rPr>
              <w:t>Payments for long-term debt — external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long-term debt — affiliate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Payments for long-term debt — affiliate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Contributed</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88"/>
        </w:trPr>
        <w:tc>
          <w:tcPr>
            <w:tcW w:w="5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900" w:type="dxa"/>
            <w:vAlign w:val="bottom"/>
          </w:tcPr>
          <w:p>
            <w:pPr>
              <w:jc w:val="center"/>
              <w:ind w:right="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loss on derivatives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Contributions from CEG, cash</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tax equity interests, net of distributions, cash</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Net proceeds from the sales of units, Clearway Energy, Inc.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to tax equity investors, non-cash</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Balances at March 31,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1,850</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Unrealized gain on derivatives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CEG, non-cash</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Contributions from CEG, cash</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to tax equity interests, net of contributions, cash</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Net proceeds from the sales of units, Clearway Energy, Inc.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to tax equity investors, non-cash</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Consolidation of DGPV Holdco 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Buyout of Repowering Partnership II LLC noncontrolling interest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6"/>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Balances at June 30,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1,733</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Unrealized gain on derivatives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to CEG, non-cash</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Net proceeds from the sales of units, Clearway Energy, Inc.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to tax equity investors, non-cash</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Consolidation of DGPV Holdco 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Mesquite Star Drop Down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6"/>
        </w:trPr>
        <w:tc>
          <w:tcPr>
            <w:tcW w:w="5020" w:type="dxa"/>
            <w:vAlign w:val="bottom"/>
          </w:tcPr>
          <w:p>
            <w:pPr>
              <w:ind w:left="120"/>
              <w:spacing w:after="0"/>
              <w:rPr>
                <w:sz w:val="20"/>
                <w:szCs w:val="20"/>
                <w:color w:val="auto"/>
              </w:rPr>
            </w:pPr>
            <w:r>
              <w:rPr>
                <w:rFonts w:ascii="Arial" w:cs="Arial" w:eastAsia="Arial" w:hAnsi="Arial"/>
                <w:sz w:val="16"/>
                <w:szCs w:val="16"/>
                <w:b w:val="1"/>
                <w:bCs w:val="1"/>
                <w:color w:val="auto"/>
              </w:rPr>
              <w:t>Balances at September 30, 2020</w:t>
            </w: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2,154</w:t>
            </w: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Contributed</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Members'</w:t>
            </w:r>
          </w:p>
        </w:tc>
        <w:tc>
          <w:tcPr>
            <w:tcW w:w="0" w:type="dxa"/>
            <w:vAlign w:val="bottom"/>
          </w:tcPr>
          <w:p>
            <w:pPr>
              <w:spacing w:after="0"/>
              <w:rPr>
                <w:sz w:val="1"/>
                <w:szCs w:val="1"/>
                <w:color w:val="auto"/>
              </w:rPr>
            </w:pPr>
          </w:p>
        </w:tc>
      </w:tr>
      <w:tr>
        <w:trPr>
          <w:trHeight w:val="186"/>
        </w:trPr>
        <w:tc>
          <w:tcPr>
            <w:tcW w:w="5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88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Balances at December 31,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5100" w:type="dxa"/>
            <w:vAlign w:val="bottom"/>
          </w:tcPr>
          <w:p>
            <w:pPr>
              <w:ind w:left="120"/>
              <w:spacing w:after="0"/>
              <w:rPr>
                <w:sz w:val="20"/>
                <w:szCs w:val="20"/>
                <w:color w:val="auto"/>
              </w:rPr>
            </w:pPr>
            <w:r>
              <w:rPr>
                <w:rFonts w:ascii="Arial" w:cs="Arial" w:eastAsia="Arial" w:hAnsi="Arial"/>
                <w:sz w:val="16"/>
                <w:szCs w:val="16"/>
                <w:color w:val="auto"/>
              </w:rPr>
              <w:t>Unrealized (loss) gain on derivatives</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Buyout of Wind TE Holdco noncontrolling interest.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5100" w:type="dxa"/>
            <w:vAlign w:val="bottom"/>
          </w:tcPr>
          <w:p>
            <w:pPr>
              <w:ind w:left="120"/>
              <w:spacing w:after="0"/>
              <w:rPr>
                <w:sz w:val="20"/>
                <w:szCs w:val="20"/>
                <w:color w:val="auto"/>
              </w:rPr>
            </w:pPr>
            <w:r>
              <w:rPr>
                <w:rFonts w:ascii="Arial" w:cs="Arial" w:eastAsia="Arial" w:hAnsi="Arial"/>
                <w:sz w:val="16"/>
                <w:szCs w:val="16"/>
                <w:color w:val="auto"/>
              </w:rPr>
              <w:t>Contributions from tax equity interests, net of distributions, cash</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CEG for Oahu Partnership, non-cash</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100" w:type="dxa"/>
            <w:vAlign w:val="bottom"/>
          </w:tcPr>
          <w:p>
            <w:pPr>
              <w:ind w:left="120"/>
              <w:spacing w:after="0"/>
              <w:rPr>
                <w:sz w:val="20"/>
                <w:szCs w:val="20"/>
                <w:color w:val="auto"/>
              </w:rPr>
            </w:pPr>
            <w:r>
              <w:rPr>
                <w:rFonts w:ascii="Arial" w:cs="Arial" w:eastAsia="Arial" w:hAnsi="Arial"/>
                <w:sz w:val="16"/>
                <w:szCs w:val="16"/>
                <w:color w:val="auto"/>
              </w:rPr>
              <w:t>Cumulative effect of change in the accounting principle</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5100" w:type="dxa"/>
            <w:vAlign w:val="bottom"/>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13"/>
        </w:trPr>
        <w:tc>
          <w:tcPr>
            <w:tcW w:w="5100" w:type="dxa"/>
            <w:vAlign w:val="bottom"/>
          </w:tcPr>
          <w:p>
            <w:pPr>
              <w:ind w:left="80"/>
              <w:spacing w:after="0"/>
              <w:rPr>
                <w:sz w:val="20"/>
                <w:szCs w:val="20"/>
                <w:color w:val="auto"/>
              </w:rPr>
            </w:pPr>
            <w:r>
              <w:rPr>
                <w:rFonts w:ascii="Arial" w:cs="Arial" w:eastAsia="Arial" w:hAnsi="Arial"/>
                <w:sz w:val="16"/>
                <w:szCs w:val="16"/>
                <w:color w:val="auto"/>
              </w:rPr>
              <w:t>Net (loss) income</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Unrealized gain on derivatives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5100" w:type="dxa"/>
            <w:vAlign w:val="bottom"/>
          </w:tcPr>
          <w:p>
            <w:pPr>
              <w:ind w:left="80"/>
              <w:spacing w:after="0"/>
              <w:rPr>
                <w:sz w:val="20"/>
                <w:szCs w:val="20"/>
                <w:color w:val="auto"/>
              </w:rPr>
            </w:pPr>
            <w:r>
              <w:rPr>
                <w:rFonts w:ascii="Arial" w:cs="Arial" w:eastAsia="Arial" w:hAnsi="Arial"/>
                <w:sz w:val="16"/>
                <w:szCs w:val="16"/>
                <w:color w:val="auto"/>
              </w:rPr>
              <w:t>Distributions to noncontrolling interests, net of contributions, cash</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69"/>
        </w:trPr>
        <w:tc>
          <w:tcPr>
            <w:tcW w:w="5100" w:type="dxa"/>
            <w:vAlign w:val="bottom"/>
            <w:shd w:val="clear" w:color="auto" w:fill="CCEEFF"/>
          </w:tcPr>
          <w:p>
            <w:pPr>
              <w:ind w:left="80"/>
              <w:spacing w:after="0" w:line="169" w:lineRule="exact"/>
              <w:rPr>
                <w:sz w:val="20"/>
                <w:szCs w:val="20"/>
                <w:color w:val="auto"/>
              </w:rPr>
            </w:pPr>
            <w:r>
              <w:rPr>
                <w:rFonts w:ascii="Arial" w:cs="Arial" w:eastAsia="Arial" w:hAnsi="Arial"/>
                <w:sz w:val="16"/>
                <w:szCs w:val="16"/>
                <w:color w:val="auto"/>
              </w:rPr>
              <w:t>Contributions from CEG for Kawailoa,</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25"/>
        </w:trPr>
        <w:tc>
          <w:tcPr>
            <w:tcW w:w="510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Repowering Partnerships, non-cash</w:t>
            </w:r>
          </w:p>
        </w:tc>
        <w:tc>
          <w:tcPr>
            <w:tcW w:w="12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51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80"/>
              <w:spacing w:after="0"/>
              <w:rPr>
                <w:sz w:val="20"/>
                <w:szCs w:val="20"/>
                <w:color w:val="auto"/>
              </w:rPr>
            </w:pPr>
            <w:r>
              <w:rPr>
                <w:rFonts w:ascii="Arial" w:cs="Arial" w:eastAsia="Arial" w:hAnsi="Arial"/>
                <w:sz w:val="16"/>
                <w:szCs w:val="16"/>
                <w:color w:val="auto"/>
              </w:rPr>
              <w:t>Distributions paid to CEG on Class B and Class D units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Distributions paid to Clearway Energy, Inc., non-cash</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100" w:type="dxa"/>
            <w:vAlign w:val="bottom"/>
          </w:tcPr>
          <w:p>
            <w:pPr>
              <w:ind w:left="80"/>
              <w:spacing w:after="0"/>
              <w:rPr>
                <w:sz w:val="20"/>
                <w:szCs w:val="20"/>
                <w:color w:val="auto"/>
              </w:rPr>
            </w:pPr>
            <w:r>
              <w:rPr>
                <w:rFonts w:ascii="Arial" w:cs="Arial" w:eastAsia="Arial" w:hAnsi="Arial"/>
                <w:sz w:val="16"/>
                <w:szCs w:val="16"/>
                <w:color w:val="auto"/>
              </w:rPr>
              <w:t>Distributions paid to Clearway Energy, Inc.</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June 30,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13"/>
        </w:trPr>
        <w:tc>
          <w:tcPr>
            <w:tcW w:w="5100" w:type="dxa"/>
            <w:vAlign w:val="bottom"/>
          </w:tcPr>
          <w:p>
            <w:pPr>
              <w:ind w:left="8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Unrealized loss on derivatives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100" w:type="dxa"/>
            <w:vAlign w:val="bottom"/>
          </w:tcPr>
          <w:p>
            <w:pPr>
              <w:ind w:left="80"/>
              <w:spacing w:after="0"/>
              <w:rPr>
                <w:sz w:val="20"/>
                <w:szCs w:val="20"/>
                <w:color w:val="auto"/>
              </w:rPr>
            </w:pPr>
            <w:r>
              <w:rPr>
                <w:rFonts w:ascii="Arial" w:cs="Arial" w:eastAsia="Arial" w:hAnsi="Arial"/>
                <w:sz w:val="16"/>
                <w:szCs w:val="16"/>
                <w:color w:val="auto"/>
              </w:rPr>
              <w:t>Distributions to noncontrolling interests, net of contributions, cash</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5100" w:type="dxa"/>
            <w:vAlign w:val="bottom"/>
            <w:shd w:val="clear" w:color="auto" w:fill="CCEEFF"/>
          </w:tcPr>
          <w:p>
            <w:pPr>
              <w:ind w:left="80"/>
              <w:spacing w:after="0" w:line="169" w:lineRule="exact"/>
              <w:rPr>
                <w:sz w:val="20"/>
                <w:szCs w:val="20"/>
                <w:color w:val="auto"/>
              </w:rPr>
            </w:pPr>
            <w:r>
              <w:rPr>
                <w:rFonts w:ascii="Arial" w:cs="Arial" w:eastAsia="Arial" w:hAnsi="Arial"/>
                <w:sz w:val="16"/>
                <w:szCs w:val="16"/>
                <w:color w:val="auto"/>
              </w:rPr>
              <w:t>Contributions from CEG for Kawailoa,</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25"/>
        </w:trPr>
        <w:tc>
          <w:tcPr>
            <w:tcW w:w="510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Repowering Partnerships, non-cash</w:t>
            </w:r>
          </w:p>
        </w:tc>
        <w:tc>
          <w:tcPr>
            <w:tcW w:w="12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51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80"/>
              <w:spacing w:after="0"/>
              <w:rPr>
                <w:sz w:val="20"/>
                <w:szCs w:val="20"/>
                <w:color w:val="auto"/>
              </w:rPr>
            </w:pPr>
            <w:r>
              <w:rPr>
                <w:rFonts w:ascii="Arial" w:cs="Arial" w:eastAsia="Arial" w:hAnsi="Arial"/>
                <w:sz w:val="16"/>
                <w:szCs w:val="16"/>
                <w:color w:val="auto"/>
              </w:rPr>
              <w:t>Distributions paid to CEG on Class B and Class D units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Distributions paid to Clearway Energy, Inc.</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7"/>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Balances at September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energy and transport sectors, and Global Infrastructure Partners III is its third equity fund. The Company is sponsored by GIP through GIP's portfolio company, CEG.</w:t>
      </w:r>
    </w:p>
    <w:p>
      <w:pPr>
        <w:spacing w:after="0" w:line="117"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6"/>
          <w:szCs w:val="16"/>
          <w:color w:val="auto"/>
        </w:rPr>
        <w:t xml:space="preserve">The Company’s environmentally-sound asset portfolio includes over 6,201 MW of wind, solar and natural gas-fired power generation facilities. Through this diversified and contracted portfolio, the Company endeavors to provide its investors with stable and growing dividend income. </w:t>
      </w:r>
      <w:r>
        <w:rPr>
          <w:rFonts w:ascii="Arial" w:cs="Arial" w:eastAsia="Arial" w:hAnsi="Arial"/>
          <w:sz w:val="16"/>
          <w:szCs w:val="16"/>
          <w:color w:val="231F20"/>
        </w:rPr>
        <w:t>Nearly all</w:t>
      </w:r>
      <w:r>
        <w:rPr>
          <w:rFonts w:ascii="Arial" w:cs="Arial" w:eastAsia="Arial" w:hAnsi="Arial"/>
          <w:sz w:val="16"/>
          <w:szCs w:val="16"/>
          <w:color w:val="auto"/>
        </w:rPr>
        <w:t xml:space="preserve"> of these assets sell substantially all of their output pursuant to long-term offtake agreements with creditworthy counterparties. The weighted average remaining contract duration of these offtake agreements was approximately 13 years </w:t>
      </w:r>
      <w:r>
        <w:rPr>
          <w:rFonts w:ascii="Arial" w:cs="Arial" w:eastAsia="Arial" w:hAnsi="Arial"/>
          <w:sz w:val="16"/>
          <w:szCs w:val="16"/>
          <w:color w:val="231F20"/>
        </w:rPr>
        <w:t>as of</w:t>
      </w:r>
      <w:r>
        <w:rPr>
          <w:rFonts w:ascii="Arial" w:cs="Arial" w:eastAsia="Arial" w:hAnsi="Arial"/>
          <w:sz w:val="16"/>
          <w:szCs w:val="16"/>
          <w:color w:val="auto"/>
        </w:rPr>
        <w:t xml:space="preserve"> September 30, 2020 </w:t>
      </w:r>
      <w:r>
        <w:rPr>
          <w:rFonts w:ascii="Arial" w:cs="Arial" w:eastAsia="Arial" w:hAnsi="Arial"/>
          <w:sz w:val="16"/>
          <w:szCs w:val="16"/>
          <w:color w:val="231F20"/>
        </w:rPr>
        <w:t>based on CAFD. The Company also owns</w:t>
      </w:r>
      <w:r>
        <w:rPr>
          <w:rFonts w:ascii="Arial" w:cs="Arial" w:eastAsia="Arial" w:hAnsi="Arial"/>
          <w:sz w:val="16"/>
          <w:szCs w:val="16"/>
          <w:color w:val="auto"/>
        </w:rPr>
        <w:t xml:space="preserve"> </w:t>
      </w:r>
      <w:r>
        <w:rPr>
          <w:rFonts w:ascii="Arial" w:cs="Arial" w:eastAsia="Arial" w:hAnsi="Arial"/>
          <w:sz w:val="16"/>
          <w:szCs w:val="16"/>
          <w:color w:val="231F20"/>
        </w:rPr>
        <w:t xml:space="preserve">thermal infrastructure assets with an aggregate steam and chilled water capacity of </w:t>
      </w:r>
      <w:r>
        <w:rPr>
          <w:rFonts w:ascii="Arial" w:cs="Arial" w:eastAsia="Arial" w:hAnsi="Arial"/>
          <w:sz w:val="16"/>
          <w:szCs w:val="16"/>
          <w:color w:val="000000"/>
        </w:rPr>
        <w:t>1,456</w:t>
      </w:r>
      <w:r>
        <w:rPr>
          <w:rFonts w:ascii="Arial" w:cs="Arial" w:eastAsia="Arial" w:hAnsi="Arial"/>
          <w:sz w:val="16"/>
          <w:szCs w:val="16"/>
          <w:color w:val="231F20"/>
        </w:rPr>
        <w:t xml:space="preserve"> net MWt and electric generation capacity of </w:t>
      </w:r>
      <w:r>
        <w:rPr>
          <w:rFonts w:ascii="Arial" w:cs="Arial" w:eastAsia="Arial" w:hAnsi="Arial"/>
          <w:sz w:val="16"/>
          <w:szCs w:val="16"/>
          <w:color w:val="000000"/>
        </w:rPr>
        <w:t>39</w:t>
      </w:r>
      <w:r>
        <w:rPr>
          <w:rFonts w:ascii="Arial" w:cs="Arial" w:eastAsia="Arial" w:hAnsi="Arial"/>
          <w:sz w:val="16"/>
          <w:szCs w:val="16"/>
          <w:color w:val="231F20"/>
        </w:rPr>
        <w:t xml:space="preserve">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Clearway Energy, Inc. consolidates the results of Clearway Energy LLC through its controlling interest, with CEG's interest shown as noncontrolling interest in the financial statements. The holders of Clearway Energy, Inc.'s outstanding shares of Class A and Class C common stock are entitled to dividends as declared. CEG receives its distributions from Clearway Energy LLC through its ownership of Clearway Energy LLC Class B and Class D units.</w:t>
      </w:r>
    </w:p>
    <w:p>
      <w:pPr>
        <w:spacing w:after="0" w:line="137"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As a result of the Class C common stock issuance under the ATM Programs of Clearway Energy, Inc. during the nine months ended September 30, 2020, Clearway Energy, Inc. owns 57.58% of the economic interests of Clearway Energy LLC, with CEG retaining 42.42% of the economic interests of Clearway Energy LLC as of September 30, 2020</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color w:val="auto"/>
        </w:rPr>
        <w:t>The following table represents the structure of the Company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63590" cy="4397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2019 Form 10-K. Interim results are not necessarily indicative of results for a full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2020, and the results of operations, comprehensive income (loss) and cash flows for the nine months ended September 30, 2020 and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PG&amp;E Bankruptcy Update</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On July 1, 2020, PG&amp;E emerged from bankruptcy and assumed the Company's contracts without modification. In addition, PG&amp;E paid to the Company's applicable projects the portion of the invoices corresponding to the electricity delivered for the period between January 1 and January 28, 2019. These invoices related to the pre-petition period services and any payment therefore required the approval by the Bankruptcy Court. During the three months ended September 30, 2020, the Company entered into waiver agreements with the lenders to the respective financing agreements related to the PG&amp;E Bankruptcy and all previously restricted distributions were paid out of distribution reserve accounts at the Company's subsidiaries affected by the PG&amp;E Bankruptcy as of October 31, 2020. A description of changes to the financial statements resulting from PG&amp;E's emergence from bankruptcy is noted below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Note 5,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xml:space="preserve"> and Note 7, </w:t>
      </w:r>
      <w:r>
        <w:rPr>
          <w:rFonts w:ascii="Arial" w:cs="Arial" w:eastAsia="Arial" w:hAnsi="Arial"/>
          <w:sz w:val="16"/>
          <w:szCs w:val="16"/>
          <w:i w:val="1"/>
          <w:iCs w:val="1"/>
          <w:color w:val="auto"/>
        </w:rPr>
        <w:t>Long-term Debt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at the time of purchase. Cash and cash equivalents held at project subsidiaries was $176 million and $125 million as of September 30, 2020 and December 31, 2019, respectively. During October 2020, the last of the previously restricted cash of $34 million was paid out of a distribution reserve account at a subsidiary affected by the PG&amp;E Bankruptcy to Clearway Energy Operating LLC.</w:t>
      </w:r>
    </w:p>
    <w:p>
      <w:pPr>
        <w:spacing w:after="0" w:line="13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8"/>
              </w:rPr>
              <w:t>December 31, 2019</w:t>
            </w:r>
          </w:p>
        </w:tc>
      </w:tr>
      <w:tr>
        <w:trPr>
          <w:trHeight w:val="187"/>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4"/>
          </w:tcPr>
          <w:p>
            <w:pPr>
              <w:ind w:left="1200"/>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cash equivalents and restricted cash shown in the statement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September 30, 2020, these restricted funds were comprised of $74 million designated to fund operating expenses, approximately $46 million designated for current debt service payments, and $28 million restricted for reserves including debt service, performance obligations and other reserves, as well as capital expenditures. The remaining $30 million is held in distribution reserve accounts.</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September 30, 2020 and December 31, 2019:</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7"/>
              <w:spacing w:after="0"/>
              <w:rPr>
                <w:sz w:val="20"/>
                <w:szCs w:val="20"/>
                <w:color w:val="auto"/>
              </w:rPr>
            </w:pPr>
            <w:r>
              <w:rPr>
                <w:rFonts w:ascii="Arial" w:cs="Arial" w:eastAsia="Arial" w:hAnsi="Arial"/>
                <w:sz w:val="16"/>
                <w:szCs w:val="16"/>
                <w:b w:val="1"/>
                <w:bCs w:val="1"/>
                <w:color w:val="auto"/>
                <w:w w:val="93"/>
              </w:rPr>
              <w:t>September 30, 2020</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w w:val="94"/>
              </w:rPr>
              <w:t>December 31, 2019</w:t>
            </w:r>
          </w:p>
        </w:tc>
      </w:tr>
      <w:tr>
        <w:trPr>
          <w:trHeight w:val="184"/>
        </w:trPr>
        <w:tc>
          <w:tcPr>
            <w:tcW w:w="7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3"/>
          </w:tcPr>
          <w:p>
            <w:pPr>
              <w:jc w:val="right"/>
              <w:ind w:right="1393"/>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Accumulated Depreciation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Intangible Assets Accumulated Amortization</w:t>
            </w:r>
          </w:p>
        </w:tc>
        <w:tc>
          <w:tcPr>
            <w:tcW w:w="160" w:type="dxa"/>
            <w:vAlign w:val="bottom"/>
          </w:tcPr>
          <w:p>
            <w:pPr>
              <w:spacing w:after="0"/>
              <w:rPr>
                <w:sz w:val="20"/>
                <w:szCs w:val="20"/>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461</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394</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distributions paid on the Company's Class A, B, C and D units during the nine months ended September 30,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 2020</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Second Quarter</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2020</w:t>
            </w:r>
          </w:p>
        </w:tc>
        <w:tc>
          <w:tcPr>
            <w:tcW w:w="0" w:type="dxa"/>
            <w:vAlign w:val="bottom"/>
          </w:tcPr>
          <w:p>
            <w:pPr>
              <w:spacing w:after="0"/>
              <w:rPr>
                <w:sz w:val="1"/>
                <w:szCs w:val="1"/>
                <w:color w:val="auto"/>
              </w:rPr>
            </w:pPr>
          </w:p>
        </w:tc>
      </w:tr>
      <w:tr>
        <w:trPr>
          <w:trHeight w:val="188"/>
        </w:trPr>
        <w:tc>
          <w:tcPr>
            <w:tcW w:w="71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Class A, B, C and D unit</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27, 2020 the Company declared a distribution on its Class A, Class B, Class C and Class D units of $0.318 per unit payable on December 15, 2020 to unit holders of record as of December 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Company applies the guidance in ASC 606, Revenue from Contracts with Customers,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Thermal Revenues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2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which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Purchase Agreements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Previously ASC 840, and currently ASC 842, requires the minimum lease payments received to be amortized over the term of the lease and contingent rentals are recorded when the achievement of the contingency becomes probable. Management's judgment is required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sales-type lease.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Renewable Energy Credits</w:t>
      </w:r>
    </w:p>
    <w:p>
      <w:pPr>
        <w:spacing w:after="0" w:line="17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 for the three and nine months ended September 30, 2020 and 2019 respectively:</w:t>
      </w:r>
    </w:p>
    <w:p>
      <w:pPr>
        <w:spacing w:after="0" w:line="148"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ind w:left="940"/>
              <w:spacing w:after="0"/>
              <w:rPr>
                <w:sz w:val="20"/>
                <w:szCs w:val="20"/>
                <w:color w:val="auto"/>
              </w:rPr>
            </w:pPr>
            <w:r>
              <w:rPr>
                <w:rFonts w:ascii="Arial" w:cs="Arial" w:eastAsia="Arial" w:hAnsi="Arial"/>
                <w:sz w:val="14"/>
                <w:szCs w:val="14"/>
                <w:b w:val="1"/>
                <w:bCs w:val="1"/>
                <w:color w:val="auto"/>
                <w:w w:val="93"/>
              </w:rPr>
              <w:t>Three months ended September 30, 2020</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Conventional</w:t>
            </w:r>
          </w:p>
        </w:tc>
        <w:tc>
          <w:tcPr>
            <w:tcW w:w="12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Thermal</w:t>
            </w:r>
          </w:p>
        </w:tc>
        <w:tc>
          <w:tcPr>
            <w:tcW w:w="220" w:type="dxa"/>
            <w:vAlign w:val="bottom"/>
          </w:tcPr>
          <w:p>
            <w:pPr>
              <w:spacing w:after="0"/>
              <w:rPr>
                <w:sz w:val="11"/>
                <w:szCs w:val="11"/>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Generation</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97"/>
        </w:trPr>
        <w:tc>
          <w:tcPr>
            <w:tcW w:w="600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operating revenue</w:t>
            </w: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333333"/>
              </w:rPr>
              <w:t>(122)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33333"/>
              </w:rPr>
              <w:t>(153)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333333"/>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000" w:type="dxa"/>
            <w:vAlign w:val="bottom"/>
          </w:tcPr>
          <w:p>
            <w:pPr>
              <w:ind w:left="100"/>
              <w:spacing w:after="0"/>
              <w:rPr>
                <w:sz w:val="20"/>
                <w:szCs w:val="20"/>
                <w:color w:val="auto"/>
              </w:rPr>
            </w:pPr>
            <w:r>
              <w:rPr>
                <w:rFonts w:ascii="Arial" w:cs="Arial" w:eastAsia="Arial" w:hAnsi="Arial"/>
                <w:sz w:val="18"/>
                <w:szCs w:val="18"/>
                <w:color w:val="auto"/>
              </w:rPr>
              <w:t>Total revenue from contracts with customers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00" w:hanging="149"/>
        <w:spacing w:after="0"/>
        <w:tabs>
          <w:tab w:leader="none" w:pos="400"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tbl>
      <w:tblPr>
        <w:tblLayout w:type="fixed"/>
        <w:tblInd w:w="1580" w:type="dxa"/>
        <w:tblCellMar>
          <w:top w:w="0" w:type="dxa"/>
          <w:left w:w="0" w:type="dxa"/>
          <w:bottom w:w="0" w:type="dxa"/>
          <w:right w:w="0" w:type="dxa"/>
        </w:tblCellMar>
      </w:tblPr>
      <w:tr>
        <w:trPr>
          <w:trHeight w:val="154"/>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4"/>
              </w:rPr>
              <w:t>Conventional</w:t>
            </w:r>
          </w:p>
        </w:tc>
        <w:tc>
          <w:tcPr>
            <w:tcW w:w="260" w:type="dxa"/>
            <w:vAlign w:val="bottom"/>
          </w:tcPr>
          <w:p>
            <w:pPr>
              <w:spacing w:after="0"/>
              <w:rPr>
                <w:sz w:val="13"/>
                <w:szCs w:val="13"/>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Generation</w:t>
            </w: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8"/>
        </w:trPr>
        <w:tc>
          <w:tcPr>
            <w:tcW w:w="2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Nine months ended September 30, 2020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4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Renewables</w:t>
            </w:r>
          </w:p>
        </w:tc>
        <w:tc>
          <w:tcPr>
            <w:tcW w:w="18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Thermal</w:t>
            </w:r>
          </w:p>
        </w:tc>
        <w:tc>
          <w:tcPr>
            <w:tcW w:w="240" w:type="dxa"/>
            <w:vAlign w:val="bottom"/>
          </w:tcPr>
          <w:p>
            <w:pPr>
              <w:spacing w:after="0"/>
              <w:rPr>
                <w:sz w:val="11"/>
                <w:szCs w:val="11"/>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Generation</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2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020" w:type="dxa"/>
            <w:vAlign w:val="bottom"/>
          </w:tcPr>
          <w:p>
            <w:pPr>
              <w:ind w:left="120"/>
              <w:spacing w:after="0"/>
              <w:rPr>
                <w:sz w:val="20"/>
                <w:szCs w:val="20"/>
                <w:color w:val="auto"/>
              </w:rPr>
            </w:pPr>
            <w:r>
              <w:rPr>
                <w:rFonts w:ascii="Arial" w:cs="Arial" w:eastAsia="Arial" w:hAnsi="Arial"/>
                <w:sz w:val="18"/>
                <w:szCs w:val="18"/>
                <w:color w:val="auto"/>
              </w:rPr>
              <w:t>Total operating revenue</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6020" w:type="dxa"/>
            <w:vAlign w:val="bottom"/>
          </w:tcPr>
          <w:p>
            <w:pPr>
              <w:ind w:left="100"/>
              <w:spacing w:after="0"/>
              <w:rPr>
                <w:sz w:val="20"/>
                <w:szCs w:val="20"/>
                <w:color w:val="auto"/>
              </w:rPr>
            </w:pPr>
            <w:r>
              <w:rPr>
                <w:rFonts w:ascii="Arial" w:cs="Arial" w:eastAsia="Arial" w:hAnsi="Arial"/>
                <w:sz w:val="18"/>
                <w:szCs w:val="18"/>
                <w:color w:val="auto"/>
              </w:rPr>
              <w:t>Total revenue from contracts with customers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0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Conventional</w:t>
            </w:r>
          </w:p>
        </w:tc>
        <w:tc>
          <w:tcPr>
            <w:tcW w:w="260" w:type="dxa"/>
            <w:vAlign w:val="bottom"/>
          </w:tcPr>
          <w:p>
            <w:pPr>
              <w:spacing w:after="0"/>
              <w:rPr>
                <w:sz w:val="14"/>
                <w:szCs w:val="14"/>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Generation</w:t>
            </w: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8"/>
        </w:trPr>
        <w:tc>
          <w:tcPr>
            <w:tcW w:w="2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tbl>
      <w:tblPr>
        <w:tblLayout w:type="fixed"/>
        <w:tblInd w:w="30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ind w:left="1060"/>
              <w:spacing w:after="0"/>
              <w:rPr>
                <w:sz w:val="20"/>
                <w:szCs w:val="20"/>
                <w:color w:val="auto"/>
              </w:rPr>
            </w:pPr>
            <w:r>
              <w:rPr>
                <w:rFonts w:ascii="Arial" w:cs="Arial" w:eastAsia="Arial" w:hAnsi="Arial"/>
                <w:sz w:val="14"/>
                <w:szCs w:val="14"/>
                <w:b w:val="1"/>
                <w:bCs w:val="1"/>
                <w:color w:val="auto"/>
                <w:w w:val="99"/>
              </w:rPr>
              <w:t>Three months ended September 30, 2019</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40" w:type="dxa"/>
            <w:vAlign w:val="bottom"/>
          </w:tcPr>
          <w:p>
            <w:pPr>
              <w:spacing w:after="0"/>
              <w:rPr>
                <w:sz w:val="11"/>
                <w:szCs w:val="11"/>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97"/>
        </w:trPr>
        <w:tc>
          <w:tcPr>
            <w:tcW w:w="5640" w:type="dxa"/>
            <w:vAlign w:val="bottom"/>
          </w:tcPr>
          <w:p>
            <w:pPr>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Contract amortization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Mark-to-market for economic hedges</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640" w:type="dxa"/>
            <w:vAlign w:val="bottom"/>
          </w:tcPr>
          <w:p>
            <w:pPr>
              <w:ind w:left="100"/>
              <w:spacing w:after="0"/>
              <w:rPr>
                <w:sz w:val="20"/>
                <w:szCs w:val="20"/>
                <w:color w:val="auto"/>
              </w:rPr>
            </w:pPr>
            <w:r>
              <w:rPr>
                <w:rFonts w:ascii="Arial" w:cs="Arial" w:eastAsia="Arial" w:hAnsi="Arial"/>
                <w:sz w:val="18"/>
                <w:szCs w:val="18"/>
                <w:color w:val="auto"/>
              </w:rPr>
              <w:t>Total operating revenue</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Less: Lease revenue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640" w:type="dxa"/>
            <w:vAlign w:val="bottom"/>
          </w:tcPr>
          <w:p>
            <w:pPr>
              <w:ind w:left="80"/>
              <w:spacing w:after="0"/>
              <w:rPr>
                <w:sz w:val="20"/>
                <w:szCs w:val="20"/>
                <w:color w:val="auto"/>
              </w:rPr>
            </w:pPr>
            <w:r>
              <w:rPr>
                <w:rFonts w:ascii="Arial" w:cs="Arial" w:eastAsia="Arial" w:hAnsi="Arial"/>
                <w:sz w:val="18"/>
                <w:szCs w:val="18"/>
                <w:color w:val="auto"/>
              </w:rPr>
              <w:t>Total revenue from contracts with customers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308610</wp:posOffset>
            </wp:positionV>
            <wp:extent cx="13284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0" w:hanging="167"/>
        <w:spacing w:after="0"/>
        <w:tabs>
          <w:tab w:leader="none" w:pos="58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The following amounts of energy and capacity revenue relate to leases and are accounted for under ASC 842:</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940" w:type="dxa"/>
            <w:vAlign w:val="bottom"/>
          </w:tcPr>
          <w:p>
            <w:pPr>
              <w:jc w:val="center"/>
              <w:ind w:left="328"/>
              <w:spacing w:after="0"/>
              <w:rPr>
                <w:sz w:val="20"/>
                <w:szCs w:val="20"/>
                <w:color w:val="auto"/>
              </w:rPr>
            </w:pPr>
            <w:r>
              <w:rPr>
                <w:rFonts w:ascii="Arial" w:cs="Arial" w:eastAsia="Arial" w:hAnsi="Arial"/>
                <w:sz w:val="14"/>
                <w:szCs w:val="14"/>
                <w:b w:val="1"/>
                <w:bCs w:val="1"/>
                <w:color w:val="auto"/>
                <w:w w:val="92"/>
              </w:rPr>
              <w:t>Conventional</w:t>
            </w:r>
          </w:p>
        </w:tc>
        <w:tc>
          <w:tcPr>
            <w:tcW w:w="15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Renewables</w:t>
            </w:r>
          </w:p>
        </w:tc>
        <w:tc>
          <w:tcPr>
            <w:tcW w:w="14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Thermal</w:t>
            </w:r>
          </w:p>
        </w:tc>
        <w:tc>
          <w:tcPr>
            <w:tcW w:w="84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6"/>
        </w:trPr>
        <w:tc>
          <w:tcPr>
            <w:tcW w:w="1500" w:type="dxa"/>
            <w:vAlign w:val="bottom"/>
            <w:vMerge w:val="continue"/>
          </w:tcPr>
          <w:p>
            <w:pPr>
              <w:spacing w:after="0"/>
              <w:rPr>
                <w:sz w:val="16"/>
                <w:szCs w:val="16"/>
                <w:color w:val="auto"/>
              </w:rPr>
            </w:pPr>
          </w:p>
        </w:tc>
        <w:tc>
          <w:tcPr>
            <w:tcW w:w="194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Generation</w:t>
            </w:r>
          </w:p>
        </w:tc>
        <w:tc>
          <w:tcPr>
            <w:tcW w:w="15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700" w:type="dxa"/>
            <w:vAlign w:val="bottom"/>
          </w:tcPr>
          <w:p>
            <w:pPr>
              <w:spacing w:after="0"/>
              <w:rPr>
                <w:sz w:val="19"/>
                <w:szCs w:val="19"/>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color w:val="auto"/>
                <w:w w:val="99"/>
              </w:rPr>
              <w:t>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5"/>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center"/>
              <w:ind w:left="43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00" w:type="dxa"/>
            <w:vAlign w:val="bottom"/>
          </w:tcPr>
          <w:p>
            <w:pPr>
              <w:spacing w:after="0"/>
              <w:rPr>
                <w:sz w:val="21"/>
                <w:szCs w:val="21"/>
                <w:color w:val="auto"/>
              </w:rPr>
            </w:pPr>
          </w:p>
        </w:tc>
        <w:tc>
          <w:tcPr>
            <w:tcW w:w="2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color w:val="auto"/>
                <w:w w:val="99"/>
              </w:rPr>
              <w:t>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1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0"/>
          </w:tcPr>
          <w:p>
            <w:pPr>
              <w:jc w:val="right"/>
              <w:ind w:right="131"/>
              <w:spacing w:after="0"/>
              <w:rPr>
                <w:sz w:val="20"/>
                <w:szCs w:val="20"/>
                <w:color w:val="auto"/>
              </w:rPr>
            </w:pPr>
            <w:r>
              <w:rPr>
                <w:rFonts w:ascii="Arial" w:cs="Arial" w:eastAsia="Arial" w:hAnsi="Arial"/>
                <w:sz w:val="14"/>
                <w:szCs w:val="14"/>
                <w:b w:val="1"/>
                <w:bCs w:val="1"/>
                <w:color w:val="auto"/>
                <w:w w:val="98"/>
              </w:rPr>
              <w:t>Nine months ended September 30, 2019</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5"/>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Conventional</w:t>
            </w:r>
          </w:p>
        </w:tc>
        <w:tc>
          <w:tcPr>
            <w:tcW w:w="160" w:type="dxa"/>
            <w:vAlign w:val="bottom"/>
          </w:tcPr>
          <w:p>
            <w:pPr>
              <w:spacing w:after="0"/>
              <w:rPr>
                <w:sz w:val="11"/>
                <w:szCs w:val="11"/>
                <w:color w:val="auto"/>
              </w:rPr>
            </w:pPr>
          </w:p>
        </w:tc>
        <w:tc>
          <w:tcPr>
            <w:tcW w:w="11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Thermal</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Generation</w:t>
            </w:r>
          </w:p>
        </w:tc>
        <w:tc>
          <w:tcPr>
            <w:tcW w:w="160" w:type="dxa"/>
            <w:vAlign w:val="bottom"/>
          </w:tcPr>
          <w:p>
            <w:pPr>
              <w:spacing w:after="0"/>
              <w:rPr>
                <w:sz w:val="16"/>
                <w:szCs w:val="16"/>
                <w:color w:val="auto"/>
              </w:rPr>
            </w:pPr>
          </w:p>
        </w:tc>
        <w:tc>
          <w:tcPr>
            <w:tcW w:w="11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4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5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91</w:t>
            </w: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4"/>
          </w:tcPr>
          <w:p>
            <w:pPr>
              <w:jc w:val="right"/>
              <w:ind w:right="1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Mark-to-market for economic hedges</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w w:val="90"/>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Total operating revenue</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Less: Lease revenue</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0"/>
              </w:rPr>
              <w:t>(257)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31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40" w:hanging="151"/>
        <w:spacing w:after="0"/>
        <w:tabs>
          <w:tab w:leader="none" w:pos="240" w:val="left"/>
        </w:tabs>
        <w:numPr>
          <w:ilvl w:val="0"/>
          <w:numId w:val="6"/>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Conventional</w:t>
            </w:r>
          </w:p>
        </w:tc>
        <w:tc>
          <w:tcPr>
            <w:tcW w:w="240" w:type="dxa"/>
            <w:vAlign w:val="bottom"/>
          </w:tcPr>
          <w:p>
            <w:pPr>
              <w:spacing w:after="0"/>
              <w:rPr>
                <w:sz w:val="14"/>
                <w:szCs w:val="1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4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4"/>
                <w:szCs w:val="14"/>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2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Generation</w:t>
            </w:r>
          </w:p>
        </w:tc>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center"/>
              <w:ind w:left="715"/>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center"/>
              <w:ind w:left="61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00" w:type="dxa"/>
            <w:vAlign w:val="bottom"/>
          </w:tcPr>
          <w:p>
            <w:pPr>
              <w:spacing w:after="0"/>
              <w:rPr>
                <w:sz w:val="21"/>
                <w:szCs w:val="21"/>
                <w:color w:val="auto"/>
              </w:rPr>
            </w:pPr>
          </w:p>
        </w:tc>
        <w:tc>
          <w:tcPr>
            <w:tcW w:w="2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center"/>
              <w:ind w:left="715"/>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1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8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September 30,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2"/>
        </w:trPr>
        <w:tc>
          <w:tcPr>
            <w:tcW w:w="8720" w:type="dxa"/>
            <w:vAlign w:val="bottom"/>
          </w:tcPr>
          <w:p>
            <w:pPr>
              <w:ind w:left="20"/>
              <w:spacing w:after="0"/>
              <w:rPr>
                <w:sz w:val="20"/>
                <w:szCs w:val="20"/>
                <w:color w:val="auto"/>
              </w:rPr>
            </w:pPr>
            <w:r>
              <w:rPr>
                <w:rFonts w:ascii="Arial" w:cs="Arial" w:eastAsia="Arial" w:hAnsi="Arial"/>
                <w:sz w:val="18"/>
                <w:szCs w:val="18"/>
                <w:color w:val="auto"/>
              </w:rPr>
              <w:t>Accounts receivable, net - Contracts with customers</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 Leases</w:t>
            </w: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8720" w:type="dxa"/>
            <w:vAlign w:val="bottom"/>
          </w:tcPr>
          <w:p>
            <w:pPr>
              <w:ind w:left="180"/>
              <w:spacing w:after="0"/>
              <w:rPr>
                <w:sz w:val="20"/>
                <w:szCs w:val="20"/>
                <w:color w:val="auto"/>
              </w:rPr>
            </w:pPr>
            <w:r>
              <w:rPr>
                <w:rFonts w:ascii="Arial" w:cs="Arial" w:eastAsia="Arial" w:hAnsi="Arial"/>
                <w:sz w:val="18"/>
                <w:szCs w:val="18"/>
                <w:color w:val="auto"/>
              </w:rPr>
              <w:t>Total accounts receivable, net</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8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Adopted in 2020</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2020, the FASB issued ASU 2020-4, Facilitation of the Effects of Reference Rate Reform on Financial Reporting. The amendments provide for optional expedients and exceptions for applying GAAP to contracts, hedging relationships and other transactions affected by reference rate reform if certain criteria is met. These amendments apply only to contracts that reference LIBOR or another reference rate expected to be discontinued because of reference rate reform. The guidance is effective for all entities as of March 12, 2020 through December 31, 2022. The Company intends to apply the amendments to all its eligible contract modifications where applicable.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prior year amounts have been reclassified for comparative purposes.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Acquisition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Duquesne University District Energy System Acquisition </w:t>
      </w:r>
      <w:r>
        <w:rPr>
          <w:rFonts w:ascii="Arial" w:cs="Arial" w:eastAsia="Arial" w:hAnsi="Arial"/>
          <w:sz w:val="18"/>
          <w:szCs w:val="18"/>
          <w:color w:val="auto"/>
        </w:rPr>
        <w:t>— On May 1, 2019, the Company, through its indirect subsidiary ECP Uptown Campus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acquired the Duquesne University district energy system, totaling 87 combined MWt, located in Pittsburgh, PA. As part of the acquisition, Duquesne University entered into a 40-year Energy Services Agreement through which ECP Uptown Campus LLC will fulfill the university's electricity, chilled water and steam requirements in exchange for monthly capacity payments. The transaction is reflected in the Company's Thermal segment. The total investment for the project was approximately $107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Dispositions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Sale of RPV Holdco 1 LLC </w:t>
      </w:r>
      <w:r>
        <w:rPr>
          <w:rFonts w:ascii="Arial" w:cs="Arial" w:eastAsia="Arial" w:hAnsi="Arial"/>
          <w:sz w:val="18"/>
          <w:szCs w:val="18"/>
          <w:color w:val="auto"/>
        </w:rPr>
        <w:t>— On May 14, 2020, the Company sold its interests in RPV Holdco 1 LLC, or RPV Holdco, to a third party for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approximately $75 million. The Company previously accounted for its interest in RPV Holdco as an equity method investment. The sale of the investment resulted in a gain of approximately $49 million.</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Sale of Energy Center Dover LLC and Energy Center Smyrna LLC Assets </w:t>
      </w:r>
      <w:r>
        <w:rPr>
          <w:rFonts w:ascii="Arial" w:cs="Arial" w:eastAsia="Arial" w:hAnsi="Arial"/>
          <w:sz w:val="18"/>
          <w:szCs w:val="18"/>
          <w:color w:val="auto"/>
        </w:rPr>
        <w:t>— On March 3, 2020, the Company, through Clearway Thermal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sold 100% of its interests in Energy Center Dover LLC and Energy Center Smyrna LLC to DB Energy Assets, LLC.</w:t>
      </w:r>
    </w:p>
    <w:p>
      <w:pPr>
        <w:spacing w:after="0" w:line="200" w:lineRule="exact"/>
        <w:rPr>
          <w:sz w:val="20"/>
          <w:szCs w:val="20"/>
          <w:color w:val="auto"/>
        </w:rPr>
      </w:pPr>
    </w:p>
    <w:p>
      <w:pPr>
        <w:spacing w:after="0" w:line="317" w:lineRule="exact"/>
        <w:rPr>
          <w:sz w:val="20"/>
          <w:szCs w:val="20"/>
          <w:color w:val="auto"/>
        </w:rPr>
      </w:pPr>
    </w:p>
    <w:p>
      <w:pPr>
        <w:ind w:right="4620"/>
        <w:spacing w:after="0" w:line="282"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and solar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 consolidated</w:t>
      </w:r>
      <w:r>
        <w:rPr>
          <w:rFonts w:ascii="Arial" w:cs="Arial" w:eastAsia="Arial" w:hAnsi="Arial"/>
          <w:sz w:val="18"/>
          <w:szCs w:val="18"/>
          <w:color w:val="auto"/>
        </w:rPr>
        <w:t xml:space="preserve"> </w:t>
      </w:r>
      <w:r>
        <w:rPr>
          <w:rFonts w:ascii="Arial" w:cs="Arial" w:eastAsia="Arial" w:hAnsi="Arial"/>
          <w:sz w:val="18"/>
          <w:szCs w:val="18"/>
          <w:color w:val="231F20"/>
        </w:rPr>
        <w:t xml:space="preserve">financial statements included in the Company's </w:t>
      </w:r>
      <w:r>
        <w:rPr>
          <w:rFonts w:ascii="Arial" w:cs="Arial" w:eastAsia="Arial" w:hAnsi="Arial"/>
          <w:sz w:val="18"/>
          <w:szCs w:val="18"/>
          <w:color w:val="000000"/>
        </w:rPr>
        <w:t>2019</w:t>
      </w:r>
      <w:r>
        <w:rPr>
          <w:rFonts w:ascii="Arial" w:cs="Arial" w:eastAsia="Arial" w:hAnsi="Arial"/>
          <w:sz w:val="18"/>
          <w:szCs w:val="18"/>
          <w:color w:val="231F20"/>
        </w:rPr>
        <w:t xml:space="preserve"> Form 10</w:t>
      </w:r>
      <w:r>
        <w:rPr>
          <w:rFonts w:ascii="Arial" w:cs="Arial" w:eastAsia="Arial" w:hAnsi="Arial"/>
          <w:sz w:val="18"/>
          <w:szCs w:val="18"/>
          <w:color w:val="000000"/>
        </w:rPr>
        <w:t>-K.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September 30,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Oahu Solar</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Kawailoa</w:t>
            </w: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Elbow Creek</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Wildorado TE</w:t>
            </w:r>
          </w:p>
        </w:tc>
        <w:tc>
          <w:tcPr>
            <w:tcW w:w="120" w:type="dxa"/>
            <w:vAlign w:val="bottom"/>
          </w:tcPr>
          <w:p>
            <w:pPr>
              <w:spacing w:after="0"/>
              <w:rPr>
                <w:sz w:val="14"/>
                <w:szCs w:val="14"/>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DGPV</w:t>
            </w:r>
          </w:p>
        </w:tc>
        <w:tc>
          <w:tcPr>
            <w:tcW w:w="120" w:type="dxa"/>
            <w:vAlign w:val="bottom"/>
          </w:tcPr>
          <w:p>
            <w:pPr>
              <w:spacing w:after="0"/>
              <w:rPr>
                <w:sz w:val="14"/>
                <w:szCs w:val="14"/>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Alta TE</w:t>
            </w:r>
          </w:p>
        </w:tc>
        <w:tc>
          <w:tcPr>
            <w:tcW w:w="120" w:type="dxa"/>
            <w:vAlign w:val="bottom"/>
          </w:tcPr>
          <w:p>
            <w:pPr>
              <w:spacing w:after="0"/>
              <w:rPr>
                <w:sz w:val="14"/>
                <w:szCs w:val="14"/>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Spring</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Buckthorn</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Renewables</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 (a)</w:t>
            </w:r>
          </w:p>
        </w:tc>
        <w:tc>
          <w:tcPr>
            <w:tcW w:w="0" w:type="dxa"/>
            <w:vAlign w:val="bottom"/>
          </w:tcPr>
          <w:p>
            <w:pPr>
              <w:spacing w:after="0"/>
              <w:rPr>
                <w:sz w:val="1"/>
                <w:szCs w:val="1"/>
                <w:color w:val="auto"/>
              </w:rPr>
            </w:pPr>
          </w:p>
        </w:tc>
      </w:tr>
      <w:tr>
        <w:trPr>
          <w:trHeight w:val="188"/>
        </w:trPr>
        <w:tc>
          <w:tcPr>
            <w:tcW w:w="2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Partnership</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Partnership</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TE Holdco</w:t>
            </w: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Holdco</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Holdco 3</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Holdco</w:t>
            </w:r>
          </w:p>
        </w:tc>
        <w:tc>
          <w:tcPr>
            <w:tcW w:w="12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Canyon</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LLC</w:t>
            </w: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60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Other current and non-current</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Current and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600" w:type="dxa"/>
            <w:vAlign w:val="bottom"/>
          </w:tcPr>
          <w:p>
            <w:pPr>
              <w:ind w:left="20"/>
              <w:spacing w:after="0" w:line="156" w:lineRule="exact"/>
              <w:rPr>
                <w:sz w:val="20"/>
                <w:szCs w:val="20"/>
                <w:color w:val="auto"/>
              </w:rPr>
            </w:pPr>
            <w:r>
              <w:rPr>
                <w:rFonts w:ascii="Arial" w:cs="Arial" w:eastAsia="Arial" w:hAnsi="Arial"/>
                <w:sz w:val="18"/>
                <w:szCs w:val="18"/>
                <w:color w:val="auto"/>
              </w:rPr>
              <w:t>Net assets less noncontrolling</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3"/>
                <w:szCs w:val="13"/>
                <w:color w:val="auto"/>
              </w:rPr>
            </w:pPr>
          </w:p>
        </w:tc>
        <w:tc>
          <w:tcPr>
            <w:tcW w:w="200" w:type="dxa"/>
            <w:vAlign w:val="bottom"/>
            <w:vMerge w:val="restart"/>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3"/>
                <w:szCs w:val="13"/>
                <w:color w:val="auto"/>
              </w:rPr>
            </w:pPr>
          </w:p>
        </w:tc>
        <w:tc>
          <w:tcPr>
            <w:tcW w:w="280" w:type="dxa"/>
            <w:vAlign w:val="bottom"/>
            <w:vMerge w:val="restart"/>
          </w:tcPr>
          <w:p>
            <w:pPr>
              <w:jc w:val="right"/>
              <w:ind w:right="96"/>
              <w:spacing w:after="0"/>
              <w:rPr>
                <w:sz w:val="20"/>
                <w:szCs w:val="20"/>
                <w:color w:val="auto"/>
              </w:rPr>
            </w:pPr>
            <w:r>
              <w:rPr>
                <w:rFonts w:ascii="Arial" w:cs="Arial" w:eastAsia="Arial" w:hAnsi="Arial"/>
                <w:sz w:val="18"/>
                <w:szCs w:val="18"/>
                <w:color w:val="auto"/>
                <w:w w:val="7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2600" w:type="dxa"/>
            <w:vAlign w:val="bottom"/>
          </w:tcPr>
          <w:p>
            <w:pPr>
              <w:ind w:left="20"/>
              <w:spacing w:after="0" w:line="202" w:lineRule="exact"/>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798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Other is comprised of Crosswinds and Hardin projects.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VIEs during the nine months ended September 30, 2020.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DGPV Holdco 3 LLC</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DGPV Holdco 3 owns approximately 113 MW of distributed solar capacity, based on cash to be distributed, with a weighted average remaining contract life of approximately 21 years as of September 30, 2020. On May 29, 2020, the final construction projects for DGPV Holdco 3 were placed in service which resulted in a reconsideration event for consolidation of the entity. Upon the reconsideration event, the Company determined that it was the primary beneficiary of DGPV Holdco 3, as it is entitled to 99% of allocations of income and cash distributions from the entity. As such, effective on May 29, 2020, the Company consolidates DGPV Holdco 3, and shows the interest owned by CEG as noncontrolling interest. DGPV Holdco 3 owns an interest in two tax equity funds with tax equity investors, both of which are consolidated by DGPV Holdco 3, and the interests owned by the tax equity investors are shown as noncontrolling interests. The Company removed its investment in DGPV Holdco 3 of $155 million as of May 29, 2020 and recorded the difference between the net assets consolidated and the investment balance as a reduction to noncontrolling interests.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balances that were consolidated effective on May 29,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6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1112"/>
              <w:spacing w:after="0"/>
              <w:rPr>
                <w:sz w:val="20"/>
                <w:szCs w:val="20"/>
                <w:color w:val="auto"/>
              </w:rPr>
            </w:pPr>
            <w:r>
              <w:rPr>
                <w:rFonts w:ascii="Arial" w:cs="Arial" w:eastAsia="Arial" w:hAnsi="Arial"/>
                <w:sz w:val="14"/>
                <w:szCs w:val="14"/>
                <w:b w:val="1"/>
                <w:bCs w:val="1"/>
                <w:color w:val="auto"/>
              </w:rPr>
              <w:t>May 29, 2020</w:t>
            </w:r>
          </w:p>
        </w:tc>
      </w:tr>
      <w:tr>
        <w:trPr>
          <w:trHeight w:val="22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64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4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6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Debt</w:t>
            </w:r>
          </w:p>
        </w:tc>
        <w:tc>
          <w:tcPr>
            <w:tcW w:w="64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64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and redeemable noncontrolling interests</w:t>
            </w:r>
          </w:p>
        </w:tc>
        <w:tc>
          <w:tcPr>
            <w:tcW w:w="64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Net assets less noncontrolling interests</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1"/>
        </w:trPr>
        <w:tc>
          <w:tcPr>
            <w:tcW w:w="7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left="420" w:right="560"/>
        <w:spacing w:after="0" w:line="430" w:lineRule="auto"/>
        <w:rPr>
          <w:sz w:val="20"/>
          <w:szCs w:val="20"/>
          <w:color w:val="auto"/>
        </w:rPr>
      </w:pPr>
      <w:r>
        <w:rPr>
          <w:rFonts w:ascii="Arial" w:cs="Arial" w:eastAsia="Arial" w:hAnsi="Arial"/>
          <w:sz w:val="18"/>
          <w:szCs w:val="18"/>
          <w:color w:val="auto"/>
        </w:rPr>
        <w:t xml:space="preserve">Prior to the reconsideration event described above, the Company invested $10 million of cash in DGPV Holdco 3 during the first half of 2020. </w:t>
      </w:r>
      <w:r>
        <w:rPr>
          <w:rFonts w:ascii="Arial" w:cs="Arial" w:eastAsia="Arial" w:hAnsi="Arial"/>
          <w:sz w:val="18"/>
          <w:szCs w:val="18"/>
          <w:b w:val="1"/>
          <w:bCs w:val="1"/>
          <w:i w:val="1"/>
          <w:iCs w:val="1"/>
          <w:color w:val="auto"/>
        </w:rPr>
        <w:t>DGPV Holdco Consolidation</w:t>
      </w:r>
    </w:p>
    <w:p>
      <w:pPr>
        <w:spacing w:after="0" w:line="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6"/>
          <w:szCs w:val="16"/>
          <w:color w:val="auto"/>
        </w:rPr>
        <w:t>On November 2, 2020, the Company acquired the Class B membership interests in DGPV Holdco 1, DGPV Holdco 2 and DGPV Holdco 3, or DGPV Holdco Entities, from Renew DG Holdings LLC, a subsidiary of CEG, and an SREC contract for $44 million in cash consideration. The Company previously held the Class A membership interests in the DGPV Holdco Entities and accounted for its interests in DGPV Holdco 1 and DGPV Holdco 2 as equity method investments, while DGPV Holdco 3 was consolidated by the Company effective May 29, 2020 as described above. As further described in Note 7, Long-term Debt, subsequent to the acquisition of the remaining interests in the DGPV Holdco Entities, the Company transferred its interests to DG-CS Master Borrower LLC, and issued debt that was utilized to repay existing project-level debt outstanding and unwind interest rate swaps for certain of the tax equity arrangements related to the underlying project funds. Effective with the acquisition of the Class B membership interests of the DGPV Holdco Entities, the Company consolidates all of the DGPV Holdco Entities, including DG-CS Master Borrower LLC, and its subsidiaries, which consist of seven tax equity funds that collectively own approximately 172 distributed solar projects with a combined 286 MW of capacity. Each of the tax equity funds is a VIE, where the Company is the primary beneficiary and consolidates the fund, with the tax equity investor's interest shown as noncontrolling interest or redeemable noncontrolling interest. The acquired SREC contract, a contract to receive incremental cash flows related to renewable energy credits from certain of the underlying solar projects, will be considered a derivative financial instrument.</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Repowering Partnership II LLC</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 xml:space="preserve">On May 11, 2020, the Company acquired CEG's interest in Repowering Partnership II LLC, for cash consideration of $70 million. Repowering Partnership II LLC is no longer a VIE and subsequent to the acquisition, is a wholly-owned subsidiary of the Company. Repowering Partnership II LLC continues to own interests in two VIEs, Wildorado Repowering Tax Equity Holdco LLC, or Wildorado TE Holdco, and Elbow Creek Repowering Tax Equity Holdco LLC, or Elbow Creek TE Holdco. The Company removed the related noncontrolling interest balance of </w:t>
      </w:r>
      <w:r>
        <w:rPr>
          <w:rFonts w:ascii="Arial" w:cs="Arial" w:eastAsia="Arial" w:hAnsi="Arial"/>
          <w:sz w:val="17"/>
          <w:szCs w:val="17"/>
          <w:color w:val="231F20"/>
        </w:rPr>
        <w:t>$8 million</w:t>
      </w:r>
      <w:r>
        <w:rPr>
          <w:rFonts w:ascii="Arial" w:cs="Arial" w:eastAsia="Arial" w:hAnsi="Arial"/>
          <w:sz w:val="17"/>
          <w:szCs w:val="17"/>
          <w:color w:val="auto"/>
        </w:rPr>
        <w:t xml:space="preserve"> and recorded the difference between the cash paid and the noncontrolling interest balance removed as a reduction to noncontrolling interests.</w:t>
      </w:r>
    </w:p>
    <w:p>
      <w:pPr>
        <w:spacing w:after="0" w:line="12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On February 7, 2020, a third party tax equity investor purchased 100% of the Class A membership interests in Wildorado TE Holdco, for $148 million. In addition, the Company contributed $112 million to Wildorado TE Holdco. The combined proceeds were used to repay construction debt under the Repowering Partnership Holdco credit agreement, as described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The third party tax equity investor, or Wildorado Investor, will receive 99% of allocations of taxable income and other items until the Wildorado Investor obtains a specified return on its initial investment, or the last day of the PTC period, whichever occurs sooner. At such time, the allocations to the Wildorado Investor will change to 5%. Until such time, the Wildorado Investor will receive a variable percentage of cash distributions. Wildorado TE Holdco is a VIE and the Repowering Partnership II LLC is the primary beneficiary through its position as managing member. As a result, the Company consolidates Wildorado TE Holdco, with the Wildorado Investor's interest shown as noncontrolling interest. In connection with the Wildorado TE Holdco closing, the allocations of income at Repowering Partnership II LLC changed to 60.14% for Wind TE Holdco LLC (the Company member) and 39.86% for CWSP Wildorado Elbow Holding LLC (the CEG member). As noted above, CEG no longer has an interest in Repowering Partnership II LLC as of June 30, 2020.</w:t>
      </w:r>
    </w:p>
    <w:p>
      <w:pPr>
        <w:spacing w:after="0" w:line="212"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The Company utilizes the HLBV method to determine the net income or loss allocated to tax equity noncontrolling interest. The Company recorded a de minimis loss and a loss of $36 million attributable to the noncontrolling interest of Wildorado TE Holdco for the three and nine months ending September 30, 2020 and recorded a loss of $1 million and $9 million attributable to the noncontrolling interest of Elbow Creek TE Holdco for the three and nine months ending September 30, 2020,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Variable Interest Entities, </w:t>
      </w:r>
      <w:r>
        <w:rPr>
          <w:rFonts w:ascii="Arial" w:cs="Arial" w:eastAsia="Arial" w:hAnsi="Arial"/>
          <w:sz w:val="17"/>
          <w:szCs w:val="17"/>
          <w:color w:val="221F1F"/>
        </w:rPr>
        <w:t>to the consolidated financial statements included in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2019</w:t>
      </w:r>
      <w:r>
        <w:rPr>
          <w:rFonts w:ascii="Arial" w:cs="Arial" w:eastAsia="Arial" w:hAnsi="Arial"/>
          <w:sz w:val="17"/>
          <w:szCs w:val="17"/>
          <w:i w:val="1"/>
          <w:iCs w:val="1"/>
          <w:color w:val="auto"/>
        </w:rPr>
        <w:t xml:space="preserve"> </w:t>
      </w:r>
      <w:r>
        <w:rPr>
          <w:rFonts w:ascii="Arial" w:cs="Arial" w:eastAsia="Arial" w:hAnsi="Arial"/>
          <w:sz w:val="17"/>
          <w:szCs w:val="17"/>
          <w:color w:val="221F1F"/>
        </w:rPr>
        <w:t>Form 10-K</w:t>
      </w:r>
      <w:r>
        <w:rPr>
          <w:rFonts w:ascii="Arial" w:cs="Arial" w:eastAsia="Arial" w:hAnsi="Arial"/>
          <w:sz w:val="17"/>
          <w:szCs w:val="17"/>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left="420"/>
        <w:spacing w:after="0"/>
        <w:rPr>
          <w:sz w:val="20"/>
          <w:szCs w:val="20"/>
          <w:color w:val="auto"/>
        </w:rPr>
      </w:pPr>
      <w:r>
        <w:rPr>
          <w:rFonts w:ascii="Arial" w:cs="Arial" w:eastAsia="Arial" w:hAnsi="Arial"/>
          <w:sz w:val="18"/>
          <w:szCs w:val="18"/>
          <w:b w:val="1"/>
          <w:bCs w:val="1"/>
          <w:i w:val="1"/>
          <w:iCs w:val="1"/>
          <w:color w:val="auto"/>
        </w:rPr>
        <w:t>Mesquite Star Pledgor LLC</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September 1, 2020, the Company, through its indirect subsidiary Mesquite Star HoldCo LLC, acquired the Class A membership interests in Mesquite Star Pledgor LLC from Clearway Renew LLC, a subsidiary of CEG, for $79 million in cash consideration. Mesquite Star Pledgor LLC is the primary beneficiary and consolidates its interest in a tax equity fund that owns the Mesquite Star wind project, a 419 MW utility scale wind project located in Fisher County, Texas. A majority of the project’s output is backed by contracts with investment grade counterparties with a 12 year weighted average contract life. The transaction is reflected in the Company's Renewables segment and was funded with cash on hand. Mesquite Star Pledgor LLC is a VIE and the Company is not the primary beneficiary. Accordingly, the Company recorded the acquired interest as an equity method investment. The membership interests acquired by the Company relate to interests under common control by GIP and were recorded at historical cost. The difference between the $79 million cash paid and the historical value of the Company's acquired interests of $83 million was recorded as an adjustment to contributed capital.</w:t>
      </w:r>
    </w:p>
    <w:p>
      <w:pPr>
        <w:spacing w:after="0" w:line="142" w:lineRule="exact"/>
        <w:rPr>
          <w:sz w:val="20"/>
          <w:szCs w:val="20"/>
          <w:color w:val="auto"/>
        </w:rPr>
      </w:pPr>
    </w:p>
    <w:p>
      <w:pPr>
        <w:jc w:val="both"/>
        <w:ind w:right="20" w:firstLine="405"/>
        <w:spacing w:after="0" w:line="269" w:lineRule="auto"/>
        <w:rPr>
          <w:sz w:val="20"/>
          <w:szCs w:val="20"/>
          <w:color w:val="auto"/>
        </w:rPr>
      </w:pPr>
      <w:r>
        <w:rPr>
          <w:rFonts w:ascii="Arial" w:cs="Arial" w:eastAsia="Arial" w:hAnsi="Arial"/>
          <w:sz w:val="18"/>
          <w:szCs w:val="18"/>
          <w:color w:val="auto"/>
        </w:rPr>
        <w:t>The Company's maximum exposure to loss as of September 30, 2020 is limited to its equity investment in the unconsolidated entities, as further summarized in the table below:</w:t>
      </w:r>
    </w:p>
    <w:tbl>
      <w:tblPr>
        <w:tblLayout w:type="fixed"/>
        <w:tblInd w:w="120" w:type="dxa"/>
        <w:tblCellMar>
          <w:top w:w="0" w:type="dxa"/>
          <w:left w:w="0" w:type="dxa"/>
          <w:bottom w:w="0" w:type="dxa"/>
          <w:right w:w="0" w:type="dxa"/>
        </w:tblCellMar>
      </w:tblPr>
      <w:tr>
        <w:trPr>
          <w:trHeight w:val="144"/>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260" w:type="dxa"/>
            <w:vAlign w:val="bottom"/>
          </w:tcPr>
          <w:p>
            <w:pPr>
              <w:jc w:val="center"/>
              <w:ind w:left="2373"/>
              <w:spacing w:after="0" w:line="145" w:lineRule="exact"/>
              <w:rPr>
                <w:sz w:val="20"/>
                <w:szCs w:val="20"/>
                <w:color w:val="auto"/>
              </w:rPr>
            </w:pPr>
            <w:r>
              <w:rPr>
                <w:rFonts w:ascii="Arial" w:cs="Arial" w:eastAsia="Arial" w:hAnsi="Arial"/>
                <w:sz w:val="14"/>
                <w:szCs w:val="14"/>
                <w:b w:val="1"/>
                <w:bCs w:val="1"/>
                <w:color w:val="auto"/>
                <w:w w:val="89"/>
              </w:rPr>
              <w:t>Economic</w:t>
            </w:r>
          </w:p>
        </w:tc>
        <w:tc>
          <w:tcPr>
            <w:tcW w:w="240" w:type="dxa"/>
            <w:vAlign w:val="bottom"/>
          </w:tcPr>
          <w:p>
            <w:pPr>
              <w:spacing w:after="0"/>
              <w:rPr>
                <w:sz w:val="12"/>
                <w:szCs w:val="12"/>
                <w:color w:val="auto"/>
              </w:rPr>
            </w:pPr>
          </w:p>
        </w:tc>
        <w:tc>
          <w:tcPr>
            <w:tcW w:w="17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Investment Balance</w:t>
            </w:r>
          </w:p>
        </w:tc>
        <w:tc>
          <w:tcPr>
            <w:tcW w:w="0" w:type="dxa"/>
            <w:vAlign w:val="bottom"/>
          </w:tcPr>
          <w:p>
            <w:pPr>
              <w:spacing w:after="0"/>
              <w:rPr>
                <w:sz w:val="1"/>
                <w:szCs w:val="1"/>
                <w:color w:val="auto"/>
              </w:rPr>
            </w:pPr>
          </w:p>
        </w:tc>
      </w:tr>
      <w:tr>
        <w:trPr>
          <w:trHeight w:val="188"/>
        </w:trPr>
        <w:tc>
          <w:tcPr>
            <w:tcW w:w="4800" w:type="dxa"/>
            <w:vAlign w:val="bottom"/>
            <w:tcBorders>
              <w:bottom w:val="single" w:sz="8" w:color="auto"/>
            </w:tcBorders>
            <w:vMerge w:val="continue"/>
          </w:tcPr>
          <w:p>
            <w:pPr>
              <w:spacing w:after="0"/>
              <w:rPr>
                <w:sz w:val="16"/>
                <w:szCs w:val="16"/>
                <w:color w:val="auto"/>
              </w:rPr>
            </w:pPr>
          </w:p>
        </w:tc>
        <w:tc>
          <w:tcPr>
            <w:tcW w:w="4260" w:type="dxa"/>
            <w:vAlign w:val="bottom"/>
            <w:tcBorders>
              <w:bottom w:val="single" w:sz="8" w:color="auto"/>
            </w:tcBorders>
          </w:tcPr>
          <w:p>
            <w:pPr>
              <w:jc w:val="center"/>
              <w:ind w:left="2373"/>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ind w:right="51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4800" w:type="dxa"/>
            <w:vAlign w:val="bottom"/>
            <w:shd w:val="clear" w:color="auto" w:fill="CCEEFF"/>
          </w:tcPr>
          <w:p>
            <w:pPr>
              <w:spacing w:after="0" w:line="231" w:lineRule="exact"/>
              <w:rPr>
                <w:sz w:val="20"/>
                <w:szCs w:val="20"/>
                <w:color w:val="auto"/>
              </w:rPr>
            </w:pPr>
            <w:r>
              <w:rPr>
                <w:rFonts w:ascii="Arial" w:cs="Arial" w:eastAsia="Arial" w:hAnsi="Arial"/>
                <w:sz w:val="18"/>
                <w:szCs w:val="18"/>
                <w:color w:val="auto"/>
              </w:rPr>
              <w:t xml:space="preserve">Utah Solar Portfolio </w:t>
            </w:r>
            <w:r>
              <w:rPr>
                <w:rFonts w:ascii="Arial" w:cs="Arial" w:eastAsia="Arial" w:hAnsi="Arial"/>
                <w:sz w:val="23"/>
                <w:szCs w:val="23"/>
                <w:color w:val="auto"/>
                <w:vertAlign w:val="superscript"/>
              </w:rPr>
              <w:t>(a)</w:t>
            </w:r>
          </w:p>
        </w:tc>
        <w:tc>
          <w:tcPr>
            <w:tcW w:w="4260" w:type="dxa"/>
            <w:vAlign w:val="bottom"/>
            <w:shd w:val="clear" w:color="auto" w:fill="CCEEFF"/>
          </w:tcPr>
          <w:p>
            <w:pPr>
              <w:jc w:val="center"/>
              <w:ind w:left="2373"/>
              <w:spacing w:after="0"/>
              <w:rPr>
                <w:sz w:val="20"/>
                <w:szCs w:val="20"/>
                <w:color w:val="auto"/>
              </w:rPr>
            </w:pPr>
            <w:r>
              <w:rPr>
                <w:rFonts w:ascii="Arial" w:cs="Arial" w:eastAsia="Arial" w:hAnsi="Arial"/>
                <w:sz w:val="18"/>
                <w:szCs w:val="18"/>
                <w:color w:val="auto"/>
                <w:w w:val="88"/>
              </w:rPr>
              <w:t>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Desert Sunlight</w:t>
            </w:r>
          </w:p>
        </w:tc>
        <w:tc>
          <w:tcPr>
            <w:tcW w:w="4260" w:type="dxa"/>
            <w:vAlign w:val="bottom"/>
          </w:tcPr>
          <w:p>
            <w:pPr>
              <w:jc w:val="center"/>
              <w:ind w:left="2373"/>
              <w:spacing w:after="0"/>
              <w:rPr>
                <w:sz w:val="20"/>
                <w:szCs w:val="20"/>
                <w:color w:val="auto"/>
              </w:rPr>
            </w:pPr>
            <w:r>
              <w:rPr>
                <w:rFonts w:ascii="Arial" w:cs="Arial" w:eastAsia="Arial" w:hAnsi="Arial"/>
                <w:sz w:val="18"/>
                <w:szCs w:val="18"/>
                <w:color w:val="auto"/>
                <w:w w:val="88"/>
              </w:rPr>
              <w:t>25%</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Agua Caliente Solar</w:t>
            </w:r>
          </w:p>
        </w:tc>
        <w:tc>
          <w:tcPr>
            <w:tcW w:w="4260" w:type="dxa"/>
            <w:vAlign w:val="bottom"/>
            <w:shd w:val="clear" w:color="auto" w:fill="CCEEFF"/>
          </w:tcPr>
          <w:p>
            <w:pPr>
              <w:jc w:val="center"/>
              <w:ind w:left="2373"/>
              <w:spacing w:after="0"/>
              <w:rPr>
                <w:sz w:val="20"/>
                <w:szCs w:val="20"/>
                <w:color w:val="auto"/>
              </w:rPr>
            </w:pPr>
            <w:r>
              <w:rPr>
                <w:rFonts w:ascii="Arial" w:cs="Arial" w:eastAsia="Arial" w:hAnsi="Arial"/>
                <w:sz w:val="18"/>
                <w:szCs w:val="18"/>
                <w:color w:val="auto"/>
                <w:w w:val="88"/>
              </w:rPr>
              <w:t>16%</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GenConn</w:t>
            </w:r>
          </w:p>
        </w:tc>
        <w:tc>
          <w:tcPr>
            <w:tcW w:w="4260" w:type="dxa"/>
            <w:vAlign w:val="bottom"/>
          </w:tcPr>
          <w:p>
            <w:pPr>
              <w:jc w:val="center"/>
              <w:ind w:left="2373"/>
              <w:spacing w:after="0"/>
              <w:rPr>
                <w:sz w:val="20"/>
                <w:szCs w:val="20"/>
                <w:color w:val="auto"/>
              </w:rPr>
            </w:pPr>
            <w:r>
              <w:rPr>
                <w:rFonts w:ascii="Arial" w:cs="Arial" w:eastAsia="Arial" w:hAnsi="Arial"/>
                <w:sz w:val="18"/>
                <w:szCs w:val="18"/>
                <w:color w:val="auto"/>
                <w:w w:val="88"/>
              </w:rPr>
              <w:t>50%</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DGPV Holdco 1 LLC </w:t>
            </w:r>
            <w:r>
              <w:rPr>
                <w:rFonts w:ascii="Arial" w:cs="Arial" w:eastAsia="Arial" w:hAnsi="Arial"/>
                <w:sz w:val="23"/>
                <w:szCs w:val="23"/>
                <w:color w:val="auto"/>
                <w:vertAlign w:val="superscript"/>
              </w:rPr>
              <w:t>(a)</w:t>
            </w:r>
          </w:p>
        </w:tc>
        <w:tc>
          <w:tcPr>
            <w:tcW w:w="4260" w:type="dxa"/>
            <w:vAlign w:val="bottom"/>
            <w:shd w:val="clear" w:color="auto" w:fill="CCEEFF"/>
          </w:tcPr>
          <w:p>
            <w:pPr>
              <w:jc w:val="center"/>
              <w:ind w:left="2373"/>
              <w:spacing w:after="0"/>
              <w:rPr>
                <w:sz w:val="20"/>
                <w:szCs w:val="20"/>
                <w:color w:val="auto"/>
              </w:rPr>
            </w:pPr>
            <w:r>
              <w:rPr>
                <w:rFonts w:ascii="Arial" w:cs="Arial" w:eastAsia="Arial" w:hAnsi="Arial"/>
                <w:sz w:val="18"/>
                <w:szCs w:val="18"/>
                <w:color w:val="auto"/>
                <w:w w:val="88"/>
              </w:rPr>
              <w:t>95%</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4800" w:type="dxa"/>
            <w:vAlign w:val="bottom"/>
          </w:tcPr>
          <w:p>
            <w:pPr>
              <w:spacing w:after="0" w:line="230" w:lineRule="exact"/>
              <w:rPr>
                <w:sz w:val="20"/>
                <w:szCs w:val="20"/>
                <w:color w:val="auto"/>
              </w:rPr>
            </w:pPr>
            <w:r>
              <w:rPr>
                <w:rFonts w:ascii="Arial" w:cs="Arial" w:eastAsia="Arial" w:hAnsi="Arial"/>
                <w:sz w:val="18"/>
                <w:szCs w:val="18"/>
                <w:color w:val="auto"/>
              </w:rPr>
              <w:t xml:space="preserve">DGPV Holdco 2 LLC </w:t>
            </w:r>
            <w:r>
              <w:rPr>
                <w:rFonts w:ascii="Arial" w:cs="Arial" w:eastAsia="Arial" w:hAnsi="Arial"/>
                <w:sz w:val="23"/>
                <w:szCs w:val="23"/>
                <w:color w:val="auto"/>
                <w:vertAlign w:val="superscript"/>
              </w:rPr>
              <w:t>(a)</w:t>
            </w:r>
          </w:p>
        </w:tc>
        <w:tc>
          <w:tcPr>
            <w:tcW w:w="4260" w:type="dxa"/>
            <w:vAlign w:val="bottom"/>
          </w:tcPr>
          <w:p>
            <w:pPr>
              <w:jc w:val="center"/>
              <w:ind w:left="2373"/>
              <w:spacing w:after="0"/>
              <w:rPr>
                <w:sz w:val="20"/>
                <w:szCs w:val="20"/>
                <w:color w:val="auto"/>
              </w:rPr>
            </w:pPr>
            <w:r>
              <w:rPr>
                <w:rFonts w:ascii="Arial" w:cs="Arial" w:eastAsia="Arial" w:hAnsi="Arial"/>
                <w:sz w:val="18"/>
                <w:szCs w:val="18"/>
                <w:color w:val="auto"/>
                <w:w w:val="88"/>
              </w:rPr>
              <w:t>95%</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San Juan Mesa</w:t>
            </w:r>
          </w:p>
        </w:tc>
        <w:tc>
          <w:tcPr>
            <w:tcW w:w="4260" w:type="dxa"/>
            <w:vAlign w:val="bottom"/>
            <w:shd w:val="clear" w:color="auto" w:fill="CCEEFF"/>
          </w:tcPr>
          <w:p>
            <w:pPr>
              <w:jc w:val="center"/>
              <w:ind w:left="2373"/>
              <w:spacing w:after="0"/>
              <w:rPr>
                <w:sz w:val="20"/>
                <w:szCs w:val="20"/>
                <w:color w:val="auto"/>
              </w:rPr>
            </w:pPr>
            <w:r>
              <w:rPr>
                <w:rFonts w:ascii="Arial" w:cs="Arial" w:eastAsia="Arial" w:hAnsi="Arial"/>
                <w:sz w:val="18"/>
                <w:szCs w:val="18"/>
                <w:color w:val="auto"/>
                <w:w w:val="88"/>
              </w:rPr>
              <w:t>75%</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Elkhorn Ridge</w:t>
            </w:r>
          </w:p>
        </w:tc>
        <w:tc>
          <w:tcPr>
            <w:tcW w:w="4260" w:type="dxa"/>
            <w:vAlign w:val="bottom"/>
          </w:tcPr>
          <w:p>
            <w:pPr>
              <w:jc w:val="center"/>
              <w:ind w:left="2353"/>
              <w:spacing w:after="0"/>
              <w:rPr>
                <w:sz w:val="20"/>
                <w:szCs w:val="20"/>
                <w:color w:val="auto"/>
              </w:rPr>
            </w:pPr>
            <w:r>
              <w:rPr>
                <w:rFonts w:ascii="Arial" w:cs="Arial" w:eastAsia="Arial" w:hAnsi="Arial"/>
                <w:sz w:val="18"/>
                <w:szCs w:val="18"/>
                <w:color w:val="auto"/>
                <w:w w:val="90"/>
              </w:rPr>
              <w:t>66.7%</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Avenal</w:t>
            </w:r>
          </w:p>
        </w:tc>
        <w:tc>
          <w:tcPr>
            <w:tcW w:w="4260" w:type="dxa"/>
            <w:vAlign w:val="bottom"/>
            <w:shd w:val="clear" w:color="auto" w:fill="CCEEFF"/>
          </w:tcPr>
          <w:p>
            <w:pPr>
              <w:jc w:val="center"/>
              <w:ind w:left="2373"/>
              <w:spacing w:after="0"/>
              <w:rPr>
                <w:sz w:val="20"/>
                <w:szCs w:val="20"/>
                <w:color w:val="auto"/>
              </w:rPr>
            </w:pPr>
            <w:r>
              <w:rPr>
                <w:rFonts w:ascii="Arial" w:cs="Arial" w:eastAsia="Arial" w:hAnsi="Arial"/>
                <w:sz w:val="18"/>
                <w:szCs w:val="18"/>
                <w:color w:val="auto"/>
                <w:w w:val="88"/>
              </w:rPr>
              <w:t>50%</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 xml:space="preserve">Mesquite Star </w:t>
            </w:r>
            <w:r>
              <w:rPr>
                <w:rFonts w:ascii="Arial" w:cs="Arial" w:eastAsia="Arial" w:hAnsi="Arial"/>
                <w:sz w:val="23"/>
                <w:szCs w:val="23"/>
                <w:color w:val="auto"/>
                <w:vertAlign w:val="superscript"/>
              </w:rPr>
              <w:t>(a)</w:t>
            </w:r>
          </w:p>
        </w:tc>
        <w:tc>
          <w:tcPr>
            <w:tcW w:w="4260" w:type="dxa"/>
            <w:vAlign w:val="bottom"/>
            <w:tcBorders>
              <w:bottom w:val="single" w:sz="8" w:color="CCEEFF"/>
            </w:tcBorders>
          </w:tcPr>
          <w:p>
            <w:pPr>
              <w:jc w:val="center"/>
              <w:ind w:left="2373"/>
              <w:spacing w:after="0"/>
              <w:rPr>
                <w:sz w:val="20"/>
                <w:szCs w:val="20"/>
                <w:color w:val="auto"/>
              </w:rPr>
            </w:pPr>
            <w:r>
              <w:rPr>
                <w:rFonts w:ascii="Arial" w:cs="Arial" w:eastAsia="Arial" w:hAnsi="Arial"/>
                <w:sz w:val="18"/>
                <w:szCs w:val="18"/>
                <w:color w:val="auto"/>
                <w:w w:val="88"/>
              </w:rPr>
              <w:t>50%</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21"/>
          <w:szCs w:val="21"/>
          <w:color w:val="auto"/>
          <w:vertAlign w:val="superscript"/>
        </w:rPr>
        <w:t>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VIEs and tax equity structures and economic interest are based on cash to be distributed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2" w:name="page23"/>
    <w:bookmarkEnd w:id="22"/>
    <w:p>
      <w:pPr>
        <w:ind w:left="580"/>
        <w:spacing w:after="0"/>
        <w:rPr>
          <w:sz w:val="20"/>
          <w:szCs w:val="20"/>
          <w:color w:val="auto"/>
        </w:rPr>
      </w:pPr>
      <w:r>
        <w:rPr>
          <w:rFonts w:ascii="Arial" w:cs="Arial" w:eastAsia="Arial" w:hAnsi="Arial"/>
          <w:sz w:val="18"/>
          <w:szCs w:val="18"/>
          <w:color w:val="auto"/>
        </w:rPr>
        <w:t>The following tables present summarized financial information for the Company's significant equity method investments: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Three months ended September 30,</w:t>
            </w:r>
          </w:p>
        </w:tc>
        <w:tc>
          <w:tcPr>
            <w:tcW w:w="3640" w:type="dxa"/>
            <w:vAlign w:val="bottom"/>
            <w:gridSpan w:val="6"/>
          </w:tcPr>
          <w:p>
            <w:pPr>
              <w:ind w:left="20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19"/>
                <w:szCs w:val="19"/>
                <w:color w:val="auto"/>
              </w:rPr>
            </w:pPr>
          </w:p>
        </w:tc>
      </w:tr>
      <w:tr>
        <w:trPr>
          <w:trHeight w:val="203"/>
        </w:trPr>
        <w:tc>
          <w:tcPr>
            <w:tcW w:w="45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Income Statement Data:</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6"/>
        </w:trPr>
        <w:tc>
          <w:tcPr>
            <w:tcW w:w="452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DGPV Holdco 3 </w:t>
            </w:r>
            <w:r>
              <w:rPr>
                <w:rFonts w:ascii="Arial" w:cs="Arial" w:eastAsia="Arial" w:hAnsi="Arial"/>
                <w:sz w:val="23"/>
                <w:szCs w:val="23"/>
                <w:color w:val="auto"/>
                <w:vertAlign w:val="superscript"/>
              </w:rPr>
              <w:t>(a)</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9"/>
                <w:szCs w:val="19"/>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380" w:type="dxa"/>
            <w:vAlign w:val="bottom"/>
          </w:tcPr>
          <w:p>
            <w:pPr>
              <w:ind w:left="1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19"/>
                <w:szCs w:val="19"/>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w:t>
            </w:r>
          </w:p>
        </w:tc>
        <w:tc>
          <w:tcPr>
            <w:tcW w:w="4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19"/>
                <w:szCs w:val="19"/>
                <w:color w:val="auto"/>
              </w:rPr>
            </w:pPr>
          </w:p>
        </w:tc>
      </w:tr>
      <w:tr>
        <w:trPr>
          <w:trHeight w:val="609"/>
        </w:trPr>
        <w:tc>
          <w:tcPr>
            <w:tcW w:w="4520" w:type="dxa"/>
            <w:vAlign w:val="bottom"/>
          </w:tcPr>
          <w:p>
            <w:pPr>
              <w:spacing w:after="0"/>
              <w:rPr>
                <w:sz w:val="20"/>
                <w:szCs w:val="20"/>
                <w:color w:val="auto"/>
              </w:rPr>
            </w:pPr>
            <w:r>
              <w:rPr>
                <w:rFonts w:ascii="Arial" w:cs="Arial" w:eastAsia="Arial" w:hAnsi="Arial"/>
                <w:sz w:val="23"/>
                <w:szCs w:val="23"/>
                <w:color w:val="auto"/>
                <w:w w:val="98"/>
                <w:vertAlign w:val="superscript"/>
              </w:rPr>
              <w:t>(</w:t>
            </w:r>
            <w:r>
              <w:rPr>
                <w:rFonts w:ascii="Arial" w:cs="Arial" w:eastAsia="Arial" w:hAnsi="Arial"/>
                <w:sz w:val="21"/>
                <w:szCs w:val="21"/>
                <w:color w:val="auto"/>
                <w:w w:val="98"/>
                <w:vertAlign w:val="superscript"/>
              </w:rPr>
              <w:t>a)</w:t>
            </w:r>
            <w:r>
              <w:rPr>
                <w:rFonts w:ascii="Arial" w:cs="Arial" w:eastAsia="Arial" w:hAnsi="Arial"/>
                <w:sz w:val="16"/>
                <w:szCs w:val="16"/>
                <w:color w:val="auto"/>
                <w:w w:val="98"/>
              </w:rPr>
              <w:t xml:space="preserve"> Year to date as of the reconsideration event on May 29, 2020</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84"/>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As of September 30, 2020</w:t>
            </w: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6"/>
                <w:szCs w:val="16"/>
                <w:b w:val="1"/>
                <w:bCs w:val="1"/>
                <w:color w:val="auto"/>
                <w:w w:val="90"/>
              </w:rPr>
              <w:t>As of December 31, 2019</w:t>
            </w:r>
          </w:p>
        </w:tc>
      </w:tr>
      <w:tr>
        <w:trPr>
          <w:trHeight w:val="209"/>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452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DGPV Holdco 3 </w:t>
            </w:r>
            <w:r>
              <w:rPr>
                <w:rFonts w:ascii="Arial" w:cs="Arial" w:eastAsia="Arial" w:hAnsi="Arial"/>
                <w:sz w:val="23"/>
                <w:szCs w:val="23"/>
                <w:color w:val="auto"/>
                <w:vertAlign w:val="superscript"/>
              </w:rPr>
              <w:t>(a)</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r>
      <w:tr>
        <w:trPr>
          <w:trHeight w:val="229"/>
        </w:trPr>
        <w:tc>
          <w:tcPr>
            <w:tcW w:w="4520" w:type="dxa"/>
            <w:vAlign w:val="bottom"/>
          </w:tcPr>
          <w:p>
            <w:pPr>
              <w:ind w:left="120"/>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371</w:t>
            </w:r>
          </w:p>
        </w:tc>
      </w:tr>
      <w:tr>
        <w:trPr>
          <w:trHeight w:val="230"/>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r>
      <w:tr>
        <w:trPr>
          <w:trHeight w:val="229"/>
        </w:trPr>
        <w:tc>
          <w:tcPr>
            <w:tcW w:w="4520" w:type="dxa"/>
            <w:vAlign w:val="bottom"/>
          </w:tcPr>
          <w:p>
            <w:pPr>
              <w:ind w:left="120"/>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r>
      <w:tr>
        <w:trPr>
          <w:trHeight w:val="229"/>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Redeemable noncontrolling interest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DGPV Holdco 3 was no longer an equity method investment as of the reconsideration event on May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hanging="240"/>
        <w:spacing w:after="0" w:line="277" w:lineRule="auto"/>
        <w:tabs>
          <w:tab w:leader="none" w:pos="1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cash and cash equivalents, restricted cash, accounts receivable, accounts receivable - affiliate, accounts payable, accounts payable - affiliate, accrued expenses and other liabilities, the carrying amounts approximate fair value because of the short-term maturity of those instruments and are classified as Level 1 within the fair value hierarchy.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estimated carrying amounts and fair values of the Company’s recorded financial instruments not carried at fair market value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September 30, 2020</w:t>
            </w:r>
          </w:p>
        </w:tc>
        <w:tc>
          <w:tcPr>
            <w:tcW w:w="300" w:type="dxa"/>
            <w:vAlign w:val="bottom"/>
          </w:tcPr>
          <w:p>
            <w:pPr>
              <w:spacing w:after="0"/>
              <w:rPr>
                <w:sz w:val="16"/>
                <w:szCs w:val="16"/>
                <w:color w:val="auto"/>
              </w:rPr>
            </w:pPr>
          </w:p>
        </w:tc>
        <w:tc>
          <w:tcPr>
            <w:tcW w:w="22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As of December 31, 2019</w:t>
            </w:r>
          </w:p>
        </w:tc>
      </w:tr>
      <w:tr>
        <w:trPr>
          <w:trHeight w:val="186"/>
        </w:trPr>
        <w:tc>
          <w:tcPr>
            <w:tcW w:w="6020" w:type="dxa"/>
            <w:vAlign w:val="bottom"/>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r>
      <w:tr>
        <w:trPr>
          <w:trHeight w:val="169"/>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2"/>
        </w:trPr>
        <w:tc>
          <w:tcPr>
            <w:tcW w:w="6020" w:type="dxa"/>
            <w:vAlign w:val="bottom"/>
            <w:shd w:val="clear" w:color="auto" w:fill="CCEEFF"/>
          </w:tcPr>
          <w:p>
            <w:pPr>
              <w:ind w:left="140"/>
              <w:spacing w:after="0" w:line="232" w:lineRule="exact"/>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3"/>
                <w:szCs w:val="23"/>
                <w:color w:val="auto"/>
                <w:vertAlign w:val="superscript"/>
              </w:rPr>
              <w:t>(a)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6,799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6,813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798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Excludes net debt issuance costs, which are recorded as a reduction to long-term debt on the Company's consolidated balance sheets.</w:t>
      </w:r>
    </w:p>
    <w:p>
      <w:pPr>
        <w:spacing w:after="0" w:line="9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fair value of the Company's publicly-traded long-term debt is based on quoted market prices and is classified as Level 2 within the fair value hierarchy. The fair value of non-publicly traded long-term debt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September 30, 2020 and December 31, 2019:</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of September 30, 2020</w:t>
            </w:r>
          </w:p>
        </w:tc>
        <w:tc>
          <w:tcPr>
            <w:tcW w:w="340" w:type="dxa"/>
            <w:vAlign w:val="bottom"/>
          </w:tcPr>
          <w:p>
            <w:pPr>
              <w:spacing w:after="0"/>
              <w:rPr>
                <w:sz w:val="16"/>
                <w:szCs w:val="16"/>
                <w:color w:val="auto"/>
              </w:rPr>
            </w:pPr>
          </w:p>
        </w:tc>
        <w:tc>
          <w:tcPr>
            <w:tcW w:w="218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w w:val="99"/>
              </w:rPr>
              <w:t>As of December 31, 2019</w:t>
            </w:r>
          </w:p>
        </w:tc>
      </w:tr>
      <w:tr>
        <w:trPr>
          <w:trHeight w:val="187"/>
        </w:trPr>
        <w:tc>
          <w:tcPr>
            <w:tcW w:w="60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1"/>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1,874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1,735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440"/>
              <w:spacing w:after="0"/>
              <w:rPr>
                <w:sz w:val="20"/>
                <w:szCs w:val="20"/>
                <w:color w:val="auto"/>
              </w:rPr>
            </w:pPr>
            <w:r>
              <w:rPr>
                <w:rFonts w:ascii="Arial" w:cs="Arial" w:eastAsia="Arial" w:hAnsi="Arial"/>
                <w:sz w:val="14"/>
                <w:szCs w:val="14"/>
                <w:b w:val="1"/>
                <w:bCs w:val="1"/>
                <w:color w:val="auto"/>
              </w:rPr>
              <w:t>As of September 30, 2020</w:t>
            </w:r>
          </w:p>
        </w:tc>
        <w:tc>
          <w:tcPr>
            <w:tcW w:w="340" w:type="dxa"/>
            <w:vAlign w:val="bottom"/>
          </w:tcPr>
          <w:p>
            <w:pPr>
              <w:spacing w:after="0"/>
              <w:rPr>
                <w:sz w:val="16"/>
                <w:szCs w:val="16"/>
                <w:color w:val="auto"/>
              </w:rPr>
            </w:pPr>
          </w:p>
        </w:tc>
        <w:tc>
          <w:tcPr>
            <w:tcW w:w="2920" w:type="dxa"/>
            <w:vAlign w:val="bottom"/>
            <w:gridSpan w:val="4"/>
          </w:tcPr>
          <w:p>
            <w:pPr>
              <w:jc w:val="center"/>
              <w:ind w:right="275"/>
              <w:spacing w:after="0"/>
              <w:rPr>
                <w:sz w:val="20"/>
                <w:szCs w:val="20"/>
                <w:color w:val="auto"/>
              </w:rPr>
            </w:pPr>
            <w:r>
              <w:rPr>
                <w:rFonts w:ascii="Arial" w:cs="Arial" w:eastAsia="Arial" w:hAnsi="Arial"/>
                <w:sz w:val="14"/>
                <w:szCs w:val="14"/>
                <w:b w:val="1"/>
                <w:bCs w:val="1"/>
                <w:color w:val="auto"/>
                <w:w w:val="92"/>
              </w:rPr>
              <w:t>As of December 31, 2019</w:t>
            </w:r>
          </w:p>
        </w:tc>
      </w:tr>
      <w:tr>
        <w:trPr>
          <w:trHeight w:val="188"/>
        </w:trPr>
        <w:tc>
          <w:tcPr>
            <w:tcW w:w="48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jc w:val="right"/>
              <w:ind w:right="10"/>
              <w:spacing w:after="0" w:line="189"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102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gridSpan w:val="3"/>
          </w:tcPr>
          <w:p>
            <w:pPr>
              <w:jc w:val="center"/>
              <w:ind w:left="699"/>
              <w:spacing w:after="0" w:line="189" w:lineRule="exact"/>
              <w:rPr>
                <w:sz w:val="20"/>
                <w:szCs w:val="20"/>
                <w:color w:val="auto"/>
              </w:rPr>
            </w:pPr>
            <w:r>
              <w:rPr>
                <w:rFonts w:ascii="Arial" w:cs="Arial" w:eastAsia="Arial" w:hAnsi="Arial"/>
                <w:sz w:val="14"/>
                <w:szCs w:val="14"/>
                <w:b w:val="1"/>
                <w:bCs w:val="1"/>
                <w:color w:val="auto"/>
                <w:w w:val="91"/>
              </w:rPr>
              <w:t xml:space="preserve">Fair Value </w:t>
            </w:r>
            <w:r>
              <w:rPr>
                <w:rFonts w:ascii="Arial" w:cs="Arial" w:eastAsia="Arial" w:hAnsi="Arial"/>
                <w:sz w:val="18"/>
                <w:szCs w:val="18"/>
                <w:b w:val="1"/>
                <w:bCs w:val="1"/>
                <w:color w:val="auto"/>
                <w:w w:val="91"/>
                <w:vertAlign w:val="superscript"/>
              </w:rPr>
              <w:t>(a)</w:t>
            </w:r>
          </w:p>
        </w:tc>
        <w:tc>
          <w:tcPr>
            <w:tcW w:w="1120" w:type="dxa"/>
            <w:vAlign w:val="bottom"/>
            <w:tcBorders>
              <w:top w:val="single" w:sz="8" w:color="auto"/>
              <w:bottom w:val="single" w:sz="8" w:color="auto"/>
            </w:tcBorders>
          </w:tcPr>
          <w:p>
            <w:pPr>
              <w:spacing w:after="0"/>
              <w:rPr>
                <w:sz w:val="16"/>
                <w:szCs w:val="16"/>
                <w:color w:val="auto"/>
              </w:rPr>
            </w:pPr>
          </w:p>
        </w:tc>
      </w:tr>
      <w:tr>
        <w:trPr>
          <w:trHeight w:val="180"/>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5"/>
                <w:szCs w:val="15"/>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Level 3</w:t>
            </w:r>
          </w:p>
        </w:tc>
      </w:tr>
      <w:tr>
        <w:trPr>
          <w:trHeight w:val="212"/>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308610</wp:posOffset>
            </wp:positionV>
            <wp:extent cx="13455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340" w:right="320" w:hanging="8"/>
        <w:spacing w:after="0" w:line="235" w:lineRule="auto"/>
        <w:tabs>
          <w:tab w:leader="none" w:pos="497"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There were no derivative assets classified as Level 1, Level 2 or Level 3 and no liabilities classified as Level 1 as of September 30, 2020 and as of December 31, 2019.</w:t>
      </w:r>
    </w:p>
    <w:p>
      <w:pPr>
        <w:spacing w:after="0" w:line="14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0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Three months ended September 30,</w:t>
            </w:r>
          </w:p>
        </w:tc>
        <w:tc>
          <w:tcPr>
            <w:tcW w:w="120" w:type="dxa"/>
            <w:vAlign w:val="bottom"/>
          </w:tcPr>
          <w:p>
            <w:pPr>
              <w:spacing w:after="0"/>
              <w:rPr>
                <w:sz w:val="19"/>
                <w:szCs w:val="19"/>
                <w:color w:val="auto"/>
              </w:rPr>
            </w:pPr>
          </w:p>
        </w:tc>
        <w:tc>
          <w:tcPr>
            <w:tcW w:w="28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2680" w:type="dxa"/>
            <w:vAlign w:val="bottom"/>
            <w:gridSpan w:val="4"/>
          </w:tcPr>
          <w:p>
            <w:pPr>
              <w:jc w:val="center"/>
              <w:ind w:left="190"/>
              <w:spacing w:after="0" w:line="169" w:lineRule="exact"/>
              <w:rPr>
                <w:sz w:val="20"/>
                <w:szCs w:val="20"/>
                <w:color w:val="auto"/>
              </w:rPr>
            </w:pPr>
            <w:r>
              <w:rPr>
                <w:rFonts w:ascii="Arial" w:cs="Arial" w:eastAsia="Arial" w:hAnsi="Arial"/>
                <w:sz w:val="18"/>
                <w:szCs w:val="18"/>
                <w:b w:val="1"/>
                <w:bCs w:val="1"/>
                <w:color w:val="auto"/>
                <w:w w:val="91"/>
              </w:rPr>
              <w:t>Fair Value Measurement Using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center"/>
              <w:ind w:right="50"/>
              <w:spacing w:after="0" w:line="169" w:lineRule="exact"/>
              <w:rPr>
                <w:sz w:val="20"/>
                <w:szCs w:val="20"/>
                <w:color w:val="auto"/>
              </w:rPr>
            </w:pPr>
            <w:r>
              <w:rPr>
                <w:rFonts w:ascii="Arial" w:cs="Arial" w:eastAsia="Arial" w:hAnsi="Arial"/>
                <w:sz w:val="18"/>
                <w:szCs w:val="18"/>
                <w:b w:val="1"/>
                <w:bCs w:val="1"/>
                <w:color w:val="auto"/>
                <w:w w:val="91"/>
              </w:rPr>
              <w:t>Fair Value Measurement Using</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3060" w:type="dxa"/>
            <w:vAlign w:val="bottom"/>
            <w:gridSpan w:val="6"/>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Significant Unobservable Inputs</w:t>
            </w:r>
          </w:p>
        </w:tc>
        <w:tc>
          <w:tcPr>
            <w:tcW w:w="120" w:type="dxa"/>
            <w:vAlign w:val="bottom"/>
          </w:tcPr>
          <w:p>
            <w:pPr>
              <w:spacing w:after="0"/>
              <w:rPr>
                <w:sz w:val="15"/>
                <w:szCs w:val="15"/>
                <w:color w:val="auto"/>
              </w:rPr>
            </w:pPr>
          </w:p>
        </w:tc>
        <w:tc>
          <w:tcPr>
            <w:tcW w:w="2820" w:type="dxa"/>
            <w:vAlign w:val="bottom"/>
            <w:gridSpan w:val="4"/>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Significant Unobservable Inputs</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right="630"/>
              <w:spacing w:after="0"/>
              <w:rPr>
                <w:sz w:val="20"/>
                <w:szCs w:val="20"/>
                <w:color w:val="auto"/>
              </w:rPr>
            </w:pPr>
            <w:r>
              <w:rPr>
                <w:rFonts w:ascii="Arial" w:cs="Arial" w:eastAsia="Arial" w:hAnsi="Arial"/>
                <w:sz w:val="18"/>
                <w:szCs w:val="18"/>
                <w:b w:val="1"/>
                <w:bCs w:val="1"/>
                <w:color w:val="auto"/>
                <w:w w:val="93"/>
              </w:rPr>
              <w:t>(Level 3)</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93"/>
              </w:rPr>
              <w:t>(Level 3)</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Total losses for the period included in earnings</w:t>
            </w:r>
          </w:p>
        </w:tc>
        <w:tc>
          <w:tcPr>
            <w:tcW w:w="1000" w:type="dxa"/>
            <w:vAlign w:val="bottom"/>
          </w:tcPr>
          <w:p>
            <w:pPr>
              <w:spacing w:after="0"/>
              <w:rPr>
                <w:sz w:val="19"/>
                <w:szCs w:val="19"/>
                <w:color w:val="auto"/>
              </w:rPr>
            </w:pPr>
          </w:p>
        </w:tc>
        <w:tc>
          <w:tcPr>
            <w:tcW w:w="5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16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0"/>
              </w:rPr>
              <w:t>(9)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rPr>
              <w:t>Change in unrealized losses included in earnings for derivatives</w:t>
            </w:r>
          </w:p>
        </w:tc>
        <w:tc>
          <w:tcPr>
            <w:tcW w:w="1000" w:type="dxa"/>
            <w:vAlign w:val="bottom"/>
            <w:vMerge w:val="restart"/>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as of September 30, 2020</w:t>
            </w:r>
          </w:p>
        </w:tc>
        <w:tc>
          <w:tcPr>
            <w:tcW w:w="100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some of the Company’s energy contracts,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September 30, 2020, contracts valued with prices provided by models and other valuation techniques make up 9% of derivative liabilities.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 classified as Level 3 includes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right="80"/>
        <w:spacing w:after="0" w:line="271" w:lineRule="auto"/>
        <w:rPr>
          <w:sz w:val="20"/>
          <w:szCs w:val="20"/>
          <w:color w:val="auto"/>
        </w:rPr>
      </w:pPr>
      <w:r>
        <w:rPr>
          <w:rFonts w:ascii="Arial" w:cs="Arial" w:eastAsia="Arial" w:hAnsi="Arial"/>
          <w:sz w:val="18"/>
          <w:szCs w:val="18"/>
          <w:color w:val="auto"/>
        </w:rPr>
        <w:t>The following tables quantify the significant unobservable inputs used in developing the fair value of the Company's Level 3 positions as of September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September 30, 2020</w:t>
            </w: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Input/Range</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80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89"/>
              </w:rPr>
              <w:t>Significant</w:t>
            </w: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Assets</w:t>
            </w:r>
          </w:p>
        </w:tc>
        <w:tc>
          <w:tcPr>
            <w:tcW w:w="11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Liabilities</w:t>
            </w:r>
          </w:p>
        </w:tc>
        <w:tc>
          <w:tcPr>
            <w:tcW w:w="1340" w:type="dxa"/>
            <w:vAlign w:val="bottom"/>
            <w:vMerge w:val="continue"/>
          </w:tcPr>
          <w:p>
            <w:pPr>
              <w:spacing w:after="0"/>
              <w:rPr>
                <w:sz w:val="15"/>
                <w:szCs w:val="15"/>
                <w:color w:val="auto"/>
              </w:rPr>
            </w:pPr>
          </w:p>
        </w:tc>
        <w:tc>
          <w:tcPr>
            <w:tcW w:w="180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9"/>
              </w:rPr>
              <w:t>Unobservable</w:t>
            </w:r>
          </w:p>
        </w:tc>
        <w:tc>
          <w:tcPr>
            <w:tcW w:w="11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Low</w:t>
            </w:r>
          </w:p>
        </w:tc>
        <w:tc>
          <w:tcPr>
            <w:tcW w:w="14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4"/>
              </w:rPr>
              <w:t>High</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8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5"/>
              </w:rPr>
              <w:t>Input</w:t>
            </w:r>
          </w:p>
        </w:tc>
        <w:tc>
          <w:tcPr>
            <w:tcW w:w="114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09"/>
        </w:trPr>
        <w:tc>
          <w:tcPr>
            <w:tcW w:w="1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Power Contracts</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3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Discounted Cash</w:t>
            </w:r>
          </w:p>
        </w:tc>
        <w:tc>
          <w:tcPr>
            <w:tcW w:w="1800" w:type="dxa"/>
            <w:vAlign w:val="bottom"/>
            <w:shd w:val="clear" w:color="auto" w:fill="CCEEFF"/>
          </w:tcPr>
          <w:p>
            <w:pPr>
              <w:jc w:val="center"/>
              <w:ind w:right="170"/>
              <w:spacing w:after="0" w:line="176" w:lineRule="exact"/>
              <w:rPr>
                <w:sz w:val="20"/>
                <w:szCs w:val="20"/>
                <w:color w:val="auto"/>
              </w:rPr>
            </w:pPr>
            <w:r>
              <w:rPr>
                <w:rFonts w:ascii="Arial" w:cs="Arial" w:eastAsia="Arial" w:hAnsi="Arial"/>
                <w:sz w:val="18"/>
                <w:szCs w:val="18"/>
                <w:color w:val="auto"/>
                <w:w w:val="93"/>
              </w:rPr>
              <w:t>Forward Market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c>
          <w:tcPr>
            <w:tcW w:w="14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37.46</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29"/>
        </w:trPr>
        <w:tc>
          <w:tcPr>
            <w:tcW w:w="174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Flow</w:t>
            </w:r>
          </w:p>
        </w:tc>
        <w:tc>
          <w:tcPr>
            <w:tcW w:w="180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3"/>
              </w:rPr>
              <w:t>Price (per MWh)</w:t>
            </w:r>
          </w:p>
        </w:tc>
        <w:tc>
          <w:tcPr>
            <w:tcW w:w="114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sensitivity of fair value measurements to increases/(decreases) in significant unobservable inputs as of September 30, 2020:</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0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1"/>
              </w:rPr>
              <w:t>Significant Observable Input</w:t>
            </w: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234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94"/>
              </w:rPr>
              <w:t>Change In Input</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Measurement</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Forward Market Price Power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Buy</w:t>
            </w:r>
          </w:p>
        </w:tc>
        <w:tc>
          <w:tcPr>
            <w:tcW w:w="23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Increase/(Decrease)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r>
        <w:trPr>
          <w:trHeight w:val="230"/>
        </w:trPr>
        <w:tc>
          <w:tcPr>
            <w:tcW w:w="3080" w:type="dxa"/>
            <w:vAlign w:val="bottom"/>
          </w:tcPr>
          <w:p>
            <w:pPr>
              <w:jc w:val="center"/>
              <w:ind w:right="130"/>
              <w:spacing w:after="0"/>
              <w:rPr>
                <w:sz w:val="20"/>
                <w:szCs w:val="20"/>
                <w:color w:val="auto"/>
              </w:rPr>
            </w:pPr>
            <w:r>
              <w:rPr>
                <w:rFonts w:ascii="Arial" w:cs="Arial" w:eastAsia="Arial" w:hAnsi="Arial"/>
                <w:sz w:val="18"/>
                <w:szCs w:val="18"/>
                <w:color w:val="auto"/>
                <w:w w:val="92"/>
              </w:rPr>
              <w:t>Forward Market Price Power</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Sell</w:t>
            </w:r>
          </w:p>
        </w:tc>
        <w:tc>
          <w:tcPr>
            <w:tcW w:w="2340" w:type="dxa"/>
            <w:vAlign w:val="bottom"/>
          </w:tcPr>
          <w:p>
            <w:pPr>
              <w:jc w:val="center"/>
              <w:ind w:left="150"/>
              <w:spacing w:after="0"/>
              <w:rPr>
                <w:sz w:val="20"/>
                <w:szCs w:val="20"/>
                <w:color w:val="auto"/>
              </w:rPr>
            </w:pPr>
            <w:r>
              <w:rPr>
                <w:rFonts w:ascii="Arial" w:cs="Arial" w:eastAsia="Arial" w:hAnsi="Arial"/>
                <w:sz w:val="18"/>
                <w:szCs w:val="18"/>
                <w:color w:val="auto"/>
                <w:w w:val="87"/>
              </w:rPr>
              <w:t>Increase/(Decrease)</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Lower/(Higher)</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2020, the non-performance reserve was a $10 million gain recorded primarily in interest expense in the consolidated statements of operations. It is possible that future market prices could vary from those used in recording assets and liabilities and such variations could be material.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In addition to the credit risk discussion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w:t>
      </w:r>
      <w:r>
        <w:rPr>
          <w:rFonts w:ascii="Arial" w:cs="Arial" w:eastAsia="Arial" w:hAnsi="Arial"/>
          <w:sz w:val="17"/>
          <w:szCs w:val="17"/>
          <w:color w:val="231F20"/>
        </w:rPr>
        <w:t>to the consolidated financial</w:t>
      </w:r>
      <w:r>
        <w:rPr>
          <w:rFonts w:ascii="Arial" w:cs="Arial" w:eastAsia="Arial" w:hAnsi="Arial"/>
          <w:sz w:val="17"/>
          <w:szCs w:val="17"/>
          <w:color w:val="auto"/>
        </w:rPr>
        <w:t xml:space="preserve"> statements </w:t>
      </w:r>
      <w:r>
        <w:rPr>
          <w:rFonts w:ascii="Arial" w:cs="Arial" w:eastAsia="Arial" w:hAnsi="Arial"/>
          <w:sz w:val="17"/>
          <w:szCs w:val="17"/>
          <w:color w:val="231F20"/>
        </w:rPr>
        <w:t>included in the</w:t>
      </w:r>
      <w:r>
        <w:rPr>
          <w:rFonts w:ascii="Arial" w:cs="Arial" w:eastAsia="Arial" w:hAnsi="Arial"/>
          <w:sz w:val="17"/>
          <w:szCs w:val="17"/>
          <w:color w:val="auto"/>
        </w:rPr>
        <w:t xml:space="preserve"> </w:t>
      </w:r>
      <w:r>
        <w:rPr>
          <w:rFonts w:ascii="Arial" w:cs="Arial" w:eastAsia="Arial" w:hAnsi="Arial"/>
          <w:sz w:val="17"/>
          <w:szCs w:val="17"/>
          <w:color w:val="231F20"/>
        </w:rPr>
        <w:t xml:space="preserve">Company's </w:t>
      </w:r>
      <w:r>
        <w:rPr>
          <w:rFonts w:ascii="Arial" w:cs="Arial" w:eastAsia="Arial" w:hAnsi="Arial"/>
          <w:sz w:val="17"/>
          <w:szCs w:val="17"/>
          <w:color w:val="000000"/>
        </w:rPr>
        <w:t>2019 Form 10-K, the following is a discussion of the concentration of credit risk for the Company's financial instruments. Credit risk relates to</w:t>
      </w:r>
      <w:r>
        <w:rPr>
          <w:rFonts w:ascii="Arial" w:cs="Arial" w:eastAsia="Arial" w:hAnsi="Arial"/>
          <w:sz w:val="17"/>
          <w:szCs w:val="17"/>
          <w:color w:val="231F20"/>
        </w:rPr>
        <w:t xml:space="preserve"> </w:t>
      </w:r>
      <w:r>
        <w:rPr>
          <w:rFonts w:ascii="Arial" w:cs="Arial" w:eastAsia="Arial" w:hAnsi="Arial"/>
          <w:sz w:val="17"/>
          <w:szCs w:val="17"/>
          <w:color w:val="000000"/>
        </w:rPr>
        <w:t>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Item 15 — Note 7,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i w:val="1"/>
          <w:iCs w:val="1"/>
          <w:color w:val="231F20"/>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to the consolidated financial statements included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2019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interest rate swap agreements in order to hedge the variability of expected future cash interest payments. As of September 30, 2020, the Company had interest rate derivative instruments on non-recourse debt extending through 2043, a portion of which were designated as cash flow hedges. Under the interest rate swap agreements, the Company pays a fixed rate and the counterparties to the agreements pay a variable interest 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2020, the Company had energy-related derivative instruments extending through 2029. At September 30, 2020,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type: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Total Volume</w:t>
            </w:r>
          </w:p>
        </w:tc>
      </w:t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9"/>
              </w:rPr>
              <w:t>September 30, 2020</w:t>
            </w:r>
          </w:p>
        </w:tc>
        <w:tc>
          <w:tcPr>
            <w:tcW w:w="38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1"/>
              </w:rPr>
              <w:t>December 31, 2019</w:t>
            </w:r>
          </w:p>
        </w:tc>
        <w:tc>
          <w:tcPr>
            <w:tcW w:w="40" w:type="dxa"/>
            <w:vAlign w:val="bottom"/>
          </w:tcPr>
          <w:p>
            <w:pPr>
              <w:spacing w:after="0"/>
              <w:rPr>
                <w:sz w:val="16"/>
                <w:szCs w:val="16"/>
                <w:color w:val="auto"/>
              </w:rPr>
            </w:pPr>
          </w:p>
        </w:tc>
      </w:tr>
      <w:tr>
        <w:trPr>
          <w:trHeight w:val="145"/>
        </w:trPr>
        <w:tc>
          <w:tcPr>
            <w:tcW w:w="20" w:type="dxa"/>
            <w:vAlign w:val="bottom"/>
          </w:tcPr>
          <w:p>
            <w:pPr>
              <w:spacing w:after="0"/>
              <w:rPr>
                <w:sz w:val="12"/>
                <w:szCs w:val="12"/>
                <w:color w:val="auto"/>
              </w:rPr>
            </w:pPr>
          </w:p>
        </w:tc>
        <w:tc>
          <w:tcPr>
            <w:tcW w:w="132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Commodity</w:t>
            </w:r>
          </w:p>
        </w:tc>
        <w:tc>
          <w:tcPr>
            <w:tcW w:w="24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Units</w:t>
            </w: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2"/>
          </w:tcPr>
          <w:p>
            <w:pPr>
              <w:jc w:val="center"/>
              <w:ind w:left="1239"/>
              <w:spacing w:after="0" w:line="145" w:lineRule="exact"/>
              <w:rPr>
                <w:sz w:val="20"/>
                <w:szCs w:val="20"/>
                <w:color w:val="auto"/>
              </w:rPr>
            </w:pPr>
            <w:r>
              <w:rPr>
                <w:rFonts w:ascii="Arial" w:cs="Arial" w:eastAsia="Arial" w:hAnsi="Arial"/>
                <w:sz w:val="14"/>
                <w:szCs w:val="14"/>
                <w:b w:val="1"/>
                <w:bCs w:val="1"/>
                <w:color w:val="auto"/>
                <w:w w:val="96"/>
              </w:rPr>
              <w:t>(In millions)</w:t>
            </w: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Power</w:t>
            </w:r>
          </w:p>
        </w:tc>
        <w:tc>
          <w:tcPr>
            <w:tcW w:w="2400" w:type="dxa"/>
            <w:vAlign w:val="bottom"/>
            <w:gridSpan w:val="2"/>
          </w:tcPr>
          <w:p>
            <w:pPr>
              <w:spacing w:after="0"/>
              <w:rPr>
                <w:sz w:val="20"/>
                <w:szCs w:val="20"/>
                <w:color w:val="auto"/>
              </w:rPr>
            </w:pPr>
            <w:r>
              <w:rPr>
                <w:rFonts w:ascii="Arial" w:cs="Arial" w:eastAsia="Arial" w:hAnsi="Arial"/>
                <w:sz w:val="18"/>
                <w:szCs w:val="18"/>
                <w:color w:val="auto"/>
              </w:rPr>
              <w:t>MWh</w:t>
            </w: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3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1,769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40" w:type="dxa"/>
            <w:vAlign w:val="bottom"/>
          </w:tcPr>
          <w:p>
            <w:pPr>
              <w:spacing w:after="0"/>
              <w:rPr>
                <w:sz w:val="19"/>
                <w:szCs w:val="19"/>
                <w:color w:val="auto"/>
              </w:rPr>
            </w:pPr>
          </w:p>
        </w:tc>
      </w:tr>
      <w:tr>
        <w:trPr>
          <w:trHeight w:val="87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60" w:type="dxa"/>
            <w:vAlign w:val="bottom"/>
          </w:tcPr>
          <w:p>
            <w:pPr>
              <w:jc w:val="right"/>
              <w:ind w:right="159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95"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420" w:type="dxa"/>
            <w:vAlign w:val="bottom"/>
            <w:tcBorders>
              <w:bottom w:val="single" w:sz="8" w:color="auto"/>
            </w:tcBorders>
          </w:tcPr>
          <w:p>
            <w:pPr>
              <w:spacing w:after="0"/>
              <w:rPr>
                <w:sz w:val="16"/>
                <w:szCs w:val="16"/>
                <w:color w:val="auto"/>
              </w:rPr>
            </w:pPr>
          </w:p>
        </w:tc>
      </w:tr>
      <w:tr>
        <w:trPr>
          <w:trHeight w:val="187"/>
        </w:trPr>
        <w:tc>
          <w:tcPr>
            <w:tcW w:w="7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Derivative Liabilities</w:t>
            </w:r>
          </w:p>
        </w:tc>
      </w:tr>
      <w:tr>
        <w:trPr>
          <w:trHeight w:val="183"/>
        </w:trPr>
        <w:tc>
          <w:tcPr>
            <w:tcW w:w="7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September 30, 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2019</w:t>
            </w:r>
          </w:p>
        </w:tc>
      </w:tr>
      <w:tr>
        <w:trPr>
          <w:trHeight w:val="170"/>
        </w:trPr>
        <w:tc>
          <w:tcPr>
            <w:tcW w:w="7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4"/>
                <w:szCs w:val="14"/>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Derivatives Designated as Cash Flow Hedges:</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rate contracts current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Interest rate contracts long-term</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Derivatives Designated as Cash Flow Hedges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color w:val="auto"/>
              </w:rPr>
              <w:t>Derivatives Not Designated as Cash Flow Hedges: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rate contracts current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100" w:type="dxa"/>
            <w:vAlign w:val="bottom"/>
            <w:gridSpan w:val="2"/>
          </w:tcPr>
          <w:p>
            <w:pPr>
              <w:ind w:left="120"/>
              <w:spacing w:after="0"/>
              <w:rPr>
                <w:sz w:val="20"/>
                <w:szCs w:val="20"/>
                <w:color w:val="auto"/>
              </w:rPr>
            </w:pPr>
            <w:r>
              <w:rPr>
                <w:rFonts w:ascii="Arial" w:cs="Arial" w:eastAsia="Arial" w:hAnsi="Arial"/>
                <w:sz w:val="18"/>
                <w:szCs w:val="18"/>
                <w:color w:val="auto"/>
              </w:rPr>
              <w:t>Interest rate contracts long-term</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Commodity contracts long-term</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Derivatives Not Designated as Cash Flow Hedges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48"/>
        </w:trPr>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firstLine="405"/>
        <w:spacing w:after="0" w:line="311"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September 30, 2020 and December 31, 2019, there was no outstanding collateral paid or received. The following tables summarize the offsetting of derivatives by the counterparty master agreement level as of September 30, 2020 and December 31, 2019:</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September 30, 2020</w:t>
            </w:r>
          </w:p>
        </w:tc>
        <w:tc>
          <w:tcPr>
            <w:tcW w:w="2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14"/>
                <w:szCs w:val="14"/>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5520" w:type="dxa"/>
            <w:vAlign w:val="bottom"/>
            <w:vMerge w:val="continue"/>
          </w:tcPr>
          <w:p>
            <w:pPr>
              <w:spacing w:after="0"/>
              <w:rPr>
                <w:sz w:val="16"/>
                <w:szCs w:val="16"/>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Recognized Assets/Liabilities</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commodity contracts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interest rate contracts</w:t>
            </w:r>
          </w:p>
        </w:tc>
        <w:tc>
          <w:tcPr>
            <w:tcW w:w="2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 instruments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2019</w:t>
            </w:r>
          </w:p>
        </w:tc>
        <w:tc>
          <w:tcPr>
            <w:tcW w:w="28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24"/>
                <w:szCs w:val="24"/>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24"/>
                <w:szCs w:val="24"/>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5520" w:type="dxa"/>
            <w:vAlign w:val="bottom"/>
            <w:vMerge w:val="continue"/>
          </w:tcPr>
          <w:p>
            <w:pPr>
              <w:spacing w:after="0"/>
              <w:rPr>
                <w:sz w:val="16"/>
                <w:szCs w:val="16"/>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Recognized Assets/Liabilities</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commodity contracts</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rate contracts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Total derivative instruments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5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28</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r>
        <w:rPr>
          <w:rFonts w:ascii="Arial" w:cs="Arial" w:eastAsia="Arial" w:hAnsi="Arial"/>
          <w:sz w:val="18"/>
          <w:szCs w:val="18"/>
          <w:b w:val="1"/>
          <w:bCs w:val="1"/>
          <w:color w:val="auto"/>
        </w:rPr>
        <w:t>:</w:t>
      </w:r>
    </w:p>
    <w:tbl>
      <w:tblPr>
        <w:tblLayout w:type="fixed"/>
        <w:tblInd w:w="0" w:type="dxa"/>
        <w:tblCellMar>
          <w:top w:w="0" w:type="dxa"/>
          <w:left w:w="0" w:type="dxa"/>
          <w:bottom w:w="0" w:type="dxa"/>
          <w:right w:w="0" w:type="dxa"/>
        </w:tblCellMar>
      </w:tblPr>
      <w:tr>
        <w:trPr>
          <w:trHeight w:val="144"/>
        </w:trPr>
        <w:tc>
          <w:tcPr>
            <w:tcW w:w="7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5"/>
          </w:tcPr>
          <w:p>
            <w:pPr>
              <w:jc w:val="center"/>
              <w:ind w:right="400"/>
              <w:spacing w:after="0" w:line="145" w:lineRule="exact"/>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2"/>
                <w:szCs w:val="12"/>
                <w:color w:val="auto"/>
              </w:rPr>
            </w:pPr>
          </w:p>
        </w:tc>
        <w:tc>
          <w:tcPr>
            <w:tcW w:w="1600" w:type="dxa"/>
            <w:vAlign w:val="bottom"/>
            <w:gridSpan w:val="4"/>
          </w:tcPr>
          <w:p>
            <w:pPr>
              <w:jc w:val="center"/>
              <w:ind w:right="54"/>
              <w:spacing w:after="0" w:line="145" w:lineRule="exact"/>
              <w:rPr>
                <w:sz w:val="20"/>
                <w:szCs w:val="20"/>
                <w:color w:val="auto"/>
              </w:rPr>
            </w:pPr>
            <w:r>
              <w:rPr>
                <w:rFonts w:ascii="Arial" w:cs="Arial" w:eastAsia="Arial" w:hAnsi="Arial"/>
                <w:sz w:val="14"/>
                <w:szCs w:val="14"/>
                <w:b w:val="1"/>
                <w:bCs w:val="1"/>
                <w:color w:val="auto"/>
                <w:w w:val="90"/>
              </w:rPr>
              <w:t>Nine months ended</w:t>
            </w:r>
          </w:p>
        </w:tc>
      </w:tr>
      <w:tr>
        <w:trPr>
          <w:trHeight w:val="188"/>
        </w:trPr>
        <w:tc>
          <w:tcPr>
            <w:tcW w:w="7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600" w:type="dxa"/>
            <w:vAlign w:val="bottom"/>
            <w:gridSpan w:val="4"/>
          </w:tcPr>
          <w:p>
            <w:pPr>
              <w:jc w:val="center"/>
              <w:ind w:right="74"/>
              <w:spacing w:after="0"/>
              <w:rPr>
                <w:sz w:val="20"/>
                <w:szCs w:val="20"/>
                <w:color w:val="auto"/>
              </w:rPr>
            </w:pPr>
            <w:r>
              <w:rPr>
                <w:rFonts w:ascii="Arial" w:cs="Arial" w:eastAsia="Arial" w:hAnsi="Arial"/>
                <w:sz w:val="14"/>
                <w:szCs w:val="14"/>
                <w:b w:val="1"/>
                <w:bCs w:val="1"/>
                <w:color w:val="auto"/>
                <w:w w:val="91"/>
              </w:rPr>
              <w:t>September 30,</w:t>
            </w:r>
          </w:p>
        </w:tc>
      </w:tr>
      <w:tr>
        <w:trPr>
          <w:trHeight w:val="183"/>
        </w:trPr>
        <w:tc>
          <w:tcPr>
            <w:tcW w:w="75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r>
      <w:tr>
        <w:trPr>
          <w:trHeight w:val="183"/>
        </w:trPr>
        <w:tc>
          <w:tcPr>
            <w:tcW w:w="7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93"/>
              </w:rPr>
              <w:t>(45)</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w w:val="97"/>
              </w:rPr>
              <w:t>Reclassified from accumulated OCL to income due to realization of previously deferred amounts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center"/>
              <w:ind w:left="314"/>
              <w:spacing w:after="0"/>
              <w:rPr>
                <w:sz w:val="20"/>
                <w:szCs w:val="20"/>
                <w:color w:val="auto"/>
              </w:rPr>
            </w:pPr>
            <w:r>
              <w:rPr>
                <w:rFonts w:ascii="Arial" w:cs="Arial" w:eastAsia="Arial" w:hAnsi="Arial"/>
                <w:sz w:val="18"/>
                <w:szCs w:val="18"/>
                <w:color w:val="auto"/>
                <w:w w:val="89"/>
              </w:rPr>
              <w:t>21</w:t>
            </w: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Mark-to-market of cash flow hedge accounting contracts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93"/>
              </w:rPr>
              <w:t>(19)</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Accumulated OCL attributable to Clearway Energy LLC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93"/>
              </w:rPr>
              <w:t>(43)</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Gains and losses related to the Company's derivatives are recorded in the consolidated statements of operations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Three months ended September 30,</w:t>
            </w:r>
          </w:p>
        </w:tc>
        <w:tc>
          <w:tcPr>
            <w:tcW w:w="224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7"/>
        </w:trPr>
        <w:tc>
          <w:tcPr>
            <w:tcW w:w="6500" w:type="dxa"/>
            <w:vAlign w:val="bottom"/>
          </w:tcPr>
          <w:p>
            <w:pPr>
              <w:spacing w:after="0"/>
              <w:rPr>
                <w:sz w:val="16"/>
                <w:szCs w:val="16"/>
                <w:color w:val="auto"/>
              </w:rPr>
            </w:pPr>
          </w:p>
        </w:tc>
        <w:tc>
          <w:tcPr>
            <w:tcW w:w="940" w:type="dxa"/>
            <w:vAlign w:val="bottom"/>
            <w:tcBorders>
              <w:top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r>
      <w:tr>
        <w:trPr>
          <w:trHeight w:val="190"/>
        </w:trPr>
        <w:tc>
          <w:tcPr>
            <w:tcW w:w="6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Interest Rate Contracts (Interest Expense)</w:t>
            </w:r>
          </w:p>
        </w:tc>
        <w:tc>
          <w:tcPr>
            <w:tcW w:w="940" w:type="dxa"/>
            <w:vAlign w:val="bottom"/>
          </w:tcPr>
          <w:p>
            <w:pPr>
              <w:jc w:val="right"/>
              <w:ind w:right="762"/>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(53)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6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economic hedging activities </w:t>
            </w:r>
            <w:r>
              <w:rPr>
                <w:rFonts w:ascii="Arial" w:cs="Arial" w:eastAsia="Arial" w:hAnsi="Arial"/>
                <w:sz w:val="23"/>
                <w:szCs w:val="23"/>
                <w:color w:val="auto"/>
                <w:vertAlign w:val="superscript"/>
              </w:rPr>
              <w:t>(a)</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17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308610</wp:posOffset>
            </wp:positionV>
            <wp:extent cx="18084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20" w:hanging="121"/>
        <w:spacing w:after="0"/>
        <w:tabs>
          <w:tab w:leader="none" w:pos="1020" w:val="left"/>
        </w:tabs>
        <w:numPr>
          <w:ilvl w:val="0"/>
          <w:numId w:val="11"/>
        </w:numPr>
        <w:rPr>
          <w:rFonts w:ascii="Arial" w:cs="Arial" w:eastAsia="Arial" w:hAnsi="Arial"/>
          <w:sz w:val="13"/>
          <w:szCs w:val="13"/>
          <w:color w:val="auto"/>
          <w:vertAlign w:val="superscript"/>
        </w:rPr>
      </w:pPr>
      <w:r>
        <w:rPr>
          <w:rFonts w:ascii="Arial" w:cs="Arial" w:eastAsia="Arial" w:hAnsi="Arial"/>
          <w:sz w:val="11"/>
          <w:szCs w:val="11"/>
          <w:color w:val="auto"/>
        </w:rPr>
        <w:t>Relates to long-term power hedge at Elbow Creek Wind Project LLC, or Elbow Creek.</w:t>
      </w:r>
    </w:p>
    <w:p>
      <w:pPr>
        <w:spacing w:after="0" w:line="2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w:t>
      </w:r>
      <w:r>
        <w:rPr>
          <w:rFonts w:ascii="Arial" w:cs="Arial" w:eastAsia="Arial" w:hAnsi="Arial"/>
          <w:sz w:val="18"/>
          <w:szCs w:val="18"/>
          <w:color w:val="auto"/>
        </w:rPr>
        <w:t xml:space="preserve"> </w:t>
      </w:r>
      <w:r>
        <w:rPr>
          <w:rFonts w:ascii="Arial" w:cs="Arial" w:eastAsia="Arial" w:hAnsi="Arial"/>
          <w:sz w:val="18"/>
          <w:szCs w:val="18"/>
          <w:color w:val="231F20"/>
        </w:rPr>
        <w:t xml:space="preserve">statements included in the Company's </w:t>
      </w:r>
      <w:r>
        <w:rPr>
          <w:rFonts w:ascii="Arial" w:cs="Arial" w:eastAsia="Arial" w:hAnsi="Arial"/>
          <w:sz w:val="18"/>
          <w:szCs w:val="18"/>
          <w:color w:val="000000"/>
        </w:rPr>
        <w:t>2019 Form 10-K. Long-term debt consisted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8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September 30, 2020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35"/>
        </w:trPr>
        <w:tc>
          <w:tcPr>
            <w:tcW w:w="5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rates)</w:t>
            </w:r>
          </w:p>
        </w:tc>
        <w:tc>
          <w:tcPr>
            <w:tcW w:w="10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88"/>
        </w:trPr>
        <w:tc>
          <w:tcPr>
            <w:tcW w:w="53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interest rate % (a)</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11"/>
        </w:trPr>
        <w:tc>
          <w:tcPr>
            <w:tcW w:w="536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color w:val="auto"/>
              </w:rPr>
              <w:t>Long-term debt — affiliate, due 2020</w:t>
            </w:r>
            <w:r>
              <w:rPr>
                <w:rFonts w:ascii="Arial" w:cs="Arial" w:eastAsia="Arial" w:hAnsi="Arial"/>
                <w:sz w:val="21"/>
                <w:szCs w:val="21"/>
                <w:color w:val="auto"/>
                <w:vertAlign w:val="superscript"/>
              </w:rPr>
              <w:t>(b)</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820" w:type="dxa"/>
            <w:vAlign w:val="bottom"/>
            <w:gridSpan w:val="2"/>
            <w:shd w:val="clear" w:color="auto" w:fill="CCEEFF"/>
          </w:tcPr>
          <w:p>
            <w:pPr>
              <w:jc w:val="center"/>
              <w:ind w:left="1259"/>
              <w:spacing w:after="0"/>
              <w:rPr>
                <w:sz w:val="20"/>
                <w:szCs w:val="20"/>
                <w:color w:val="auto"/>
              </w:rPr>
            </w:pPr>
            <w:r>
              <w:rPr>
                <w:rFonts w:ascii="Arial" w:cs="Arial" w:eastAsia="Arial" w:hAnsi="Arial"/>
                <w:sz w:val="16"/>
                <w:szCs w:val="16"/>
                <w:color w:val="auto"/>
                <w:w w:val="89"/>
              </w:rPr>
              <w:t>3.325</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Intercompany Note with Clearway Energy, Inc.</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center"/>
              <w:ind w:left="1259"/>
              <w:spacing w:after="0"/>
              <w:rPr>
                <w:sz w:val="20"/>
                <w:szCs w:val="20"/>
                <w:color w:val="auto"/>
              </w:rPr>
            </w:pPr>
            <w:r>
              <w:rPr>
                <w:rFonts w:ascii="Arial" w:cs="Arial" w:eastAsia="Arial" w:hAnsi="Arial"/>
                <w:sz w:val="16"/>
                <w:szCs w:val="16"/>
                <w:color w:val="auto"/>
                <w:w w:val="89"/>
              </w:rPr>
              <w:t>1.490</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2024 Senior Notes</w:t>
            </w:r>
            <w:r>
              <w:rPr>
                <w:rFonts w:ascii="Arial" w:cs="Arial" w:eastAsia="Arial" w:hAnsi="Arial"/>
                <w:sz w:val="21"/>
                <w:szCs w:val="21"/>
                <w:color w:val="auto"/>
                <w:vertAlign w:val="superscript"/>
              </w:rPr>
              <w:t>(c)</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820" w:type="dxa"/>
            <w:vAlign w:val="bottom"/>
            <w:gridSpan w:val="2"/>
            <w:shd w:val="clear" w:color="auto" w:fill="CCEEFF"/>
          </w:tcPr>
          <w:p>
            <w:pPr>
              <w:jc w:val="center"/>
              <w:ind w:left="1259"/>
              <w:spacing w:after="0"/>
              <w:rPr>
                <w:sz w:val="20"/>
                <w:szCs w:val="20"/>
                <w:color w:val="auto"/>
              </w:rPr>
            </w:pPr>
            <w:r>
              <w:rPr>
                <w:rFonts w:ascii="Arial" w:cs="Arial" w:eastAsia="Arial" w:hAnsi="Arial"/>
                <w:sz w:val="16"/>
                <w:szCs w:val="16"/>
                <w:color w:val="auto"/>
                <w:w w:val="89"/>
              </w:rPr>
              <w:t>5.375</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2025 Senior Notes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w:t>
            </w:r>
          </w:p>
        </w:tc>
        <w:tc>
          <w:tcPr>
            <w:tcW w:w="1820" w:type="dxa"/>
            <w:vAlign w:val="bottom"/>
            <w:gridSpan w:val="2"/>
          </w:tcPr>
          <w:p>
            <w:pPr>
              <w:jc w:val="center"/>
              <w:ind w:left="1259"/>
              <w:spacing w:after="0"/>
              <w:rPr>
                <w:sz w:val="20"/>
                <w:szCs w:val="20"/>
                <w:color w:val="auto"/>
              </w:rPr>
            </w:pPr>
            <w:r>
              <w:rPr>
                <w:rFonts w:ascii="Arial" w:cs="Arial" w:eastAsia="Arial" w:hAnsi="Arial"/>
                <w:sz w:val="16"/>
                <w:szCs w:val="16"/>
                <w:color w:val="auto"/>
                <w:w w:val="89"/>
              </w:rPr>
              <w:t>5.750</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 Senior Notes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820" w:type="dxa"/>
            <w:vAlign w:val="bottom"/>
            <w:gridSpan w:val="2"/>
            <w:shd w:val="clear" w:color="auto" w:fill="CCEEFF"/>
          </w:tcPr>
          <w:p>
            <w:pPr>
              <w:jc w:val="center"/>
              <w:ind w:left="1259"/>
              <w:spacing w:after="0"/>
              <w:rPr>
                <w:sz w:val="20"/>
                <w:szCs w:val="20"/>
                <w:color w:val="auto"/>
              </w:rPr>
            </w:pPr>
            <w:r>
              <w:rPr>
                <w:rFonts w:ascii="Arial" w:cs="Arial" w:eastAsia="Arial" w:hAnsi="Arial"/>
                <w:sz w:val="16"/>
                <w:szCs w:val="16"/>
                <w:color w:val="auto"/>
                <w:w w:val="89"/>
              </w:rPr>
              <w:t>5.000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2028 Senior Notes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w:t>
            </w:r>
          </w:p>
        </w:tc>
        <w:tc>
          <w:tcPr>
            <w:tcW w:w="1820" w:type="dxa"/>
            <w:vAlign w:val="bottom"/>
            <w:gridSpan w:val="2"/>
          </w:tcPr>
          <w:p>
            <w:pPr>
              <w:jc w:val="center"/>
              <w:ind w:left="1259"/>
              <w:spacing w:after="0"/>
              <w:rPr>
                <w:sz w:val="20"/>
                <w:szCs w:val="20"/>
                <w:color w:val="auto"/>
              </w:rPr>
            </w:pPr>
            <w:r>
              <w:rPr>
                <w:rFonts w:ascii="Arial" w:cs="Arial" w:eastAsia="Arial" w:hAnsi="Arial"/>
                <w:sz w:val="16"/>
                <w:szCs w:val="16"/>
                <w:color w:val="auto"/>
                <w:w w:val="89"/>
              </w:rPr>
              <w:t>4.750</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Clearway Energy LLC and Clearway Energy Operating LLC Revolving Credit</w:t>
            </w:r>
          </w:p>
        </w:tc>
        <w:tc>
          <w:tcPr>
            <w:tcW w:w="2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L+2.00</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Facility, due 2023 </w:t>
            </w:r>
            <w:r>
              <w:rPr>
                <w:rFonts w:ascii="Arial" w:cs="Arial" w:eastAsia="Arial" w:hAnsi="Arial"/>
                <w:sz w:val="21"/>
                <w:szCs w:val="21"/>
                <w:color w:val="auto"/>
                <w:vertAlign w:val="superscript"/>
              </w:rPr>
              <w:t>(d)</w:t>
            </w:r>
          </w:p>
        </w:tc>
        <w:tc>
          <w:tcPr>
            <w:tcW w:w="2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vMerge w:val="continue"/>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Project-level debt:</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Alpine, due 2022</w:t>
            </w:r>
            <w:r>
              <w:rPr>
                <w:rFonts w:ascii="Arial" w:cs="Arial" w:eastAsia="Arial" w:hAnsi="Arial"/>
                <w:sz w:val="21"/>
                <w:szCs w:val="21"/>
                <w:color w:val="auto"/>
                <w:vertAlign w:val="superscript"/>
              </w:rPr>
              <w:t>(e)</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L+2.00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Alta Wind I-V lease financing arrangements, due 2034 and 2035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844</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5.696 - 7.015</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Buckthorn Solar, due 2025</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L+1.750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Carlsbad Holdco, due 2038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w:t>
            </w:r>
          </w:p>
        </w:tc>
        <w:tc>
          <w:tcPr>
            <w:tcW w:w="1820" w:type="dxa"/>
            <w:vAlign w:val="bottom"/>
            <w:gridSpan w:val="2"/>
          </w:tcPr>
          <w:p>
            <w:pPr>
              <w:jc w:val="center"/>
              <w:ind w:left="1259"/>
              <w:spacing w:after="0"/>
              <w:rPr>
                <w:sz w:val="20"/>
                <w:szCs w:val="20"/>
                <w:color w:val="auto"/>
              </w:rPr>
            </w:pPr>
            <w:r>
              <w:rPr>
                <w:rFonts w:ascii="Arial" w:cs="Arial" w:eastAsia="Arial" w:hAnsi="Arial"/>
                <w:sz w:val="16"/>
                <w:szCs w:val="16"/>
                <w:color w:val="auto"/>
                <w:w w:val="89"/>
              </w:rPr>
              <w:t>4.210</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Carlsbad Energy Holdings LLC, due 2027 and 2038</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left="1020"/>
              <w:spacing w:after="0"/>
              <w:rPr>
                <w:sz w:val="20"/>
                <w:szCs w:val="20"/>
                <w:color w:val="auto"/>
              </w:rPr>
            </w:pPr>
            <w:r>
              <w:rPr>
                <w:rFonts w:ascii="Arial" w:cs="Arial" w:eastAsia="Arial" w:hAnsi="Arial"/>
                <w:sz w:val="16"/>
                <w:szCs w:val="16"/>
                <w:color w:val="auto"/>
                <w:w w:val="92"/>
              </w:rPr>
              <w:t>various</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Chestnut Borrower, LLC, due 2024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L+2.50</w:t>
            </w:r>
          </w:p>
        </w:tc>
        <w:tc>
          <w:tcPr>
            <w:tcW w:w="17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CS4 Borrower, due 2026</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L+2.00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CVSR, due 2037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696</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2.339 - 3.775</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CVSR Holdco Notes, due 2037</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20" w:type="dxa"/>
            <w:vAlign w:val="bottom"/>
            <w:gridSpan w:val="2"/>
            <w:shd w:val="clear" w:color="auto" w:fill="CCEEFF"/>
          </w:tcPr>
          <w:p>
            <w:pPr>
              <w:jc w:val="center"/>
              <w:ind w:left="1259"/>
              <w:spacing w:after="0"/>
              <w:rPr>
                <w:sz w:val="20"/>
                <w:szCs w:val="20"/>
                <w:color w:val="auto"/>
              </w:rPr>
            </w:pPr>
            <w:r>
              <w:rPr>
                <w:rFonts w:ascii="Arial" w:cs="Arial" w:eastAsia="Arial" w:hAnsi="Arial"/>
                <w:sz w:val="16"/>
                <w:szCs w:val="16"/>
                <w:color w:val="auto"/>
                <w:w w:val="89"/>
              </w:rPr>
              <w:t>4.680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Duquesne, due 2059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w:t>
            </w:r>
          </w:p>
        </w:tc>
        <w:tc>
          <w:tcPr>
            <w:tcW w:w="1820" w:type="dxa"/>
            <w:vAlign w:val="bottom"/>
            <w:gridSpan w:val="2"/>
          </w:tcPr>
          <w:p>
            <w:pPr>
              <w:jc w:val="center"/>
              <w:ind w:left="1259"/>
              <w:spacing w:after="0"/>
              <w:rPr>
                <w:sz w:val="20"/>
                <w:szCs w:val="20"/>
                <w:color w:val="auto"/>
              </w:rPr>
            </w:pPr>
            <w:r>
              <w:rPr>
                <w:rFonts w:ascii="Arial" w:cs="Arial" w:eastAsia="Arial" w:hAnsi="Arial"/>
                <w:sz w:val="16"/>
                <w:szCs w:val="16"/>
                <w:color w:val="auto"/>
                <w:w w:val="89"/>
              </w:rPr>
              <w:t>4.620</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 Segundo Energy Center, due 2023</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L+1.875 - L+2.500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Energy Center Minneapolis Series D, E, F, G, H Notes, due 2025-2037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1820" w:type="dxa"/>
            <w:vAlign w:val="bottom"/>
            <w:gridSpan w:val="2"/>
          </w:tcPr>
          <w:p>
            <w:pPr>
              <w:jc w:val="center"/>
              <w:ind w:left="1020"/>
              <w:spacing w:after="0"/>
              <w:rPr>
                <w:sz w:val="20"/>
                <w:szCs w:val="20"/>
                <w:color w:val="auto"/>
              </w:rPr>
            </w:pPr>
            <w:r>
              <w:rPr>
                <w:rFonts w:ascii="Arial" w:cs="Arial" w:eastAsia="Arial" w:hAnsi="Arial"/>
                <w:sz w:val="16"/>
                <w:szCs w:val="16"/>
                <w:color w:val="auto"/>
                <w:w w:val="92"/>
              </w:rPr>
              <w:t>various</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Laredo Ridge, due 2028</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L+2.125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Kansas South, due 2030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L+2.25</w:t>
            </w:r>
          </w:p>
        </w:tc>
        <w:tc>
          <w:tcPr>
            <w:tcW w:w="17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Kawailoa Solar Holdings LLC, due 2026</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L+1.375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Marsh Landing, due 2023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L+2.125</w:t>
            </w:r>
          </w:p>
        </w:tc>
        <w:tc>
          <w:tcPr>
            <w:tcW w:w="17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NIMH Solar, due 2024</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L+2.00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Oahu Solar Holdings LLC, due 2026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L+1.375</w:t>
            </w:r>
          </w:p>
        </w:tc>
        <w:tc>
          <w:tcPr>
            <w:tcW w:w="17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Repowering Partnership Holdco LLC, due 2020 </w:t>
            </w:r>
            <w:r>
              <w:rPr>
                <w:rFonts w:ascii="Arial" w:cs="Arial" w:eastAsia="Arial" w:hAnsi="Arial"/>
                <w:sz w:val="21"/>
                <w:szCs w:val="21"/>
                <w:color w:val="auto"/>
                <w:vertAlign w:val="superscript"/>
              </w:rPr>
              <w:t>(c)</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L+.85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South Trent, due 2028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L+1.350</w:t>
            </w:r>
          </w:p>
        </w:tc>
        <w:tc>
          <w:tcPr>
            <w:tcW w:w="17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Tapestry, due 2031</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L+1.375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Utah Solar Holdings, due 2036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242424"/>
              </w:rPr>
              <w:t>9</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Utah Solar Portfolio, due 2022</w:t>
            </w:r>
            <w:r>
              <w:rPr>
                <w:rFonts w:ascii="Arial" w:cs="Arial" w:eastAsia="Arial" w:hAnsi="Arial"/>
                <w:sz w:val="21"/>
                <w:szCs w:val="21"/>
                <w:color w:val="auto"/>
                <w:vertAlign w:val="superscript"/>
              </w:rPr>
              <w:t>(e)</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L+1.625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Viento, due 2023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L+2.00</w:t>
            </w:r>
          </w:p>
        </w:tc>
        <w:tc>
          <w:tcPr>
            <w:tcW w:w="17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Walnut Creek, due 2023</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L+1.75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(f)</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gridSpan w:val="2"/>
          </w:tcPr>
          <w:p>
            <w:pPr>
              <w:jc w:val="center"/>
              <w:ind w:left="1020"/>
              <w:spacing w:after="0"/>
              <w:rPr>
                <w:sz w:val="20"/>
                <w:szCs w:val="20"/>
                <w:color w:val="auto"/>
              </w:rPr>
            </w:pPr>
            <w:r>
              <w:rPr>
                <w:rFonts w:ascii="Arial" w:cs="Arial" w:eastAsia="Arial" w:hAnsi="Arial"/>
                <w:sz w:val="16"/>
                <w:szCs w:val="16"/>
                <w:color w:val="auto"/>
                <w:w w:val="92"/>
              </w:rPr>
              <w:t>various</w:t>
            </w: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Subtotal project-level debt: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5,175</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6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6,857</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maturities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Less net debt issuance costs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Add premiums</w:t>
            </w:r>
            <w:r>
              <w:rPr>
                <w:rFonts w:ascii="Arial" w:cs="Arial" w:eastAsia="Arial" w:hAnsi="Arial"/>
                <w:sz w:val="21"/>
                <w:szCs w:val="21"/>
                <w:color w:val="auto"/>
                <w:vertAlign w:val="superscript"/>
              </w:rPr>
              <w:t>(g)</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4,956</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As of September 30, 2020, L+ equals 3 month LIBOR plus x%, except for Viento, due 2023 and Kansas South, due 2030 where L+ equals 6 month LIBOR plus x%</w:t>
      </w: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Matured and repaid in the second quarter of 2020</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Repaid in the first quarter of 2020, as further described below</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Applicable rate is determined by the borrower leverage ratio, as defined in the credit agreement</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Repaid in the third quarter of 2020, as further described below</w:t>
      </w:r>
    </w:p>
    <w:p>
      <w:pPr>
        <w:spacing w:after="0" w:line="1" w:lineRule="exact"/>
        <w:rPr>
          <w:rFonts w:ascii="Arial" w:cs="Arial" w:eastAsia="Arial" w:hAnsi="Arial"/>
          <w:sz w:val="14"/>
          <w:szCs w:val="14"/>
          <w:color w:val="auto"/>
        </w:rPr>
      </w:pPr>
    </w:p>
    <w:p>
      <w:pPr>
        <w:ind w:left="180" w:hanging="172"/>
        <w:spacing w:after="0"/>
        <w:tabs>
          <w:tab w:leader="none" w:pos="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December 31, 2019 includes Blythe and Roadrunner debt outstanding of $14 million and $28 million, respectively which were repaid in the third quarter of 2020, as further described below</w:t>
      </w:r>
    </w:p>
    <w:p>
      <w:pPr>
        <w:spacing w:after="0" w:line="12" w:lineRule="exact"/>
        <w:rPr>
          <w:rFonts w:ascii="Arial" w:cs="Arial" w:eastAsia="Arial" w:hAnsi="Arial"/>
          <w:sz w:val="13"/>
          <w:szCs w:val="13"/>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Premiums relate to the 2028 Senior Notes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jc w:val="both"/>
        <w:ind w:firstLine="405"/>
        <w:spacing w:after="0" w:line="286" w:lineRule="auto"/>
        <w:rPr>
          <w:sz w:val="20"/>
          <w:szCs w:val="20"/>
          <w:color w:val="auto"/>
        </w:rPr>
      </w:pPr>
      <w:r>
        <w:rPr>
          <w:rFonts w:ascii="Arial" w:cs="Arial" w:eastAsia="Arial" w:hAnsi="Arial"/>
          <w:sz w:val="17"/>
          <w:szCs w:val="17"/>
          <w:color w:val="auto"/>
        </w:rPr>
        <w:t>The financing arrangements listed above contain certain covenants, including financial covenants that the Company is required to be in compliance with during the term of the respective arrangement. As of September 30, 2020, the Company was in compliance with all of the required covenants. The discussion below describes material changes to or additions of long-term debt for the nine months ended September 30, 2020.</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and Clearway Energy Operating LLC Revolving Credit Facility</w:t>
      </w:r>
    </w:p>
    <w:p>
      <w:pPr>
        <w:spacing w:after="0" w:line="171"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As of September 30, 2020, the Company had no outstanding borrowings under the revolving credit facility and $59 million in letters of credit outstanding. The Company had no borrowings under the revolving credit facility during the three months ended September 30, 2020. During the nine months ended September 30, 2020, the Company borrowed $265 million under the revolving credit facility, and subsequently repaid $265 million utilizing the proceeds from the issuance of additional 2028 Senior Notes, as described below, and cash on hand.</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2028 Senior Notes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May 21, 2020, the Company completed the issuance of an additional $250 million in aggregate principal amount of its 4.750% Senior Notes due 2028.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Clearway Energy, LLC and by certain of Clearway Energy Operating LLC’s wholly owned current and future subsidiaries. The notes were issued at a price of 102% of par plus accrued interest from December 11, 2019. The net proceeds were utilized to repay the $45 million outstanding principal amount of Clearway Energy, Inc.’s 2020 Convertible Notes on June 1, 2020, as well as to repay amounts outstanding under the Company's revolving credit facility and for general corporate purposes.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2024 Senior Notes Redemption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January 3, 2020, the Company redeemed the $88 million aggregate principal amount of the 2024 Senior Notes that remained outstanding</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Company's tender offer for the 2024 Senior Notes in December 2019. The redemption was effectuated at a premium of 102.7% for a total consideration of $90 million and as a result, the Company recorded a loss on debt extinguishment in the amount of $3 million, which also included the write off of previously deferred financing fees related to the 2024 Senior Notes.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Intercompany Note with Clearway Energy, Inc.</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February 18, 2020, the Company entered into an intercompany demand promissory note with Clearway Energy, Inc. in the principal amount of $3 million. The unpaid principal amount bears interest at a rate equal to the short-term applicable federal rate, which is payable on the last day of each quarter, or at other times as agreed upon by the Company and Clearway Energy,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 level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PG&amp;E Bankruptcy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July 1, 2020, PG&amp;E emerged from bankruptcy and assumed the Company's contracts without modification. In addition, PG&amp;E paid to the Company's applicable projects the portion of the invoices corresponding to the electricity delivered between January 1 and January 28, 2019. These invoices related to the pre-petition period services and any payment therefore required the approval of the Bankruptcy Court. During the three months ended September 30, 2020, the Company entered into waiver agreements with the lenders to the respective financing agreements related to the PG&amp;E Bankruptcy.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Repowering Partnership Holdco LLC, due 2020</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In February 2020, the Company repaid $260 million of construction debt outstanding under the construction loan facility. The repayment was effectuated with the proceeds from the tax equity contributions for Wildorado TE Holdco, as further descried in Note 4, </w:t>
      </w:r>
      <w:r>
        <w:rPr>
          <w:rFonts w:ascii="Arial" w:cs="Arial" w:eastAsia="Arial" w:hAnsi="Arial"/>
          <w:sz w:val="18"/>
          <w:szCs w:val="18"/>
          <w:i w:val="1"/>
          <w:iCs w:val="1"/>
          <w:color w:val="auto"/>
        </w:rPr>
        <w:t>Investments Accounted for by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Method and Variable Interest Entities </w:t>
      </w:r>
      <w:r>
        <w:rPr>
          <w:rFonts w:ascii="Arial" w:cs="Arial" w:eastAsia="Arial" w:hAnsi="Arial"/>
          <w:sz w:val="18"/>
          <w:szCs w:val="18"/>
          <w:color w:val="auto"/>
        </w:rPr>
        <w:t>as well as with the contributions by the Company.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i w:val="1"/>
          <w:iCs w:val="1"/>
          <w:color w:val="auto"/>
        </w:rPr>
        <w:t>Consolidation of DGPV Holdco 3</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Upon consolidation of DGPV Holdco 3, as described in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the Company consolidates additional non-recourse debt for certain subsidiaries as further described below.</w:t>
      </w:r>
    </w:p>
    <w:p>
      <w:pPr>
        <w:spacing w:after="0" w:line="11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Renew CS4 Borrower LLC, or CS4 Borrower, a consolidated subsidiary of DGPV Holdco 3, is party to a credit agreement for construction loans up to $97.4 million, an investment tax credit bridge loan, or ITC bridge loan, for up to $89.9 million and letter of credit facilities up to $4.9 million. The construction loan and the ITC bridge loan both have an interest rate of LIBOR plus an applicable margin of 2.00% per annum. As of June 30, 2020, all construction loans were converted to term loans and the ITC bridge loans were repaid in connection with tax equity funding. The term loan bears annual interest at a rate of LIBOR plus an applicable margin, which is 2.00% per annum through the third anniversary of the term conversion, and 2.25% per annum thereafter through the maturity date in June 2026. The borrowings are secured by the membership interests in the project companies.</w:t>
      </w:r>
    </w:p>
    <w:p>
      <w:pPr>
        <w:spacing w:after="0" w:line="1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Chestnut Borrower LLC, a consolidated subsidiary of DGPV Holdco 3, is party to a credit agreement for term loans of up to $120.3 million and letters of credit of up to $7.9 million. The loans bear annual interest at a rate of LIBOR plus an applicable margin, which is 2.50% per annum through the fifth anniversary of the financial closing date, or July 2022, and 2.75% per annum thereafter through the maturity date in April 2024. The borrowings are secured by the membership interests in the project companies.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DG-CS Master Borrower LLC</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On November 2, 2020, DG-CS Master Borrower LLC, a wholly owned subsidiary of Clearway Energy Operating LLC, entered into a financing arrangement, which included the issuance of a $467 million term loan, as well as $30 million in letters of credit in support of debt service. The notes bear interest at 3.51% and mature on September 30, 2040. The proceeds from the loan were utilized to repay existing project-level debt outstanding for Chestnut Borrower LLC, Renew Solar CS 4 Borrower LLC, DGPV 4 Borrower LLC and Puma Class B LLC of $107 million, $102 million, $92 million and $73 million respectively and unwind related interest rate swaps in the amount of $42 million. The remaining proceeds were utilized to pay related fees and expenses and in part to acquire the Class B membership interests in the DGPV Holdco Entities and an SREC contract from CEG as further described in Note 4,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Concurrent with the refinancing, the projects were transferred under DG-CS Master Borrower LLC and the obligations under the financing arrangement are supported by the Company's interest in the projects.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Utah Solar Holdings, LLC</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September 1, 2020, Utah Solar Holdings, LLC, or Utah Solar, entered into a financing arrangement, which included the issuance of approximately $296 million in senior secured notes supported by the Company’s interest in the Utah projects (Four Brothers, Granite Mountain and Iron Springs, previously defined as the Utah Solar Portfolio), as well as $16 million in letters of credit in support of debt service obligations. The notes bear interest at 3.59% per annum and mature on December 31, 2036. The proceeds from the issuance were utilized to repay existing debt outstanding of approximately $247 million for the Utah projects and to unwind the related interest rate swaps in the amount of $33 million. The remaining proceeds were utilized to pay related fees and expenses, with the remaining $9 million distributed to Clearway Energy Operating LLC.</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NIMH Solar LLC</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September 30, 2020, NIMH Solar LLC, a wholly owned subsidiary of Clearway Energy Operating LLC, entered into a financing arrangement, which included the issuance of $193 million under a term loan facility, as well as $16 million in letters of credit in support of debt service and project obligations. The term loan bears annual interest rate of LIBOR, plus an applicable margin, which is 2.00% per annum through the third party anniversary of closing, and 2.125% per annum thereafter through the maturity date in September 2024. The proceeds from the term loan were utilized to repay existing project-level debt outstanding for Alpine, Blythe and Roadrunner of $117 million, $14 million and $27 million, respectively. The remaining proceeds were utilized to pay related fees and expenses and along with existing project level cash provided a distribution to Clearway Energy Operating LLC of $45 million. Concurrent with the refinancing, the Alpine, Blythe and Roadrunner projects were transferred under NIMH Solar LLC and the obligations under the financing arrangement are supported by the Company’s interests in the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80" w:type="dxa"/>
            <w:vAlign w:val="bottom"/>
            <w:gridSpan w:val="13"/>
          </w:tcPr>
          <w:p>
            <w:pPr>
              <w:jc w:val="center"/>
              <w:ind w:right="30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300"/>
              <w:spacing w:after="0" w:line="147" w:lineRule="exact"/>
              <w:rPr>
                <w:sz w:val="20"/>
                <w:szCs w:val="20"/>
                <w:color w:val="auto"/>
              </w:rPr>
            </w:pPr>
            <w:r>
              <w:rPr>
                <w:rFonts w:ascii="Arial" w:cs="Arial" w:eastAsia="Arial" w:hAnsi="Arial"/>
                <w:sz w:val="14"/>
                <w:szCs w:val="14"/>
                <w:b w:val="1"/>
                <w:bCs w:val="1"/>
                <w:color w:val="auto"/>
                <w:w w:val="90"/>
              </w:rPr>
              <w:t>Conventional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9"/>
              </w:rPr>
              <w:t>Thermal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Generation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8"/>
                <w:szCs w:val="18"/>
                <w:color w:val="auto"/>
              </w:rPr>
              <w:t>Cost of operations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amortization and accretion</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 and integration costs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Arial" w:cs="Arial" w:eastAsia="Arial" w:hAnsi="Arial"/>
                <w:sz w:val="18"/>
                <w:szCs w:val="18"/>
                <w:color w:val="auto"/>
              </w:rPr>
              <w:t>Development costs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ind w:left="631"/>
              <w:spacing w:after="0"/>
              <w:rPr>
                <w:sz w:val="20"/>
                <w:szCs w:val="20"/>
                <w:color w:val="auto"/>
              </w:rPr>
            </w:pPr>
            <w:r>
              <w:rPr>
                <w:rFonts w:ascii="Arial" w:cs="Arial" w:eastAsia="Arial" w:hAnsi="Arial"/>
                <w:sz w:val="18"/>
                <w:szCs w:val="18"/>
                <w:color w:val="auto"/>
                <w:w w:val="99"/>
              </w:rPr>
              <w:t>(9)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Equity in earnings of unconsolidated affiliates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631"/>
              <w:spacing w:after="0"/>
              <w:rPr>
                <w:sz w:val="20"/>
                <w:szCs w:val="20"/>
                <w:color w:val="auto"/>
              </w:rPr>
            </w:pPr>
            <w:r>
              <w:rPr>
                <w:rFonts w:ascii="Arial" w:cs="Arial" w:eastAsia="Arial" w:hAnsi="Arial"/>
                <w:sz w:val="18"/>
                <w:szCs w:val="18"/>
                <w:color w:val="auto"/>
                <w:w w:val="99"/>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Loss on debt extinguishment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0" w:type="dxa"/>
            <w:vAlign w:val="bottom"/>
          </w:tcPr>
          <w:p>
            <w:pPr>
              <w:spacing w:after="0"/>
              <w:rPr>
                <w:sz w:val="1"/>
                <w:szCs w:val="1"/>
                <w:color w:val="auto"/>
              </w:rPr>
            </w:pPr>
          </w:p>
        </w:tc>
      </w:tr>
      <w:tr>
        <w:trPr>
          <w:trHeight w:val="548"/>
        </w:trPr>
        <w:tc>
          <w:tcPr>
            <w:tcW w:w="4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gridSpan w:val="13"/>
          </w:tcPr>
          <w:p>
            <w:pPr>
              <w:jc w:val="center"/>
              <w:ind w:right="220"/>
              <w:spacing w:after="0"/>
              <w:rPr>
                <w:sz w:val="20"/>
                <w:szCs w:val="20"/>
                <w:color w:val="auto"/>
              </w:rPr>
            </w:pPr>
            <w:r>
              <w:rPr>
                <w:rFonts w:ascii="Arial" w:cs="Arial" w:eastAsia="Arial" w:hAnsi="Arial"/>
                <w:sz w:val="14"/>
                <w:szCs w:val="14"/>
                <w:b w:val="1"/>
                <w:bCs w:val="1"/>
                <w:color w:val="auto"/>
                <w:w w:val="91"/>
              </w:rPr>
              <w:t>Three months ended September 30, 2019</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ind w:left="60"/>
              <w:spacing w:after="0" w:line="147" w:lineRule="exact"/>
              <w:rPr>
                <w:sz w:val="20"/>
                <w:szCs w:val="20"/>
                <w:color w:val="auto"/>
              </w:rPr>
            </w:pPr>
            <w:r>
              <w:rPr>
                <w:rFonts w:ascii="Arial" w:cs="Arial" w:eastAsia="Arial" w:hAnsi="Arial"/>
                <w:sz w:val="14"/>
                <w:szCs w:val="14"/>
                <w:b w:val="1"/>
                <w:bCs w:val="1"/>
                <w:color w:val="auto"/>
              </w:rPr>
              <w:t>Conventional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Renewables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9"/>
              </w:rPr>
              <w:t>Thermal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Generation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center"/>
              <w:ind w:left="591"/>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Cost of operations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amortization and accretion</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left="511"/>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Development costs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left="511"/>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earnings of unconsolidated affiliates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left="511"/>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Other income, net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1"/>
              </w:rPr>
              <w:t>Nine months ended September 30, 2020</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Thermal</w:t>
            </w:r>
          </w:p>
        </w:tc>
        <w:tc>
          <w:tcPr>
            <w:tcW w:w="18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2"/>
                <w:szCs w:val="12"/>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4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68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468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unconsolidated affiliate</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1"/>
              </w:rPr>
              <w:t>Nine months ended September 30, 2019</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Thermal</w:t>
            </w:r>
          </w:p>
        </w:tc>
        <w:tc>
          <w:tcPr>
            <w:tcW w:w="18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1"/>
                <w:szCs w:val="11"/>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680" w:type="dxa"/>
            <w:vAlign w:val="bottom"/>
          </w:tcPr>
          <w:p>
            <w:pPr>
              <w:ind w:left="12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 costs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78" w:right="5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 and amounts due to the Company from CEG subsidiaries are recorded as accounts receivable - affiliate in the Company's balance sheet. The disclosures below summarize the Company's material related party transactions with CEG and its subsidiaries that are included in the Company's operating revenues and operating costs.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Various wholly-owned project subsidiaries of the Company in the Renewables segment are party to services agreements with Clearway Renewable Operation &amp; Maintenance LLC, or RENOM, a wholly-owned subsidiary of CEG, which provides operation and maintenance, or O&amp;M, to these subsidiaries. The Company incurred total expenses for these services of $9 million and $27 million for each of the three and nine months ended September 30, 2020, respectively. The Company incurred total expenses for these services of $8 million and $22 million for each of the three and nine months ended September 30, 2019, respectively. There was a balance of $9 million and $7 million due to RENOM as of September 30, 2020 and December 31, 2019, respectively.</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Various wholly-owned project subsidiaries of the Company are parties to administrative services agreements with Clearway Asset Services and Clearway Solar Asset Management, two wholly-owned subsidiaries of CEG, which provide various administrative services to the Company's subsidiaries. The Company incurred expenses under these agreements of $3 million and $7 million for each of the three and nine months ended September 30, 2020, respectively. The Company incurred expenses under these agreements of $2 million and $5 million for each of the three and nine months ended September 30, 2019, respectively.</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is a party to Master Services Agreements with CEG, or MSAs, pursuant to which CEG and certain of its affiliates or third 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Amounts due to CEG or its subsidiaries related to these MSAs are recorded as accounts payable - affiliate and amounts due to the Company from CEG and subsidiaries are recorded as accounts receivable - affiliate on the Company's consolidated balance sheet. The Company incurred expenses of $0.6 million and $2 million under these</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agreements for each of the three and nine months ended September 30, 2020, respectively. The expenses under these agreements were immaterial to the Company's financials for each of the three and nine months ended September 30,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Condensed Consolidating Financial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As of September 30, 2020, Clearway Energy Operating LLC had outstanding $600 million of the 2025 Senior Notes, $350 million of the 2026 Senior Notes and $850 million of the 2028 Senior Notes, collectively Senior Notes, as 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2019 Form 10-K. These Senior Notes are guaranteed by the Company,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Unless otherwise noted below, each of the following guarantor subsidiaries fully and unconditionally guaranteed the Senior Notes as of September 30, 2020:</w:t>
      </w:r>
    </w:p>
    <w:p>
      <w:pPr>
        <w:sectPr>
          <w:pgSz w:w="11900" w:h="16838" w:orient="portrait"/>
          <w:cols w:equalWidth="0" w:num="1">
            <w:col w:w="11240"/>
          </w:cols>
          <w:pgMar w:left="320" w:top="891" w:right="33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Alta Wind Company,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CBAD Holdings II,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Central CA Fuel Cell 1,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Clearway Energy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Clearway Solar Star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CWEN Pinnacle Repowering Holdings LLC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DG SREC HoldCo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DGPV Holding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ECP Uptown Campus Holdings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Center Caguas Holdings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Center Fajardo Holdings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Center Honolulu Holdings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Fuel Cell Holdings LLC</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NIMH Solar Holdings LLC</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Portfolio Solar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RPV Holding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Solar Flagstaff One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Solar Iguana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Solar Las Vegas MB 1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Solar Tabernacle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Trent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SPP Asset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SPP Fund II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SPP Fund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SPP Fund II-B,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SPP Fund 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Thermal Canada Infrastructure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Thermal Hawaii Development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Thermal Infrastructure Development Holdings LLC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Utah Solar Master HoldCo LLC</w:t>
      </w:r>
    </w:p>
    <w:p>
      <w:pPr>
        <w:spacing w:after="0" w:line="200" w:lineRule="exact"/>
        <w:rPr>
          <w:sz w:val="20"/>
          <w:szCs w:val="20"/>
          <w:color w:val="auto"/>
        </w:rPr>
      </w:pPr>
    </w:p>
    <w:p>
      <w:pPr>
        <w:sectPr>
          <w:pgSz w:w="11900" w:h="16838" w:orient="portrait"/>
          <w:cols w:equalWidth="0" w:num="2">
            <w:col w:w="4920" w:space="720"/>
            <w:col w:w="5600"/>
          </w:cols>
          <w:pgMar w:left="320" w:top="891" w:right="339" w:bottom="1440" w:gutter="0" w:footer="0" w:header="0"/>
          <w:type w:val="continuous"/>
        </w:sectPr>
      </w:pPr>
    </w:p>
    <w:p>
      <w:pPr>
        <w:spacing w:after="0" w:line="32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Clearway Energy Operating LLC conducts its business through and derives its income from its subsidiaries. Therefore, its ability to make required payments with respect to its indebtedness and other obligations depends on the financial results and condition of its subsidiaries and Clearway Energy Operating LLC's ability to receive funds from its subsidiaries. There are no restrictions on the ability of any of the guarantor subsidiaries to transfer funds to Clearway Energy Operating LLC. However, there may be restrictions for certain non-guarantor subsidiaries.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Clearway Energy LLC, Clearway Energy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this presentation, Clearway Energy LLC consists of parent company operations. Guarantor subsidiaries and non-guarantor subsidiaries of Clearway Energy LLC are reported on an equity basis. For companies acquired, the fair values of the assets and liabilities acquired have been presented on a push-down accounting basis.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6" w:name="page37"/>
    <w:bookmarkEnd w:id="36"/>
    <w:p>
      <w:pPr>
        <w:ind w:left="36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For the Three Months Ended September 30, 2020</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Clearway Energy</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Other Guarantor</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Non-Guarantor</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2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18"/>
                <w:szCs w:val="18"/>
                <w:b w:val="1"/>
                <w:bCs w:val="1"/>
                <w:color w:val="auto"/>
                <w:vertAlign w:val="superscript"/>
              </w:rPr>
              <w:t>(a)</w:t>
            </w:r>
          </w:p>
        </w:tc>
        <w:tc>
          <w:tcPr>
            <w:tcW w:w="160" w:type="dxa"/>
            <w:vAlign w:val="bottom"/>
          </w:tcPr>
          <w:p>
            <w:pPr>
              <w:spacing w:after="0"/>
              <w:rPr>
                <w:sz w:val="11"/>
                <w:szCs w:val="11"/>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(Note Issuer)</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40"/>
              <w:spacing w:after="0"/>
              <w:rPr>
                <w:sz w:val="20"/>
                <w:szCs w:val="20"/>
                <w:color w:val="auto"/>
              </w:rPr>
            </w:pPr>
            <w:r>
              <w:rPr>
                <w:rFonts w:ascii="Arial" w:cs="Arial" w:eastAsia="Arial" w:hAnsi="Arial"/>
                <w:sz w:val="18"/>
                <w:szCs w:val="18"/>
                <w:color w:val="auto"/>
              </w:rPr>
              <w:t>Cost of operations</w:t>
            </w:r>
          </w:p>
        </w:tc>
        <w:tc>
          <w:tcPr>
            <w:tcW w:w="2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36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and integration costs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640" w:type="dxa"/>
            <w:vAlign w:val="bottom"/>
          </w:tcPr>
          <w:p>
            <w:pPr>
              <w:ind w:left="240"/>
              <w:spacing w:after="0"/>
              <w:rPr>
                <w:sz w:val="20"/>
                <w:szCs w:val="20"/>
                <w:color w:val="auto"/>
              </w:rPr>
            </w:pPr>
            <w:r>
              <w:rPr>
                <w:rFonts w:ascii="Arial" w:cs="Arial" w:eastAsia="Arial" w:hAnsi="Arial"/>
                <w:sz w:val="18"/>
                <w:szCs w:val="18"/>
                <w:color w:val="auto"/>
              </w:rPr>
              <w:t>Development costs</w:t>
            </w:r>
          </w:p>
        </w:tc>
        <w:tc>
          <w:tcPr>
            <w:tcW w:w="2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40" w:type="dxa"/>
            <w:vAlign w:val="bottom"/>
          </w:tcPr>
          <w:p>
            <w:pPr>
              <w:ind w:left="240"/>
              <w:spacing w:after="0" w:line="176" w:lineRule="exact"/>
              <w:rPr>
                <w:sz w:val="20"/>
                <w:szCs w:val="20"/>
                <w:color w:val="auto"/>
              </w:rPr>
            </w:pPr>
            <w:r>
              <w:rPr>
                <w:rFonts w:ascii="Arial" w:cs="Arial" w:eastAsia="Arial" w:hAnsi="Arial"/>
                <w:sz w:val="18"/>
                <w:szCs w:val="18"/>
                <w:color w:val="auto"/>
              </w:rPr>
              <w:t>Equity in earnings (loss) of consolidated</w:t>
            </w:r>
          </w:p>
        </w:tc>
        <w:tc>
          <w:tcPr>
            <w:tcW w:w="260" w:type="dxa"/>
            <w:vAlign w:val="bottom"/>
          </w:tcPr>
          <w:p>
            <w:pPr>
              <w:spacing w:after="0"/>
              <w:rPr>
                <w:sz w:val="15"/>
                <w:szCs w:val="15"/>
                <w:color w:val="auto"/>
              </w:rPr>
            </w:pPr>
          </w:p>
        </w:tc>
        <w:tc>
          <w:tcPr>
            <w:tcW w:w="900" w:type="dxa"/>
            <w:vAlign w:val="bottom"/>
            <w:vMerge w:val="restart"/>
          </w:tcPr>
          <w:p>
            <w:pPr>
              <w:ind w:left="64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Equity in earnings of unconsolidated affiliates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640" w:type="dxa"/>
            <w:vAlign w:val="bottom"/>
          </w:tcPr>
          <w:p>
            <w:pPr>
              <w:ind w:left="2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debt extinguishment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6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Less: Net loss attributable to noncontrolling</w:t>
            </w:r>
          </w:p>
        </w:tc>
        <w:tc>
          <w:tcPr>
            <w:tcW w:w="2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line="156" w:lineRule="exact"/>
              <w:rPr>
                <w:sz w:val="20"/>
                <w:szCs w:val="20"/>
                <w:color w:val="auto"/>
              </w:rPr>
            </w:pPr>
            <w:r>
              <w:rPr>
                <w:rFonts w:ascii="Arial" w:cs="Arial" w:eastAsia="Arial" w:hAnsi="Arial"/>
                <w:sz w:val="18"/>
                <w:szCs w:val="18"/>
                <w:b w:val="1"/>
                <w:bCs w:val="1"/>
                <w:color w:val="auto"/>
                <w:w w:val="98"/>
              </w:rPr>
              <w:t>Net Income (Loss) Attributable to Clearway</w:t>
            </w:r>
          </w:p>
        </w:tc>
        <w:tc>
          <w:tcPr>
            <w:tcW w:w="26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ind w:left="64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8"/>
        </w:trPr>
        <w:tc>
          <w:tcPr>
            <w:tcW w:w="364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Energy LLC</w:t>
            </w:r>
          </w:p>
        </w:tc>
        <w:tc>
          <w:tcPr>
            <w:tcW w:w="2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260"/>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September 30, 2020</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18"/>
                <w:szCs w:val="18"/>
                <w:b w:val="1"/>
                <w:bCs w:val="1"/>
                <w:color w:val="auto"/>
                <w:vertAlign w:val="superscript"/>
              </w:rPr>
              <w:t>(a)</w:t>
            </w:r>
          </w:p>
        </w:tc>
        <w:tc>
          <w:tcPr>
            <w:tcW w:w="140" w:type="dxa"/>
            <w:vAlign w:val="bottom"/>
          </w:tcPr>
          <w:p>
            <w:pPr>
              <w:spacing w:after="0"/>
              <w:rPr>
                <w:sz w:val="11"/>
                <w:szCs w:val="11"/>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20"/>
              <w:spacing w:after="0"/>
              <w:rPr>
                <w:sz w:val="20"/>
                <w:szCs w:val="20"/>
                <w:color w:val="auto"/>
              </w:rPr>
            </w:pPr>
            <w:r>
              <w:rPr>
                <w:rFonts w:ascii="Arial" w:cs="Arial" w:eastAsia="Arial" w:hAnsi="Arial"/>
                <w:sz w:val="18"/>
                <w:szCs w:val="18"/>
                <w:color w:val="auto"/>
              </w:rPr>
              <w:t>Total operating revenues</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20"/>
              <w:spacing w:after="0"/>
              <w:rPr>
                <w:sz w:val="20"/>
                <w:szCs w:val="20"/>
                <w:color w:val="auto"/>
              </w:rPr>
            </w:pPr>
            <w:r>
              <w:rPr>
                <w:rFonts w:ascii="Arial" w:cs="Arial" w:eastAsia="Arial" w:hAnsi="Arial"/>
                <w:sz w:val="18"/>
                <w:szCs w:val="18"/>
                <w:color w:val="auto"/>
              </w:rPr>
              <w:t>Cost of operations</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35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Transaction and integration costs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Development costs</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20"/>
              <w:spacing w:after="0" w:line="176" w:lineRule="exact"/>
              <w:rPr>
                <w:sz w:val="20"/>
                <w:szCs w:val="20"/>
                <w:color w:val="auto"/>
              </w:rPr>
            </w:pPr>
            <w:r>
              <w:rPr>
                <w:rFonts w:ascii="Arial" w:cs="Arial" w:eastAsia="Arial" w:hAnsi="Arial"/>
                <w:sz w:val="18"/>
                <w:szCs w:val="18"/>
                <w:color w:val="auto"/>
              </w:rPr>
              <w:t>Equity in earnings (loss) of consolidated</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12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5"/>
              </w:rPr>
              <w:t>Equity in (losses) earnings of unconsolidated</w:t>
            </w:r>
          </w:p>
        </w:tc>
        <w:tc>
          <w:tcPr>
            <w:tcW w:w="2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affiliates</w:t>
            </w:r>
          </w:p>
        </w:tc>
        <w:tc>
          <w:tcPr>
            <w:tcW w:w="2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20"/>
              <w:spacing w:after="0"/>
              <w:rPr>
                <w:sz w:val="20"/>
                <w:szCs w:val="20"/>
                <w:color w:val="auto"/>
              </w:rPr>
            </w:pPr>
            <w:r>
              <w:rPr>
                <w:rFonts w:ascii="Arial" w:cs="Arial" w:eastAsia="Arial" w:hAnsi="Arial"/>
                <w:sz w:val="18"/>
                <w:szCs w:val="18"/>
                <w:color w:val="auto"/>
              </w:rPr>
              <w:t>Gain on sale of unconsolidated affiliate</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560" w:type="dxa"/>
            <w:vAlign w:val="bottom"/>
          </w:tcPr>
          <w:p>
            <w:pPr>
              <w:ind w:left="12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5"/>
        </w:trPr>
        <w:tc>
          <w:tcPr>
            <w:tcW w:w="3560" w:type="dxa"/>
            <w:vAlign w:val="bottom"/>
          </w:tcPr>
          <w:p>
            <w:pPr>
              <w:ind w:left="160"/>
              <w:spacing w:after="0" w:line="176" w:lineRule="exact"/>
              <w:rPr>
                <w:sz w:val="20"/>
                <w:szCs w:val="20"/>
                <w:color w:val="auto"/>
              </w:rPr>
            </w:pPr>
            <w:r>
              <w:rPr>
                <w:rFonts w:ascii="Arial" w:cs="Arial" w:eastAsia="Arial" w:hAnsi="Arial"/>
                <w:sz w:val="18"/>
                <w:szCs w:val="18"/>
                <w:color w:val="auto"/>
                <w:w w:val="98"/>
              </w:rPr>
              <w:t>Less: Net loss attributable to noncontrolling</w:t>
            </w:r>
          </w:p>
        </w:tc>
        <w:tc>
          <w:tcPr>
            <w:tcW w:w="28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356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6"/>
              </w:rPr>
              <w:t>Net Income (Loss) Attributable to Clearway</w:t>
            </w:r>
          </w:p>
        </w:tc>
        <w:tc>
          <w:tcPr>
            <w:tcW w:w="280" w:type="dxa"/>
            <w:vAlign w:val="bottom"/>
            <w:tcBorders>
              <w:top w:val="single" w:sz="8" w:color="auto"/>
            </w:tcBorders>
            <w:vMerge w:val="restart"/>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Energy LLC</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80" w:hanging="149"/>
        <w:spacing w:after="0"/>
        <w:tabs>
          <w:tab w:leader="none" w:pos="38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66" w:lineRule="exact"/>
        <w:rPr>
          <w:rFonts w:ascii="Arial" w:cs="Arial" w:eastAsia="Arial" w:hAnsi="Arial"/>
          <w:sz w:val="18"/>
          <w:szCs w:val="18"/>
          <w:color w:val="auto"/>
          <w:vertAlign w:val="superscript"/>
        </w:rPr>
      </w:pPr>
    </w:p>
    <w:p>
      <w:pPr>
        <w:ind w:left="5520"/>
        <w:spacing w:after="0"/>
        <w:rPr>
          <w:rFonts w:ascii="Arial" w:cs="Arial" w:eastAsia="Arial" w:hAnsi="Arial"/>
          <w:sz w:val="18"/>
          <w:szCs w:val="18"/>
          <w:color w:val="auto"/>
          <w:vertAlign w:val="superscript"/>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September 30, 2020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9"/>
              </w:rPr>
              <w:t>Other Guarantor</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Non-Guarantor</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18"/>
                <w:szCs w:val="18"/>
                <w:b w:val="1"/>
                <w:bCs w:val="1"/>
                <w:color w:val="auto"/>
                <w:vertAlign w:val="superscript"/>
              </w:rPr>
              <w:t>(a)</w:t>
            </w:r>
          </w:p>
        </w:tc>
        <w:tc>
          <w:tcPr>
            <w:tcW w:w="140" w:type="dxa"/>
            <w:vAlign w:val="bottom"/>
          </w:tcPr>
          <w:p>
            <w:pPr>
              <w:spacing w:after="0"/>
              <w:rPr>
                <w:sz w:val="11"/>
                <w:szCs w:val="11"/>
                <w:color w:val="auto"/>
              </w:rPr>
            </w:pP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3"/>
              </w:rPr>
              <w:t>(15)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593"/>
              <w:spacing w:after="0"/>
              <w:rPr>
                <w:sz w:val="20"/>
                <w:szCs w:val="20"/>
                <w:color w:val="auto"/>
              </w:rPr>
            </w:pPr>
            <w:r>
              <w:rPr>
                <w:rFonts w:ascii="Arial" w:cs="Arial" w:eastAsia="Arial" w:hAnsi="Arial"/>
                <w:sz w:val="18"/>
                <w:szCs w:val="18"/>
                <w:color w:val="auto"/>
                <w:w w:val="89"/>
              </w:rPr>
              <w:t>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income on derivatives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493"/>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93"/>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left="61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left="593"/>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left="633"/>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73"/>
              <w:spacing w:after="0"/>
              <w:rPr>
                <w:sz w:val="20"/>
                <w:szCs w:val="20"/>
                <w:color w:val="auto"/>
              </w:rPr>
            </w:pPr>
            <w:r>
              <w:rPr>
                <w:rFonts w:ascii="Arial" w:cs="Arial" w:eastAsia="Arial" w:hAnsi="Arial"/>
                <w:sz w:val="18"/>
                <w:szCs w:val="18"/>
                <w:color w:val="auto"/>
                <w:w w:val="93"/>
              </w:rPr>
              <w:t>(15)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93"/>
              <w:spacing w:after="0"/>
              <w:rPr>
                <w:sz w:val="20"/>
                <w:szCs w:val="20"/>
                <w:color w:val="auto"/>
              </w:rPr>
            </w:pPr>
            <w:r>
              <w:rPr>
                <w:rFonts w:ascii="Arial" w:cs="Arial" w:eastAsia="Arial" w:hAnsi="Arial"/>
                <w:sz w:val="18"/>
                <w:szCs w:val="18"/>
                <w:color w:val="auto"/>
                <w:w w:val="89"/>
              </w:rPr>
              <w:t>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156"/>
        </w:trPr>
        <w:tc>
          <w:tcPr>
            <w:tcW w:w="3600" w:type="dxa"/>
            <w:vAlign w:val="bottom"/>
          </w:tcPr>
          <w:p>
            <w:pPr>
              <w:ind w:left="240"/>
              <w:spacing w:after="0" w:line="156" w:lineRule="exact"/>
              <w:rPr>
                <w:sz w:val="20"/>
                <w:szCs w:val="20"/>
                <w:color w:val="auto"/>
              </w:rPr>
            </w:pPr>
            <w:r>
              <w:rPr>
                <w:rFonts w:ascii="Arial" w:cs="Arial" w:eastAsia="Arial" w:hAnsi="Arial"/>
                <w:sz w:val="18"/>
                <w:szCs w:val="18"/>
                <w:color w:val="auto"/>
              </w:rPr>
              <w:t>Less: Comprehensive loss attributable to</w:t>
            </w:r>
          </w:p>
        </w:tc>
        <w:tc>
          <w:tcPr>
            <w:tcW w:w="26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3"/>
                <w:szCs w:val="13"/>
                <w:color w:val="auto"/>
              </w:rPr>
            </w:pPr>
          </w:p>
        </w:tc>
        <w:tc>
          <w:tcPr>
            <w:tcW w:w="1120" w:type="dxa"/>
            <w:vAlign w:val="bottom"/>
            <w:gridSpan w:val="2"/>
            <w:vMerge w:val="restart"/>
          </w:tcPr>
          <w:p>
            <w:pPr>
              <w:jc w:val="center"/>
              <w:ind w:left="49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3"/>
                <w:szCs w:val="13"/>
                <w:color w:val="auto"/>
              </w:rPr>
            </w:pPr>
          </w:p>
        </w:tc>
        <w:tc>
          <w:tcPr>
            <w:tcW w:w="1020" w:type="dxa"/>
            <w:vAlign w:val="bottom"/>
            <w:vMerge w:val="restart"/>
          </w:tcPr>
          <w:p>
            <w:pPr>
              <w:jc w:val="center"/>
              <w:ind w:left="553"/>
              <w:spacing w:after="0"/>
              <w:rPr>
                <w:sz w:val="20"/>
                <w:szCs w:val="20"/>
                <w:color w:val="auto"/>
              </w:rPr>
            </w:pPr>
            <w:r>
              <w:rPr>
                <w:rFonts w:ascii="Arial" w:cs="Arial" w:eastAsia="Arial" w:hAnsi="Arial"/>
                <w:sz w:val="18"/>
                <w:szCs w:val="18"/>
                <w:color w:val="auto"/>
                <w:w w:val="93"/>
              </w:rPr>
              <w:t>(15)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ind w:left="78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1020" w:type="dxa"/>
            <w:vAlign w:val="bottom"/>
            <w:vMerge w:val="restart"/>
          </w:tcPr>
          <w:p>
            <w:pPr>
              <w:jc w:val="center"/>
              <w:ind w:left="593"/>
              <w:spacing w:after="0"/>
              <w:rPr>
                <w:sz w:val="20"/>
                <w:szCs w:val="20"/>
                <w:color w:val="auto"/>
              </w:rPr>
            </w:pPr>
            <w:r>
              <w:rPr>
                <w:rFonts w:ascii="Arial" w:cs="Arial" w:eastAsia="Arial" w:hAnsi="Arial"/>
                <w:sz w:val="18"/>
                <w:szCs w:val="18"/>
                <w:color w:val="auto"/>
                <w:w w:val="93"/>
              </w:rPr>
              <w:t>(20)</w:t>
            </w:r>
          </w:p>
        </w:tc>
        <w:tc>
          <w:tcPr>
            <w:tcW w:w="0" w:type="dxa"/>
            <w:vAlign w:val="bottom"/>
          </w:tcPr>
          <w:p>
            <w:pPr>
              <w:spacing w:after="0"/>
              <w:rPr>
                <w:sz w:val="1"/>
                <w:szCs w:val="1"/>
                <w:color w:val="auto"/>
              </w:rPr>
            </w:pPr>
          </w:p>
        </w:tc>
      </w:tr>
      <w:tr>
        <w:trPr>
          <w:trHeight w:val="229"/>
        </w:trPr>
        <w:tc>
          <w:tcPr>
            <w:tcW w:w="3600" w:type="dxa"/>
            <w:vAlign w:val="bottom"/>
          </w:tcPr>
          <w:p>
            <w:pPr>
              <w:ind w:left="32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6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1"/>
              </w:rPr>
              <w:t>Comprehensive Income (Loss) Attributable to</w:t>
            </w:r>
          </w:p>
        </w:tc>
        <w:tc>
          <w:tcPr>
            <w:tcW w:w="260" w:type="dxa"/>
            <w:vAlign w:val="bottom"/>
            <w:tcBorders>
              <w:top w:val="single" w:sz="8" w:color="auto"/>
            </w:tcBorders>
            <w:vMerge w:val="restart"/>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center"/>
              <w:ind w:left="573"/>
              <w:spacing w:after="0"/>
              <w:rPr>
                <w:sz w:val="20"/>
                <w:szCs w:val="20"/>
                <w:color w:val="auto"/>
              </w:rPr>
            </w:pPr>
            <w:r>
              <w:rPr>
                <w:rFonts w:ascii="Arial" w:cs="Arial" w:eastAsia="Arial" w:hAnsi="Arial"/>
                <w:sz w:val="18"/>
                <w:szCs w:val="18"/>
                <w:color w:val="auto"/>
                <w:w w:val="93"/>
              </w:rPr>
              <w:t>(15)</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center"/>
              <w:ind w:left="593"/>
              <w:spacing w:after="0"/>
              <w:rPr>
                <w:sz w:val="20"/>
                <w:szCs w:val="20"/>
                <w:color w:val="auto"/>
              </w:rPr>
            </w:pPr>
            <w:r>
              <w:rPr>
                <w:rFonts w:ascii="Arial" w:cs="Arial" w:eastAsia="Arial" w:hAnsi="Arial"/>
                <w:sz w:val="18"/>
                <w:szCs w:val="18"/>
                <w:color w:val="auto"/>
                <w:w w:val="89"/>
              </w:rPr>
              <w:t>91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ind w:left="760"/>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center"/>
              <w:ind w:left="633"/>
              <w:spacing w:after="0"/>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Clearway Energy LLC</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798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September 30, 2020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18"/>
                <w:szCs w:val="18"/>
                <w:b w:val="1"/>
                <w:bCs w:val="1"/>
                <w:color w:val="auto"/>
                <w:vertAlign w:val="superscript"/>
              </w:rPr>
              <w:t>(a)</w:t>
            </w:r>
          </w:p>
        </w:tc>
        <w:tc>
          <w:tcPr>
            <w:tcW w:w="160" w:type="dxa"/>
            <w:vAlign w:val="bottom"/>
          </w:tcPr>
          <w:p>
            <w:pPr>
              <w:spacing w:after="0"/>
              <w:rPr>
                <w:sz w:val="11"/>
                <w:szCs w:val="11"/>
                <w:color w:val="auto"/>
              </w:rPr>
            </w:pPr>
          </w:p>
        </w:tc>
        <w:tc>
          <w:tcPr>
            <w:tcW w:w="10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533"/>
              <w:spacing w:after="0"/>
              <w:rPr>
                <w:sz w:val="20"/>
                <w:szCs w:val="20"/>
                <w:color w:val="auto"/>
              </w:rPr>
            </w:pPr>
            <w:r>
              <w:rPr>
                <w:rFonts w:ascii="Arial" w:cs="Arial" w:eastAsia="Arial" w:hAnsi="Arial"/>
                <w:sz w:val="18"/>
                <w:szCs w:val="18"/>
                <w:color w:val="auto"/>
                <w:w w:val="93"/>
              </w:rPr>
              <w:t>(10)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derivatives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473"/>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left="57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8"/>
                <w:szCs w:val="18"/>
                <w:color w:val="auto"/>
                <w:w w:val="93"/>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55"/>
        </w:trPr>
        <w:tc>
          <w:tcPr>
            <w:tcW w:w="3620" w:type="dxa"/>
            <w:vAlign w:val="bottom"/>
          </w:tcPr>
          <w:p>
            <w:pPr>
              <w:ind w:left="260"/>
              <w:spacing w:after="0" w:line="156" w:lineRule="exact"/>
              <w:rPr>
                <w:sz w:val="20"/>
                <w:szCs w:val="20"/>
                <w:color w:val="auto"/>
              </w:rPr>
            </w:pPr>
            <w:r>
              <w:rPr>
                <w:rFonts w:ascii="Arial" w:cs="Arial" w:eastAsia="Arial" w:hAnsi="Arial"/>
                <w:sz w:val="18"/>
                <w:szCs w:val="18"/>
                <w:color w:val="auto"/>
              </w:rPr>
              <w:t>Less: Comprehensive loss attributable to</w:t>
            </w:r>
          </w:p>
        </w:tc>
        <w:tc>
          <w:tcPr>
            <w:tcW w:w="2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3"/>
                <w:szCs w:val="13"/>
                <w:color w:val="auto"/>
              </w:rPr>
            </w:pPr>
          </w:p>
        </w:tc>
        <w:tc>
          <w:tcPr>
            <w:tcW w:w="1100" w:type="dxa"/>
            <w:vAlign w:val="bottom"/>
            <w:gridSpan w:val="2"/>
            <w:vMerge w:val="restart"/>
          </w:tcPr>
          <w:p>
            <w:pPr>
              <w:jc w:val="center"/>
              <w:ind w:left="473"/>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62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620" w:type="dxa"/>
            <w:vAlign w:val="bottom"/>
            <w:tcBorders>
              <w:top w:val="single" w:sz="8" w:color="CCEEFF"/>
            </w:tcBorders>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w w:val="91"/>
              </w:rPr>
              <w:t>Comprehensive Income (Loss) Attributable to</w:t>
            </w:r>
          </w:p>
        </w:tc>
        <w:tc>
          <w:tcPr>
            <w:tcW w:w="280" w:type="dxa"/>
            <w:vAlign w:val="bottom"/>
            <w:tcBorders>
              <w:top w:val="single" w:sz="8" w:color="auto"/>
            </w:tcBorders>
            <w:vMerge w:val="restart"/>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center"/>
              <w:ind w:left="533"/>
              <w:spacing w:after="0"/>
              <w:rPr>
                <w:sz w:val="20"/>
                <w:szCs w:val="20"/>
                <w:color w:val="auto"/>
              </w:rPr>
            </w:pPr>
            <w:r>
              <w:rPr>
                <w:rFonts w:ascii="Arial" w:cs="Arial" w:eastAsia="Arial" w:hAnsi="Arial"/>
                <w:sz w:val="18"/>
                <w:szCs w:val="18"/>
                <w:color w:val="auto"/>
                <w:w w:val="93"/>
              </w:rPr>
              <w:t>(10)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Clearway Energy LLC</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798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Clearway Energy</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18"/>
                <w:szCs w:val="18"/>
                <w:b w:val="1"/>
                <w:bCs w:val="1"/>
                <w:color w:val="auto"/>
                <w:vertAlign w:val="superscript"/>
              </w:rPr>
              <w:t>(a)</w:t>
            </w:r>
          </w:p>
        </w:tc>
        <w:tc>
          <w:tcPr>
            <w:tcW w:w="160" w:type="dxa"/>
            <w:vAlign w:val="bottom"/>
          </w:tcPr>
          <w:p>
            <w:pPr>
              <w:spacing w:after="0"/>
              <w:rPr>
                <w:sz w:val="11"/>
                <w:szCs w:val="11"/>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520" w:type="dxa"/>
            <w:vAlign w:val="bottom"/>
          </w:tcPr>
          <w:p>
            <w:pPr>
              <w:ind w:left="1420"/>
              <w:spacing w:after="0" w:line="205" w:lineRule="exact"/>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9"/>
        </w:trPr>
        <w:tc>
          <w:tcPr>
            <w:tcW w:w="352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 trade</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3520" w:type="dxa"/>
            <w:vAlign w:val="bottom"/>
          </w:tcPr>
          <w:p>
            <w:pPr>
              <w:ind w:left="120"/>
              <w:spacing w:after="0"/>
              <w:rPr>
                <w:sz w:val="20"/>
                <w:szCs w:val="20"/>
                <w:color w:val="auto"/>
              </w:rPr>
            </w:pPr>
            <w:r>
              <w:rPr>
                <w:rFonts w:ascii="Arial" w:cs="Arial" w:eastAsia="Arial" w:hAnsi="Arial"/>
                <w:sz w:val="18"/>
                <w:szCs w:val="18"/>
                <w:color w:val="auto"/>
              </w:rPr>
              <w:t>Accounts receivable — affiliate</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3520" w:type="dxa"/>
            <w:vAlign w:val="bottom"/>
          </w:tcPr>
          <w:p>
            <w:pPr>
              <w:ind w:left="120"/>
              <w:spacing w:after="0"/>
              <w:rPr>
                <w:sz w:val="20"/>
                <w:szCs w:val="20"/>
                <w:color w:val="auto"/>
              </w:rPr>
            </w:pPr>
            <w:r>
              <w:rPr>
                <w:rFonts w:ascii="Arial" w:cs="Arial" w:eastAsia="Arial" w:hAnsi="Arial"/>
                <w:sz w:val="18"/>
                <w:szCs w:val="18"/>
                <w:color w:val="auto"/>
              </w:rPr>
              <w:t>Prepayments and other current assets</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6,165</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Investment in consolidated subsidiaries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investments in affiliates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30"/>
        </w:trPr>
        <w:tc>
          <w:tcPr>
            <w:tcW w:w="352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 of use assets, net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9"/>
        </w:trPr>
        <w:tc>
          <w:tcPr>
            <w:tcW w:w="3520" w:type="dxa"/>
            <w:vAlign w:val="bottom"/>
          </w:tcPr>
          <w:p>
            <w:pPr>
              <w:ind w:left="1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assets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Clearway</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Non-Guarantor</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18"/>
                <w:szCs w:val="18"/>
                <w:b w:val="1"/>
                <w:bCs w:val="1"/>
                <w:color w:val="auto"/>
                <w:vertAlign w:val="superscript"/>
              </w:rPr>
              <w:t>(a)</w:t>
            </w:r>
          </w:p>
        </w:tc>
        <w:tc>
          <w:tcPr>
            <w:tcW w:w="140" w:type="dxa"/>
            <w:vAlign w:val="bottom"/>
          </w:tcPr>
          <w:p>
            <w:pPr>
              <w:spacing w:after="0"/>
              <w:rPr>
                <w:sz w:val="11"/>
                <w:szCs w:val="11"/>
                <w:color w:val="auto"/>
              </w:rPr>
            </w:pPr>
          </w:p>
        </w:tc>
        <w:tc>
          <w:tcPr>
            <w:tcW w:w="10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Energy LLC</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40" w:type="dxa"/>
            <w:vAlign w:val="bottom"/>
          </w:tcPr>
          <w:p>
            <w:pPr>
              <w:ind w:left="280"/>
              <w:spacing w:after="0"/>
              <w:rPr>
                <w:sz w:val="20"/>
                <w:szCs w:val="20"/>
                <w:color w:val="auto"/>
              </w:rPr>
            </w:pPr>
            <w:r>
              <w:rPr>
                <w:rFonts w:ascii="Arial" w:cs="Arial" w:eastAsia="Arial" w:hAnsi="Arial"/>
                <w:sz w:val="16"/>
                <w:szCs w:val="16"/>
                <w:b w:val="1"/>
                <w:bCs w:val="1"/>
                <w:color w:val="auto"/>
              </w:rPr>
              <w:t>LIABILITIES AND MEMBERS' EQUITY</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ind w:left="9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Arial" w:cs="Arial" w:eastAsia="Arial" w:hAnsi="Arial"/>
                <w:sz w:val="18"/>
                <w:szCs w:val="18"/>
                <w:color w:val="auto"/>
                <w:w w:val="98"/>
              </w:rPr>
              <w:t>Current portion of long-term debt — external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 — affiliate</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 affiliate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640" w:type="dxa"/>
            <w:vAlign w:val="bottom"/>
          </w:tcPr>
          <w:p>
            <w:pPr>
              <w:ind w:left="12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expense</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rPr>
                <w:sz w:val="20"/>
                <w:szCs w:val="20"/>
                <w:color w:val="auto"/>
              </w:rPr>
            </w:pPr>
            <w:r>
              <w:rPr>
                <w:rFonts w:ascii="Arial" w:cs="Arial" w:eastAsia="Arial" w:hAnsi="Arial"/>
                <w:sz w:val="18"/>
                <w:szCs w:val="18"/>
                <w:color w:val="auto"/>
                <w:w w:val="95"/>
              </w:rPr>
              <w:t>Accrued expenses and other current liabilities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 external</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lease liabilities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Members' Equity</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Contributed capital</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29"/>
        </w:trPr>
        <w:tc>
          <w:tcPr>
            <w:tcW w:w="3640" w:type="dxa"/>
            <w:vAlign w:val="bottom"/>
          </w:tcPr>
          <w:p>
            <w:pPr>
              <w:ind w:left="12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Clearway Energy</w:t>
            </w:r>
          </w:p>
        </w:tc>
        <w:tc>
          <w:tcPr>
            <w:tcW w:w="1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Other Guarantor</w:t>
            </w:r>
          </w:p>
        </w:tc>
        <w:tc>
          <w:tcPr>
            <w:tcW w:w="10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Clearway Energy</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20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Net Cash Provided by (Used In) Operating Activities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6"/>
              </w:rPr>
              <w:t>Intercompany transactions between Clearway Energy</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LLC and subsidiaries</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Acquisition of Drop Down Assets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Consolidation of DGPV Holdco 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Return of investment from unconsolidated affiliates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sale of assets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Insurance proceeds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rPr>
              <w:t>Net Cash Provided by (used in) Investing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42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Transfer of funds under intercompany cash</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 arrangement</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Net contributions from noncontrolling interests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Buyout of Repowering Partnership II noncontrolling</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Net proceeds from the issuance of Class C units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Payments of dividends and distributions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Payments of debt issuance costs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revolving credit facility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Payments for the revolving credit facility</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Proceeds from the issuance of long-term debt —</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external</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Payments for long-term debt — external</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long-term debt — affiliate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Payments for long-term debt — affiliate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Net Cash Provided by (Used in) Financing Activities</w:t>
            </w: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240" w:type="dxa"/>
            <w:vAlign w:val="bottom"/>
          </w:tcPr>
          <w:p>
            <w:pPr>
              <w:spacing w:after="0" w:line="176" w:lineRule="exact"/>
              <w:rPr>
                <w:sz w:val="20"/>
                <w:szCs w:val="20"/>
                <w:color w:val="auto"/>
              </w:rPr>
            </w:pPr>
            <w:r>
              <w:rPr>
                <w:rFonts w:ascii="Arial" w:cs="Arial" w:eastAsia="Arial" w:hAnsi="Arial"/>
                <w:sz w:val="18"/>
                <w:szCs w:val="18"/>
                <w:b w:val="1"/>
                <w:bCs w:val="1"/>
                <w:color w:val="auto"/>
                <w:w w:val="97"/>
              </w:rPr>
              <w:t>Net Increase (Decrease) in Cash, Cash Equivalents</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and Restricted Cash</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2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Cash, Cash Equivalents and Restricted Cash at</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240" w:type="dxa"/>
            <w:vAlign w:val="bottom"/>
          </w:tcPr>
          <w:p>
            <w:pPr>
              <w:spacing w:after="0" w:line="156" w:lineRule="exact"/>
              <w:rPr>
                <w:sz w:val="20"/>
                <w:szCs w:val="20"/>
                <w:color w:val="auto"/>
              </w:rPr>
            </w:pPr>
            <w:r>
              <w:rPr>
                <w:rFonts w:ascii="Arial" w:cs="Arial" w:eastAsia="Arial" w:hAnsi="Arial"/>
                <w:sz w:val="18"/>
                <w:szCs w:val="18"/>
                <w:b w:val="1"/>
                <w:bCs w:val="1"/>
                <w:color w:val="auto"/>
                <w:w w:val="95"/>
              </w:rPr>
              <w:t>Cash, Cash Equivalents and Restricted Cash at end</w:t>
            </w:r>
          </w:p>
        </w:tc>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b w:val="1"/>
                <w:bCs w:val="1"/>
                <w:color w:val="auto"/>
              </w:rPr>
              <w:t>of period</w:t>
            </w:r>
          </w:p>
        </w:tc>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89"/>
              </w:rPr>
              <w:t>42</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September 30, 2019</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Clearway</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18"/>
                <w:szCs w:val="18"/>
                <w:b w:val="1"/>
                <w:bCs w:val="1"/>
                <w:color w:val="auto"/>
                <w:vertAlign w:val="superscript"/>
              </w:rPr>
              <w:t>(a)</w:t>
            </w:r>
          </w:p>
        </w:tc>
        <w:tc>
          <w:tcPr>
            <w:tcW w:w="180" w:type="dxa"/>
            <w:vAlign w:val="bottom"/>
          </w:tcPr>
          <w:p>
            <w:pPr>
              <w:spacing w:after="0"/>
              <w:rPr>
                <w:sz w:val="11"/>
                <w:szCs w:val="11"/>
                <w:color w:val="auto"/>
              </w:rPr>
            </w:pPr>
          </w:p>
        </w:tc>
        <w:tc>
          <w:tcPr>
            <w:tcW w:w="11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Energy LLC</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Total operating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120"/>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34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9"/>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income of consolidated affiliates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440" w:type="dxa"/>
            <w:vAlign w:val="bottom"/>
          </w:tcPr>
          <w:p>
            <w:pPr>
              <w:ind w:left="120"/>
              <w:spacing w:after="0" w:line="176" w:lineRule="exact"/>
              <w:rPr>
                <w:sz w:val="20"/>
                <w:szCs w:val="20"/>
                <w:color w:val="auto"/>
              </w:rPr>
            </w:pPr>
            <w:r>
              <w:rPr>
                <w:rFonts w:ascii="Arial" w:cs="Arial" w:eastAsia="Arial" w:hAnsi="Arial"/>
                <w:sz w:val="18"/>
                <w:szCs w:val="18"/>
                <w:color w:val="auto"/>
              </w:rPr>
              <w:t>Equity in earnings of unconsolidated</w:t>
            </w:r>
          </w:p>
        </w:tc>
        <w:tc>
          <w:tcPr>
            <w:tcW w:w="140" w:type="dxa"/>
            <w:vAlign w:val="bottom"/>
          </w:tcPr>
          <w:p>
            <w:pPr>
              <w:spacing w:after="0"/>
              <w:rPr>
                <w:sz w:val="15"/>
                <w:szCs w:val="15"/>
                <w:color w:val="auto"/>
              </w:rPr>
            </w:pPr>
          </w:p>
        </w:tc>
        <w:tc>
          <w:tcPr>
            <w:tcW w:w="920" w:type="dxa"/>
            <w:vAlign w:val="bottom"/>
            <w:gridSpan w:val="2"/>
            <w:vMerge w:val="restart"/>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44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4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9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56"/>
        </w:trPr>
        <w:tc>
          <w:tcPr>
            <w:tcW w:w="3440" w:type="dxa"/>
            <w:vAlign w:val="bottom"/>
            <w:shd w:val="clear" w:color="auto" w:fill="CCEEFF"/>
          </w:tcPr>
          <w:p>
            <w:pPr>
              <w:ind w:left="120"/>
              <w:spacing w:after="0" w:line="156" w:lineRule="exact"/>
              <w:rPr>
                <w:sz w:val="20"/>
                <w:szCs w:val="20"/>
                <w:color w:val="auto"/>
              </w:rPr>
            </w:pPr>
            <w:r>
              <w:rPr>
                <w:rFonts w:ascii="Arial" w:cs="Arial" w:eastAsia="Arial" w:hAnsi="Arial"/>
                <w:sz w:val="18"/>
                <w:szCs w:val="18"/>
                <w:color w:val="auto"/>
                <w:w w:val="95"/>
              </w:rPr>
              <w:t>Less: Net loss attributable to noncontrolling</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ind w:left="8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line="156" w:lineRule="exact"/>
              <w:rPr>
                <w:sz w:val="20"/>
                <w:szCs w:val="20"/>
                <w:color w:val="auto"/>
              </w:rPr>
            </w:pPr>
            <w:r>
              <w:rPr>
                <w:rFonts w:ascii="Arial" w:cs="Arial" w:eastAsia="Arial" w:hAnsi="Arial"/>
                <w:sz w:val="18"/>
                <w:szCs w:val="18"/>
                <w:b w:val="1"/>
                <w:bCs w:val="1"/>
                <w:color w:val="auto"/>
              </w:rPr>
              <w:t>Net Income Attributable to Clearway</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7"/>
        </w:trPr>
        <w:tc>
          <w:tcPr>
            <w:tcW w:w="344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Energy LLC</w:t>
            </w:r>
          </w:p>
        </w:tc>
        <w:tc>
          <w:tcPr>
            <w:tcW w:w="1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60" w:hanging="149"/>
        <w:spacing w:after="0"/>
        <w:tabs>
          <w:tab w:leader="none" w:pos="3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Nine Months Ended September 30,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Clearway</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18"/>
                <w:szCs w:val="18"/>
                <w:b w:val="1"/>
                <w:bCs w:val="1"/>
                <w:color w:val="auto"/>
                <w:vertAlign w:val="superscript"/>
              </w:rPr>
              <w:t>(a)</w:t>
            </w:r>
          </w:p>
        </w:tc>
        <w:tc>
          <w:tcPr>
            <w:tcW w:w="180" w:type="dxa"/>
            <w:vAlign w:val="bottom"/>
          </w:tcPr>
          <w:p>
            <w:pPr>
              <w:spacing w:after="0"/>
              <w:rPr>
                <w:sz w:val="11"/>
                <w:szCs w:val="11"/>
                <w:color w:val="auto"/>
              </w:rPr>
            </w:pPr>
          </w:p>
        </w:tc>
        <w:tc>
          <w:tcPr>
            <w:tcW w:w="11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9"/>
              </w:rPr>
              <w:t>Energy LLC</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00"/>
              <w:spacing w:after="0"/>
              <w:rPr>
                <w:sz w:val="20"/>
                <w:szCs w:val="20"/>
                <w:color w:val="auto"/>
              </w:rPr>
            </w:pPr>
            <w:r>
              <w:rPr>
                <w:rFonts w:ascii="Arial" w:cs="Arial" w:eastAsia="Arial" w:hAnsi="Arial"/>
                <w:sz w:val="18"/>
                <w:szCs w:val="18"/>
                <w:color w:val="auto"/>
              </w:rPr>
              <w:t>Total operating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88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00"/>
              <w:spacing w:after="0"/>
              <w:rPr>
                <w:sz w:val="20"/>
                <w:szCs w:val="20"/>
                <w:color w:val="auto"/>
              </w:rPr>
            </w:pPr>
            <w:r>
              <w:rPr>
                <w:rFonts w:ascii="Arial" w:cs="Arial" w:eastAsia="Arial" w:hAnsi="Arial"/>
                <w:sz w:val="18"/>
                <w:szCs w:val="18"/>
                <w:color w:val="auto"/>
              </w:rPr>
              <w:t>Cost of operations</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3420" w:type="dxa"/>
            <w:vAlign w:val="bottom"/>
          </w:tcPr>
          <w:p>
            <w:pPr>
              <w:ind w:left="100"/>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Development costs</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Equity in (losses) income of consolidated</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ind w:left="8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affiliates</w:t>
            </w: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20" w:type="dxa"/>
            <w:vAlign w:val="bottom"/>
          </w:tcPr>
          <w:p>
            <w:pPr>
              <w:ind w:left="100"/>
              <w:spacing w:after="0" w:line="176" w:lineRule="exact"/>
              <w:rPr>
                <w:sz w:val="20"/>
                <w:szCs w:val="20"/>
                <w:color w:val="auto"/>
              </w:rPr>
            </w:pPr>
            <w:r>
              <w:rPr>
                <w:rFonts w:ascii="Arial" w:cs="Arial" w:eastAsia="Arial" w:hAnsi="Arial"/>
                <w:sz w:val="18"/>
                <w:szCs w:val="18"/>
                <w:color w:val="auto"/>
              </w:rPr>
              <w:t>Equity in earnings of unconsolidated</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420" w:type="dxa"/>
            <w:vAlign w:val="bottom"/>
          </w:tcPr>
          <w:p>
            <w:pPr>
              <w:ind w:left="10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420" w:type="dxa"/>
            <w:vAlign w:val="bottom"/>
          </w:tcPr>
          <w:p>
            <w:pPr>
              <w:ind w:left="10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other (expense) income, net</w:t>
            </w: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55"/>
        </w:trPr>
        <w:tc>
          <w:tcPr>
            <w:tcW w:w="3420" w:type="dxa"/>
            <w:vAlign w:val="bottom"/>
          </w:tcPr>
          <w:p>
            <w:pPr>
              <w:ind w:left="100"/>
              <w:spacing w:after="0" w:line="156" w:lineRule="exact"/>
              <w:rPr>
                <w:sz w:val="20"/>
                <w:szCs w:val="20"/>
                <w:color w:val="auto"/>
              </w:rPr>
            </w:pPr>
            <w:r>
              <w:rPr>
                <w:rFonts w:ascii="Arial" w:cs="Arial" w:eastAsia="Arial" w:hAnsi="Arial"/>
                <w:sz w:val="18"/>
                <w:szCs w:val="18"/>
                <w:color w:val="auto"/>
                <w:w w:val="95"/>
              </w:rPr>
              <w:t>Less: Net loss attributable to noncontrolling</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ind w:left="8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420" w:type="dxa"/>
            <w:vAlign w:val="bottom"/>
          </w:tcPr>
          <w:p>
            <w:pPr>
              <w:ind w:left="10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1"/>
              </w:rPr>
              <w:t>Net (Loss) Income Attributable to Clearway</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ind w:left="880"/>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Energy LLC</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60" w:hanging="149"/>
        <w:spacing w:after="0"/>
        <w:tabs>
          <w:tab w:leader="none" w:pos="3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rFonts w:ascii="Arial" w:cs="Arial" w:eastAsia="Arial" w:hAnsi="Arial"/>
          <w:sz w:val="18"/>
          <w:szCs w:val="18"/>
          <w:color w:val="auto"/>
          <w:vertAlign w:val="superscript"/>
        </w:rPr>
      </w:pPr>
    </w:p>
    <w:p>
      <w:pPr>
        <w:spacing w:after="0" w:line="385" w:lineRule="exact"/>
        <w:rPr>
          <w:rFonts w:ascii="Arial" w:cs="Arial" w:eastAsia="Arial" w:hAnsi="Arial"/>
          <w:sz w:val="18"/>
          <w:szCs w:val="18"/>
          <w:color w:val="auto"/>
          <w:vertAlign w:val="superscript"/>
        </w:rPr>
      </w:pPr>
    </w:p>
    <w:p>
      <w:pPr>
        <w:ind w:left="5500"/>
        <w:spacing w:after="0"/>
        <w:rPr>
          <w:rFonts w:ascii="Arial" w:cs="Arial" w:eastAsia="Arial" w:hAnsi="Arial"/>
          <w:sz w:val="18"/>
          <w:szCs w:val="18"/>
          <w:color w:val="auto"/>
          <w:vertAlign w:val="superscript"/>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Three months ended September 30, 2019</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Clearway</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Non-Guarantor</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18"/>
                <w:szCs w:val="18"/>
                <w:b w:val="1"/>
                <w:bCs w:val="1"/>
                <w:color w:val="auto"/>
                <w:vertAlign w:val="superscript"/>
              </w:rPr>
              <w:t>(a)</w:t>
            </w:r>
          </w:p>
        </w:tc>
        <w:tc>
          <w:tcPr>
            <w:tcW w:w="180" w:type="dxa"/>
            <w:vAlign w:val="bottom"/>
          </w:tcPr>
          <w:p>
            <w:pPr>
              <w:spacing w:after="0"/>
              <w:rPr>
                <w:sz w:val="11"/>
                <w:szCs w:val="11"/>
                <w:color w:val="auto"/>
              </w:rPr>
            </w:pPr>
          </w:p>
        </w:tc>
        <w:tc>
          <w:tcPr>
            <w:tcW w:w="12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Energy LLC</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derivatives</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56"/>
        </w:trPr>
        <w:tc>
          <w:tcPr>
            <w:tcW w:w="3340" w:type="dxa"/>
            <w:vAlign w:val="bottom"/>
          </w:tcPr>
          <w:p>
            <w:pPr>
              <w:ind w:left="240"/>
              <w:spacing w:after="0" w:line="156" w:lineRule="exact"/>
              <w:rPr>
                <w:sz w:val="20"/>
                <w:szCs w:val="20"/>
                <w:color w:val="auto"/>
              </w:rPr>
            </w:pPr>
            <w:r>
              <w:rPr>
                <w:rFonts w:ascii="Arial" w:cs="Arial" w:eastAsia="Arial" w:hAnsi="Arial"/>
                <w:sz w:val="18"/>
                <w:szCs w:val="18"/>
                <w:color w:val="auto"/>
                <w:w w:val="94"/>
              </w:rPr>
              <w:t>Less: Comprehensive loss attributable to</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340" w:type="dxa"/>
            <w:vAlign w:val="bottom"/>
          </w:tcPr>
          <w:p>
            <w:pPr>
              <w:ind w:left="32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9"/>
              </w:rPr>
              <w:t>Comprehensive Income Attributable to</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rPr>
              <w:t>Clearway Energy LLC</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60" w:hanging="149"/>
        <w:spacing w:after="0"/>
        <w:tabs>
          <w:tab w:leader="none" w:pos="3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Nine Months Ended September 30, 2019</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Clearway</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Non-Guarantor</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18"/>
                <w:szCs w:val="18"/>
                <w:b w:val="1"/>
                <w:bCs w:val="1"/>
                <w:color w:val="auto"/>
                <w:vertAlign w:val="superscript"/>
              </w:rPr>
              <w:t>(a)</w:t>
            </w:r>
          </w:p>
        </w:tc>
        <w:tc>
          <w:tcPr>
            <w:tcW w:w="180" w:type="dxa"/>
            <w:vAlign w:val="bottom"/>
          </w:tcPr>
          <w:p>
            <w:pPr>
              <w:spacing w:after="0"/>
              <w:rPr>
                <w:sz w:val="11"/>
                <w:szCs w:val="11"/>
                <w:color w:val="auto"/>
              </w:rPr>
            </w:pPr>
          </w:p>
        </w:tc>
        <w:tc>
          <w:tcPr>
            <w:tcW w:w="12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Energy LLC</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derivatives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55"/>
        </w:trPr>
        <w:tc>
          <w:tcPr>
            <w:tcW w:w="3340" w:type="dxa"/>
            <w:vAlign w:val="bottom"/>
          </w:tcPr>
          <w:p>
            <w:pPr>
              <w:ind w:left="240"/>
              <w:spacing w:after="0" w:line="156" w:lineRule="exact"/>
              <w:rPr>
                <w:sz w:val="20"/>
                <w:szCs w:val="20"/>
                <w:color w:val="auto"/>
              </w:rPr>
            </w:pPr>
            <w:r>
              <w:rPr>
                <w:rFonts w:ascii="Arial" w:cs="Arial" w:eastAsia="Arial" w:hAnsi="Arial"/>
                <w:sz w:val="18"/>
                <w:szCs w:val="18"/>
                <w:color w:val="auto"/>
                <w:w w:val="94"/>
              </w:rPr>
              <w:t>Less: Comprehensive loss attributable to</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ind w:left="9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340" w:type="dxa"/>
            <w:vAlign w:val="bottom"/>
          </w:tcPr>
          <w:p>
            <w:pPr>
              <w:ind w:left="32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40" w:type="dxa"/>
            <w:vAlign w:val="bottom"/>
            <w:tcBorders>
              <w:top w:val="single" w:sz="8" w:color="CCEEFF"/>
            </w:tcBorders>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Comprehensive (Loss) Income</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ind w:left="920"/>
              <w:spacing w:after="0"/>
              <w:rPr>
                <w:sz w:val="20"/>
                <w:szCs w:val="20"/>
                <w:color w:val="auto"/>
              </w:rPr>
            </w:pPr>
            <w:r>
              <w:rPr>
                <w:rFonts w:ascii="Arial" w:cs="Arial" w:eastAsia="Arial" w:hAnsi="Arial"/>
                <w:sz w:val="18"/>
                <w:szCs w:val="18"/>
                <w:color w:val="auto"/>
                <w:w w:val="99"/>
              </w:rPr>
              <w:t>(8)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Attributable to Clearway Energy LLC</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60" w:hanging="149"/>
        <w:spacing w:after="0"/>
        <w:tabs>
          <w:tab w:leader="none" w:pos="3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rFonts w:ascii="Arial" w:cs="Arial" w:eastAsia="Arial" w:hAnsi="Arial"/>
          <w:sz w:val="18"/>
          <w:szCs w:val="18"/>
          <w:color w:val="auto"/>
          <w:vertAlign w:val="superscript"/>
        </w:rPr>
      </w:pPr>
    </w:p>
    <w:p>
      <w:pPr>
        <w:spacing w:after="0" w:line="331" w:lineRule="exact"/>
        <w:rPr>
          <w:rFonts w:ascii="Arial" w:cs="Arial" w:eastAsia="Arial" w:hAnsi="Arial"/>
          <w:sz w:val="18"/>
          <w:szCs w:val="18"/>
          <w:color w:val="auto"/>
          <w:vertAlign w:val="superscript"/>
        </w:rPr>
      </w:pPr>
    </w:p>
    <w:p>
      <w:pPr>
        <w:ind w:left="5500"/>
        <w:spacing w:after="0"/>
        <w:rPr>
          <w:rFonts w:ascii="Arial" w:cs="Arial" w:eastAsia="Arial" w:hAnsi="Arial"/>
          <w:sz w:val="18"/>
          <w:szCs w:val="18"/>
          <w:color w:val="auto"/>
          <w:vertAlign w:val="superscript"/>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Clearway</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Clearway Energy</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2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18"/>
                <w:szCs w:val="18"/>
                <w:b w:val="1"/>
                <w:bCs w:val="1"/>
                <w:color w:val="auto"/>
                <w:vertAlign w:val="superscript"/>
              </w:rPr>
              <w:t>(a)</w:t>
            </w:r>
          </w:p>
        </w:tc>
        <w:tc>
          <w:tcPr>
            <w:tcW w:w="200" w:type="dxa"/>
            <w:vAlign w:val="bottom"/>
          </w:tcPr>
          <w:p>
            <w:pPr>
              <w:spacing w:after="0"/>
              <w:rPr>
                <w:sz w:val="11"/>
                <w:szCs w:val="11"/>
                <w:color w:val="auto"/>
              </w:rPr>
            </w:pPr>
          </w:p>
        </w:tc>
        <w:tc>
          <w:tcPr>
            <w:tcW w:w="11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9"/>
              </w:rPr>
              <w:t>Energy LLC</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80" w:type="dxa"/>
            <w:vAlign w:val="bottom"/>
          </w:tcPr>
          <w:p>
            <w:pPr>
              <w:ind w:left="140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3480" w:type="dxa"/>
            <w:vAlign w:val="bottom"/>
          </w:tcPr>
          <w:p>
            <w:pPr>
              <w:ind w:left="220"/>
              <w:spacing w:after="0"/>
              <w:rPr>
                <w:sz w:val="20"/>
                <w:szCs w:val="20"/>
                <w:color w:val="auto"/>
              </w:rPr>
            </w:pPr>
            <w:r>
              <w:rPr>
                <w:rFonts w:ascii="Arial" w:cs="Arial" w:eastAsia="Arial" w:hAnsi="Arial"/>
                <w:sz w:val="16"/>
                <w:szCs w:val="16"/>
                <w:color w:val="auto"/>
              </w:rPr>
              <w:t>Accounts receivable — trade</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 affiliate</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48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Prepayments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7"/>
        </w:trPr>
        <w:tc>
          <w:tcPr>
            <w:tcW w:w="34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property, plant and equipment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consolidated subsidiaries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4"/>
              </w:rPr>
              <w:t>(5,718)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80" w:type="dxa"/>
            <w:vAlign w:val="bottom"/>
          </w:tcPr>
          <w:p>
            <w:pPr>
              <w:ind w:left="220"/>
              <w:spacing w:after="0"/>
              <w:rPr>
                <w:sz w:val="20"/>
                <w:szCs w:val="20"/>
                <w:color w:val="auto"/>
              </w:rPr>
            </w:pPr>
            <w:r>
              <w:rPr>
                <w:rFonts w:ascii="Arial" w:cs="Arial" w:eastAsia="Arial" w:hAnsi="Arial"/>
                <w:sz w:val="16"/>
                <w:szCs w:val="16"/>
                <w:color w:val="auto"/>
              </w:rPr>
              <w:t>Equity investments in affiliates</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3"/>
        </w:trPr>
        <w:tc>
          <w:tcPr>
            <w:tcW w:w="3480" w:type="dxa"/>
            <w:vAlign w:val="bottom"/>
          </w:tcPr>
          <w:p>
            <w:pPr>
              <w:ind w:left="220"/>
              <w:spacing w:after="0"/>
              <w:rPr>
                <w:sz w:val="20"/>
                <w:szCs w:val="20"/>
                <w:color w:val="auto"/>
              </w:rPr>
            </w:pPr>
            <w:r>
              <w:rPr>
                <w:rFonts w:ascii="Arial" w:cs="Arial" w:eastAsia="Arial" w:hAnsi="Arial"/>
                <w:sz w:val="16"/>
                <w:szCs w:val="16"/>
                <w:color w:val="auto"/>
              </w:rPr>
              <w:t>Right-of-use assets, net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assets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7"/>
        </w:trPr>
        <w:tc>
          <w:tcPr>
            <w:tcW w:w="3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1,824</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2,219</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3,858</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w w:val="94"/>
              </w:rPr>
              <w:t>(5,718)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232"/>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4"/>
              </w:rPr>
              <w:t>(5,718)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6"/>
          <w:szCs w:val="16"/>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Clearway</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Guarantor</w:t>
            </w:r>
          </w:p>
        </w:tc>
        <w:tc>
          <w:tcPr>
            <w:tcW w:w="10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18"/>
                <w:szCs w:val="18"/>
                <w:b w:val="1"/>
                <w:bCs w:val="1"/>
                <w:color w:val="auto"/>
                <w:vertAlign w:val="superscript"/>
              </w:rPr>
              <w:t>(a)</w:t>
            </w:r>
          </w:p>
        </w:tc>
        <w:tc>
          <w:tcPr>
            <w:tcW w:w="120" w:type="dxa"/>
            <w:vAlign w:val="bottom"/>
          </w:tcPr>
          <w:p>
            <w:pPr>
              <w:spacing w:after="0"/>
              <w:rPr>
                <w:sz w:val="11"/>
                <w:szCs w:val="11"/>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9"/>
              </w:rPr>
              <w:t>Energy LLC</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3"/>
              </w:rPr>
              <w:t>Subsidiaries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6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LIABILITIES AND MEMBERS' EQUITY</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20" w:type="dxa"/>
            <w:vAlign w:val="bottom"/>
            <w:gridSpan w:val="6"/>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1,692</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 — affiliate</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 affiliate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expense</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0" w:type="dxa"/>
            <w:vAlign w:val="bottom"/>
          </w:tcPr>
          <w:p>
            <w:pPr>
              <w:spacing w:after="0"/>
              <w:rPr>
                <w:sz w:val="1"/>
                <w:szCs w:val="1"/>
                <w:color w:val="auto"/>
              </w:rPr>
            </w:pPr>
          </w:p>
        </w:tc>
      </w:tr>
      <w:tr>
        <w:trPr>
          <w:trHeight w:val="193"/>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 — external</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lease liabilities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non-current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5,374</w:t>
            </w:r>
          </w:p>
        </w:tc>
        <w:tc>
          <w:tcPr>
            <w:tcW w:w="0" w:type="dxa"/>
            <w:vAlign w:val="bottom"/>
          </w:tcPr>
          <w:p>
            <w:pPr>
              <w:spacing w:after="0"/>
              <w:rPr>
                <w:sz w:val="1"/>
                <w:szCs w:val="1"/>
                <w:color w:val="auto"/>
              </w:rPr>
            </w:pPr>
          </w:p>
        </w:tc>
      </w:tr>
      <w:tr>
        <w:trPr>
          <w:trHeight w:val="206"/>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5,712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1,711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7,432</w:t>
            </w:r>
          </w:p>
        </w:tc>
        <w:tc>
          <w:tcPr>
            <w:tcW w:w="0" w:type="dxa"/>
            <w:vAlign w:val="bottom"/>
          </w:tcPr>
          <w:p>
            <w:pPr>
              <w:spacing w:after="0"/>
              <w:rPr>
                <w:sz w:val="1"/>
                <w:szCs w:val="1"/>
                <w:color w:val="auto"/>
              </w:rPr>
            </w:pPr>
          </w:p>
        </w:tc>
      </w:tr>
      <w:tr>
        <w:trPr>
          <w:trHeight w:val="19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Members' Equity</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Contributed capital</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Retained earnings (Accumulated deficit)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1,851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8,791</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3,860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(5,718)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6"/>
          <w:szCs w:val="16"/>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Clearway Energy</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Clearway Energy</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1"/>
                <w:szCs w:val="11"/>
                <w:color w:val="auto"/>
              </w:rPr>
            </w:pPr>
          </w:p>
        </w:tc>
        <w:tc>
          <w:tcPr>
            <w:tcW w:w="11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LLC</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Intercompany transactions between Clearway Energy LLC</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subsidiaries</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Acquisition</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of Drop Down Asset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Buyout of Wind TE Holdco noncontrolling interest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Return of investment from unconsolidated affiliates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investments in unconsolidated affiliates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Insurance proceeds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Transfer of funds under intercompany cash management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arrangement</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120"/>
              <w:spacing w:after="0" w:line="176" w:lineRule="exact"/>
              <w:rPr>
                <w:sz w:val="20"/>
                <w:szCs w:val="20"/>
                <w:color w:val="auto"/>
              </w:rPr>
            </w:pPr>
            <w:r>
              <w:rPr>
                <w:rFonts w:ascii="Arial" w:cs="Arial" w:eastAsia="Arial" w:hAnsi="Arial"/>
                <w:sz w:val="18"/>
                <w:szCs w:val="18"/>
                <w:color w:val="auto"/>
              </w:rPr>
              <w:t>Net contributions (distributions) from noncontrolling</w:t>
            </w:r>
          </w:p>
        </w:tc>
        <w:tc>
          <w:tcPr>
            <w:tcW w:w="28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of) proceeds from distributions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Payment of debt issuance costs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the revolving credit facility</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Payments for the revolving credit facility</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the issuance of long-term debt-external</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Payments for long-term debt — external</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for long-term debt — affiliate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55"/>
        </w:trPr>
        <w:tc>
          <w:tcPr>
            <w:tcW w:w="4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4"/>
              </w:rPr>
              <w:t>Net Decrease in Cash, Cash Equivalents and Restricted</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Cash, Cash Equivalents and Restricted Cash at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7"/>
              </w:rPr>
              <w:t>Cash, Cash Equivalents and Restricted Cash at end of</w:t>
            </w:r>
          </w:p>
        </w:tc>
        <w:tc>
          <w:tcPr>
            <w:tcW w:w="28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period</w:t>
            </w: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2019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was appealed by NPPD on May 11, 2020 and the case in the Knox County District Court remains pending, but has been stayed pending the outcome of the U.S. District Court case. The Company believes the allegations of NPPD are meritless and the Company is vigorously defending its rights under the PPAs.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5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evaluates each arrangement at inception to determine if it contains a lease. All of the Company’s leases are operating leases as of September 30,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5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to certain to be exercised. The Company uses its incremental borrowing rate to calculate the present value of the lease payments, based on information available at the lease commencement date.</w:t>
      </w:r>
    </w:p>
    <w:p>
      <w:pPr>
        <w:spacing w:after="0" w:line="9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Lease expense was comprised of the following:</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00" w:type="dxa"/>
            <w:vAlign w:val="bottom"/>
          </w:tcPr>
          <w:p>
            <w:pPr>
              <w:spacing w:after="0"/>
              <w:rPr>
                <w:sz w:val="12"/>
                <w:szCs w:val="12"/>
                <w:color w:val="auto"/>
              </w:rPr>
            </w:pPr>
          </w:p>
        </w:tc>
        <w:tc>
          <w:tcPr>
            <w:tcW w:w="1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top w:val="single" w:sz="8" w:color="auto"/>
            </w:tcBorders>
          </w:tcPr>
          <w:p>
            <w:pPr>
              <w:jc w:val="right"/>
              <w:ind w:right="1"/>
              <w:spacing w:after="0" w:line="149"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Borders>
              <w:top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Nine months ended September</w:t>
            </w: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ind w:right="177"/>
              <w:spacing w:after="0" w:line="149" w:lineRule="exact"/>
              <w:rPr>
                <w:sz w:val="20"/>
                <w:szCs w:val="20"/>
                <w:color w:val="auto"/>
              </w:rPr>
            </w:pPr>
            <w:r>
              <w:rPr>
                <w:rFonts w:ascii="Arial" w:cs="Arial" w:eastAsia="Arial" w:hAnsi="Arial"/>
                <w:sz w:val="14"/>
                <w:szCs w:val="14"/>
                <w:b w:val="1"/>
                <w:bCs w:val="1"/>
                <w:color w:val="auto"/>
                <w:w w:val="96"/>
              </w:rPr>
              <w:t>Nine months ended</w:t>
            </w:r>
          </w:p>
        </w:tc>
      </w:tr>
      <w:tr>
        <w:trPr>
          <w:trHeight w:val="188"/>
        </w:trPr>
        <w:tc>
          <w:tcPr>
            <w:tcW w:w="3400" w:type="dxa"/>
            <w:vAlign w:val="bottom"/>
          </w:tcPr>
          <w:p>
            <w:pPr>
              <w:spacing w:after="0"/>
              <w:rPr>
                <w:sz w:val="16"/>
                <w:szCs w:val="16"/>
                <w:color w:val="auto"/>
              </w:rPr>
            </w:pP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30, 2020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September 30, 2019</w:t>
            </w:r>
          </w:p>
        </w:tc>
      </w:tr>
      <w:tr>
        <w:trPr>
          <w:trHeight w:val="183"/>
        </w:trPr>
        <w:tc>
          <w:tcPr>
            <w:tcW w:w="3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4"/>
          </w:tcPr>
          <w:p>
            <w:pPr>
              <w:ind w:left="150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1"/>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cost - Fixed</w:t>
            </w:r>
          </w:p>
        </w:tc>
        <w:tc>
          <w:tcPr>
            <w:tcW w:w="1680" w:type="dxa"/>
            <w:vAlign w:val="bottom"/>
            <w:shd w:val="clear" w:color="auto" w:fill="CCEEFF"/>
          </w:tcPr>
          <w:p>
            <w:pPr>
              <w:jc w:val="right"/>
              <w:ind w:right="149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501"/>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3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cost - Variable</w:t>
            </w:r>
          </w:p>
        </w:tc>
        <w:tc>
          <w:tcPr>
            <w:tcW w:w="16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3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1680" w:type="dxa"/>
            <w:vAlign w:val="bottom"/>
            <w:tcBorders>
              <w:bottom w:val="single" w:sz="8" w:color="auto"/>
            </w:tcBorders>
            <w:shd w:val="clear" w:color="auto" w:fill="CCEEFF"/>
          </w:tcPr>
          <w:p>
            <w:pPr>
              <w:jc w:val="right"/>
              <w:ind w:right="1499"/>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50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lease liabilities as of September 30, 2020 and December 31, 2019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366395</wp:posOffset>
            </wp:positionV>
            <wp:extent cx="33686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5740"/>
        <w:spacing w:after="0"/>
        <w:tabs>
          <w:tab w:leader="none" w:pos="898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23495</wp:posOffset>
            </wp:positionV>
            <wp:extent cx="33686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(In millions, except term and rate)</w:t>
      </w:r>
    </w:p>
    <w:p>
      <w:pPr>
        <w:sectPr>
          <w:pgSz w:w="11900" w:h="16838" w:orient="portrait"/>
          <w:cols w:equalWidth="0" w:num="1">
            <w:col w:w="11240"/>
          </w:cols>
          <w:pgMar w:left="320" w:top="891" w:right="339" w:bottom="1440" w:gutter="0" w:footer="0" w:header="0"/>
        </w:sectPr>
      </w:pPr>
    </w:p>
    <w:p>
      <w:pPr>
        <w:spacing w:after="0" w:line="3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ROU Assets - operating leases, net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Short-term lease liability - operating leases </w:t>
      </w:r>
      <w:r>
        <w:rPr>
          <w:rFonts w:ascii="Arial" w:cs="Arial" w:eastAsia="Arial" w:hAnsi="Arial"/>
          <w:sz w:val="20"/>
          <w:szCs w:val="20"/>
          <w:color w:val="auto"/>
          <w:vertAlign w:val="superscript"/>
        </w:rPr>
        <w:t>(a)</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Long-term lease liability - operating leases</w:t>
      </w:r>
    </w:p>
    <w:p>
      <w:pPr>
        <w:spacing w:after="0" w:line="5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lease liability</w:t>
      </w:r>
    </w:p>
    <w:p>
      <w:pPr>
        <w:spacing w:after="0" w:line="279" w:lineRule="exact"/>
        <w:rPr>
          <w:sz w:val="20"/>
          <w:szCs w:val="20"/>
          <w:color w:val="auto"/>
        </w:rPr>
      </w:pPr>
    </w:p>
    <w:p>
      <w:pPr>
        <w:ind w:left="840" w:right="920"/>
        <w:spacing w:after="0" w:line="324" w:lineRule="auto"/>
        <w:rPr>
          <w:sz w:val="20"/>
          <w:szCs w:val="20"/>
          <w:color w:val="auto"/>
        </w:rPr>
      </w:pPr>
      <w:r>
        <w:rPr>
          <w:rFonts w:ascii="Arial" w:cs="Arial" w:eastAsia="Arial" w:hAnsi="Arial"/>
          <w:sz w:val="17"/>
          <w:szCs w:val="17"/>
          <w:color w:val="auto"/>
        </w:rPr>
        <w:t>Weighted average remaining lease term Weighted average discount rate</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-130175</wp:posOffset>
            </wp:positionV>
            <wp:extent cx="632650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26505" cy="179705"/>
                    </a:xfrm>
                    <a:prstGeom prst="rect">
                      <a:avLst/>
                    </a:prstGeom>
                    <a:noFill/>
                  </pic:spPr>
                </pic:pic>
              </a:graphicData>
            </a:graphic>
          </wp:anchor>
        </w:drawing>
      </w:r>
    </w:p>
    <w:p>
      <w:pPr>
        <w:spacing w:after="0" w:line="286"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-130175</wp:posOffset>
            </wp:positionV>
            <wp:extent cx="632650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26505" cy="146050"/>
                    </a:xfrm>
                    <a:prstGeom prst="rect">
                      <a:avLst/>
                    </a:prstGeom>
                    <a:noFill/>
                  </pic:spPr>
                </pic:pic>
              </a:graphicData>
            </a:graphic>
          </wp:anchor>
        </w:drawing>
      </w:r>
    </w:p>
    <w:p>
      <w:pPr>
        <w:spacing w:after="0" w:line="3"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14605</wp:posOffset>
            </wp:positionV>
            <wp:extent cx="632650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26505" cy="171450"/>
                    </a:xfrm>
                    <a:prstGeom prst="rect">
                      <a:avLst/>
                    </a:prstGeom>
                    <a:noFill/>
                  </pic:spPr>
                </pic:pic>
              </a:graphicData>
            </a:graphic>
          </wp:anchor>
        </w:drawing>
      </w:r>
    </w:p>
    <w:p>
      <w:pPr>
        <w:spacing w:after="0" w:line="1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13112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86"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14605</wp:posOffset>
            </wp:positionV>
            <wp:extent cx="632650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26505" cy="146050"/>
                    </a:xfrm>
                    <a:prstGeom prst="rect">
                      <a:avLst/>
                    </a:prstGeom>
                    <a:noFill/>
                  </pic:spPr>
                </pic:pic>
              </a:graphicData>
            </a:graphic>
          </wp:anchor>
        </w:drawing>
      </w:r>
    </w:p>
    <w:p>
      <w:pPr>
        <w:spacing w:after="0" w:line="3"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177165</wp:posOffset>
            </wp:positionV>
            <wp:extent cx="13112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63"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Nine months ended September</w:t>
      </w:r>
    </w:p>
    <w:p>
      <w:pPr>
        <w:spacing w:after="0" w:line="2"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13335</wp:posOffset>
            </wp:positionV>
            <wp:extent cx="632650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265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13119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286"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227</w:t>
      </w:r>
    </w:p>
    <w:p>
      <w:pPr>
        <w:spacing w:after="0" w:line="3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13119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286"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177165</wp:posOffset>
            </wp:positionV>
            <wp:extent cx="13119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63" w:lineRule="exact"/>
        <w:rPr>
          <w:sz w:val="20"/>
          <w:szCs w:val="20"/>
          <w:color w:val="auto"/>
        </w:rPr>
      </w:pPr>
    </w:p>
    <w:p>
      <w:pPr>
        <w:jc w:val="center"/>
        <w:ind w:right="660"/>
        <w:spacing w:after="0"/>
        <w:rPr>
          <w:sz w:val="20"/>
          <w:szCs w:val="20"/>
          <w:color w:val="auto"/>
        </w:rPr>
      </w:pPr>
      <w:r>
        <w:rPr>
          <w:rFonts w:ascii="Arial" w:cs="Arial" w:eastAsia="Arial" w:hAnsi="Arial"/>
          <w:sz w:val="13"/>
          <w:szCs w:val="13"/>
          <w:b w:val="1"/>
          <w:bCs w:val="1"/>
          <w:color w:val="auto"/>
        </w:rPr>
        <w:t>Nine months ended September</w:t>
      </w:r>
    </w:p>
    <w:p>
      <w:pPr>
        <w:spacing w:after="0" w:line="2"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30, 2019</w:t>
      </w:r>
    </w:p>
    <w:p>
      <w:pPr>
        <w:spacing w:after="0" w:line="34" w:lineRule="exact"/>
        <w:rPr>
          <w:sz w:val="20"/>
          <w:szCs w:val="20"/>
          <w:color w:val="auto"/>
        </w:rPr>
      </w:pPr>
    </w:p>
    <w:p>
      <w:pPr>
        <w:sectPr>
          <w:pgSz w:w="11900" w:h="16838" w:orient="portrait"/>
          <w:cols w:equalWidth="0" w:num="3">
            <w:col w:w="4600" w:space="720"/>
            <w:col w:w="2520" w:space="720"/>
            <w:col w:w="2680"/>
          </w:cols>
          <w:pgMar w:left="320" w:top="891" w:right="339" w:bottom="1440" w:gutter="0" w:footer="0" w:header="0"/>
          <w:type w:val="continuous"/>
        </w:sectPr>
      </w:pPr>
    </w:p>
    <w:p>
      <w:pPr>
        <w:ind w:left="840"/>
        <w:spacing w:after="0"/>
        <w:tabs>
          <w:tab w:leader="none" w:pos="5300" w:val="left"/>
          <w:tab w:leader="none" w:pos="6940" w:val="left"/>
          <w:tab w:leader="none" w:pos="8540" w:val="left"/>
          <w:tab w:leader="none" w:pos="10280" w:val="left"/>
        </w:tabs>
        <w:rPr>
          <w:sz w:val="20"/>
          <w:szCs w:val="20"/>
          <w:color w:val="auto"/>
        </w:rPr>
      </w:pPr>
      <w:r>
        <w:rPr>
          <w:rFonts w:ascii="Arial" w:cs="Arial" w:eastAsia="Arial" w:hAnsi="Arial"/>
          <w:sz w:val="18"/>
          <w:szCs w:val="18"/>
          <w:color w:val="auto"/>
        </w:rPr>
        <w:t>Cash paid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3798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80" w:right="160" w:hanging="91"/>
        <w:spacing w:after="0" w:line="224" w:lineRule="auto"/>
        <w:tabs>
          <w:tab w:leader="none" w:pos="239"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Short-term lease liability balances are included within the accrued expenses and other current liabilities line item of the consolidated balance sheets as of September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0" w:name="page51"/>
    <w:bookmarkEnd w:id="50"/>
    <w:p>
      <w:pPr>
        <w:ind w:left="900"/>
        <w:spacing w:after="0"/>
        <w:rPr>
          <w:sz w:val="20"/>
          <w:szCs w:val="20"/>
          <w:color w:val="auto"/>
        </w:rPr>
      </w:pPr>
      <w:r>
        <w:rPr>
          <w:rFonts w:ascii="Arial" w:cs="Arial" w:eastAsia="Arial" w:hAnsi="Arial"/>
          <w:sz w:val="18"/>
          <w:szCs w:val="18"/>
          <w:color w:val="auto"/>
        </w:rPr>
        <w:t>Maturities of operating lease liabilities as of September 30, 2020 are as follows:</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 millions)</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740" w:type="dxa"/>
            <w:vAlign w:val="bottom"/>
          </w:tcPr>
          <w:p>
            <w:pPr>
              <w:ind w:left="200"/>
              <w:spacing w:after="0"/>
              <w:rPr>
                <w:sz w:val="20"/>
                <w:szCs w:val="20"/>
                <w:color w:val="auto"/>
              </w:rPr>
            </w:pPr>
            <w:r>
              <w:rPr>
                <w:rFonts w:ascii="Arial" w:cs="Arial" w:eastAsia="Arial" w:hAnsi="Arial"/>
                <w:sz w:val="18"/>
                <w:szCs w:val="18"/>
                <w:color w:val="auto"/>
              </w:rPr>
              <w:t>Remainder of 2020</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740" w:type="dxa"/>
            <w:vAlign w:val="bottom"/>
          </w:tcPr>
          <w:p>
            <w:pPr>
              <w:ind w:left="20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740" w:type="dxa"/>
            <w:vAlign w:val="bottom"/>
          </w:tcPr>
          <w:p>
            <w:pPr>
              <w:ind w:left="200"/>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23"/>
        </w:trPr>
        <w:tc>
          <w:tcPr>
            <w:tcW w:w="8740" w:type="dxa"/>
            <w:vAlign w:val="bottom"/>
          </w:tcPr>
          <w:p>
            <w:pPr>
              <w:ind w:left="200"/>
              <w:spacing w:after="0"/>
              <w:rPr>
                <w:sz w:val="20"/>
                <w:szCs w:val="20"/>
                <w:color w:val="auto"/>
              </w:rPr>
            </w:pPr>
            <w:r>
              <w:rPr>
                <w:rFonts w:ascii="Arial" w:cs="Arial" w:eastAsia="Arial" w:hAnsi="Arial"/>
                <w:sz w:val="18"/>
                <w:szCs w:val="18"/>
                <w:color w:val="auto"/>
              </w:rPr>
              <w:t>Total lease payments</w:t>
            </w:r>
          </w:p>
        </w:tc>
        <w:tc>
          <w:tcPr>
            <w:tcW w:w="9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imputed interest</w:t>
            </w:r>
          </w:p>
        </w:tc>
        <w:tc>
          <w:tcPr>
            <w:tcW w:w="9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3"/>
        </w:trPr>
        <w:tc>
          <w:tcPr>
            <w:tcW w:w="8740" w:type="dxa"/>
            <w:vAlign w:val="bottom"/>
          </w:tcPr>
          <w:p>
            <w:pPr>
              <w:ind w:left="200"/>
              <w:spacing w:after="0"/>
              <w:rPr>
                <w:sz w:val="20"/>
                <w:szCs w:val="20"/>
                <w:color w:val="auto"/>
              </w:rPr>
            </w:pPr>
            <w:r>
              <w:rPr>
                <w:rFonts w:ascii="Arial" w:cs="Arial" w:eastAsia="Arial" w:hAnsi="Arial"/>
                <w:sz w:val="18"/>
                <w:szCs w:val="18"/>
                <w:color w:val="auto"/>
              </w:rPr>
              <w:t>Total lease liability - operating leases</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0"/>
        </w:trPr>
        <w:tc>
          <w:tcPr>
            <w:tcW w:w="8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Oahu Solar Lease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Oahu Solar projects are party to various land lease agreements with a wholly owned subsidiary of CEG. The projects are leasing the land for a period of 35 years, with the ability to renew the lease for two additional five year periods. The Company has a lease liability of $20 million and $21 million as of September 30, 2020 and December 31, 2019, respectively and a corresponding right-of-use asset of $18 million and $19 million related to leases as of September 30, 2020 and December 31, 2019, respectively.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Lessor</w:t>
      </w:r>
    </w:p>
    <w:p>
      <w:pPr>
        <w:spacing w:after="0" w:line="171" w:lineRule="exact"/>
        <w:rPr>
          <w:sz w:val="20"/>
          <w:szCs w:val="20"/>
          <w:color w:val="auto"/>
        </w:rPr>
      </w:pPr>
    </w:p>
    <w:p>
      <w:pPr>
        <w:jc w:val="both"/>
        <w:ind w:firstLine="246"/>
        <w:spacing w:after="0" w:line="254" w:lineRule="auto"/>
        <w:rPr>
          <w:sz w:val="20"/>
          <w:szCs w:val="20"/>
          <w:color w:val="auto"/>
        </w:rPr>
      </w:pPr>
      <w:r>
        <w:rPr>
          <w:rFonts w:ascii="Arial" w:cs="Arial" w:eastAsia="Arial" w:hAnsi="Arial"/>
          <w:sz w:val="18"/>
          <w:szCs w:val="18"/>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MD&amp;A, </w:t>
      </w:r>
      <w:r>
        <w:rPr>
          <w:rFonts w:ascii="Arial" w:cs="Arial" w:eastAsia="Arial" w:hAnsi="Arial"/>
          <w:sz w:val="18"/>
          <w:szCs w:val="18"/>
          <w:i w:val="1"/>
          <w:iCs w:val="1"/>
          <w:color w:val="auto"/>
        </w:rPr>
        <w:t>Introduction, Environmental, Regulatory</w:t>
      </w:r>
      <w:r>
        <w:rPr>
          <w:rFonts w:ascii="Arial" w:cs="Arial" w:eastAsia="Arial" w:hAnsi="Arial"/>
          <w:sz w:val="18"/>
          <w:szCs w:val="18"/>
          <w:color w:val="auto"/>
        </w:rPr>
        <w:t xml:space="preserve"> of this Form 10-Q. Many of the leases have renewal options at the end of the lease term. Termination may be allowed under specific circumstances in the lease arrangements, such as under an event of default. All but one of the Company’s leases are operating leases. The remaining lease met the criteria of a sales-type lease and the impact of this sales-type lease to the consolidated financial statements was immaterial. Certain of these leases have both lease and non-lease components, and the Company allocates the transaction price to the components based on standalone selling prices.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As disclosed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the following amounts of energy and capacity revenue are related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operating leases: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 September 30, 2020</w:t>
            </w:r>
          </w:p>
        </w:tc>
        <w:tc>
          <w:tcPr>
            <w:tcW w:w="1420" w:type="dxa"/>
            <w:vAlign w:val="bottom"/>
            <w:tcBorders>
              <w:bottom w:val="single" w:sz="8" w:color="auto"/>
            </w:tcBorders>
          </w:tcPr>
          <w:p>
            <w:pPr>
              <w:spacing w:after="0"/>
              <w:rPr>
                <w:sz w:val="18"/>
                <w:szCs w:val="18"/>
                <w:color w:val="auto"/>
              </w:rPr>
            </w:pPr>
          </w:p>
        </w:tc>
      </w:tr>
      <w:tr>
        <w:trPr>
          <w:trHeight w:val="186"/>
        </w:trPr>
        <w:tc>
          <w:tcPr>
            <w:tcW w:w="45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20" w:type="dxa"/>
            <w:vAlign w:val="bottom"/>
          </w:tcPr>
          <w:p>
            <w:pPr>
              <w:ind w:left="160"/>
              <w:spacing w:after="0"/>
              <w:rPr>
                <w:sz w:val="20"/>
                <w:szCs w:val="20"/>
                <w:color w:val="auto"/>
              </w:rPr>
            </w:pPr>
            <w:r>
              <w:rPr>
                <w:rFonts w:ascii="Arial" w:cs="Arial" w:eastAsia="Arial" w:hAnsi="Arial"/>
                <w:sz w:val="14"/>
                <w:szCs w:val="14"/>
                <w:b w:val="1"/>
                <w:bCs w:val="1"/>
                <w:color w:val="auto"/>
                <w:w w:val="98"/>
              </w:rPr>
              <w:t>Conventional Generation</w:t>
            </w: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Renewables</w:t>
            </w: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rPr>
              <w:t>Thermal</w:t>
            </w:r>
          </w:p>
        </w:tc>
        <w:tc>
          <w:tcPr>
            <w:tcW w:w="1420" w:type="dxa"/>
            <w:vAlign w:val="bottom"/>
          </w:tcPr>
          <w:p>
            <w:pPr>
              <w:ind w:left="540"/>
              <w:spacing w:after="0"/>
              <w:rPr>
                <w:sz w:val="20"/>
                <w:szCs w:val="20"/>
                <w:color w:val="auto"/>
              </w:rPr>
            </w:pPr>
            <w:r>
              <w:rPr>
                <w:rFonts w:ascii="Arial" w:cs="Arial" w:eastAsia="Arial" w:hAnsi="Arial"/>
                <w:sz w:val="14"/>
                <w:szCs w:val="14"/>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48"/>
        </w:trPr>
        <w:tc>
          <w:tcPr>
            <w:tcW w:w="4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454"/>
        </w:trPr>
        <w:tc>
          <w:tcPr>
            <w:tcW w:w="4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6"/>
                <w:szCs w:val="16"/>
                <w:b w:val="1"/>
                <w:bCs w:val="1"/>
                <w:color w:val="auto"/>
                <w:w w:val="89"/>
              </w:rPr>
              <w:t>Nine months ended September 30, 2020</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7"/>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74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Conventional Generation</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24"/>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48"/>
        </w:trPr>
        <w:tc>
          <w:tcPr>
            <w:tcW w:w="4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616"/>
        </w:trPr>
        <w:tc>
          <w:tcPr>
            <w:tcW w:w="4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6"/>
                <w:szCs w:val="16"/>
                <w:b w:val="1"/>
                <w:bCs w:val="1"/>
                <w:color w:val="auto"/>
                <w:w w:val="89"/>
              </w:rPr>
              <w:t>Three months ended September 30, 2019</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7"/>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74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Conventional Generation</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24"/>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48"/>
        </w:trPr>
        <w:tc>
          <w:tcPr>
            <w:tcW w:w="4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Nine months ended September 30, 2019</w:t>
            </w:r>
          </w:p>
        </w:tc>
        <w:tc>
          <w:tcPr>
            <w:tcW w:w="1440" w:type="dxa"/>
            <w:vAlign w:val="bottom"/>
            <w:tcBorders>
              <w:bottom w:val="single" w:sz="8" w:color="auto"/>
            </w:tcBorders>
          </w:tcPr>
          <w:p>
            <w:pPr>
              <w:spacing w:after="0"/>
              <w:rPr>
                <w:sz w:val="18"/>
                <w:szCs w:val="18"/>
                <w:color w:val="auto"/>
              </w:rPr>
            </w:pPr>
          </w:p>
        </w:tc>
      </w:tr>
      <w:tr>
        <w:trPr>
          <w:trHeight w:val="186"/>
        </w:trPr>
        <w:tc>
          <w:tcPr>
            <w:tcW w:w="45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ind w:left="160"/>
              <w:spacing w:after="0"/>
              <w:rPr>
                <w:sz w:val="20"/>
                <w:szCs w:val="20"/>
                <w:color w:val="auto"/>
              </w:rPr>
            </w:pPr>
            <w:r>
              <w:rPr>
                <w:rFonts w:ascii="Arial" w:cs="Arial" w:eastAsia="Arial" w:hAnsi="Arial"/>
                <w:sz w:val="14"/>
                <w:szCs w:val="14"/>
                <w:b w:val="1"/>
                <w:bCs w:val="1"/>
                <w:color w:val="auto"/>
                <w:w w:val="99"/>
              </w:rPr>
              <w:t>Conventional Generation</w:t>
            </w:r>
          </w:p>
        </w:tc>
        <w:tc>
          <w:tcPr>
            <w:tcW w:w="1800" w:type="dxa"/>
            <w:vAlign w:val="bottom"/>
          </w:tcPr>
          <w:p>
            <w:pPr>
              <w:ind w:left="580"/>
              <w:spacing w:after="0"/>
              <w:rPr>
                <w:sz w:val="20"/>
                <w:szCs w:val="20"/>
                <w:color w:val="auto"/>
              </w:rPr>
            </w:pPr>
            <w:r>
              <w:rPr>
                <w:rFonts w:ascii="Arial" w:cs="Arial" w:eastAsia="Arial" w:hAnsi="Arial"/>
                <w:sz w:val="14"/>
                <w:szCs w:val="14"/>
                <w:b w:val="1"/>
                <w:bCs w:val="1"/>
                <w:color w:val="auto"/>
              </w:rPr>
              <w:t>Renewables</w:t>
            </w:r>
          </w:p>
        </w:tc>
        <w:tc>
          <w:tcPr>
            <w:tcW w:w="1600" w:type="dxa"/>
            <w:vAlign w:val="bottom"/>
          </w:tcPr>
          <w:p>
            <w:pPr>
              <w:ind w:left="500"/>
              <w:spacing w:after="0"/>
              <w:rPr>
                <w:sz w:val="20"/>
                <w:szCs w:val="20"/>
                <w:color w:val="auto"/>
              </w:rPr>
            </w:pPr>
            <w:r>
              <w:rPr>
                <w:rFonts w:ascii="Arial" w:cs="Arial" w:eastAsia="Arial" w:hAnsi="Arial"/>
                <w:sz w:val="14"/>
                <w:szCs w:val="14"/>
                <w:b w:val="1"/>
                <w:bCs w:val="1"/>
                <w:color w:val="auto"/>
              </w:rPr>
              <w:t>Thermal</w:t>
            </w:r>
          </w:p>
        </w:tc>
        <w:tc>
          <w:tcPr>
            <w:tcW w:w="1440" w:type="dxa"/>
            <w:vAlign w:val="bottom"/>
          </w:tcPr>
          <w:p>
            <w:pPr>
              <w:ind w:left="560"/>
              <w:spacing w:after="0"/>
              <w:rPr>
                <w:sz w:val="20"/>
                <w:szCs w:val="20"/>
                <w:color w:val="auto"/>
              </w:rPr>
            </w:pPr>
            <w:r>
              <w:rPr>
                <w:rFonts w:ascii="Arial" w:cs="Arial" w:eastAsia="Arial" w:hAnsi="Arial"/>
                <w:sz w:val="14"/>
                <w:szCs w:val="14"/>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right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Capacity revenue</w:t>
            </w: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revenue</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8060" w:type="dxa"/>
            <w:vAlign w:val="bottom"/>
            <w:gridSpan w:val="8"/>
          </w:tcPr>
          <w:p>
            <w:pPr>
              <w:spacing w:after="0"/>
              <w:rPr>
                <w:sz w:val="20"/>
                <w:szCs w:val="20"/>
                <w:color w:val="auto"/>
              </w:rPr>
            </w:pPr>
            <w:r>
              <w:rPr>
                <w:rFonts w:ascii="Arial" w:cs="Arial" w:eastAsia="Arial" w:hAnsi="Arial"/>
                <w:sz w:val="18"/>
                <w:szCs w:val="18"/>
                <w:color w:val="auto"/>
                <w:w w:val="91"/>
              </w:rPr>
              <w:t>Minimum future rent payments under the operating leases for the remaining periods as of September 30, 2020.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52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520" w:type="dxa"/>
            <w:vAlign w:val="bottom"/>
          </w:tcPr>
          <w:p>
            <w:pPr>
              <w:spacing w:after="0"/>
              <w:rPr>
                <w:sz w:val="20"/>
                <w:szCs w:val="20"/>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8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1,605</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3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lease payments</w:t>
            </w:r>
          </w:p>
        </w:tc>
        <w:tc>
          <w:tcPr>
            <w:tcW w:w="8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80" w:type="dxa"/>
            <w:vAlign w:val="bottom"/>
            <w:gridSpan w:val="6"/>
            <w:vMerge w:val="restart"/>
          </w:tcPr>
          <w:p>
            <w:pPr>
              <w:spacing w:after="0"/>
              <w:rPr>
                <w:sz w:val="20"/>
                <w:szCs w:val="20"/>
                <w:color w:val="auto"/>
              </w:rPr>
            </w:pPr>
            <w:r>
              <w:rPr>
                <w:rFonts w:ascii="Arial" w:cs="Arial" w:eastAsia="Arial" w:hAnsi="Arial"/>
                <w:sz w:val="18"/>
                <w:szCs w:val="18"/>
                <w:color w:val="auto"/>
                <w:w w:val="96"/>
              </w:rPr>
              <w:t>Property, plant and equipment, net related to the Company’s operating leases were as follows:</w:t>
            </w: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7280" w:type="dxa"/>
            <w:vAlign w:val="bottom"/>
            <w:gridSpan w:val="6"/>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5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32"/>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8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6,975</w:t>
            </w: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6,942</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8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1"/>
              </w:rPr>
              <w:t>(1,854)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property, plant and equipment</w:t>
            </w:r>
          </w:p>
        </w:tc>
        <w:tc>
          <w:tcPr>
            <w:tcW w:w="8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5,121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5,293</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i w:val="1"/>
          <w:iCs w:val="1"/>
          <w:color w:val="auto"/>
        </w:rPr>
        <w:t>Asset Impairments</w:t>
      </w:r>
    </w:p>
    <w:p>
      <w:pPr>
        <w:spacing w:after="0" w:line="25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recorded an impairment loss of $19 million related to a facility in the Thermal segment during the second quarter of 2019.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jc w:val="right"/>
        <w:ind w:right="3160"/>
        <w:spacing w:after="0" w:line="495" w:lineRule="auto"/>
        <w:rPr>
          <w:sz w:val="20"/>
          <w:szCs w:val="20"/>
          <w:color w:val="auto"/>
        </w:rPr>
      </w:pPr>
      <w:r>
        <w:rPr>
          <w:rFonts w:ascii="Arial" w:cs="Arial" w:eastAsia="Arial" w:hAnsi="Arial"/>
          <w:sz w:val="16"/>
          <w:szCs w:val="16"/>
          <w:b w:val="1"/>
          <w:bCs w:val="1"/>
          <w:color w:val="auto"/>
        </w:rPr>
        <w:t xml:space="preserve">ITEM 2 — Management's Discussion and Analysis of Financial Condition and the Results of Operations </w:t>
      </w:r>
      <w:r>
        <w:rPr>
          <w:rFonts w:ascii="Arial" w:cs="Arial" w:eastAsia="Arial" w:hAnsi="Arial"/>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As you read this discussion and analysis, refer to the Company's Consolidated Financial Statements to this Form 10-Q, which present the results of operations for the three and nine months ended September 30, 2020 and 2019. Also refer to the </w:t>
      </w:r>
      <w:r>
        <w:rPr>
          <w:rFonts w:ascii="Arial" w:cs="Arial" w:eastAsia="Arial" w:hAnsi="Arial"/>
          <w:sz w:val="18"/>
          <w:szCs w:val="18"/>
          <w:color w:val="231F20"/>
        </w:rPr>
        <w:t>Company's</w:t>
      </w:r>
      <w:r>
        <w:rPr>
          <w:rFonts w:ascii="Arial" w:cs="Arial" w:eastAsia="Arial" w:hAnsi="Arial"/>
          <w:sz w:val="18"/>
          <w:szCs w:val="18"/>
          <w:color w:val="auto"/>
        </w:rPr>
        <w:t xml:space="preserve"> 2019 Form 10-K, which includes detailed discussions of various items impacting the Company's business, results of operations and financial condition.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400" w:hanging="320"/>
        <w:spacing w:after="0" w:line="277" w:lineRule="auto"/>
        <w:tabs>
          <w:tab w:leader="none" w:pos="1295"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63" w:lineRule="exact"/>
        <w:rPr>
          <w:rFonts w:ascii="Arial" w:cs="Arial" w:eastAsia="Arial" w:hAnsi="Arial"/>
          <w:sz w:val="18"/>
          <w:szCs w:val="18"/>
          <w:color w:val="231F20"/>
        </w:rPr>
      </w:pPr>
    </w:p>
    <w:p>
      <w:pPr>
        <w:ind w:left="1300" w:right="880" w:hanging="320"/>
        <w:spacing w:after="0" w:line="277" w:lineRule="auto"/>
        <w:tabs>
          <w:tab w:leader="none" w:pos="1295"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231F20"/>
        </w:rPr>
      </w:pPr>
    </w:p>
    <w:p>
      <w:pPr>
        <w:ind w:left="1300" w:right="200" w:hanging="320"/>
        <w:spacing w:after="0" w:line="277" w:lineRule="auto"/>
        <w:tabs>
          <w:tab w:leader="none" w:pos="1295"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8" w:lineRule="exact"/>
        <w:rPr>
          <w:rFonts w:ascii="Arial" w:cs="Arial" w:eastAsia="Arial" w:hAnsi="Arial"/>
          <w:sz w:val="18"/>
          <w:szCs w:val="18"/>
          <w:color w:val="231F20"/>
        </w:rPr>
      </w:pPr>
    </w:p>
    <w:p>
      <w:pPr>
        <w:ind w:left="1300" w:right="760" w:hanging="320"/>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the energy and transport sectors, and Global Infrastructure Partners III is its third equity fund. The Company is sponsored by GIP through GIP's portfolio company, CEG.</w:t>
      </w:r>
    </w:p>
    <w:p>
      <w:pPr>
        <w:spacing w:after="0" w:line="19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Company’s environmentally-sound asset portfolio includes over 6,201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Company also owns </w:t>
      </w:r>
      <w:r>
        <w:rPr>
          <w:rFonts w:ascii="Arial" w:cs="Arial" w:eastAsia="Arial" w:hAnsi="Arial"/>
          <w:sz w:val="18"/>
          <w:szCs w:val="18"/>
          <w:color w:val="231F20"/>
        </w:rPr>
        <w:t>thermal infrastructure assets with an aggregate steam and chilled water capacity of 1,456 net MWt and electric generation</w:t>
      </w:r>
      <w:r>
        <w:rPr>
          <w:rFonts w:ascii="Arial" w:cs="Arial" w:eastAsia="Arial" w:hAnsi="Arial"/>
          <w:sz w:val="18"/>
          <w:szCs w:val="18"/>
          <w:color w:val="auto"/>
        </w:rPr>
        <w:t xml:space="preserve"> </w:t>
      </w:r>
      <w:r>
        <w:rPr>
          <w:rFonts w:ascii="Arial" w:cs="Arial" w:eastAsia="Arial" w:hAnsi="Arial"/>
          <w:sz w:val="18"/>
          <w:szCs w:val="18"/>
          <w:color w:val="231F20"/>
        </w:rPr>
        <w:t xml:space="preserve">capacity of 39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 </w:t>
      </w:r>
      <w:r>
        <w:rPr>
          <w:rFonts w:ascii="Arial" w:cs="Arial" w:eastAsia="Arial" w:hAnsi="Arial"/>
          <w:sz w:val="18"/>
          <w:szCs w:val="18"/>
          <w:color w:val="000000"/>
        </w:rPr>
        <w:t>The weighted average remaining contract duration of these offtake agreements was approximately 13 years</w:t>
      </w:r>
      <w:r>
        <w:rPr>
          <w:rFonts w:ascii="Arial" w:cs="Arial" w:eastAsia="Arial" w:hAnsi="Arial"/>
          <w:sz w:val="18"/>
          <w:szCs w:val="18"/>
          <w:color w:val="231F20"/>
        </w:rPr>
        <w:t xml:space="preserve"> as of September 30, 2020 </w:t>
      </w:r>
      <w:r>
        <w:rPr>
          <w:rFonts w:ascii="Arial" w:cs="Arial" w:eastAsia="Arial" w:hAnsi="Arial"/>
          <w:sz w:val="18"/>
          <w:szCs w:val="18"/>
          <w:color w:val="000000"/>
        </w:rPr>
        <w:t>based on CAFD</w:t>
      </w:r>
      <w:r>
        <w:rPr>
          <w:rFonts w:ascii="Arial" w:cs="Arial" w:eastAsia="Arial" w:hAnsi="Arial"/>
          <w:sz w:val="18"/>
          <w:szCs w:val="18"/>
          <w:color w:val="231F20"/>
        </w:rPr>
        <w: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2020, the Company's operating assets are comprised of the following projects: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Net Capacity</w:t>
            </w:r>
          </w:p>
        </w:tc>
        <w:tc>
          <w:tcPr>
            <w:tcW w:w="120" w:type="dxa"/>
            <w:vAlign w:val="bottom"/>
          </w:tcPr>
          <w:p>
            <w:pPr>
              <w:spacing w:after="0"/>
              <w:rPr>
                <w:sz w:val="14"/>
                <w:szCs w:val="14"/>
                <w:color w:val="auto"/>
              </w:rPr>
            </w:pPr>
          </w:p>
        </w:tc>
        <w:tc>
          <w:tcPr>
            <w:tcW w:w="3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Offtake Counterparty</w:t>
            </w:r>
          </w:p>
        </w:tc>
        <w:tc>
          <w:tcPr>
            <w:tcW w:w="10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9"/>
        </w:trPr>
        <w:tc>
          <w:tcPr>
            <w:tcW w:w="4360" w:type="dxa"/>
            <w:vAlign w:val="bottom"/>
            <w:gridSpan w:val="2"/>
            <w:vMerge w:val="continue"/>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Ownership</w:t>
            </w:r>
          </w:p>
        </w:tc>
        <w:tc>
          <w:tcPr>
            <w:tcW w:w="1040" w:type="dxa"/>
            <w:vAlign w:val="bottom"/>
          </w:tcPr>
          <w:p>
            <w:pPr>
              <w:jc w:val="right"/>
              <w:ind w:right="208"/>
              <w:spacing w:after="0" w:line="189"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20" w:type="dxa"/>
            <w:vAlign w:val="bottom"/>
          </w:tcPr>
          <w:p>
            <w:pPr>
              <w:spacing w:after="0"/>
              <w:rPr>
                <w:sz w:val="16"/>
                <w:szCs w:val="16"/>
                <w:color w:val="auto"/>
              </w:rPr>
            </w:pPr>
          </w:p>
        </w:tc>
        <w:tc>
          <w:tcPr>
            <w:tcW w:w="33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Conventional</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Carlsbad</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San Diego Gas &amp; Electric</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El Segundo</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GenConn Devon</w:t>
            </w:r>
          </w:p>
        </w:tc>
        <w:tc>
          <w:tcPr>
            <w:tcW w:w="1180" w:type="dxa"/>
            <w:vAlign w:val="bottom"/>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Connecticut Light &amp; Power</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GenConn Middletown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Connecticut Light &amp; Power</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Marsh Landing</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Walnut Creek</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2,472</w:t>
            </w:r>
          </w:p>
        </w:tc>
        <w:tc>
          <w:tcPr>
            <w:tcW w:w="120" w:type="dxa"/>
            <w:vAlign w:val="bottom"/>
            <w:tcBorders>
              <w:bottom w:val="single" w:sz="8" w:color="CCEEFF"/>
            </w:tcBorders>
          </w:tcPr>
          <w:p>
            <w:pPr>
              <w:spacing w:after="0"/>
              <w:rPr>
                <w:sz w:val="15"/>
                <w:szCs w:val="15"/>
                <w:color w:val="auto"/>
              </w:rPr>
            </w:pPr>
          </w:p>
        </w:tc>
        <w:tc>
          <w:tcPr>
            <w:tcW w:w="3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Agua Caliente</w:t>
            </w:r>
          </w:p>
        </w:tc>
        <w:tc>
          <w:tcPr>
            <w:tcW w:w="1180" w:type="dxa"/>
            <w:vAlign w:val="bottom"/>
          </w:tcPr>
          <w:p>
            <w:pPr>
              <w:jc w:val="right"/>
              <w:spacing w:after="0"/>
              <w:rPr>
                <w:sz w:val="20"/>
                <w:szCs w:val="20"/>
                <w:color w:val="auto"/>
              </w:rPr>
            </w:pPr>
            <w:r>
              <w:rPr>
                <w:rFonts w:ascii="Arial" w:cs="Arial" w:eastAsia="Arial" w:hAnsi="Arial"/>
                <w:sz w:val="14"/>
                <w:szCs w:val="14"/>
                <w:color w:val="auto"/>
              </w:rPr>
              <w:t>16 %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Alpine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Avenal</w:t>
            </w:r>
          </w:p>
        </w:tc>
        <w:tc>
          <w:tcPr>
            <w:tcW w:w="1180" w:type="dxa"/>
            <w:vAlign w:val="bottom"/>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Avra Valley</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Tucson Electric Power</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Blythe</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Borrego</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San Diego Gas and Electric</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City of Georgetown, TX</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2043</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CVSR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Desert Sunlight 250</w:t>
            </w:r>
          </w:p>
        </w:tc>
        <w:tc>
          <w:tcPr>
            <w:tcW w:w="1180" w:type="dxa"/>
            <w:vAlign w:val="bottom"/>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2034</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Desert Sunlight 300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Kansas South</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Kawailoa </w:t>
            </w:r>
            <w:r>
              <w:rPr>
                <w:rFonts w:ascii="Arial" w:cs="Arial" w:eastAsia="Arial" w:hAnsi="Arial"/>
                <w:sz w:val="18"/>
                <w:szCs w:val="18"/>
                <w:color w:val="auto"/>
                <w:vertAlign w:val="superscript"/>
              </w:rPr>
              <w:t>(b) .</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Hawaiian Electric Company</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95 %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Hawaiian Electric Company</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Roadrunner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TA High Desert</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40"/>
              <w:spacing w:after="0" w:line="193" w:lineRule="exact"/>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18"/>
                <w:szCs w:val="18"/>
                <w:color w:val="auto"/>
                <w:vertAlign w:val="superscript"/>
              </w:rPr>
              <w:t>(b) (e)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PacifiCorp</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179"/>
        </w:trPr>
        <w:tc>
          <w:tcPr>
            <w:tcW w:w="4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w:t>
            </w:r>
          </w:p>
        </w:tc>
        <w:tc>
          <w:tcPr>
            <w:tcW w:w="120" w:type="dxa"/>
            <w:vAlign w:val="bottom"/>
            <w:tcBorders>
              <w:bottom w:val="single" w:sz="8" w:color="CCEEFF"/>
            </w:tcBorders>
          </w:tcPr>
          <w:p>
            <w:pPr>
              <w:spacing w:after="0"/>
              <w:rPr>
                <w:sz w:val="15"/>
                <w:szCs w:val="15"/>
                <w:color w:val="auto"/>
              </w:rPr>
            </w:pPr>
          </w:p>
        </w:tc>
        <w:tc>
          <w:tcPr>
            <w:tcW w:w="3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Apple I LLC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33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AZ DG Solar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Clearway Chestnut Projects</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99 %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33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2032 - 2034</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4"/>
                <w:szCs w:val="14"/>
                <w:color w:val="auto"/>
              </w:rPr>
              <w:t>Renew Solar CS4 Projects</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2029 - 2044</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SPP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33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2026 - 2037</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DG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2023 - 2039</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Net Capacity</w:t>
            </w:r>
          </w:p>
        </w:tc>
        <w:tc>
          <w:tcPr>
            <w:tcW w:w="120" w:type="dxa"/>
            <w:vAlign w:val="bottom"/>
          </w:tcPr>
          <w:p>
            <w:pPr>
              <w:spacing w:after="0"/>
              <w:rPr>
                <w:sz w:val="14"/>
                <w:szCs w:val="14"/>
                <w:color w:val="auto"/>
              </w:rPr>
            </w:pPr>
          </w:p>
        </w:tc>
        <w:tc>
          <w:tcPr>
            <w:tcW w:w="3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Offtake Counterparty</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9"/>
        </w:trPr>
        <w:tc>
          <w:tcPr>
            <w:tcW w:w="4360" w:type="dxa"/>
            <w:vAlign w:val="bottom"/>
            <w:gridSpan w:val="2"/>
            <w:vMerge w:val="continue"/>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Ownership</w:t>
            </w:r>
          </w:p>
        </w:tc>
        <w:tc>
          <w:tcPr>
            <w:tcW w:w="1040" w:type="dxa"/>
            <w:vAlign w:val="bottom"/>
          </w:tcPr>
          <w:p>
            <w:pPr>
              <w:jc w:val="right"/>
              <w:ind w:right="208"/>
              <w:spacing w:after="0" w:line="189"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20" w:type="dxa"/>
            <w:vAlign w:val="bottom"/>
          </w:tcPr>
          <w:p>
            <w:pPr>
              <w:spacing w:after="0"/>
              <w:rPr>
                <w:sz w:val="16"/>
                <w:szCs w:val="16"/>
                <w:color w:val="auto"/>
              </w:rPr>
            </w:pPr>
          </w:p>
        </w:tc>
        <w:tc>
          <w:tcPr>
            <w:tcW w:w="33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Wind</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Alta I</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Alta 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Alta III</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Alta IV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Alta V</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Western Farmers Electric Co-operative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Crosswinds</w:t>
            </w:r>
          </w:p>
        </w:tc>
        <w:tc>
          <w:tcPr>
            <w:tcW w:w="1180" w:type="dxa"/>
            <w:vAlign w:val="bottom"/>
          </w:tcPr>
          <w:p>
            <w:pPr>
              <w:jc w:val="right"/>
              <w:spacing w:after="0"/>
              <w:rPr>
                <w:sz w:val="20"/>
                <w:szCs w:val="20"/>
                <w:color w:val="auto"/>
              </w:rPr>
            </w:pPr>
            <w:r>
              <w:rPr>
                <w:rFonts w:ascii="Arial" w:cs="Arial" w:eastAsia="Arial" w:hAnsi="Arial"/>
                <w:sz w:val="14"/>
                <w:szCs w:val="14"/>
                <w:color w:val="auto"/>
              </w:rPr>
              <w:t>99 %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Corn Belt Power Cooperative</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Elkhorn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66.7 %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Nebraska Public Power District</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Forward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Constellation NewEnergy, Inc.</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Goat Wind</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Dow Pipeline Company</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Hardin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Interstate Power and Light Company</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Laredo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Nebraska Public Power District</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Lookout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Maryland Electric Cooperative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Mesquite Star (b)</w:t>
            </w:r>
          </w:p>
        </w:tc>
        <w:tc>
          <w:tcPr>
            <w:tcW w:w="1180" w:type="dxa"/>
            <w:vAlign w:val="bottom"/>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6"/>
                <w:szCs w:val="16"/>
                <w:color w:val="auto"/>
              </w:rPr>
            </w:pPr>
          </w:p>
        </w:tc>
        <w:tc>
          <w:tcPr>
            <w:tcW w:w="33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2032 - 2035</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Odin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35"/>
        </w:trPr>
        <w:tc>
          <w:tcPr>
            <w:tcW w:w="4360" w:type="dxa"/>
            <w:vAlign w:val="bottom"/>
            <w:gridSpan w:val="2"/>
            <w:vMerge w:val="restart"/>
          </w:tcPr>
          <w:p>
            <w:pPr>
              <w:ind w:left="220"/>
              <w:spacing w:after="0"/>
              <w:rPr>
                <w:sz w:val="20"/>
                <w:szCs w:val="20"/>
                <w:color w:val="auto"/>
              </w:rPr>
            </w:pPr>
            <w:r>
              <w:rPr>
                <w:rFonts w:ascii="Arial" w:cs="Arial" w:eastAsia="Arial" w:hAnsi="Arial"/>
                <w:sz w:val="14"/>
                <w:szCs w:val="14"/>
                <w:color w:val="auto"/>
              </w:rPr>
              <w:t>Pinnacle</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1"/>
                <w:szCs w:val="11"/>
                <w:color w:val="auto"/>
              </w:rPr>
            </w:pPr>
          </w:p>
        </w:tc>
        <w:tc>
          <w:tcPr>
            <w:tcW w:w="33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3"/>
              </w:rPr>
              <w:t>Maryland Department of General Services and</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6"/>
        </w:trPr>
        <w:tc>
          <w:tcPr>
            <w:tcW w:w="436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University System of Maryland</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San Juan Mesa</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Southwestern Public Service Company</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Sleeping Bear</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Public Service Company of Oklahoma</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South Trent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AEP Energy Partners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Spanish Fork</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PacifiCorp</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Spring Canyon II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33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Taloga</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Oklahoma Gas &amp; Electric</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CCEEFF"/>
            </w:tcBorders>
            <w:gridSpan w:val="2"/>
          </w:tcPr>
          <w:p>
            <w:pPr>
              <w:ind w:left="220"/>
              <w:spacing w:after="0" w:line="189" w:lineRule="exact"/>
              <w:rPr>
                <w:sz w:val="20"/>
                <w:szCs w:val="20"/>
                <w:color w:val="auto"/>
              </w:rPr>
            </w:pPr>
            <w:r>
              <w:rPr>
                <w:rFonts w:ascii="Arial" w:cs="Arial" w:eastAsia="Arial" w:hAnsi="Arial"/>
                <w:sz w:val="14"/>
                <w:szCs w:val="14"/>
                <w:color w:val="auto"/>
              </w:rPr>
              <w:t xml:space="preserve">Wildorado </w:t>
            </w:r>
            <w:r>
              <w:rPr>
                <w:rFonts w:ascii="Arial" w:cs="Arial" w:eastAsia="Arial" w:hAnsi="Arial"/>
                <w:sz w:val="18"/>
                <w:szCs w:val="18"/>
                <w:color w:val="auto"/>
                <w:vertAlign w:val="superscript"/>
              </w:rPr>
              <w:t>(b)</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3"/>
              </w:rPr>
              <w:t>Southwestern Public Service Company</w:t>
            </w: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w:t>
            </w:r>
          </w:p>
        </w:tc>
        <w:tc>
          <w:tcPr>
            <w:tcW w:w="1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Thermal generation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199"/>
        </w:trPr>
        <w:tc>
          <w:tcPr>
            <w:tcW w:w="4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60" w:type="dxa"/>
            <w:vAlign w:val="bottom"/>
            <w:gridSpan w:val="2"/>
            <w:shd w:val="clear" w:color="auto" w:fill="CCEEFF"/>
          </w:tcPr>
          <w:p>
            <w:pPr>
              <w:ind w:left="120"/>
              <w:spacing w:after="0" w:line="182" w:lineRule="exact"/>
              <w:rPr>
                <w:sz w:val="20"/>
                <w:szCs w:val="20"/>
                <w:color w:val="auto"/>
              </w:rPr>
            </w:pPr>
            <w:r>
              <w:rPr>
                <w:rFonts w:ascii="Arial" w:cs="Arial" w:eastAsia="Arial" w:hAnsi="Arial"/>
                <w:sz w:val="14"/>
                <w:szCs w:val="14"/>
                <w:color w:val="auto"/>
              </w:rPr>
              <w:t xml:space="preserve">Total net generation capacity </w:t>
            </w:r>
            <w:r>
              <w:rPr>
                <w:rFonts w:ascii="Arial" w:cs="Arial" w:eastAsia="Arial" w:hAnsi="Arial"/>
                <w:sz w:val="18"/>
                <w:szCs w:val="18"/>
                <w:color w:val="auto"/>
                <w:vertAlign w:val="superscript"/>
              </w:rPr>
              <w:t>(c)</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6,240</w:t>
            </w:r>
          </w:p>
        </w:tc>
        <w:tc>
          <w:tcPr>
            <w:tcW w:w="1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4"/>
                <w:szCs w:val="14"/>
                <w:color w:val="auto"/>
              </w:rPr>
              <w:t>Thermal equivalent MWt</w:t>
            </w:r>
            <w:r>
              <w:rPr>
                <w:rFonts w:ascii="Arial" w:cs="Arial" w:eastAsia="Arial" w:hAnsi="Arial"/>
                <w:sz w:val="18"/>
                <w:szCs w:val="18"/>
                <w:color w:val="auto"/>
                <w:vertAlign w:val="superscript"/>
              </w:rPr>
              <w:t>(d)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97.1 %</w:t>
            </w:r>
          </w:p>
        </w:tc>
        <w:tc>
          <w:tcPr>
            <w:tcW w:w="1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12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798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Net capacity represents the maximum, or rated, generating capacity of the facility multiplied by the Company's percentage ownership in the facility as of September 30, 2020</w:t>
      </w:r>
    </w:p>
    <w:p>
      <w:pPr>
        <w:ind w:firstLine="8"/>
        <w:spacing w:after="0" w:line="247" w:lineRule="auto"/>
        <w:tabs>
          <w:tab w:leader="none" w:pos="145"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 xml:space="preserve">Projects are part of tax equity arrangements and ownership percentage is based on cash to be distributed, as further described in Item 1 — Note 4, </w:t>
      </w:r>
      <w:r>
        <w:rPr>
          <w:rFonts w:ascii="Arial" w:cs="Arial" w:eastAsia="Arial" w:hAnsi="Arial"/>
          <w:sz w:val="12"/>
          <w:szCs w:val="12"/>
          <w:i w:val="1"/>
          <w:iCs w:val="1"/>
          <w:color w:val="auto"/>
        </w:rPr>
        <w:t>Investments Accounted for by the Equity</w:t>
      </w:r>
      <w:r>
        <w:rPr>
          <w:rFonts w:ascii="Arial" w:cs="Arial" w:eastAsia="Arial" w:hAnsi="Arial"/>
          <w:sz w:val="12"/>
          <w:szCs w:val="12"/>
          <w:color w:val="auto"/>
        </w:rPr>
        <w:t xml:space="preserve"> </w:t>
      </w:r>
      <w:r>
        <w:rPr>
          <w:rFonts w:ascii="Arial" w:cs="Arial" w:eastAsia="Arial" w:hAnsi="Arial"/>
          <w:sz w:val="12"/>
          <w:szCs w:val="12"/>
          <w:i w:val="1"/>
          <w:iCs w:val="1"/>
          <w:color w:val="auto"/>
        </w:rPr>
        <w:t>Method and Variable Interest Entities</w:t>
      </w:r>
    </w:p>
    <w:p>
      <w:pPr>
        <w:ind w:firstLine="8"/>
        <w:spacing w:after="0" w:line="245" w:lineRule="auto"/>
        <w:tabs>
          <w:tab w:leader="none" w:pos="164" w:val="left"/>
        </w:tabs>
        <w:numPr>
          <w:ilvl w:val="0"/>
          <w:numId w:val="26"/>
        </w:numPr>
        <w:rPr>
          <w:rFonts w:ascii="Arial" w:cs="Arial" w:eastAsia="Arial" w:hAnsi="Arial"/>
          <w:sz w:val="9"/>
          <w:szCs w:val="9"/>
          <w:color w:val="auto"/>
        </w:rPr>
      </w:pPr>
      <w:r>
        <w:rPr>
          <w:rFonts w:ascii="Arial" w:cs="Arial" w:eastAsia="Arial" w:hAnsi="Arial"/>
          <w:sz w:val="14"/>
          <w:szCs w:val="14"/>
          <w:color w:val="auto"/>
        </w:rPr>
        <w:t>Clearway Energy, Inc.'s total generation capacity is net of 6 MWs for noncontrolling interest for Spring Canyon II and III. Clearway Energy, Inc.'s generation capacity including this noncontrolling interest was 6,246 MWs</w:t>
      </w:r>
    </w:p>
    <w:p>
      <w:pPr>
        <w:ind w:firstLine="8"/>
        <w:spacing w:after="0" w:line="255" w:lineRule="auto"/>
        <w:tabs>
          <w:tab w:leader="none" w:pos="158" w:val="left"/>
        </w:tabs>
        <w:numPr>
          <w:ilvl w:val="0"/>
          <w:numId w:val="26"/>
        </w:numPr>
        <w:rPr>
          <w:rFonts w:ascii="Arial" w:cs="Arial" w:eastAsia="Arial" w:hAnsi="Arial"/>
          <w:sz w:val="9"/>
          <w:szCs w:val="9"/>
          <w:color w:val="auto"/>
        </w:rPr>
      </w:pPr>
      <w:r>
        <w:rPr>
          <w:rFonts w:ascii="Arial" w:cs="Arial" w:eastAsia="Arial" w:hAnsi="Arial"/>
          <w:sz w:val="14"/>
          <w:szCs w:val="14"/>
          <w:color w:val="auto"/>
        </w:rPr>
        <w:t>For thermal energy, net capacity represents MWt for steam or chilled water and excludes 19 MWt available under the right-to-use provisions contained in agreements between one of the Company's thermal facilities and certain customers</w:t>
      </w:r>
    </w:p>
    <w:p>
      <w:pPr>
        <w:spacing w:after="0" w:line="3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Additionally, the Company is party to partnerships the purpose of which is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165 MW based on cash to be distributed pursuant to the partnership agreements as of September 30, 2020. For further discussions, see Item 1 —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of this Form 10-Q and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included in the Company's 2019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 Gas and Electric Company Bankruptcy Update</w:t>
      </w:r>
    </w:p>
    <w:p>
      <w:pPr>
        <w:spacing w:after="0" w:line="171" w:lineRule="exact"/>
        <w:rPr>
          <w:sz w:val="20"/>
          <w:szCs w:val="20"/>
          <w:color w:val="auto"/>
        </w:rPr>
      </w:pPr>
    </w:p>
    <w:p>
      <w:pPr>
        <w:jc w:val="both"/>
        <w:ind w:left="340" w:hanging="332"/>
        <w:spacing w:after="0" w:line="255" w:lineRule="auto"/>
        <w:tabs>
          <w:tab w:leader="none" w:pos="3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July 1, 2020, PG&amp;E emerged from bankruptcy and assumed the Company's contracts without modification. In addition, PG&amp;E paid to the Company's applicable projects the portion of the invoices corresponding to the electricity delivered for the period between January 1 and January 28, 2019. These invoices related to the pre-petition period services and any payment therefore required the approval by the Bankruptcy Court. During the three months ended September 30, 2020, the Company entered into waiver agreements with the lenders to the respective financing agreements related to the PG&amp;E Bankruptcy and all previously restricted distributions were paid out of distribution reserve accounts at the Company's subsidiaries affected by the PG&amp;E Bankruptcy as of October 31,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left="340" w:hanging="332"/>
        <w:spacing w:after="0" w:line="25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On November 2, 2020, DG-CS Master Borrower LLC, a wholly owned subsidiary of Clearway Energy Operating LLC, entered into a financing arrangement, which included the issuance of a $467 million term loan, as well as $30 million in letters of credit in support of debt service. The notes bear interest at 3.51% and mature on September 30, 2040. The proceeds from the loan were utilized to repay existing project-level debt outstanding for Chestnut Borrower LLC, Renew Solar CS 4 Borrower LLC, DGPV 4 Borrower LLC and Puma Class B LLC of $107 million, $102 million, $92 million and $73 million respectively and unwind related interest rate swaps in the amount of $42 million. The remaining proceeds were utilized to pay related fees and expenses and in part to acquire the Class B membership interests in the DGPV Holdco Entities and an SREC contract from CEG as further described in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Concurrent with the refinancing, the projects were transferred under DG-CS Master Borrower LLC and the obligations under the financing arrangement are supported by the Company's interest in the projects.</w:t>
      </w:r>
    </w:p>
    <w:p>
      <w:pPr>
        <w:spacing w:after="0" w:line="142" w:lineRule="exact"/>
        <w:rPr>
          <w:rFonts w:ascii="Arial" w:cs="Arial" w:eastAsia="Arial" w:hAnsi="Arial"/>
          <w:sz w:val="18"/>
          <w:szCs w:val="18"/>
          <w:color w:val="auto"/>
        </w:rPr>
      </w:pPr>
    </w:p>
    <w:p>
      <w:pPr>
        <w:jc w:val="both"/>
        <w:ind w:left="340" w:hanging="332"/>
        <w:spacing w:after="0" w:line="25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September 30, 2020, NIMH Solar LLC, a wholly-owned subsidiary of Clearway Energy Operating LLC, entered into a financing arrangement, which included the issuance of $193 million under a term loan facility, as well as $16 million in letters of credit in support of debt service and project obligations. The term loan bears annual interest rate of LIBOR, plus an applicable margin, which is 2.00% per annum through the third party anniversary of closing, and 2.125% per annum thereafter through the maturity date in September 2024. The term loans mature on September 30, 2024. The proceeds from the term loan were utilized to repay existing project-level debt outstanding for Alpine, Blythe and Roadrunner of $117 million, $14 million and $27 million, respectively. The remaining proceeds were utilized to pay related fees and expenses and along with existing project level cash provided a distribution to Clearway Energy Operating LLC of $45 million. Concurrent with the refinancing, the Alpine, Blythe and Roadrunner projects were transferred under NIMH Solar LLC and the obligations under the financing arrangement are supported by the Company’s interests in the projects.</w:t>
      </w:r>
    </w:p>
    <w:p>
      <w:pPr>
        <w:spacing w:after="0" w:line="142"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September 1, 2020, Utah Solar Holdings, LLC, or Utah Solar, entered into a financing arrangement, which included the issuance of approximately $296 million in senior secured notes supported by the Company’s interest in the Utah projects (Four Brothers, Granite Mountain and Iron Springs, previously defined as the Utah Solar Portfolio). The notes bear interest at 3.59% per annum and mature on December 31, 2036. The proceeds from the issuance were utilized to repay existing debt outstanding of approximately $247 million for the Utah projects and to unwind the related interest rate swaps in the amount of $33 million. The remaining proceeds were utilized to pay related fees and expenses, with the remaining $9 million distributed to Clearway Energy Operating LLC.</w:t>
      </w:r>
    </w:p>
    <w:p>
      <w:pPr>
        <w:spacing w:after="0" w:line="138" w:lineRule="exact"/>
        <w:rPr>
          <w:rFonts w:ascii="Arial" w:cs="Arial" w:eastAsia="Arial" w:hAnsi="Arial"/>
          <w:sz w:val="18"/>
          <w:szCs w:val="18"/>
          <w:color w:val="auto"/>
        </w:rPr>
      </w:pPr>
    </w:p>
    <w:p>
      <w:pPr>
        <w:jc w:val="both"/>
        <w:ind w:left="340" w:hanging="332"/>
        <w:spacing w:after="0" w:line="254"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May 21, 2020, Clearway Energy Operating LLC completed the sale of an additional $250 million aggregate principal amount of the 2028 Senior Notes.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the Company and by certain of Clearway Energy Operating LLC's wholly owned current and future subsidiaries. The proceeds from the additional 2028 Senior Notes were used to repay the $45 million outstanding long-term debt to Clearway Energy, Inc. which were in turn utilized to repay the $45 million outstanding principal amount of Clearway Energy, Inc.'s 2020 Convertible Notes on June 1, 2020, as well as to fund the repayment of outstanding borrowings under the Company's revolving credit facility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340" w:hanging="332"/>
        <w:spacing w:after="0" w:line="259"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November 2, 2020, the Company acquired from CEG (i) the Class B membership interests in DGPV Holdco 1, DGPV Holdco 2 and DGPV Holdco 3, or DGPV Holdco Entities and (ii) an SREC contract for an aggregate of $44 million in cash consideration. The Company previously held the Class A membership interests in the DGPV Holdco Entities and accounted for its interests in DGPV Holdco 1 and DGPV Holdco 2 as equity method investments, while DGPV Holdco 3 was consolidated by the Company effective May 29, 2020.</w:t>
      </w:r>
    </w:p>
    <w:p>
      <w:pPr>
        <w:spacing w:after="0" w:line="132"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November 2, 2020, the Company entered into agreements with Clearway Renew LLC, a subsidiary of CEG, to acquire 100% of the cash equity interests in Langford Holding LLC, which owns the Langford wind project, for cash consideration of approximately $64 million, subject to closing adjustments. The Langford wind project is a 160 MW utility scale wind project located in West Texas that is expected to achieve repowering commercial operations and close in the fourth quarter of 2020.</w:t>
      </w:r>
    </w:p>
    <w:p>
      <w:pPr>
        <w:spacing w:after="0" w:line="132"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November 2, 2020, the CEG ROFO Agreement was amended to (i) add the assets comprising the cash equity partnership offer from CEG to the ROFO pipeline (ii) memorialize as a ROFO asset the contract related to the monetization of renewable energy credits associated with assets within the DGPV Holdco Entities; and (iii) extend the third-party negotiation periods for CEG's residual interest in Kawailoa and Oahu assets as well as the assets comprising the cash equity partnership offer from CEG to November 2, 2021.</w:t>
      </w:r>
    </w:p>
    <w:p>
      <w:pPr>
        <w:spacing w:after="0" w:line="132" w:lineRule="exact"/>
        <w:rPr>
          <w:rFonts w:ascii="Arial" w:cs="Arial" w:eastAsia="Arial" w:hAnsi="Arial"/>
          <w:sz w:val="18"/>
          <w:szCs w:val="18"/>
          <w:color w:val="auto"/>
        </w:rPr>
      </w:pPr>
    </w:p>
    <w:p>
      <w:pPr>
        <w:jc w:val="both"/>
        <w:ind w:left="340" w:hanging="332"/>
        <w:spacing w:after="0" w:line="254"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October 2, 2020, CEG offered the Company an opportunity to enter into partnership arrangements alongside a third-party equity investor, which will, at close, own a 100% cash equity interest in a portfolio that will include (i) 1,204 MW from six geographically diversified wind, solar and solar storage assets expected to reach COD between the fourth quarter of 2020 and the fourth quarter of 2022 and ii) CEG's remaining cash equity interest in Mesquite Star Pledgor LLC, which owns the Mesquite Star wind project, a 419 MW utility scale wind facility that reached COD in June 2020. The Company’s ownership stake in the partnership arrangements is subject to further negotiation with the Company acting as managing member for the applicable partnerships. The investment is subject to negotiation, both with CEG and the third-party capital investor, and the review and approval by the Company’s Independent Directors.</w:t>
      </w:r>
    </w:p>
    <w:p>
      <w:pPr>
        <w:spacing w:after="0" w:line="140"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On September 1, 2020, the Company, through its indirect subsidiary Mesquite Star HoldCo LLC, acquired the Class A membership interests in Mesquite Star Pledgor LLC from Clearway Renew LLC, a subsidiary of CEG, for $79 million in cash consideration. Mesquite Star Pledgor LLC is the primary beneficiary and consolidates its interest in a tax equity fund that owns the Mesquite Star wind project, a 419 MW utility scale wind project located in Fisher County, Texas. A majority of the project’s output is backed by contracts with investment grade counterparties with a 12 year weighted average contract life.</w:t>
      </w:r>
    </w:p>
    <w:p>
      <w:pPr>
        <w:spacing w:after="0" w:line="133" w:lineRule="exact"/>
        <w:rPr>
          <w:rFonts w:ascii="Arial" w:cs="Arial" w:eastAsia="Arial" w:hAnsi="Arial"/>
          <w:sz w:val="18"/>
          <w:szCs w:val="18"/>
          <w:b w:val="1"/>
          <w:bCs w:val="1"/>
          <w:i w:val="1"/>
          <w:iCs w:val="1"/>
          <w:color w:val="auto"/>
        </w:rPr>
      </w:pPr>
    </w:p>
    <w:p>
      <w:pPr>
        <w:ind w:left="34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May 11, 2020, the Company acquired CEG's interest in Repowering Partnership II LLC for cash consideration of $70 million. Repowering Partnership II LLC is no longer a VIE and subsequent to the acquisition, is a wholly-owned subsidiary of the Company.</w:t>
      </w:r>
    </w:p>
    <w:p>
      <w:pPr>
        <w:spacing w:after="0" w:line="116" w:lineRule="exact"/>
        <w:rPr>
          <w:rFonts w:ascii="Arial" w:cs="Arial" w:eastAsia="Arial" w:hAnsi="Arial"/>
          <w:sz w:val="18"/>
          <w:szCs w:val="18"/>
          <w:color w:val="auto"/>
        </w:rPr>
      </w:pPr>
    </w:p>
    <w:p>
      <w:pPr>
        <w:jc w:val="both"/>
        <w:ind w:left="340" w:hanging="332"/>
        <w:spacing w:after="0" w:line="271" w:lineRule="auto"/>
        <w:tabs>
          <w:tab w:leader="none" w:pos="3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April 17, 2020, the Company entered into binding agreements related to the previously announced drop-down offer from CEG to enable the Company to acquire and invest in a portfolio of renewable energy projects. The following projects are included in the drop-down: (i) 100% of the equity interests in Rattlesnake Flat, LLC, which owns the Rattlesnake Wind Project, a 144 net MW wind facility located in Adams County, WA; (ii) CEG's interest in Repowering Partnership II LLC (Repowering 1.0), which the Company acquired on May 11, 2020; and (iii) a new partnership with CEG to repower the Pinnacle Wind Project, a 55 net MW wind facility located in Mineral County, WV. The Company expects to invest approximately $241 million in corporate capital subject to closing adjustments for the above mentioned transactions. Closing is subject to the timing of projects achieving commercial operations. The investment at commercial operations excludes, subject to closing adjustments, an additional $27 million payment in 2031 at the Pinnacle Wind Repowering Partnership.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Interest in RPV Holdco 1</w:t>
      </w:r>
    </w:p>
    <w:p>
      <w:pPr>
        <w:spacing w:after="0" w:line="171" w:lineRule="exact"/>
        <w:rPr>
          <w:sz w:val="20"/>
          <w:szCs w:val="20"/>
          <w:color w:val="auto"/>
        </w:rPr>
      </w:pPr>
    </w:p>
    <w:p>
      <w:pPr>
        <w:jc w:val="both"/>
        <w:ind w:left="340" w:hanging="332"/>
        <w:spacing w:after="0" w:line="263" w:lineRule="auto"/>
        <w:tabs>
          <w:tab w:leader="none" w:pos="335"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On May 14, 2020, the Company sold its interests in RPV Holdco 1 LLC, or RPV Holdco, to a third party for net proceeds of approximately $75 million. The Company previously accounted for its interest in RPV Holdco as an equity method investment. The sale of the investment resulted in a gain of approximately $49 million.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Consolidation of DGPV Holdco 3</w:t>
      </w:r>
    </w:p>
    <w:p>
      <w:pPr>
        <w:spacing w:after="0" w:line="171" w:lineRule="exact"/>
        <w:rPr>
          <w:sz w:val="20"/>
          <w:szCs w:val="20"/>
          <w:color w:val="auto"/>
        </w:rPr>
      </w:pPr>
    </w:p>
    <w:p>
      <w:pPr>
        <w:jc w:val="both"/>
        <w:ind w:left="340" w:hanging="332"/>
        <w:spacing w:after="0" w:line="286" w:lineRule="auto"/>
        <w:tabs>
          <w:tab w:leader="none" w:pos="3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May 29, 2020, the final construction projects owned by DGPV Holdco 3 were placed in service which resulted in a reconsideration event. The Company determined that it will consolidate DGPV Holdco 3 effective on May 29, 2020 and show the interest owned by CEG as noncontrolling interest as of that date. This resulted in the consolidation of assets of $401 million and liabilities of $290 million as of May 29,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 Start Services at Marsh Landing</w:t>
      </w:r>
    </w:p>
    <w:p>
      <w:pPr>
        <w:spacing w:after="0" w:line="171" w:lineRule="exact"/>
        <w:rPr>
          <w:sz w:val="20"/>
          <w:szCs w:val="20"/>
          <w:color w:val="auto"/>
        </w:rPr>
      </w:pPr>
    </w:p>
    <w:p>
      <w:pPr>
        <w:jc w:val="both"/>
        <w:ind w:left="340" w:hanging="332"/>
        <w:spacing w:after="0" w:line="259"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of July 2020, all necessary regulatory approvals were obtained with respect to the Company's Marsh Landing project to provide black start capability in the greater San Francisco Bay area, which would restart Marsh Landing in the event of a blackout, under a five-year contract with the California Independent System Operator to support their emergency restoration of the electrical grid. The project has commenced construction activities and is expected to achieve commercial operations in the second quarter of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 number of regulations that may affect the Company are under review, including the publishing of the Affordable Clean Energy (ACE) rule, state solar photovoltaic module (solar panel) disposal and recycling regulations, and proposed federal MBTA incidental take legislation and regulations. The Company will evaluate the impact of the legislation and regulations as they are revised but cannot fully predict the impact of each until anticipated revisions and legal challenges are resolved. To the extent the proposed legislation and regulations restrict or otherwise impact the Company's operations, the proposed legislation and regulations could have a negative impact on the Company's financial performance.</w:t>
      </w:r>
    </w:p>
    <w:p>
      <w:pPr>
        <w:spacing w:after="0" w:line="1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Affordable Clean Energy Rule </w:t>
      </w:r>
      <w:r>
        <w:rPr>
          <w:rFonts w:ascii="Arial" w:cs="Arial" w:eastAsia="Arial" w:hAnsi="Arial"/>
          <w:sz w:val="18"/>
          <w:szCs w:val="18"/>
          <w:color w:val="auto"/>
        </w:rPr>
        <w:t>— The attention in recent years on GHG emissions has resulted in federal regulations and state legislative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action. In 2015, the EPA finalized the Clean Power Plan, or the CPP, which addressed GHG emissions from existing electric utility steam generating units. The CPP was challenged in court and in 2016 the U.S. Supreme Court stayed the CPP. In 2018, the EPA published the proposed ACE rule to replace the CPP. The ACE rule establishes emission guidelines for states to develop plans to address greenhouse gas emissions from existing power plants. The ACE rule also reinforces the states’ broad discretion in establishing and applying emissions standards to new emission sources. The ACE rule is currently being litigated in the D.C. Circuit.</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Proposed State Solar Photovoltaic Module Disposal and Recycling Regulations </w:t>
      </w:r>
      <w:r>
        <w:rPr>
          <w:rFonts w:ascii="Arial" w:cs="Arial" w:eastAsia="Arial" w:hAnsi="Arial"/>
          <w:sz w:val="17"/>
          <w:szCs w:val="17"/>
          <w:color w:val="auto"/>
        </w:rPr>
        <w:t>— On October 1, 2015, California enacted SB 489, which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California’s Department of Toxic Substances Control to adopt regulations to designate discarded photovoltaic modules, which are classified as hazardous waste, as universal waste subject to universal waste management. On April 19, 2019, the department proposed regulations that would allow discarded photovoltaic modules to be managed as universal waste. Comments on the proposed regulations were due by June 10, 2019, but the date was extended to January 8, 2020, as a result of text modifications. The final regulations have not yet been approved by the CA Office of Administrative Law, but is expected before years end. If approved the regulations would be effective January 1, 2021.</w:t>
      </w:r>
    </w:p>
    <w:p>
      <w:pPr>
        <w:spacing w:after="0" w:line="12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Proposed Federal MBTA Incidental Take Legislation and Regulations </w:t>
      </w:r>
      <w:r>
        <w:rPr>
          <w:rFonts w:ascii="Arial" w:cs="Arial" w:eastAsia="Arial" w:hAnsi="Arial"/>
          <w:sz w:val="17"/>
          <w:szCs w:val="17"/>
          <w:color w:val="auto"/>
        </w:rPr>
        <w:t>— On January 15, 2020, the House Natural Resources Committee voted to</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a bill that would reinstate the interpretation that incidental take is prohibited under the MBTA, overriding the recent Trump-administration Solicitor’s Opinion M-37050 that held the MBTA only applies to intentional takings. The bill also develops a general permitting program that covers incidental take of migratory birds. To the extent that electric generation takes migratory birds, it typically is incidental to its operations.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February 3, 2020, the U.S. Fish and Wildlife Service published in the Federal Register a notice of proposed rulemaking to solicit public comment on a proposed regulation that would codify Solicitor’s Opinion M-37050 defining the scope of certain prohibitions under the MBTA. The proposed rule would clarify that criminal liability for pursuing, hunting, taking, capturing, or killing or attempting to take, capture or kill migratory birds is limited to actions directed at migratory birds, their nests, or their eggs. The proposed rule would have the effect of clarifying that these prohibitions do not extend to actions that only incidentally take or kill migratory birds as a result of otherwise lawful activities. Comments on the proposed rule were due by March 19, 2020. The final rule has not yet been published. On June 5, 2020, the US Fish and Wildlife Service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jc w:val="both"/>
        <w:ind w:right="20"/>
        <w:spacing w:after="0" w:line="308" w:lineRule="auto"/>
        <w:rPr>
          <w:sz w:val="20"/>
          <w:szCs w:val="20"/>
          <w:color w:val="auto"/>
        </w:rPr>
      </w:pPr>
      <w:r>
        <w:rPr>
          <w:rFonts w:ascii="Arial" w:cs="Arial" w:eastAsia="Arial" w:hAnsi="Arial"/>
          <w:sz w:val="17"/>
          <w:szCs w:val="17"/>
          <w:color w:val="auto"/>
        </w:rPr>
        <w:t>made available the draft Environmental Impact Statement (DEIS) for the proposed rule to define the scope of the MBTA. A 45-day comment period on the DEIS was opened. The U.S. Department of Interior (DOI) may be close to issuing the final DEIS and rule regarding incidental take.</w:t>
      </w:r>
    </w:p>
    <w:p>
      <w:pPr>
        <w:spacing w:after="0" w:line="92"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On August 11, 2020, the Southern District Court in New York vacated the DOI Solicitor's Opinion M-37050, finding there was not an adequate legal basis for the policy changes articulated in the guidance document. The case will likely be appealed by the Department of Justice (DOJ) and the DOI to the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Circuit which notably has already found that the MTBA applied to incidental take. In light of the current Circuit Court splits on the issue, this would set the stage for a potential appeal to the Supreme Court.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2019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2019 Form 10-K in Item 7,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Trends Affecting Results of Operations and Future Business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Industry Conditions and the Company’s Business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is considerable uncertainty regarding the extent to which COVID-19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w:t>
      </w:r>
    </w:p>
    <w:p>
      <w:pPr>
        <w:spacing w:after="0" w:line="13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the date of this report, the Company has not experienced any material financial or operational impacts related to COVID-19. All of the Company’s facilities have remained operational. The Company has experienced a decrease in volumetric sales at certain Thermal locations in part due to COVID-19 related impacts which has not resulted in any material financial impacts to the Company. The Company believes that all of its accounts receivable balances as of September 30, 2020 are collectible. The Company will continue to assess collectability based on any future developments.</w:t>
      </w:r>
    </w:p>
    <w:p>
      <w:pPr>
        <w:spacing w:after="0" w:line="1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Company cannot predict the full impact that COVID-19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geographic spread of the virus, the consequences of governmental and other measures designed to prevent the spread of the virus, the development of effective treatments, the duration of the outbreak,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the Company's Quarterly Report on Form 10-Q for the fiscal quarter ended March 31, 2020.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10"/>
          </w:tcPr>
          <w:p>
            <w:pPr>
              <w:jc w:val="right"/>
              <w:ind w:right="631"/>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10"/>
          </w:tcPr>
          <w:p>
            <w:pPr>
              <w:jc w:val="right"/>
              <w:ind w:right="3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line="162" w:lineRule="exact"/>
              <w:rPr>
                <w:sz w:val="20"/>
                <w:szCs w:val="20"/>
                <w:color w:val="auto"/>
              </w:rPr>
            </w:pPr>
            <w:r>
              <w:rPr>
                <w:rFonts w:ascii="Arial" w:cs="Arial" w:eastAsia="Arial" w:hAnsi="Arial"/>
                <w:sz w:val="16"/>
                <w:szCs w:val="16"/>
                <w:b w:val="1"/>
                <w:bCs w:val="1"/>
                <w:color w:val="auto"/>
                <w:w w:val="93"/>
              </w:rPr>
              <w:t>(In millions)</w:t>
            </w:r>
          </w:p>
        </w:tc>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42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Revenues</w:t>
            </w: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4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4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Energy and capacity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Other revenues</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24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Operations and maintenance</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costs of operations</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Impairment losses</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Transaction and integration costs</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Development costs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sale of unconsolidated affiliate</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424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8"/>
                <w:szCs w:val="18"/>
                <w:color w:val="auto"/>
                <w:w w:val="96"/>
              </w:rPr>
              <w:t>Less: Loss attributable to noncontrolling interests and</w:t>
            </w:r>
          </w:p>
        </w:tc>
        <w:tc>
          <w:tcPr>
            <w:tcW w:w="3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redeemable interests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424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w w:val="96"/>
              </w:rPr>
              <w:t>Net Income (Loss) Attributable to Clearway Energy,</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3"/>
                <w:szCs w:val="13"/>
                <w:color w:val="auto"/>
              </w:rPr>
            </w:pP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gridSpan w:val="3"/>
            <w:vMerge w:val="restart"/>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LLC</w:t>
            </w:r>
          </w:p>
        </w:tc>
        <w:tc>
          <w:tcPr>
            <w:tcW w:w="3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8"/>
        </w:trPr>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00" w:type="dxa"/>
            <w:vAlign w:val="bottom"/>
            <w:tcBorders>
              <w:bottom w:val="single" w:sz="8" w:color="auto"/>
            </w:tcBorders>
            <w:gridSpan w:val="10"/>
          </w:tcPr>
          <w:p>
            <w:pPr>
              <w:jc w:val="right"/>
              <w:ind w:right="36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0"/>
          </w:tcPr>
          <w:p>
            <w:pPr>
              <w:jc w:val="right"/>
              <w:ind w:right="31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Business metrics:</w:t>
            </w:r>
          </w:p>
        </w:tc>
        <w:tc>
          <w:tcPr>
            <w:tcW w:w="3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340" w:type="dxa"/>
            <w:vAlign w:val="bottom"/>
            <w:gridSpan w:val="3"/>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29"/>
        </w:trPr>
        <w:tc>
          <w:tcPr>
            <w:tcW w:w="4340" w:type="dxa"/>
            <w:vAlign w:val="bottom"/>
            <w:gridSpan w:val="3"/>
          </w:tcPr>
          <w:p>
            <w:pPr>
              <w:ind w:left="20"/>
              <w:spacing w:after="0"/>
              <w:rPr>
                <w:sz w:val="20"/>
                <w:szCs w:val="20"/>
                <w:color w:val="auto"/>
              </w:rPr>
            </w:pPr>
            <w:r>
              <w:rPr>
                <w:rFonts w:ascii="Arial" w:cs="Arial" w:eastAsia="Arial" w:hAnsi="Arial"/>
                <w:sz w:val="18"/>
                <w:szCs w:val="18"/>
                <w:color w:val="auto"/>
              </w:rPr>
              <w:t>Thermal MWt sold (in thousands)</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1,468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30"/>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Thermal MWh sold (in thousands)</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43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3"/>
                <w:szCs w:val="23"/>
                <w:color w:val="auto"/>
                <w:vertAlign w:val="superscript"/>
              </w:rPr>
              <w:t>(a) (b)</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1,072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30"/>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Conventional equivalent availability factor</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94.3 %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308610</wp:posOffset>
            </wp:positionV>
            <wp:extent cx="13201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00" w:hanging="149"/>
        <w:spacing w:after="0"/>
        <w:tabs>
          <w:tab w:leader="none" w:pos="400" w:val="left"/>
        </w:tabs>
        <w:numPr>
          <w:ilvl w:val="0"/>
          <w:numId w:val="33"/>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ind w:left="400" w:hanging="149"/>
        <w:spacing w:after="0" w:line="197" w:lineRule="auto"/>
        <w:tabs>
          <w:tab w:leader="none" w:pos="400" w:val="left"/>
        </w:tabs>
        <w:numPr>
          <w:ilvl w:val="0"/>
          <w:numId w:val="33"/>
        </w:numPr>
        <w:rPr>
          <w:rFonts w:ascii="Arial" w:cs="Arial" w:eastAsia="Arial" w:hAnsi="Arial"/>
          <w:sz w:val="18"/>
          <w:szCs w:val="18"/>
          <w:color w:val="auto"/>
          <w:vertAlign w:val="superscript"/>
        </w:rPr>
      </w:pPr>
      <w:r>
        <w:rPr>
          <w:rFonts w:ascii="Arial" w:cs="Arial" w:eastAsia="Arial" w:hAnsi="Arial"/>
          <w:sz w:val="12"/>
          <w:szCs w:val="12"/>
          <w:color w:val="auto"/>
        </w:rPr>
        <w:t>Volumes generated are not sold by the Company as the Conventional facilities sell capacity rather than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0" w:name="page61"/>
    <w:bookmarkEnd w:id="60"/>
    <w:p>
      <w:pPr>
        <w:ind w:right="2540"/>
        <w:spacing w:after="0" w:line="440"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September 30, 2020 and 2019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Conventional</w:t>
            </w:r>
          </w:p>
        </w:tc>
        <w:tc>
          <w:tcPr>
            <w:tcW w:w="160" w:type="dxa"/>
            <w:vAlign w:val="bottom"/>
          </w:tcPr>
          <w:p>
            <w:pPr>
              <w:spacing w:after="0"/>
              <w:rPr>
                <w:sz w:val="16"/>
                <w:szCs w:val="1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Renewables</w:t>
            </w:r>
          </w:p>
        </w:tc>
        <w:tc>
          <w:tcPr>
            <w:tcW w:w="220" w:type="dxa"/>
            <w:vAlign w:val="bottom"/>
          </w:tcPr>
          <w:p>
            <w:pPr>
              <w:spacing w:after="0"/>
              <w:rPr>
                <w:sz w:val="16"/>
                <w:szCs w:val="1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Thermal</w:t>
            </w:r>
          </w:p>
        </w:tc>
        <w:tc>
          <w:tcPr>
            <w:tcW w:w="300" w:type="dxa"/>
            <w:vAlign w:val="bottom"/>
          </w:tcPr>
          <w:p>
            <w:pPr>
              <w:spacing w:after="0"/>
              <w:rPr>
                <w:sz w:val="16"/>
                <w:szCs w:val="16"/>
                <w:color w:val="auto"/>
              </w:rPr>
            </w:pPr>
          </w:p>
        </w:tc>
        <w:tc>
          <w:tcPr>
            <w:tcW w:w="100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Generation</w:t>
            </w: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Three months ended September 30, 2020</w:t>
            </w:r>
          </w:p>
        </w:tc>
        <w:tc>
          <w:tcPr>
            <w:tcW w:w="1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Energy and capacity revenues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4560" w:type="dxa"/>
            <w:vAlign w:val="bottom"/>
          </w:tcPr>
          <w:p>
            <w:pPr>
              <w:ind w:left="120"/>
              <w:spacing w:after="0"/>
              <w:rPr>
                <w:sz w:val="20"/>
                <w:szCs w:val="20"/>
                <w:color w:val="auto"/>
              </w:rPr>
            </w:pPr>
            <w:r>
              <w:rPr>
                <w:rFonts w:ascii="Arial" w:cs="Arial" w:eastAsia="Arial" w:hAnsi="Arial"/>
                <w:sz w:val="18"/>
                <w:szCs w:val="18"/>
                <w:color w:val="auto"/>
              </w:rPr>
              <w:t>Other revenues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Contract amortization</w:t>
            </w:r>
          </w:p>
        </w:tc>
        <w:tc>
          <w:tcPr>
            <w:tcW w:w="1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Gross margin</w:t>
            </w:r>
          </w:p>
        </w:tc>
        <w:tc>
          <w:tcPr>
            <w:tcW w:w="1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456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Economic gross margin</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2019</w:t>
            </w: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color w:val="auto"/>
              </w:rPr>
              <w:t>Energy and capacity revenues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w:t>
            </w: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color w:val="auto"/>
              </w:rPr>
              <w:t>Cost of fuels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Gross margin</w:t>
            </w:r>
          </w:p>
        </w:tc>
        <w:tc>
          <w:tcPr>
            <w:tcW w:w="1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456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560" w:type="dxa"/>
            <w:vAlign w:val="bottom"/>
          </w:tcPr>
          <w:p>
            <w:pPr>
              <w:ind w:left="220"/>
              <w:spacing w:after="0"/>
              <w:rPr>
                <w:sz w:val="20"/>
                <w:szCs w:val="20"/>
                <w:color w:val="auto"/>
              </w:rPr>
            </w:pPr>
            <w:r>
              <w:rPr>
                <w:rFonts w:ascii="Arial" w:cs="Arial" w:eastAsia="Arial" w:hAnsi="Arial"/>
                <w:sz w:val="18"/>
                <w:szCs w:val="18"/>
                <w:b w:val="1"/>
                <w:bCs w:val="1"/>
                <w:color w:val="auto"/>
              </w:rPr>
              <w:t>Economic gross margin</w:t>
            </w:r>
          </w:p>
        </w:tc>
        <w:tc>
          <w:tcPr>
            <w:tcW w:w="1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45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ind w:left="80" w:firstLine="405"/>
        <w:spacing w:after="0" w:line="277" w:lineRule="auto"/>
        <w:rPr>
          <w:sz w:val="20"/>
          <w:szCs w:val="20"/>
          <w:color w:val="auto"/>
        </w:rPr>
      </w:pPr>
      <w:r>
        <w:rPr>
          <w:rFonts w:ascii="Arial" w:cs="Arial" w:eastAsia="Arial" w:hAnsi="Arial"/>
          <w:sz w:val="18"/>
          <w:szCs w:val="18"/>
          <w:color w:val="auto"/>
        </w:rPr>
        <w:t>Gross margin increased by $28 million during the three months ended September 30, 2020, compared to the same period in 2019, due to a combination of the drivers summarized in the table below:</w:t>
      </w:r>
    </w:p>
    <w:p>
      <w:pPr>
        <w:sectPr>
          <w:pgSz w:w="11900" w:h="16838" w:orient="portrait"/>
          <w:cols w:equalWidth="0" w:num="1">
            <w:col w:w="11320"/>
          </w:cols>
          <w:pgMar w:left="240" w:top="895" w:right="339" w:bottom="1440" w:gutter="0" w:footer="0" w:header="0"/>
        </w:sectPr>
      </w:pP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1400" w:type="dxa"/>
            <w:vAlign w:val="bottom"/>
          </w:tcPr>
          <w:p>
            <w:pPr>
              <w:ind w:left="480"/>
              <w:spacing w:after="0"/>
              <w:rPr>
                <w:sz w:val="20"/>
                <w:szCs w:val="20"/>
                <w:color w:val="auto"/>
              </w:rPr>
            </w:pPr>
            <w:r>
              <w:rPr>
                <w:rFonts w:ascii="Arial" w:cs="Arial" w:eastAsia="Arial" w:hAnsi="Arial"/>
                <w:sz w:val="18"/>
                <w:szCs w:val="18"/>
                <w:b w:val="1"/>
                <w:bCs w:val="1"/>
                <w:color w:val="auto"/>
              </w:rPr>
              <w:t>Segment</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b w:val="1"/>
                <w:bCs w:val="1"/>
                <w:color w:val="auto"/>
              </w:rPr>
              <w:t>Conventional</w:t>
            </w:r>
          </w:p>
        </w:tc>
        <w:tc>
          <w:tcPr>
            <w:tcW w:w="7480" w:type="dxa"/>
            <w:vAlign w:val="bottom"/>
          </w:tcPr>
          <w:p>
            <w:pPr>
              <w:ind w:left="260"/>
              <w:spacing w:after="0"/>
              <w:rPr>
                <w:sz w:val="20"/>
                <w:szCs w:val="20"/>
                <w:color w:val="auto"/>
              </w:rPr>
            </w:pPr>
            <w:r>
              <w:rPr>
                <w:rFonts w:ascii="Arial" w:cs="Arial" w:eastAsia="Arial" w:hAnsi="Arial"/>
                <w:sz w:val="18"/>
                <w:szCs w:val="18"/>
                <w:color w:val="auto"/>
              </w:rPr>
              <w:t>Increase is due primarily to the acquisition of Carlsbad Energy in December 2019</w:t>
            </w:r>
          </w:p>
        </w:tc>
        <w:tc>
          <w:tcPr>
            <w:tcW w:w="0" w:type="dxa"/>
            <w:vAlign w:val="bottom"/>
          </w:tcPr>
          <w:p>
            <w:pPr>
              <w:spacing w:after="0"/>
              <w:rPr>
                <w:sz w:val="1"/>
                <w:szCs w:val="1"/>
                <w:color w:val="auto"/>
              </w:rPr>
            </w:pPr>
          </w:p>
        </w:tc>
      </w:tr>
      <w:tr>
        <w:trPr>
          <w:trHeight w:val="180"/>
        </w:trPr>
        <w:tc>
          <w:tcPr>
            <w:tcW w:w="1400" w:type="dxa"/>
            <w:vAlign w:val="bottom"/>
          </w:tcPr>
          <w:p>
            <w:pPr>
              <w:spacing w:after="0" w:line="181" w:lineRule="exact"/>
              <w:rPr>
                <w:sz w:val="20"/>
                <w:szCs w:val="20"/>
                <w:color w:val="auto"/>
              </w:rPr>
            </w:pPr>
            <w:r>
              <w:rPr>
                <w:rFonts w:ascii="Arial" w:cs="Arial" w:eastAsia="Arial" w:hAnsi="Arial"/>
                <w:sz w:val="18"/>
                <w:szCs w:val="18"/>
                <w:b w:val="1"/>
                <w:bCs w:val="1"/>
                <w:color w:val="auto"/>
              </w:rPr>
              <w:t>Renewables</w:t>
            </w:r>
          </w:p>
        </w:tc>
        <w:tc>
          <w:tcPr>
            <w:tcW w:w="7480" w:type="dxa"/>
            <w:vAlign w:val="bottom"/>
          </w:tcPr>
          <w:p>
            <w:pPr>
              <w:ind w:left="260"/>
              <w:spacing w:after="0" w:line="181" w:lineRule="exact"/>
              <w:rPr>
                <w:sz w:val="20"/>
                <w:szCs w:val="20"/>
                <w:color w:val="auto"/>
              </w:rPr>
            </w:pPr>
            <w:r>
              <w:rPr>
                <w:rFonts w:ascii="Arial" w:cs="Arial" w:eastAsia="Arial" w:hAnsi="Arial"/>
                <w:sz w:val="18"/>
                <w:szCs w:val="18"/>
                <w:color w:val="auto"/>
                <w:w w:val="95"/>
              </w:rPr>
              <w:t>Increase of $12 million from the consolidation of the Chestnut and CS4 Funds in May 2020, an</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7480" w:type="dxa"/>
            <w:vAlign w:val="bottom"/>
          </w:tcPr>
          <w:p>
            <w:pPr>
              <w:ind w:left="260"/>
              <w:spacing w:after="0" w:line="176" w:lineRule="exact"/>
              <w:rPr>
                <w:sz w:val="20"/>
                <w:szCs w:val="20"/>
                <w:color w:val="auto"/>
              </w:rPr>
            </w:pPr>
            <w:r>
              <w:rPr>
                <w:rFonts w:ascii="Arial" w:cs="Arial" w:eastAsia="Arial" w:hAnsi="Arial"/>
                <w:sz w:val="18"/>
                <w:szCs w:val="18"/>
                <w:color w:val="auto"/>
                <w:w w:val="93"/>
              </w:rPr>
              <w:t>increase of $7 million due to the Oahu and Kawailoa facilities achieving COD in late 2019 and an</w:t>
            </w: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7480" w:type="dxa"/>
            <w:vAlign w:val="bottom"/>
          </w:tcPr>
          <w:p>
            <w:pPr>
              <w:ind w:left="260"/>
              <w:spacing w:after="0" w:line="176" w:lineRule="exact"/>
              <w:rPr>
                <w:sz w:val="20"/>
                <w:szCs w:val="20"/>
                <w:color w:val="auto"/>
              </w:rPr>
            </w:pPr>
            <w:r>
              <w:rPr>
                <w:rFonts w:ascii="Arial" w:cs="Arial" w:eastAsia="Arial" w:hAnsi="Arial"/>
                <w:sz w:val="18"/>
                <w:szCs w:val="18"/>
                <w:color w:val="auto"/>
                <w:w w:val="93"/>
              </w:rPr>
              <w:t>increase of $5 million related to the completion of the repowering of Elbow Creek and Wildorado,</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7480" w:type="dxa"/>
            <w:vAlign w:val="bottom"/>
          </w:tcPr>
          <w:p>
            <w:pPr>
              <w:ind w:left="260"/>
              <w:spacing w:after="0" w:line="176" w:lineRule="exact"/>
              <w:rPr>
                <w:sz w:val="20"/>
                <w:szCs w:val="20"/>
                <w:color w:val="auto"/>
              </w:rPr>
            </w:pPr>
            <w:r>
              <w:rPr>
                <w:rFonts w:ascii="Arial" w:cs="Arial" w:eastAsia="Arial" w:hAnsi="Arial"/>
                <w:sz w:val="18"/>
                <w:szCs w:val="18"/>
                <w:color w:val="auto"/>
                <w:w w:val="92"/>
              </w:rPr>
              <w:t>offset by a decrease of $16 million related to lower wind energy production primarily at Alta as well</w:t>
            </w:r>
          </w:p>
        </w:tc>
        <w:tc>
          <w:tcPr>
            <w:tcW w:w="0" w:type="dxa"/>
            <w:vAlign w:val="bottom"/>
          </w:tcPr>
          <w:p>
            <w:pPr>
              <w:spacing w:after="0"/>
              <w:rPr>
                <w:sz w:val="1"/>
                <w:szCs w:val="1"/>
                <w:color w:val="auto"/>
              </w:rPr>
            </w:pPr>
          </w:p>
        </w:tc>
      </w:tr>
      <w:tr>
        <w:trPr>
          <w:trHeight w:val="229"/>
        </w:trPr>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Thermal</w:t>
            </w:r>
          </w:p>
        </w:tc>
        <w:tc>
          <w:tcPr>
            <w:tcW w:w="7480" w:type="dxa"/>
            <w:vAlign w:val="bottom"/>
          </w:tcPr>
          <w:p>
            <w:pPr>
              <w:ind w:left="260"/>
              <w:spacing w:after="0"/>
              <w:rPr>
                <w:sz w:val="20"/>
                <w:szCs w:val="20"/>
                <w:color w:val="auto"/>
              </w:rPr>
            </w:pPr>
            <w:r>
              <w:rPr>
                <w:rFonts w:ascii="Arial" w:cs="Arial" w:eastAsia="Arial" w:hAnsi="Arial"/>
                <w:sz w:val="18"/>
                <w:szCs w:val="18"/>
                <w:color w:val="auto"/>
              </w:rPr>
              <w:t>as a decrease of $2 million due to lower generation at CVSR</w:t>
            </w: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7480" w:type="dxa"/>
            <w:vAlign w:val="bottom"/>
          </w:tcPr>
          <w:p>
            <w:pPr>
              <w:ind w:left="260"/>
              <w:spacing w:after="0" w:line="176" w:lineRule="exact"/>
              <w:rPr>
                <w:sz w:val="20"/>
                <w:szCs w:val="20"/>
                <w:color w:val="auto"/>
              </w:rPr>
            </w:pPr>
            <w:r>
              <w:rPr>
                <w:rFonts w:ascii="Arial" w:cs="Arial" w:eastAsia="Arial" w:hAnsi="Arial"/>
                <w:sz w:val="18"/>
                <w:szCs w:val="18"/>
                <w:color w:val="auto"/>
                <w:w w:val="91"/>
              </w:rPr>
              <w:t>Decrease of $2 million due to reduced customer demand in certain locations due to COVID-19 and</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7480" w:type="dxa"/>
            <w:vAlign w:val="bottom"/>
          </w:tcPr>
          <w:p>
            <w:pPr>
              <w:ind w:left="260"/>
              <w:spacing w:after="0"/>
              <w:rPr>
                <w:sz w:val="20"/>
                <w:szCs w:val="20"/>
                <w:color w:val="auto"/>
              </w:rPr>
            </w:pPr>
            <w:r>
              <w:rPr>
                <w:rFonts w:ascii="Arial" w:cs="Arial" w:eastAsia="Arial" w:hAnsi="Arial"/>
                <w:sz w:val="18"/>
                <w:szCs w:val="18"/>
                <w:color w:val="auto"/>
              </w:rPr>
              <w:t>a decrease of $1 million due to the sale of Dover in March 2,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-994410</wp:posOffset>
            </wp:positionV>
            <wp:extent cx="663511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35115" cy="14605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-257175</wp:posOffset>
            </wp:positionV>
            <wp:extent cx="6635115"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3511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284"/>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p>
      <w:pPr>
        <w:ind w:left="1264" w:hanging="1264"/>
        <w:spacing w:after="0"/>
        <w:tabs>
          <w:tab w:leader="none" w:pos="12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772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16" w:lineRule="exact"/>
        <w:rPr>
          <w:sz w:val="20"/>
          <w:szCs w:val="20"/>
          <w:color w:val="auto"/>
        </w:rPr>
      </w:pPr>
    </w:p>
    <w:p>
      <w:pPr>
        <w:ind w:left="1264" w:hanging="1264"/>
        <w:spacing w:after="0"/>
        <w:tabs>
          <w:tab w:leader="none" w:pos="12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772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9772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80" w:space="36"/>
            <w:col w:w="2304"/>
          </w:cols>
          <w:pgMar w:left="240" w:top="895" w:right="339" w:bottom="1440" w:gutter="0" w:footer="0" w:header="0"/>
          <w:type w:val="continuous"/>
        </w:sectPr>
      </w:pPr>
    </w:p>
    <w:p>
      <w:pPr>
        <w:spacing w:after="0" w:line="13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71" w:lineRule="exact"/>
        <w:rPr>
          <w:sz w:val="20"/>
          <w:szCs w:val="20"/>
          <w:color w:val="auto"/>
        </w:rPr>
      </w:pPr>
    </w:p>
    <w:p>
      <w:pPr>
        <w:jc w:val="both"/>
        <w:ind w:left="80" w:firstLine="405"/>
        <w:spacing w:after="0" w:line="255" w:lineRule="auto"/>
        <w:rPr>
          <w:sz w:val="20"/>
          <w:szCs w:val="20"/>
          <w:color w:val="auto"/>
        </w:rPr>
      </w:pPr>
      <w:r>
        <w:rPr>
          <w:rFonts w:ascii="Arial" w:cs="Arial" w:eastAsia="Arial" w:hAnsi="Arial"/>
          <w:sz w:val="18"/>
          <w:szCs w:val="18"/>
          <w:color w:val="auto"/>
        </w:rPr>
        <w:t>Depreciation, amortization and accretion expense decreased by $12 million during the three months ended September 30, 2020, compared to the same period in 2019, due primarily to a $20 million decrease in the Renewables segment, as the prior year included accelerated depreciation of approximately $26 million at the Wildorado and Elbow Creek projects in connection with the repowering activities, while the current period includes additional depreciation of $3 million for the Oahu and Kawailoa projects which reached COD in late 2019 and $3 million of additional depreciation due to the consolidation of the Chestnut and CS4 Funds in May 2020. This was offset in part by an $8 million increase in the Conventional segment related to the acquisition of the Carlsbad Energy Center in December 2019.</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left="80" w:firstLine="405"/>
        <w:spacing w:after="0" w:line="263" w:lineRule="auto"/>
        <w:rPr>
          <w:sz w:val="20"/>
          <w:szCs w:val="20"/>
          <w:color w:val="auto"/>
        </w:rPr>
      </w:pPr>
      <w:r>
        <w:rPr>
          <w:rFonts w:ascii="Arial" w:cs="Arial" w:eastAsia="Arial" w:hAnsi="Arial"/>
          <w:sz w:val="18"/>
          <w:szCs w:val="18"/>
          <w:color w:val="auto"/>
        </w:rPr>
        <w:t>Equity in earnings of unconsolidated affiliate decreased by $19 million during the three months ended September 30, 2020, compared to the same period in 2019, driven by decreases in HLBV earnings for the Utah, RPV and DGPV investments, as well as HLBV losses for Mesquite Star which was acquired September 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jc w:val="both"/>
        <w:ind w:left="80" w:firstLine="405"/>
        <w:spacing w:after="0" w:line="342" w:lineRule="auto"/>
        <w:rPr>
          <w:sz w:val="20"/>
          <w:szCs w:val="20"/>
          <w:color w:val="auto"/>
        </w:rPr>
      </w:pPr>
      <w:r>
        <w:rPr>
          <w:rFonts w:ascii="Arial" w:cs="Arial" w:eastAsia="Arial" w:hAnsi="Arial"/>
          <w:sz w:val="16"/>
          <w:szCs w:val="16"/>
          <w:color w:val="auto"/>
        </w:rPr>
        <w:t xml:space="preserve">Loss on debt extinguishment of $6 million during the three months ended September 30, 2020, relates to the repayment of debt for the Utah Solar Portfolio, Alpine, Blythe and Roadrunner, in connection with the related refinancing activities, as further described in Item 1 — Note 7, </w:t>
      </w:r>
      <w:r>
        <w:rPr>
          <w:rFonts w:ascii="Arial" w:cs="Arial" w:eastAsia="Arial" w:hAnsi="Arial"/>
          <w:sz w:val="16"/>
          <w:szCs w:val="16"/>
          <w:i w:val="1"/>
          <w:iCs w:val="1"/>
          <w:color w:val="auto"/>
        </w:rPr>
        <w:t>Long-term Debt.</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left="80" w:right="20" w:firstLine="405"/>
        <w:spacing w:after="0" w:line="271" w:lineRule="auto"/>
        <w:rPr>
          <w:sz w:val="20"/>
          <w:szCs w:val="20"/>
          <w:color w:val="auto"/>
        </w:rPr>
      </w:pPr>
      <w:r>
        <w:rPr>
          <w:rFonts w:ascii="Arial" w:cs="Arial" w:eastAsia="Arial" w:hAnsi="Arial"/>
          <w:sz w:val="18"/>
          <w:szCs w:val="18"/>
          <w:color w:val="auto"/>
        </w:rPr>
        <w:t>Interest expense decreased by $21 million during the three months ended September 30, 2020, compared to the same period in 2019, due to the following:</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8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23"/>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5"/>
        </w:trPr>
        <w:tc>
          <w:tcPr>
            <w:tcW w:w="8960" w:type="dxa"/>
            <w:vAlign w:val="bottom"/>
          </w:tcPr>
          <w:p>
            <w:pPr>
              <w:spacing w:after="0" w:line="176" w:lineRule="exact"/>
              <w:rPr>
                <w:sz w:val="20"/>
                <w:szCs w:val="20"/>
                <w:color w:val="auto"/>
              </w:rPr>
            </w:pPr>
            <w:r>
              <w:rPr>
                <w:rFonts w:ascii="Arial" w:cs="Arial" w:eastAsia="Arial" w:hAnsi="Arial"/>
                <w:sz w:val="18"/>
                <w:szCs w:val="18"/>
                <w:color w:val="auto"/>
                <w:w w:val="93"/>
              </w:rPr>
              <w:t>Reclassification of losses previously deferred in AOCI to the statement of operations in connection with project-level debt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refinancing activities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Additional interest expense for Carlsbad Energy Center which was acquired on December 5, 2019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Increase in Corporate interest expense due primarily to issuance of the additional Senior Notes due 2028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896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895"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September 30, 2020, the Company had losses of $1 million attributable to CEG's interests in the Kawailoa, Oahu and Repowering partnerships, as well as losses of $19 million attributable to noncontrolling interests with respect to its tax equity financing arrangements and the application of the HLBV method.</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September 30, 2019, the Company had a loss of $9 million attributable to CEG's interests in the Kawailoa, Oahu and Repowering partnerships, with no offset of income or loss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ind w:right="2640"/>
        <w:spacing w:after="0" w:line="432" w:lineRule="auto"/>
        <w:rPr>
          <w:sz w:val="20"/>
          <w:szCs w:val="20"/>
          <w:color w:val="auto"/>
        </w:rPr>
      </w:pPr>
      <w:r>
        <w:rPr>
          <w:rFonts w:ascii="Arial" w:cs="Arial" w:eastAsia="Arial" w:hAnsi="Arial"/>
          <w:sz w:val="18"/>
          <w:szCs w:val="18"/>
          <w:b w:val="1"/>
          <w:bCs w:val="1"/>
          <w:color w:val="auto"/>
        </w:rPr>
        <w:t xml:space="preserve">Management’s Discussion of the Results of Operations for the Nine Months Ended September 30, 2020 and 2019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Conventional</w:t>
            </w:r>
          </w:p>
        </w:tc>
        <w:tc>
          <w:tcPr>
            <w:tcW w:w="14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18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Thermal</w:t>
            </w:r>
          </w:p>
        </w:tc>
        <w:tc>
          <w:tcPr>
            <w:tcW w:w="240" w:type="dxa"/>
            <w:vAlign w:val="bottom"/>
          </w:tcPr>
          <w:p>
            <w:pPr>
              <w:spacing w:after="0"/>
              <w:rPr>
                <w:sz w:val="14"/>
                <w:szCs w:val="14"/>
                <w:color w:val="auto"/>
              </w:rPr>
            </w:pPr>
          </w:p>
        </w:tc>
        <w:tc>
          <w:tcPr>
            <w:tcW w:w="8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Generation</w:t>
            </w: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00" w:type="dxa"/>
            <w:vAlign w:val="bottom"/>
          </w:tcPr>
          <w:p>
            <w:pPr>
              <w:ind w:left="20"/>
              <w:spacing w:after="0"/>
              <w:rPr>
                <w:sz w:val="20"/>
                <w:szCs w:val="20"/>
                <w:color w:val="auto"/>
              </w:rPr>
            </w:pPr>
            <w:r>
              <w:rPr>
                <w:rFonts w:ascii="Arial" w:cs="Arial" w:eastAsia="Arial" w:hAnsi="Arial"/>
                <w:sz w:val="18"/>
                <w:szCs w:val="18"/>
                <w:color w:val="auto"/>
              </w:rPr>
              <w:t>Nine months ended September 30, 2020</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Energy and capacity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9"/>
        </w:trPr>
        <w:tc>
          <w:tcPr>
            <w:tcW w:w="4100" w:type="dxa"/>
            <w:vAlign w:val="bottom"/>
          </w:tcPr>
          <w:p>
            <w:pPr>
              <w:ind w:left="120"/>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410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hedges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8"/>
                <w:szCs w:val="18"/>
                <w:color w:val="auto"/>
              </w:rPr>
              <w:t>Mark-to-market for economic hedges</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2019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8"/>
                <w:szCs w:val="18"/>
                <w:color w:val="auto"/>
              </w:rPr>
              <w:t>Energy and capacity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8"/>
                <w:szCs w:val="18"/>
                <w:color w:val="auto"/>
              </w:rPr>
              <w:t>Cost of fuels</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410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100" w:type="dxa"/>
            <w:vAlign w:val="bottom"/>
          </w:tcPr>
          <w:p>
            <w:pPr>
              <w:ind w:left="22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jc w:val="both"/>
        <w:ind w:firstLine="405"/>
        <w:spacing w:after="0" w:line="277" w:lineRule="auto"/>
        <w:rPr>
          <w:sz w:val="20"/>
          <w:szCs w:val="20"/>
          <w:color w:val="auto"/>
        </w:rPr>
      </w:pPr>
      <w:r>
        <w:rPr>
          <w:rFonts w:ascii="Arial" w:cs="Arial" w:eastAsia="Arial" w:hAnsi="Arial"/>
          <w:sz w:val="18"/>
          <w:szCs w:val="18"/>
          <w:color w:val="auto"/>
        </w:rPr>
        <w:t>Gross margin increased by $118 million during the nine months ended September 30, 2020, compared to the same period in 2019 primarily due to a combination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ind w:left="340"/>
              <w:spacing w:after="0"/>
              <w:rPr>
                <w:sz w:val="20"/>
                <w:szCs w:val="20"/>
                <w:color w:val="auto"/>
              </w:rPr>
            </w:pPr>
            <w:r>
              <w:rPr>
                <w:rFonts w:ascii="Arial" w:cs="Arial" w:eastAsia="Arial" w:hAnsi="Arial"/>
                <w:sz w:val="18"/>
                <w:szCs w:val="18"/>
                <w:b w:val="1"/>
                <w:bCs w:val="1"/>
                <w:color w:val="auto"/>
              </w:rPr>
              <w:t>Segment</w:t>
            </w:r>
          </w:p>
        </w:tc>
        <w:tc>
          <w:tcPr>
            <w:tcW w:w="7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(In millions)</w:t>
            </w: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Conventional</w:t>
            </w:r>
          </w:p>
        </w:tc>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is due primarily to the acquisition of Carlsbad Energy in December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75"/>
        </w:trPr>
        <w:tc>
          <w:tcPr>
            <w:tcW w:w="12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Renewables</w:t>
            </w:r>
          </w:p>
        </w:tc>
        <w:tc>
          <w:tcPr>
            <w:tcW w:w="7160" w:type="dxa"/>
            <w:vAlign w:val="bottom"/>
          </w:tcPr>
          <w:p>
            <w:pPr>
              <w:ind w:left="140"/>
              <w:spacing w:after="0" w:line="176" w:lineRule="exact"/>
              <w:rPr>
                <w:sz w:val="20"/>
                <w:szCs w:val="20"/>
                <w:color w:val="auto"/>
              </w:rPr>
            </w:pPr>
            <w:r>
              <w:rPr>
                <w:rFonts w:ascii="Arial" w:cs="Arial" w:eastAsia="Arial" w:hAnsi="Arial"/>
                <w:sz w:val="18"/>
                <w:szCs w:val="18"/>
                <w:color w:val="auto"/>
                <w:w w:val="95"/>
              </w:rPr>
              <w:t>Increases of $19 million due to the Oahu and Kawailoa facilities achieving COD in late 2019,</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7160" w:type="dxa"/>
            <w:vAlign w:val="bottom"/>
          </w:tcPr>
          <w:p>
            <w:pPr>
              <w:ind w:left="140"/>
              <w:spacing w:after="0" w:line="176" w:lineRule="exact"/>
              <w:rPr>
                <w:sz w:val="20"/>
                <w:szCs w:val="20"/>
                <w:color w:val="auto"/>
              </w:rPr>
            </w:pPr>
            <w:r>
              <w:rPr>
                <w:rFonts w:ascii="Arial" w:cs="Arial" w:eastAsia="Arial" w:hAnsi="Arial"/>
                <w:sz w:val="18"/>
                <w:szCs w:val="18"/>
                <w:color w:val="auto"/>
                <w:w w:val="93"/>
              </w:rPr>
              <w:t>$16 million from the consolidation of the Chestnut and CS4 Funds in May 2020, $9 million due</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7160" w:type="dxa"/>
            <w:vAlign w:val="bottom"/>
          </w:tcPr>
          <w:p>
            <w:pPr>
              <w:ind w:left="140"/>
              <w:spacing w:after="0" w:line="176" w:lineRule="exact"/>
              <w:rPr>
                <w:sz w:val="20"/>
                <w:szCs w:val="20"/>
                <w:color w:val="auto"/>
              </w:rPr>
            </w:pPr>
            <w:r>
              <w:rPr>
                <w:rFonts w:ascii="Arial" w:cs="Arial" w:eastAsia="Arial" w:hAnsi="Arial"/>
                <w:sz w:val="18"/>
                <w:szCs w:val="18"/>
                <w:color w:val="auto"/>
                <w:w w:val="94"/>
              </w:rPr>
              <w:t>to the prior year outage at CVSR and $8 million related to the completion of the repowering of</w:t>
            </w:r>
          </w:p>
        </w:tc>
        <w:tc>
          <w:tcPr>
            <w:tcW w:w="140" w:type="dxa"/>
            <w:vAlign w:val="bottom"/>
          </w:tcPr>
          <w:p>
            <w:pPr>
              <w:spacing w:after="0"/>
              <w:rPr>
                <w:sz w:val="15"/>
                <w:szCs w:val="15"/>
                <w:color w:val="auto"/>
              </w:rPr>
            </w:pP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Elbow Creek and Wildorado</w:t>
            </w: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Thermal</w:t>
            </w:r>
          </w:p>
        </w:tc>
        <w:tc>
          <w:tcPr>
            <w:tcW w:w="7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Decreases of $4 million related to the sale of Dover on March 2, 2020 and $2 million due to</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spacing w:after="0"/>
              <w:rPr>
                <w:sz w:val="15"/>
                <w:szCs w:val="15"/>
                <w:color w:val="auto"/>
              </w:rPr>
            </w:pPr>
          </w:p>
        </w:tc>
        <w:tc>
          <w:tcPr>
            <w:tcW w:w="7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reduced customer demand in certain locations related to COVID-19, offset by an increase of $2</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million related to the acquisition of the Duquesne University Energy System on May 1, 2019</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Operations and maintenance expense increased by $21 million during the nine months ended September 30, 2020, compared to the same period in 2019, primarily due to a $20 million increase in the Conventional segment related to the acquisition of the Carlsbad Energy Center in December 2019 and a $1 million increase in the Renewables segment.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Depreciation, amortization and accretion expense increased by $14 million during the nine months ended September 30, 2020, compared to the same period in 2019, due to a $24 million increase in the Conventional segment related to the acquisition of the Carlsbad Energy Center in December 2019, offset by a $10 million decrease in the Renewables segment, as the prior year included accelerated depreciation of approximately $26 million at the Wildorado and Elbow Creek projects in connection with the repowering activities, while the current period includes additional depreciation of $10 million related to the Oahu and Kawailoa projects which reached COD in late 2019 and $4 million of additional depreciation due to the consolidation of the Chestnut and CS4 Funds in May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Impairment losses of $19 million during the nine months ended September 30, 2019, relate to a facility within the Company's Thermal segment, as further described in Item 1 — Note 13, </w:t>
      </w:r>
      <w:r>
        <w:rPr>
          <w:rFonts w:ascii="Arial" w:cs="Arial" w:eastAsia="Arial" w:hAnsi="Arial"/>
          <w:sz w:val="18"/>
          <w:szCs w:val="18"/>
          <w:i w:val="1"/>
          <w:iCs w:val="1"/>
          <w:color w:val="auto"/>
        </w:rPr>
        <w:t>Asset Impairments</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 increased by $10 million during the nine months ended September 30, 2020, compared to the same period in 2019, primarily due to an increase in MSA fees charged by CEG, personnel costs and consulting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Equity in earnings of unconsolidated affiliate decreased by $30 million during the nine months ended September 30, 2020, compared to the same period in 2019, driven by decreases in HLBV earnings for the Utah, RPV and DGPV investments, as well as HLBV losses for Mesquite Star which was acquired September 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On May 14, 2020, the Company sold its interests in RPV Holdco 1 LLC, or RPV Holdco, to a third party which resulted in a gain on sale of investment of approximately $49 million. For further discussion on this transaction, see Note 3 - </w:t>
      </w:r>
      <w:r>
        <w:rPr>
          <w:rFonts w:ascii="Arial" w:cs="Arial" w:eastAsia="Arial" w:hAnsi="Arial"/>
          <w:sz w:val="18"/>
          <w:szCs w:val="18"/>
          <w:i w:val="1"/>
          <w:iCs w:val="1"/>
          <w:color w:val="auto"/>
        </w:rPr>
        <w:t>Acquisition and Dispositions.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 xml:space="preserve">Loss on debt extinguishment of $9 million during the nine months ended September 30, 2020, is primarily related to the repayment of debt for the Utah Solar Portfolio, Alpine, Blythe and Roadrunner, related to refinancing activities, as further described in Item 1 — Note 7, </w:t>
      </w:r>
      <w:r>
        <w:rPr>
          <w:rFonts w:ascii="Arial" w:cs="Arial" w:eastAsia="Arial" w:hAnsi="Arial"/>
          <w:sz w:val="17"/>
          <w:szCs w:val="17"/>
          <w:i w:val="1"/>
          <w:iCs w:val="1"/>
          <w:color w:val="auto"/>
        </w:rPr>
        <w:t>Long-term Debt.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increased by $8 million during the nine months ended September 30, 2020, compared to the same period in 2019, primarily due to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interest expense for Carlsbad Energy Center which was acquired on December 5,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9600" w:type="dxa"/>
            <w:vAlign w:val="bottom"/>
          </w:tcPr>
          <w:p>
            <w:pPr>
              <w:ind w:left="20"/>
              <w:spacing w:after="0" w:line="176" w:lineRule="exact"/>
              <w:rPr>
                <w:sz w:val="20"/>
                <w:szCs w:val="20"/>
                <w:color w:val="auto"/>
              </w:rPr>
            </w:pPr>
            <w:r>
              <w:rPr>
                <w:rFonts w:ascii="Arial" w:cs="Arial" w:eastAsia="Arial" w:hAnsi="Arial"/>
                <w:sz w:val="18"/>
                <w:szCs w:val="18"/>
                <w:color w:val="auto"/>
                <w:w w:val="94"/>
              </w:rPr>
              <w:t>Increase in Corporate interest expense due primarily to additional revolver borrowings and the issuance of the additional Senior</w:t>
            </w: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Notes due 2028</w:t>
            </w: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Decrease in interest expense due to lower principal balances of project level debt for the remainder of the portfolio</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5"/>
        </w:trPr>
        <w:tc>
          <w:tcPr>
            <w:tcW w:w="9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Reclassification of earnings previously deferred in AOCI to the statement of operations in connection with project-level debt</w:t>
            </w: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nine months ended September 30, 2020, the Company had losses of $36 million attributable to CEG's interests in the Kawailoa, Oahu and Repowering partnerships and losses of $50 million attributable to noncontrolling interests with respect to its tax equity financing arrangements and the application of the HLBV method.</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nine months ended September 30, 2019, the Company had a loss of $14 million attributable to CEG's interests in the Oahu, Kawailoa and Repowering partnerships, partially offset by income of $2 million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w:t>
      </w:r>
      <w:r>
        <w:rPr>
          <w:rFonts w:ascii="Arial" w:cs="Arial" w:eastAsia="Arial" w:hAnsi="Arial"/>
          <w:sz w:val="17"/>
          <w:szCs w:val="17"/>
          <w:color w:val="231F20"/>
        </w:rPr>
        <w:t xml:space="preserve"> </w:t>
      </w:r>
      <w:r>
        <w:rPr>
          <w:rFonts w:ascii="Arial" w:cs="Arial" w:eastAsia="Arial" w:hAnsi="Arial"/>
          <w:sz w:val="17"/>
          <w:szCs w:val="17"/>
          <w:color w:val="000000"/>
        </w:rPr>
        <w:t>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2020</w:t>
      </w:r>
      <w:r>
        <w:rPr>
          <w:rFonts w:ascii="Arial" w:cs="Arial" w:eastAsia="Arial" w:hAnsi="Arial"/>
          <w:sz w:val="18"/>
          <w:szCs w:val="18"/>
          <w:color w:val="231F20"/>
        </w:rPr>
        <w:t xml:space="preserve"> and </w:t>
      </w:r>
      <w:r>
        <w:rPr>
          <w:rFonts w:ascii="Arial" w:cs="Arial" w:eastAsia="Arial" w:hAnsi="Arial"/>
          <w:sz w:val="18"/>
          <w:szCs w:val="18"/>
          <w:color w:val="000000"/>
        </w:rPr>
        <w:t>December 31, 2019</w:t>
      </w:r>
      <w:r>
        <w:rPr>
          <w:rFonts w:ascii="Arial" w:cs="Arial" w:eastAsia="Arial" w:hAnsi="Arial"/>
          <w:sz w:val="18"/>
          <w:szCs w:val="18"/>
          <w:color w:val="231F20"/>
        </w:rPr>
        <w:t>, the Company's liquidity was approximately $973 million and $839 million, respectively, comprised of cash, restricted cash and availability under the Company's revolving credit facility.</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6"/>
                <w:szCs w:val="16"/>
                <w:color w:val="auto"/>
              </w:rPr>
            </w:pPr>
          </w:p>
        </w:tc>
        <w:tc>
          <w:tcPr>
            <w:tcW w:w="1640" w:type="dxa"/>
            <w:vAlign w:val="bottom"/>
          </w:tcPr>
          <w:p>
            <w:pPr>
              <w:jc w:val="right"/>
              <w:ind w:right="272"/>
              <w:spacing w:after="0"/>
              <w:rPr>
                <w:sz w:val="20"/>
                <w:szCs w:val="20"/>
                <w:color w:val="auto"/>
              </w:rPr>
            </w:pPr>
            <w:r>
              <w:rPr>
                <w:rFonts w:ascii="Arial" w:cs="Arial" w:eastAsia="Arial" w:hAnsi="Arial"/>
                <w:sz w:val="14"/>
                <w:szCs w:val="14"/>
                <w:b w:val="1"/>
                <w:bCs w:val="1"/>
                <w:color w:val="auto"/>
                <w:w w:val="99"/>
              </w:rPr>
              <w:t>December 31, 2019</w:t>
            </w:r>
          </w:p>
        </w:tc>
      </w:tr>
      <w:tr>
        <w:trPr>
          <w:trHeight w:val="216"/>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30"/>
        </w:trPr>
        <w:tc>
          <w:tcPr>
            <w:tcW w:w="7340" w:type="dxa"/>
            <w:vAlign w:val="bottom"/>
          </w:tcPr>
          <w:p>
            <w:pPr>
              <w:ind w:left="200"/>
              <w:spacing w:after="0"/>
              <w:rPr>
                <w:sz w:val="20"/>
                <w:szCs w:val="20"/>
                <w:color w:val="auto"/>
              </w:rPr>
            </w:pPr>
            <w:r>
              <w:rPr>
                <w:rFonts w:ascii="Arial" w:cs="Arial" w:eastAsia="Arial" w:hAnsi="Arial"/>
                <w:sz w:val="18"/>
                <w:szCs w:val="18"/>
                <w:color w:val="auto"/>
              </w:rPr>
              <w:t>Clearway Energy LLC, excluding subsidiaries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Restricted cash:</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accounts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7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w w:val="98"/>
              </w:rPr>
              <w:t>Reserves, including debt service, distributions, performance obligations and other reserves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7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23"/>
        </w:trPr>
        <w:tc>
          <w:tcPr>
            <w:tcW w:w="7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Revolving credit facility availability</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48"/>
        </w:trPr>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liquidity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231F20"/>
        </w:rPr>
        <w:t xml:space="preserve">The Company's liquidity includes $178 million and $262 million of restricted cash balances as of September 30, 2020 and December 31, </w:t>
      </w:r>
      <w:r>
        <w:rPr>
          <w:rFonts w:ascii="Arial" w:cs="Arial" w:eastAsia="Arial" w:hAnsi="Arial"/>
          <w:sz w:val="16"/>
          <w:szCs w:val="16"/>
          <w:color w:val="000000"/>
        </w:rPr>
        <w:t>2019</w:t>
      </w:r>
      <w:r>
        <w:rPr>
          <w:rFonts w:ascii="Arial" w:cs="Arial" w:eastAsia="Arial" w:hAnsi="Arial"/>
          <w:sz w:val="16"/>
          <w:szCs w:val="16"/>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September 30, 2020, these restricted funds were comprised of $74 million designated to fund operating</w:t>
      </w:r>
      <w:r>
        <w:rPr>
          <w:rFonts w:ascii="Arial" w:cs="Arial" w:eastAsia="Arial" w:hAnsi="Arial"/>
          <w:sz w:val="16"/>
          <w:szCs w:val="16"/>
          <w:color w:val="231F20"/>
        </w:rPr>
        <w:t xml:space="preserve"> </w:t>
      </w:r>
      <w:r>
        <w:rPr>
          <w:rFonts w:ascii="Arial" w:cs="Arial" w:eastAsia="Arial" w:hAnsi="Arial"/>
          <w:sz w:val="16"/>
          <w:szCs w:val="16"/>
          <w:color w:val="000000"/>
        </w:rPr>
        <w:t>expenses, approximately $46 million designated for current debt service payments, and $28 million restricted for reserves including debt service, performance obligations and other reserves, as well as capital expenditures. The remaining $30 million is held in distribution reserve accounts.</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2020, the Company had no outstanding borrowings under the revolving credit facility and $59 million in letters of credit outstanding. The Company had no borrowings under the revolving credit facility during the three months ended September 30, 2020. During the nine months ended September 30, 2020, the Company borrowed $265 million under the revolving credit facility, and subsequently repaid $265 million utilizing the proceeds from the issuance of additional 2028 Senior Notes, as described below, and cash on hand.</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On July 1, 2020, PG&amp;E emerged from bankruptcy and assumed the Company's contracts without modification. Subsequent to July 1, 2020, the Company collected all remaining receivables due from PG&amp;E for pre-petition periods and d</w:t>
      </w:r>
      <w:r>
        <w:rPr>
          <w:rFonts w:ascii="Arial" w:cs="Arial" w:eastAsia="Arial" w:hAnsi="Arial"/>
          <w:sz w:val="17"/>
          <w:szCs w:val="17"/>
          <w:color w:val="000000"/>
        </w:rPr>
        <w:t>uring October 2020 the last cash distribution of $34 million</w:t>
      </w:r>
      <w:r>
        <w:rPr>
          <w:rFonts w:ascii="Arial" w:cs="Arial" w:eastAsia="Arial" w:hAnsi="Arial"/>
          <w:sz w:val="17"/>
          <w:szCs w:val="17"/>
          <w:color w:val="231F20"/>
        </w:rPr>
        <w:t xml:space="preserve"> </w:t>
      </w:r>
      <w:r>
        <w:rPr>
          <w:rFonts w:ascii="Arial" w:cs="Arial" w:eastAsia="Arial" w:hAnsi="Arial"/>
          <w:sz w:val="17"/>
          <w:szCs w:val="17"/>
          <w:color w:val="000000"/>
        </w:rPr>
        <w:t>was paid out of distribution reserve accounts at subsidiaries affected by the PG&amp;E Bankruptcy to Clearway Energy Operating LLC.</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Energy, Inc. and CEG. Management continues to regularly monitor the Company's ability to finance the needs of its operating, financing and investing activity within the dictates of prudent balance sheet management.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7" w:name="page68"/>
    <w:bookmarkEnd w:id="67"/>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September 30,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620" w:type="dxa"/>
            <w:vAlign w:val="bottom"/>
            <w:gridSpan w:val="2"/>
          </w:tcPr>
          <w:p>
            <w:pPr>
              <w:ind w:left="620"/>
              <w:spacing w:after="0"/>
              <w:rPr>
                <w:sz w:val="20"/>
                <w:szCs w:val="20"/>
                <w:color w:val="auto"/>
              </w:rPr>
            </w:pPr>
            <w:r>
              <w:rPr>
                <w:rFonts w:ascii="Arial" w:cs="Arial" w:eastAsia="Arial" w:hAnsi="Arial"/>
                <w:sz w:val="14"/>
                <w:szCs w:val="14"/>
                <w:b w:val="1"/>
                <w:bCs w:val="1"/>
                <w:color w:val="auto"/>
              </w:rPr>
              <w:t>S&amp;P</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Moody's</w:t>
            </w:r>
          </w:p>
        </w:tc>
      </w:tr>
      <w:tr>
        <w:trPr>
          <w:trHeight w:val="229"/>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Clearway Energy, Inc.</w:t>
            </w:r>
          </w:p>
        </w:tc>
        <w:tc>
          <w:tcPr>
            <w:tcW w:w="15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BB</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5.750% Senior Notes, due 2025</w:t>
            </w:r>
          </w:p>
        </w:tc>
        <w:tc>
          <w:tcPr>
            <w:tcW w:w="1620" w:type="dxa"/>
            <w:vAlign w:val="bottom"/>
            <w:gridSpan w:val="2"/>
          </w:tcPr>
          <w:p>
            <w:pPr>
              <w:ind w:left="64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Ba2</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5.000% Senior Notes, due 2026</w:t>
            </w:r>
          </w:p>
        </w:tc>
        <w:tc>
          <w:tcPr>
            <w:tcW w:w="1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BB</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4.750% Senior Notes, due 2028</w:t>
            </w:r>
          </w:p>
        </w:tc>
        <w:tc>
          <w:tcPr>
            <w:tcW w:w="1620" w:type="dxa"/>
            <w:vAlign w:val="bottom"/>
            <w:gridSpan w:val="2"/>
          </w:tcPr>
          <w:p>
            <w:pPr>
              <w:ind w:left="64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Ba2</w:t>
            </w:r>
          </w:p>
        </w:tc>
      </w:tr>
    </w:tbl>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 — Note 7,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this Form 10-Q and Item 15 — Note 10,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the consolidated financial statements included in the Company's </w:t>
      </w:r>
      <w:r>
        <w:rPr>
          <w:rFonts w:ascii="Arial" w:cs="Arial" w:eastAsia="Arial" w:hAnsi="Arial"/>
          <w:sz w:val="18"/>
          <w:szCs w:val="18"/>
          <w:color w:val="000000"/>
        </w:rPr>
        <w:t>2019 Form 10-K</w:t>
      </w:r>
      <w:r>
        <w:rPr>
          <w:rFonts w:ascii="Arial" w:cs="Arial" w:eastAsia="Arial" w:hAnsi="Arial"/>
          <w:sz w:val="18"/>
          <w:szCs w:val="18"/>
          <w:color w:val="231F20"/>
        </w:rPr>
        <w:t xml:space="preserve">, the Company's financing arrangements consist </w:t>
      </w:r>
      <w:r>
        <w:rPr>
          <w:rFonts w:ascii="Arial" w:cs="Arial" w:eastAsia="Arial" w:hAnsi="Arial"/>
          <w:sz w:val="18"/>
          <w:szCs w:val="18"/>
          <w:color w:val="000000"/>
        </w:rPr>
        <w:t>corporate level debt, which includes Senior Notes, and the revolving credit</w:t>
      </w:r>
      <w:r>
        <w:rPr>
          <w:rFonts w:ascii="Arial" w:cs="Arial" w:eastAsia="Arial" w:hAnsi="Arial"/>
          <w:sz w:val="18"/>
          <w:szCs w:val="18"/>
          <w:color w:val="231F20"/>
        </w:rPr>
        <w:t xml:space="preserve"> </w:t>
      </w:r>
      <w:r>
        <w:rPr>
          <w:rFonts w:ascii="Arial" w:cs="Arial" w:eastAsia="Arial" w:hAnsi="Arial"/>
          <w:sz w:val="18"/>
          <w:szCs w:val="18"/>
          <w:color w:val="000000"/>
        </w:rPr>
        <w:t>facility; the ATM Programs; and project-level financings for its various assets.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Revolving Credit Facility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The Company has a total of $436 million available under the revolving credit facility as of September 30, 2020. The facility will continue to be used for general corporate purposes including financing of future acquisitions and posting letters of credit.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DG-CS Master Borrower LLC</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On November 2, 2020, DG-CS Master Borrower LLC, a wholly owned subsidiary of Clearway Energy Operating LLC, entered into a financing arrangement, which included the issuance of a $467 million term loan, as well as $30 million in letters of credit in support of debt service. The notes bear interest at 3.51% and mature on September 30, 2040. The proceeds from the loan were utilized to repay existing project-level debt outstanding for Chestnut Borrower LLC, Renew Solar CS 4 Borrower LLC, DGPV 4 Borrower LLC and Puma Class B LLC of $107 million, $102 million, $92 million and $73 million respectively and unwind related interest rate swaps in the amount of $42 million. The remaining proceeds were utilized to pay related fees and expenses and in part to acquire the Class B membership interests in the DGPV Holdco Entities and an SREC contract from CEG as further described in Note 4,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Concurrent with the refinancing, the projects were transferred under DG-CS Master Borrower LLC and the obligations under the financing arrangement are supported by the Company's interest in the projects.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Utah Solar Holdings, LLC</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September 1, 2020, Utah Solar Holdings, LLC, or Utah Solar, entered into a financing arrangement, which included the issuance of approximately $296 million in senior secured notes supported by the Company’s interest in the Utah projects (Four Brothers, Granite Mountain and Iron Springs, previously defined as the Utah Solar Portfolio). The notes bear interest at 3.59% per annum and mature on December 31, 2036. The proceeds from the issuance were utilized to repay existing debt outstanding of approximately $247 million for the Utah projects and to unwind the related interest rate swaps in the amount of $33 million. The remaining proceeds were utilized to pay related fees and expenses, with the remaining $9 million distributed to Clearway Energy Operating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p>
      <w:pPr>
        <w:ind w:left="420"/>
        <w:spacing w:after="0"/>
        <w:rPr>
          <w:sz w:val="20"/>
          <w:szCs w:val="20"/>
          <w:color w:val="auto"/>
        </w:rPr>
      </w:pPr>
      <w:r>
        <w:rPr>
          <w:rFonts w:ascii="Arial" w:cs="Arial" w:eastAsia="Arial" w:hAnsi="Arial"/>
          <w:sz w:val="18"/>
          <w:szCs w:val="18"/>
          <w:i w:val="1"/>
          <w:iCs w:val="1"/>
          <w:color w:val="auto"/>
        </w:rPr>
        <w:t>NIMH Solar LLC</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September 30, 2020, NIMH Solar LLC, a wholly-owned subsidiary of Clearway Energy Operating LLC, entered into a financing arrangement, which included the issuance of $193 million under a term loan facility, as well as $16 million in letters of credit in support of debt service and project obligations. The term loan bears annual interest rate of LIBOR, plus an applicable margin, which is 2.00% per annum through the third party anniversary of closing, and 2.125% per annum thereafter through the maturity date in September 2024. The term loans mature on September 30, 2024. The proceeds from the term loan were utilized to repay existing project-level debt outstanding for Alpine, Blythe and Roadrunner of $117 million, $14 million and $27 million, respectively. The remaining proceeds were utilized to pay related fees and expenses and along with existing project level cash provided a distribution to Clearway Energy Operating LLC of $45 million. Concurrent with the refinancing, the Alpine, Blythe and Roadrunner projects were transferred under NIMH Solar LLC and the obligations under the financing arrangement are supported by the Company’s interests in the projects.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2028 Senior Notes</w:t>
      </w:r>
    </w:p>
    <w:p>
      <w:pPr>
        <w:spacing w:after="0" w:line="17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On May 21, 2020, Clearway Energy Operating LLC completed the sale of an additional $250 million aggregate principal amount of the 2028 Senior Notes. The 2028 Senior Notes bear interest at 4.75% and mature on March 15, 2028. Interest on the 2028 Senior Notes is payable semi-annually on March 15 and September 15 of each year, and interest payments will commence on September 15, 2020. The 2028 Senior Notes are unsecured obligations of Clearway Energy Operating, LLC and are guaranteed by the Company and by certain of Clearway Energy Operating LLC’s wholly owned current and future subsidiaries. The notes were issued at a price of 102% of par plus accrued interest from December 11, 2019. The net proceeds were used to repay the outstanding long-term debt to Clearway Energy, Inc. which was in turn utilized to repay the $45 million outstanding principal amount of Clearway Energy Inc.'s 2020 Convertible Notes on June 1, 2020, as well as repay amounts outstanding under the Company’s revolving credit facility and for general corporate purposes.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ATM Programs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August 6, 2020, Clearway Energy, Inc. entered into an equity distribution agreement with Credit Suisse Securities (USA) LLC, Goldman Sachs &amp; Co. LLC, Morgan Stanley &amp; Co. LLC and UBS Securities LLC, as sales agents. Pursuant to the terms of the equity distribution agreement, Clearway Energy, Inc. may offer and sell shares of its Class C common stock from time to time through the sales agents up to an aggregate sales price of $150 million through an at-the-market equity offering program, or the 2020 ATM Program. During the third quarter, Clearway Energy, Inc. issued and sold 792,929 shares of Class C common stock for gross proceeds of $21 million. As of September 30, 2020, approximately $129 million of Class C common stock remains available for issuance under the 2020 ATM Program.</w:t>
      </w:r>
    </w:p>
    <w:p>
      <w:pPr>
        <w:spacing w:after="0" w:line="13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June 30, 2020, Clearway Energy, Inc. completed the issuance of shares of Class C common stock totaling $150 million under the 2016 ATM Program. During the first half of 2020, Clearway Energy, Inc. issued and sold 1,749,665 shares of Class C common stock for gross proceeds of $38 million under the 2016 ATM Program.</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and nine months ended September 30, 2020, Clearway Energy, Inc. incurred commission fees of $0.2 million and $0.6 million, respectively, related to the ATM Programs.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Clearway Energy, Inc. utilized the proceeds of the sales under the ATM Programs to acquire 2,542,594 Class C units of the Company and, as a result, Clearway Energy, Inc. currently owns 57.58% of the economic interests of the Company, with CEG retaining 42.42% of the economic interests of the Company.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 of Interest in RPV Holdco 1</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On May 14, 2020, the Company sold its interests in RPV Holdco 1 LLC, or RPV Holdco, to a third party for net proceeds of approximately </w:t>
      </w:r>
      <w:r>
        <w:rPr>
          <w:rFonts w:ascii="Arial" w:cs="Arial" w:eastAsia="Arial" w:hAnsi="Arial"/>
          <w:sz w:val="18"/>
          <w:szCs w:val="18"/>
          <w:color w:val="000000"/>
        </w:rPr>
        <w:t>$75 million</w:t>
      </w:r>
      <w:r>
        <w:rPr>
          <w:rFonts w:ascii="Arial" w:cs="Arial" w:eastAsia="Arial" w:hAnsi="Arial"/>
          <w:sz w:val="18"/>
          <w:szCs w:val="18"/>
          <w:color w:val="231F20"/>
        </w:rPr>
        <w:t>. The Company previously accounted for its interest in RPV Holdco as an equity method investment. The sale of the investment resulted in a</w:t>
      </w:r>
      <w:r>
        <w:rPr>
          <w:rFonts w:ascii="Arial" w:cs="Arial" w:eastAsia="Arial" w:hAnsi="Arial"/>
          <w:sz w:val="18"/>
          <w:szCs w:val="18"/>
          <w:color w:val="000000"/>
        </w:rPr>
        <w:t xml:space="preserve"> </w:t>
      </w:r>
      <w:r>
        <w:rPr>
          <w:rFonts w:ascii="Arial" w:cs="Arial" w:eastAsia="Arial" w:hAnsi="Arial"/>
          <w:sz w:val="18"/>
          <w:szCs w:val="18"/>
          <w:color w:val="231F20"/>
        </w:rPr>
        <w:t xml:space="preserve">gain of approximately </w:t>
      </w:r>
      <w:r>
        <w:rPr>
          <w:rFonts w:ascii="Arial" w:cs="Arial" w:eastAsia="Arial" w:hAnsi="Arial"/>
          <w:sz w:val="18"/>
          <w:szCs w:val="18"/>
          <w:color w:val="000000"/>
        </w:rPr>
        <w:t>$49 million</w:t>
      </w:r>
      <w:r>
        <w:rPr>
          <w:rFonts w:ascii="Arial" w:cs="Arial" w:eastAsia="Arial" w:hAnsi="Arial"/>
          <w:sz w:val="18"/>
          <w:szCs w:val="18"/>
          <w:color w:val="231F20"/>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Sale </w:t>
      </w:r>
      <w:r>
        <w:rPr>
          <w:rFonts w:ascii="Arial" w:cs="Arial" w:eastAsia="Arial" w:hAnsi="Arial"/>
          <w:sz w:val="18"/>
          <w:szCs w:val="18"/>
          <w:i w:val="1"/>
          <w:iCs w:val="1"/>
          <w:color w:val="000000"/>
        </w:rPr>
        <w:t>of Energy Center Dover LLC and Energy Center Smyrna LLC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3, 2020, the Company, through Thermal LLC, sold 100% of its interests in Energy Center Dover LLC and Energy Center Smyrna LLC to DB Energy Assets,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distributions.</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w:t>
      </w:r>
    </w:p>
    <w:p>
      <w:pPr>
        <w:spacing w:after="0" w:line="1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For the nine months ended </w:t>
      </w:r>
      <w:r>
        <w:rPr>
          <w:rFonts w:ascii="Arial" w:cs="Arial" w:eastAsia="Arial" w:hAnsi="Arial"/>
          <w:sz w:val="18"/>
          <w:szCs w:val="18"/>
          <w:color w:val="000000"/>
        </w:rPr>
        <w:t>September 30, 2020</w:t>
      </w:r>
      <w:r>
        <w:rPr>
          <w:rFonts w:ascii="Arial" w:cs="Arial" w:eastAsia="Arial" w:hAnsi="Arial"/>
          <w:sz w:val="18"/>
          <w:szCs w:val="18"/>
          <w:color w:val="231F20"/>
        </w:rPr>
        <w:t xml:space="preserve">, the Company used approximately $95 million to fund capital expenditures, including growth </w:t>
      </w:r>
      <w:r>
        <w:rPr>
          <w:rFonts w:ascii="Arial" w:cs="Arial" w:eastAsia="Arial" w:hAnsi="Arial"/>
          <w:sz w:val="18"/>
          <w:szCs w:val="18"/>
          <w:color w:val="000000"/>
        </w:rPr>
        <w:t>expenditures of $79 million, $48 million of which were incurred in connection with the repowering of the Elbow Creek and Wildorado facilities completed in the first quarter of 2020, as well as $7 million in connection with Oahu and Kawailoa Partnerships. The Company also incurred $20 million of growth capital expenditures in the Thermal segment in connection with various development projects. In addition, the Company incurred $16 million in maintenance capital expenditures. The Company estimates $32 million of maintenance expenditures for 2020. These estimates are subject to continuing review and adjustment. Actual capital expenditures may vary from these estimates.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DGPV Holdco Consolidation</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November 2, 2020, the Company acquired the Class B membership interests in DGPV Holdco 1, DGPV Holdco 2 and DGPV Holdco 3, or DGPV Holdco Entities, as well as an SREC contract, from Renew DG Holdings LLC, a subsidiary of CEG for $44 million in cash consideration. The Company previously held the Class A membership interests in the DGPV Holdco Entities and accounted for its interests in DGPV Holdco 1 and DGPV Holdco 2 as equity method investments, while DGPV Holdco 3 was consolidated by the Company effective May 29, 2020. For further discussion, see Note 4 —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Purchase of Repowered Langford Wind Project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November 2, 2020, the Company entered into agreements with Clearway Renew LLC, a subsidiary of CEG, to acquire 100% of the cash equity interests in Langford Holding LLC, which owns the Langford wind project, for cash consideration of approximately $64 million, subject to closing adjustments. The Langford wind project is a 160 MW utility scale wind project located in West Texas that is expected to achieve repowering commercial operations and close in the fourth quarter of 2020.</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Mesquite Star Wind Drop Down Acquisition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September 1, 2020, the Company, through its indirect subsidiary Mesquite Star HoldCo LLC, acquired the Class A membership interests in Mesquite Star Pledgor LLC from Clearway Renew LLC, a subsidiary of CEG, for $79 million in cash consideration. Mesquite Star Pledgor LLC is the primary beneficiary and consolidates its interest in a tax equity fund that owns the Mesquite Star wind project, a 419 MW utility scale wind project located in Fisher County, Texas. A majority of the project’s output is backed by contracts with investment grade counterparties with a 12 year weighted average contract life. The investment was funded with existing liquidity.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ind w:left="420"/>
        <w:spacing w:after="0"/>
        <w:rPr>
          <w:sz w:val="20"/>
          <w:szCs w:val="20"/>
          <w:color w:val="auto"/>
        </w:rPr>
      </w:pPr>
      <w:r>
        <w:rPr>
          <w:rFonts w:ascii="Arial" w:cs="Arial" w:eastAsia="Arial" w:hAnsi="Arial"/>
          <w:sz w:val="18"/>
          <w:szCs w:val="18"/>
          <w:i w:val="1"/>
          <w:iCs w:val="1"/>
          <w:color w:val="auto"/>
        </w:rPr>
        <w:t>Cash Equity Partnership Offer</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October 2, 2020, CEG offered the Company an opportunity to enter into partnership arrangements alongside a third-party equity investor, which will, at close, own a 100% cash equity interest in a portfolio that will include (i) 1,204 MW from six geographically diversified wind, solar and solar storage assets expected to reach COD between the fourth quarter of 2020 and the fourth quarter of 2022 and ii) CEG's remaining cash equity interest in Mesquite Star Pledgor LLC, which owns the Mesquite Star wind project, a 419 MW utility scale wind facility that reached COD in June 2020. The Company’s ownership stake in the partnership arrangements is subject to further negotiation with the Company acting as managing member for the applicable partnerships. The investment is subject to negotiation, both with CEG and the third-party capital investor, and the review and approval by the Company’s Independent Directors.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Agreements to Acquire and Invest in a Portfolio of Renewable Energy Projects from CEG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April 17, 2020, the Company entered into binding agreements related to the previously announced drop-down offer from CEG to enable the Company to acquire and invest in a portfolio of renewable energy projects. The following projects are included in the drop-down. The agreements commit the Company to invest approximately $241 million in corporate capital, subject to closing adjustments.</w:t>
      </w:r>
    </w:p>
    <w:p>
      <w:pPr>
        <w:spacing w:after="0" w:line="130" w:lineRule="exact"/>
        <w:rPr>
          <w:sz w:val="20"/>
          <w:szCs w:val="20"/>
          <w:color w:val="auto"/>
        </w:rPr>
      </w:pPr>
    </w:p>
    <w:p>
      <w:pPr>
        <w:jc w:val="both"/>
        <w:ind w:left="340" w:hanging="332"/>
        <w:spacing w:after="0" w:line="255"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Rattlesnake Wind: The Company signed agreements to acquire Rattlesnake Flat LLC, which owns the Rattlesnake Wind Project, a 144 net MW wind facility located in Adams County, WA. Corporate capital funding for the project and commercial operations for the project are expected to occur by the end of 2020.</w:t>
      </w:r>
    </w:p>
    <w:p>
      <w:pPr>
        <w:spacing w:after="0" w:line="2"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color w:val="auto"/>
        </w:rPr>
        <w:t>Remaining Interest in Repowering Partnership II LLC: On May 11, 2020 the Company acquired CEG's remaining interest in Repowering 1.0, which included the 161 MW Wildorado and 122 MW Elbow Creek wind projects, for cash consideration of $70 million.</w:t>
      </w:r>
    </w:p>
    <w:p>
      <w:pPr>
        <w:jc w:val="both"/>
        <w:ind w:left="340" w:hanging="332"/>
        <w:spacing w:after="0" w:line="271" w:lineRule="auto"/>
        <w:tabs>
          <w:tab w:leader="none" w:pos="3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Pinnacle Wind Repowering: a new partnership with CEG to repower the Pinnacle Wind Project, a 55 net MW wind facility located in Mineral County, WV. The Company expects to invest approximately $241 million in corporate capital subject to closing adjustments for the above mentioned transactions. Closing is subject to the timing of projects achieving commercial operations. The investment at commercial operations excludes, subject to closing adjustments, an additional $27 million payment in 2031 at the Pinnacle Wind Repowering Partnership. The Company entered into binding agreements to acquire and invest in a portfolio of renewable energy projects.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Partnership with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September 30, 2020, the Company invested $10 million in distributed generation partnerships with CEG.</w:t>
      </w:r>
    </w:p>
    <w:p>
      <w:pPr>
        <w:spacing w:after="0" w:line="200" w:lineRule="exact"/>
        <w:rPr>
          <w:sz w:val="20"/>
          <w:szCs w:val="20"/>
          <w:color w:val="auto"/>
        </w:rPr>
      </w:pPr>
    </w:p>
    <w:p>
      <w:pPr>
        <w:spacing w:after="0" w:line="3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and Clearway Energy Operating LLC Revolving Credit Facility</w:t>
      </w:r>
    </w:p>
    <w:p>
      <w:pPr>
        <w:spacing w:after="0" w:line="171"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As of September 30, 2020, the Company had no outstanding borrowings under the revolving credit facility and $59 million in letters of credit outstanding. The Company had no borrowings under the revolving credit facility during the three months ended September 30, 2020. During the nine months ended September 30, 2020, the Company borrowed $265 million under the revolving credit facility, and subsequently repaid $265 million utilizing the proceeds from the issuance of additional 2028 Senior Notes, as described above, and cash on hand.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2020 Convertible Notes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June 1, 2020, the Company repaid its outstanding $45 million of long-term debt owed to Clearway Energy, Inc. which was in turn utilized to repay the remaining Clearway Energy, Inc. 2020 Convertible Notes, utilizing the proceeds from the issuance of additional 2028 Senior Notes as described above.</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Distributions to Clearway Energy, Inc.</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the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p>
      <w:pPr>
        <w:ind w:left="420"/>
        <w:spacing w:after="0"/>
        <w:rPr>
          <w:sz w:val="20"/>
          <w:szCs w:val="20"/>
          <w:color w:val="auto"/>
        </w:rPr>
      </w:pPr>
      <w:r>
        <w:rPr>
          <w:rFonts w:ascii="Arial" w:cs="Arial" w:eastAsia="Arial" w:hAnsi="Arial"/>
          <w:sz w:val="17"/>
          <w:szCs w:val="17"/>
          <w:color w:val="auto"/>
        </w:rPr>
        <w:t>The following table lists the distributions paid on the Company's Class A, B, C and D units during the nine months ended September 30,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 2020</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Second Quarter</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2020</w:t>
            </w:r>
          </w:p>
        </w:tc>
        <w:tc>
          <w:tcPr>
            <w:tcW w:w="0" w:type="dxa"/>
            <w:vAlign w:val="bottom"/>
          </w:tcPr>
          <w:p>
            <w:pPr>
              <w:spacing w:after="0"/>
              <w:rPr>
                <w:sz w:val="1"/>
                <w:szCs w:val="1"/>
                <w:color w:val="auto"/>
              </w:rPr>
            </w:pPr>
          </w:p>
        </w:tc>
      </w:tr>
      <w:tr>
        <w:trPr>
          <w:trHeight w:val="188"/>
        </w:trPr>
        <w:tc>
          <w:tcPr>
            <w:tcW w:w="706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Class A, B, C and D unit</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27, 2020, the Company declared a distribution on its Class A, Class B, Class C and Class D units of $0.318 per unit payable on December 15, 2020 to unit holders of record as of December 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reflects the changes in cash flows for the nine months ended September 30, 2020,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(In millions)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3"/>
              </w:rPr>
              <w:t>373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240" w:type="dxa"/>
            <w:vAlign w:val="bottom"/>
          </w:tcPr>
          <w:p>
            <w:pPr>
              <w:jc w:val="center"/>
              <w:ind w:left="710"/>
              <w:spacing w:after="0"/>
              <w:rPr>
                <w:sz w:val="20"/>
                <w:szCs w:val="20"/>
                <w:color w:val="auto"/>
              </w:rPr>
            </w:pPr>
            <w:r>
              <w:rPr>
                <w:rFonts w:ascii="Arial" w:cs="Arial" w:eastAsia="Arial" w:hAnsi="Arial"/>
                <w:sz w:val="18"/>
                <w:szCs w:val="18"/>
                <w:color w:val="auto"/>
                <w:w w:val="95"/>
              </w:rPr>
              <w:t>(300)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5"/>
              </w:rPr>
              <w:t>(262)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29"/>
        </w:trPr>
        <w:tc>
          <w:tcPr>
            <w:tcW w:w="40" w:type="dxa"/>
            <w:vAlign w:val="bottom"/>
          </w:tcPr>
          <w:p>
            <w:pPr>
              <w:spacing w:after="0"/>
              <w:rPr>
                <w:sz w:val="24"/>
                <w:szCs w:val="24"/>
                <w:color w:val="auto"/>
              </w:rPr>
            </w:pPr>
          </w:p>
        </w:tc>
        <w:tc>
          <w:tcPr>
            <w:tcW w:w="70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Increase in operating income adjusted for non-cash items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80" w:type="dxa"/>
            <w:vAlign w:val="bottom"/>
          </w:tcPr>
          <w:p>
            <w:pPr>
              <w:ind w:left="80"/>
              <w:spacing w:after="0"/>
              <w:rPr>
                <w:sz w:val="20"/>
                <w:szCs w:val="20"/>
                <w:color w:val="auto"/>
              </w:rPr>
            </w:pPr>
            <w:r>
              <w:rPr>
                <w:rFonts w:ascii="Arial" w:cs="Arial" w:eastAsia="Arial" w:hAnsi="Arial"/>
                <w:sz w:val="18"/>
                <w:szCs w:val="18"/>
                <w:color w:val="auto"/>
              </w:rPr>
              <w:t>Increase in dividend distributions received from unconsolidated affiliates</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986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w w:val="97"/>
              </w:rPr>
              <w:t>Increase in working capital driven primarily by the timing of accounts receivable collections and payments of accounts payable</w:t>
            </w: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80" w:type="dxa"/>
            <w:vAlign w:val="bottom"/>
            <w:vMerge w:val="restart"/>
          </w:tcPr>
          <w:p>
            <w:pPr>
              <w:ind w:left="38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Changes to net cash used in investing activities were driven by:</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9860" w:type="dxa"/>
            <w:vAlign w:val="bottom"/>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w w:val="98"/>
              </w:rPr>
              <w:t>Decrease in capital expenditures primarily driven by 2019 growth capital expenditures in the Renewables segment related to</w:t>
            </w:r>
          </w:p>
        </w:tc>
        <w:tc>
          <w:tcPr>
            <w:tcW w:w="2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repowering of Elbow Creek and Wildorado</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Acquisition of Duquesne University District Energy System on May 1, 2019</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Proceeds received from sale of RPV Holdco, Energy Center Dover LLC and Energy Center Smyrna LLC in 2020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w w:val="98"/>
              </w:rPr>
              <w:t>Payment to buy out an existing tax equity partner of Wind TE Holdco on January 2, 2019</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 in cash due to consolidation of DGPV Holdco LLC in May 2020</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Increase in net distributions from unconsolidated affiliates in 2020</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9860" w:type="dxa"/>
            <w:vAlign w:val="bottom"/>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w w:val="94"/>
              </w:rPr>
              <w:t>Increase in cash paid for Drop Down Assets due to investment in Mesquite Star in 2020, partially offset by acquisition of Oahu and</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Kawailoa partnership interests in 2019</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Changes in net cash used in financing activities were driven by:</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9860" w:type="dxa"/>
            <w:vAlign w:val="bottom"/>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w w:val="95"/>
              </w:rPr>
              <w:t>Increase in debt repayments in 2020 primarily driven by repayments of Renewable project level debt in 2020 partially offset by a</w:t>
            </w:r>
          </w:p>
        </w:tc>
        <w:tc>
          <w:tcPr>
            <w:tcW w:w="2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reduction in Corporate level debt repayments in 2020 compared to 2019</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gridSpan w:val="2"/>
          </w:tcPr>
          <w:p>
            <w:pPr>
              <w:ind w:left="100"/>
              <w:spacing w:after="0"/>
              <w:rPr>
                <w:sz w:val="20"/>
                <w:szCs w:val="20"/>
                <w:color w:val="auto"/>
              </w:rPr>
            </w:pPr>
            <w:r>
              <w:rPr>
                <w:rFonts w:ascii="Arial" w:cs="Arial" w:eastAsia="Arial" w:hAnsi="Arial"/>
                <w:sz w:val="18"/>
                <w:szCs w:val="18"/>
                <w:color w:val="auto"/>
                <w:w w:val="92"/>
              </w:rPr>
              <w:t>Payment to buy out CEG's noncontrolling interest in Repowering Partnership II LLC on May 11, 2020</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 in dividends paid to unit holders in 2020</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Increase in debt proceeds in 2020 primarily driven by issuance of 2028 Senior Notes</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9860" w:type="dxa"/>
            <w:vAlign w:val="bottom"/>
            <w:gridSpan w:val="5"/>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Decrease in net repayments of affiliate long-term debt in 2020 compared to 2019, primarily due to repayments in the first quarter 2019</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 repay an intercompany demand note</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9860" w:type="dxa"/>
            <w:vAlign w:val="bottom"/>
            <w:gridSpan w:val="5"/>
          </w:tcPr>
          <w:p>
            <w:pPr>
              <w:ind w:left="100"/>
              <w:spacing w:after="0" w:line="176" w:lineRule="exact"/>
              <w:rPr>
                <w:sz w:val="20"/>
                <w:szCs w:val="20"/>
                <w:color w:val="auto"/>
              </w:rPr>
            </w:pPr>
            <w:r>
              <w:rPr>
                <w:rFonts w:ascii="Arial" w:cs="Arial" w:eastAsia="Arial" w:hAnsi="Arial"/>
                <w:sz w:val="18"/>
                <w:szCs w:val="18"/>
                <w:color w:val="auto"/>
                <w:w w:val="92"/>
              </w:rPr>
              <w:t>Increase in net contributions received from noncontrolling interests in 2020 compared to 2019, primarily from tax equity contributions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in Wildorado TE Holdco</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proceeds received from equity issuance in 2020</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Variable interest in equity investments </w:t>
      </w:r>
      <w:r>
        <w:rPr>
          <w:rFonts w:ascii="Arial" w:cs="Arial" w:eastAsia="Arial" w:hAnsi="Arial"/>
          <w:sz w:val="18"/>
          <w:szCs w:val="18"/>
          <w:color w:val="auto"/>
        </w:rPr>
        <w:t>— As of September 30, 2020, the Company has several investments with an ownership interest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50% or less in energy and energy-related entities that are accounted for under the equity method. DGPV Holdco 1 LLC</w:t>
      </w:r>
      <w:r>
        <w:rPr>
          <w:rFonts w:ascii="Arial" w:cs="Arial" w:eastAsia="Arial" w:hAnsi="Arial"/>
          <w:sz w:val="18"/>
          <w:szCs w:val="18"/>
          <w:i w:val="1"/>
          <w:iCs w:val="1"/>
          <w:color w:val="auto"/>
        </w:rPr>
        <w:t>,</w:t>
      </w:r>
      <w:r>
        <w:rPr>
          <w:rFonts w:ascii="Arial" w:cs="Arial" w:eastAsia="Arial" w:hAnsi="Arial"/>
          <w:sz w:val="18"/>
          <w:szCs w:val="18"/>
          <w:color w:val="auto"/>
        </w:rPr>
        <w:t xml:space="preserve"> DGPV Holdco 2 LLC and GenConn are variable interest entities for which the Company is not the primary beneficiary. The Company's pro-rata share of non-recourse debt held by unconsolidated affiliates was approximately $652 million as of September 30, 2020. This indebtedness may restrict the ability of these subsidiaries to issue dividends or distributions to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the Company's capital expenditure programs, as disclosed in the Company's 2019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3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September 30, 2020</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September 30, 2020</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1 —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ectPr>
          <w:pgSz w:w="11900" w:h="16838" w:orient="portrait"/>
          <w:cols w:equalWidth="0" w:num="1">
            <w:col w:w="11240"/>
          </w:cols>
          <w:pgMar w:left="320" w:top="891" w:right="339" w:bottom="1440" w:gutter="0" w:footer="0" w:header="0"/>
        </w:sectPr>
      </w:pP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Derivative Activity (Losses) Gains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contracts as of December 31, 2019</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Contracts realized or otherwise settled during the period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Contracts acquired during the period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Contracts removed during the period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contracts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Fair Value Hierarchy (Losses) Gains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Level 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Level 3</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9"/>
            <w:vMerge w:val="restart"/>
          </w:tcPr>
          <w:p>
            <w:pPr>
              <w:jc w:val="center"/>
              <w:ind w:right="380"/>
              <w:spacing w:after="0"/>
              <w:rPr>
                <w:sz w:val="20"/>
                <w:szCs w:val="20"/>
                <w:color w:val="auto"/>
              </w:rPr>
            </w:pPr>
            <w:r>
              <w:rPr>
                <w:rFonts w:ascii="Arial" w:cs="Arial" w:eastAsia="Arial" w:hAnsi="Arial"/>
                <w:sz w:val="14"/>
                <w:szCs w:val="14"/>
                <w:b w:val="1"/>
                <w:bCs w:val="1"/>
                <w:color w:val="auto"/>
                <w:w w:val="91"/>
              </w:rPr>
              <w:t>Fair value of contracts as of September 30, 2020</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1"/>
        </w:trPr>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6"/>
              </w:rPr>
              <w:t>Greater Than</w:t>
            </w:r>
          </w:p>
        </w:tc>
        <w:tc>
          <w:tcPr>
            <w:tcW w:w="120" w:type="dxa"/>
            <w:vAlign w:val="bottom"/>
          </w:tcPr>
          <w:p>
            <w:pPr>
              <w:spacing w:after="0"/>
              <w:rPr>
                <w:sz w:val="12"/>
                <w:szCs w:val="12"/>
                <w:color w:val="auto"/>
              </w:rPr>
            </w:pPr>
          </w:p>
        </w:tc>
        <w:tc>
          <w:tcPr>
            <w:tcW w:w="11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Greater Than</w:t>
            </w:r>
          </w:p>
        </w:tc>
        <w:tc>
          <w:tcPr>
            <w:tcW w:w="160" w:type="dxa"/>
            <w:vAlign w:val="bottom"/>
          </w:tcPr>
          <w:p>
            <w:pPr>
              <w:spacing w:after="0"/>
              <w:rPr>
                <w:sz w:val="12"/>
                <w:szCs w:val="12"/>
                <w:color w:val="auto"/>
              </w:rPr>
            </w:pPr>
          </w:p>
        </w:tc>
        <w:tc>
          <w:tcPr>
            <w:tcW w:w="1280" w:type="dxa"/>
            <w:vAlign w:val="bottom"/>
            <w:gridSpan w:val="3"/>
          </w:tcPr>
          <w:p>
            <w:pPr>
              <w:jc w:val="center"/>
              <w:ind w:right="320"/>
              <w:spacing w:after="0" w:line="148" w:lineRule="exact"/>
              <w:rPr>
                <w:sz w:val="20"/>
                <w:szCs w:val="20"/>
                <w:color w:val="auto"/>
              </w:rPr>
            </w:pPr>
            <w:r>
              <w:rPr>
                <w:rFonts w:ascii="Arial" w:cs="Arial" w:eastAsia="Arial" w:hAnsi="Arial"/>
                <w:sz w:val="14"/>
                <w:szCs w:val="14"/>
                <w:b w:val="1"/>
                <w:bCs w:val="1"/>
                <w:color w:val="auto"/>
                <w:w w:val="96"/>
              </w:rPr>
              <w:t>Greater Than</w:t>
            </w:r>
          </w:p>
        </w:tc>
        <w:tc>
          <w:tcPr>
            <w:tcW w:w="140" w:type="dxa"/>
            <w:vAlign w:val="bottom"/>
          </w:tcPr>
          <w:p>
            <w:pPr>
              <w:spacing w:after="0"/>
              <w:rPr>
                <w:sz w:val="12"/>
                <w:szCs w:val="12"/>
                <w:color w:val="auto"/>
              </w:rPr>
            </w:pPr>
          </w:p>
        </w:tc>
        <w:tc>
          <w:tcPr>
            <w:tcW w:w="9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1 Year to 3 Years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 to 5 Years</w:t>
            </w:r>
          </w:p>
        </w:tc>
        <w:tc>
          <w:tcPr>
            <w:tcW w:w="160" w:type="dxa"/>
            <w:vAlign w:val="bottom"/>
          </w:tcPr>
          <w:p>
            <w:pPr>
              <w:spacing w:after="0"/>
              <w:rPr>
                <w:sz w:val="16"/>
                <w:szCs w:val="16"/>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5 Years</w:t>
            </w:r>
          </w:p>
        </w:tc>
        <w:tc>
          <w:tcPr>
            <w:tcW w:w="14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6"/>
        </w:trPr>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655"/>
              <w:spacing w:after="0"/>
              <w:rPr>
                <w:sz w:val="20"/>
                <w:szCs w:val="20"/>
                <w:color w:val="auto"/>
              </w:rPr>
            </w:pPr>
            <w:r>
              <w:rPr>
                <w:rFonts w:ascii="Arial" w:cs="Arial" w:eastAsia="Arial" w:hAnsi="Arial"/>
                <w:sz w:val="18"/>
                <w:szCs w:val="18"/>
                <w:color w:val="auto"/>
                <w:w w:val="93"/>
              </w:rPr>
              <w:t>(36)</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220" w:type="dxa"/>
            <w:vAlign w:val="bottom"/>
            <w:gridSpan w:val="2"/>
          </w:tcPr>
          <w:p>
            <w:pPr>
              <w:jc w:val="center"/>
              <w:ind w:left="55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center"/>
              <w:ind w:left="655"/>
              <w:spacing w:after="0"/>
              <w:rPr>
                <w:sz w:val="20"/>
                <w:szCs w:val="20"/>
                <w:color w:val="auto"/>
              </w:rPr>
            </w:pPr>
            <w:r>
              <w:rPr>
                <w:rFonts w:ascii="Arial" w:cs="Arial" w:eastAsia="Arial" w:hAnsi="Arial"/>
                <w:sz w:val="18"/>
                <w:szCs w:val="18"/>
                <w:color w:val="auto"/>
                <w:w w:val="93"/>
              </w:rPr>
              <w:t>(36)</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-2390775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-2091055</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-1799590</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-333375</wp:posOffset>
            </wp:positionV>
            <wp:extent cx="7115175"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540"/>
            <w:col w:w="644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4" w:name="page75"/>
    <w:bookmarkEnd w:id="74"/>
    <w:p>
      <w:pPr>
        <w:jc w:val="both"/>
        <w:ind w:firstLine="405"/>
        <w:spacing w:after="0" w:line="301"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Quantitative and Qualitative Disclosures about Market Risk - Commodity Price Risk, the </w:t>
      </w:r>
      <w:r>
        <w:rPr>
          <w:rFonts w:ascii="Arial" w:cs="Arial" w:eastAsia="Arial" w:hAnsi="Arial"/>
          <w:sz w:val="16"/>
          <w:szCs w:val="16"/>
          <w:color w:val="000000"/>
        </w:rPr>
        <w:t>Company, measures the</w:t>
      </w:r>
      <w:r>
        <w:rPr>
          <w:rFonts w:ascii="Arial" w:cs="Arial" w:eastAsia="Arial" w:hAnsi="Arial"/>
          <w:sz w:val="16"/>
          <w:szCs w:val="16"/>
          <w:color w:val="231F20"/>
        </w:rPr>
        <w:t xml:space="preserve"> </w:t>
      </w:r>
      <w:r>
        <w:rPr>
          <w:rFonts w:ascii="Arial" w:cs="Arial" w:eastAsia="Arial" w:hAnsi="Arial"/>
          <w:sz w:val="16"/>
          <w:szCs w:val="16"/>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Item 1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8"/>
          <w:szCs w:val="18"/>
          <w:color w:val="000000"/>
        </w:rPr>
        <w:t>The following disclosures about market risk provide</w:t>
      </w:r>
      <w:r>
        <w:rPr>
          <w:rFonts w:ascii="Arial" w:cs="Arial" w:eastAsia="Arial" w:hAnsi="Arial"/>
          <w:sz w:val="18"/>
          <w:szCs w:val="18"/>
          <w:color w:val="231F20"/>
        </w:rPr>
        <w:t xml:space="preserve"> </w:t>
      </w:r>
      <w:r>
        <w:rPr>
          <w:rFonts w:ascii="Arial" w:cs="Arial" w:eastAsia="Arial" w:hAnsi="Arial"/>
          <w:sz w:val="18"/>
          <w:szCs w:val="18"/>
          <w:color w:val="000000"/>
        </w:rPr>
        <w:t xml:space="preserve">an update to, and should be read in conjunction with, Item 7A — </w:t>
      </w:r>
      <w:r>
        <w:rPr>
          <w:rFonts w:ascii="Arial" w:cs="Arial" w:eastAsia="Arial" w:hAnsi="Arial"/>
          <w:sz w:val="18"/>
          <w:szCs w:val="18"/>
          <w:i w:val="1"/>
          <w:iCs w:val="1"/>
          <w:color w:val="000000"/>
        </w:rPr>
        <w:t>Quantitative and Qualitative Disclosures About Market Risk</w:t>
      </w:r>
      <w:r>
        <w:rPr>
          <w:rFonts w:ascii="Arial" w:cs="Arial" w:eastAsia="Arial" w:hAnsi="Arial"/>
          <w:sz w:val="18"/>
          <w:szCs w:val="18"/>
          <w:color w:val="000000"/>
        </w:rPr>
        <w:t xml:space="preserve"> of the Company's 2019 Form 10-K.</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Arial" w:cs="Arial" w:eastAsia="Arial" w:hAnsi="Arial"/>
          <w:sz w:val="17"/>
          <w:szCs w:val="17"/>
          <w:color w:val="000000"/>
        </w:rPr>
        <w:t>— 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w:t>
      </w:r>
      <w:r>
        <w:rPr>
          <w:rFonts w:ascii="Arial" w:cs="Arial" w:eastAsia="Arial" w:hAnsi="Arial"/>
          <w:sz w:val="17"/>
          <w:szCs w:val="17"/>
          <w:color w:val="231F20"/>
        </w:rPr>
        <w:t xml:space="preserve"> </w:t>
      </w:r>
      <w:r>
        <w:rPr>
          <w:rFonts w:ascii="Arial" w:cs="Arial" w:eastAsia="Arial" w:hAnsi="Arial"/>
          <w:sz w:val="17"/>
          <w:szCs w:val="17"/>
          <w:color w:val="000000"/>
        </w:rPr>
        <w:t xml:space="preserve">2019 included in the 2019 Form 10-K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September 30, 2020</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$177 million</w:t>
      </w:r>
      <w:r>
        <w:rPr>
          <w:rFonts w:ascii="Arial" w:cs="Arial" w:eastAsia="Arial" w:hAnsi="Arial"/>
          <w:sz w:val="18"/>
          <w:szCs w:val="18"/>
          <w:color w:val="231F20"/>
        </w:rPr>
        <w:t>.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 has long-term debt instruments that subject it to the risk of loss associated with movements in market interest rates. As of </w:t>
      </w:r>
      <w:r>
        <w:rPr>
          <w:rFonts w:ascii="Arial" w:cs="Arial" w:eastAsia="Arial" w:hAnsi="Arial"/>
          <w:sz w:val="18"/>
          <w:szCs w:val="18"/>
          <w:color w:val="000000"/>
        </w:rPr>
        <w:t>September 30, 2020</w:t>
      </w:r>
      <w:r>
        <w:rPr>
          <w:rFonts w:ascii="Arial" w:cs="Arial" w:eastAsia="Arial" w:hAnsi="Arial"/>
          <w:sz w:val="18"/>
          <w:szCs w:val="18"/>
          <w:color w:val="231F20"/>
        </w:rPr>
        <w:t>, a 1% change in interest rates would result in an approximately $1 million change in market interest expense on a rolling twelve-month</w:t>
      </w:r>
      <w:r>
        <w:rPr>
          <w:rFonts w:ascii="Arial" w:cs="Arial" w:eastAsia="Arial" w:hAnsi="Arial"/>
          <w:sz w:val="18"/>
          <w:szCs w:val="18"/>
          <w:color w:val="000000"/>
        </w:rPr>
        <w:t xml:space="preserve"> </w:t>
      </w:r>
      <w:r>
        <w:rPr>
          <w:rFonts w:ascii="Arial" w:cs="Arial" w:eastAsia="Arial" w:hAnsi="Arial"/>
          <w:sz w:val="18"/>
          <w:szCs w:val="18"/>
          <w:color w:val="231F20"/>
        </w:rPr>
        <w:t>basis.</w:t>
      </w:r>
    </w:p>
    <w:p>
      <w:pPr>
        <w:spacing w:after="0" w:line="130"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231F20"/>
        </w:rPr>
        <w:t xml:space="preserve">As of </w:t>
      </w:r>
      <w:r>
        <w:rPr>
          <w:rFonts w:ascii="Arial" w:cs="Arial" w:eastAsia="Arial" w:hAnsi="Arial"/>
          <w:sz w:val="17"/>
          <w:szCs w:val="17"/>
          <w:color w:val="000000"/>
        </w:rPr>
        <w:t>September 30, 2020</w:t>
      </w:r>
      <w:r>
        <w:rPr>
          <w:rFonts w:ascii="Arial" w:cs="Arial" w:eastAsia="Arial" w:hAnsi="Arial"/>
          <w:sz w:val="17"/>
          <w:szCs w:val="17"/>
          <w:color w:val="231F20"/>
        </w:rPr>
        <w:t xml:space="preserve">, the fair value of the Company's debt was $6,875 million and the carrying value was $6,799 million. The Company estimates that a 1% decrease in market interest rates would have increased the fair value of its long-term debt by approximately </w:t>
      </w:r>
      <w:r>
        <w:rPr>
          <w:rFonts w:ascii="Arial" w:cs="Arial" w:eastAsia="Arial" w:hAnsi="Arial"/>
          <w:sz w:val="17"/>
          <w:szCs w:val="17"/>
          <w:color w:val="000000"/>
        </w:rPr>
        <w:t>$430 million</w:t>
      </w:r>
      <w:r>
        <w:rPr>
          <w:rFonts w:ascii="Arial" w:cs="Arial" w:eastAsia="Arial" w:hAnsi="Arial"/>
          <w:sz w:val="17"/>
          <w:szCs w:val="17"/>
          <w:color w:val="231F20"/>
        </w:rPr>
        <w: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8"/>
          <w:szCs w:val="18"/>
          <w:color w:val="000000"/>
        </w:rPr>
        <w:t>$1 million</w:t>
      </w:r>
      <w:r>
        <w:rPr>
          <w:rFonts w:ascii="Arial" w:cs="Arial" w:eastAsia="Arial" w:hAnsi="Arial"/>
          <w:sz w:val="18"/>
          <w:szCs w:val="18"/>
          <w:color w:val="231F20"/>
        </w:rPr>
        <w:t xml:space="preserve"> to the net value of derivatives as of </w:t>
      </w:r>
      <w:r>
        <w:rPr>
          <w:rFonts w:ascii="Arial" w:cs="Arial" w:eastAsia="Arial" w:hAnsi="Arial"/>
          <w:sz w:val="18"/>
          <w:szCs w:val="18"/>
          <w:color w:val="000000"/>
        </w:rPr>
        <w:t>September 30, 2020</w:t>
      </w:r>
      <w:r>
        <w:rPr>
          <w:rFonts w:ascii="Arial" w:cs="Arial" w:eastAsia="Arial" w:hAnsi="Arial"/>
          <w:sz w:val="18"/>
          <w:szCs w:val="18"/>
          <w:color w:val="231F20"/>
        </w:rPr>
        <w:t xml:space="preserve">. The impact of a $0.50 per MWh increase or decrease in power prices across the term of the derivatives contracts would cause a change of approximately $1 million to the net value of power derivatives as of </w:t>
      </w:r>
      <w:r>
        <w:rPr>
          <w:rFonts w:ascii="Arial" w:cs="Arial" w:eastAsia="Arial" w:hAnsi="Arial"/>
          <w:sz w:val="18"/>
          <w:szCs w:val="18"/>
          <w:color w:val="000000"/>
        </w:rPr>
        <w:t>September 30, 2020.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6" w:name="page77"/>
    <w:bookmarkEnd w:id="76"/>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Arial" w:cs="Arial" w:eastAsia="Arial" w:hAnsi="Arial"/>
          <w:sz w:val="18"/>
          <w:szCs w:val="18"/>
          <w:color w:val="000000"/>
        </w:rPr>
        <w:t>Note 1</w:t>
      </w:r>
      <w:r>
        <w:rPr>
          <w:rFonts w:ascii="Arial" w:cs="Arial" w:eastAsia="Arial" w:hAnsi="Arial"/>
          <w:sz w:val="18"/>
          <w:szCs w:val="18"/>
          <w:color w:val="231F20"/>
        </w:rPr>
        <w:t xml:space="preserve">, </w:t>
      </w:r>
      <w:r>
        <w:rPr>
          <w:rFonts w:ascii="Arial" w:cs="Arial" w:eastAsia="Arial" w:hAnsi="Arial"/>
          <w:sz w:val="18"/>
          <w:szCs w:val="18"/>
          <w:i w:val="1"/>
          <w:iCs w:val="1"/>
          <w:color w:val="000000"/>
        </w:rPr>
        <w:t>Nature of Business</w:t>
      </w:r>
      <w:r>
        <w:rPr>
          <w:rFonts w:ascii="Arial" w:cs="Arial" w:eastAsia="Arial" w:hAnsi="Arial"/>
          <w:sz w:val="18"/>
          <w:szCs w:val="18"/>
          <w:color w:val="231F20"/>
        </w:rPr>
        <w:t xml:space="preserve">, and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September 30, 2020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September 30, 2020, see Item 1 — Note 11,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2019 Form 10-K, as supplemented by the risk factors disclosed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in the Company's Quarterly Report on Form 10-Q for the quarter ended March 31, 2020. There have been no material changes in the Company's risk factors since those reported in its 2019 Form 10-K, as supplemented by the those reported in its Quarterly Report on Form 10-Q for the quarter ended March 31, 2020.</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On November 2, 2020, Sarah Rubenstein was named the Company’s Vice President, Accounting and Controller, and the Company’s Principal Accounting Officer.</w:t>
      </w:r>
    </w:p>
    <w:p>
      <w:pPr>
        <w:spacing w:after="0" w:line="198"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Ms. Rubenstein, 43, previously served as Assistant Controller of the Company since August 2018, where she was responsible for managing corporate accounting and financial reporting activities. Ms. Rubenstein served as Director of Accounting Research and Financial Reporting at NRG from 2012 to August 2018. In prior roles, Ms. Rubenstein served as Director of Finance at EPV Solar, Inc. and Senior Director of Financial Reporting at Warner Music Group. Ms. Rubenstein began her career as an auditor with PricewaterhouseCoopers.</w:t>
      </w:r>
    </w:p>
    <w:p>
      <w:pPr>
        <w:spacing w:after="0" w:line="21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In connection with her appointment, on November 2, 2020, Ms. Rubenstein received a grant of 5,122 Restricted Stock Units under Clearway Energy, Inc.'s Equity Incentive Plan, with an aggregate value of $150,000. Each Restricted Stock Unit is equivalent in value to one share of the Clearway Energy, Inc.'s Class C Common Stock. Under the grant, Ms. Rubenstein will receive from Clearway Energy, Inc. shares of Class C Common Stock ratably over a three-year period beginning on the first anniversary of the date of the grant.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6 — EXHIBITS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700" w:type="dxa"/>
            <w:vAlign w:val="bottom"/>
            <w:gridSpan w:val="11"/>
          </w:tcPr>
          <w:p>
            <w:pPr>
              <w:spacing w:after="0"/>
              <w:rPr>
                <w:sz w:val="20"/>
                <w:szCs w:val="20"/>
                <w:color w:val="auto"/>
              </w:rPr>
            </w:pPr>
            <w:r>
              <w:rPr>
                <w:rFonts w:ascii="Arial" w:cs="Arial" w:eastAsia="Arial" w:hAnsi="Arial"/>
                <w:sz w:val="16"/>
                <w:szCs w:val="16"/>
                <w:b w:val="1"/>
                <w:bCs w:val="1"/>
                <w:color w:val="auto"/>
              </w:rPr>
              <w:t>Description</w:t>
            </w:r>
          </w:p>
        </w:tc>
      </w:tr>
      <w:tr>
        <w:trPr>
          <w:trHeight w:val="181"/>
        </w:trPr>
        <w:tc>
          <w:tcPr>
            <w:tcW w:w="1020" w:type="dxa"/>
            <w:vAlign w:val="bottom"/>
          </w:tcPr>
          <w:p>
            <w:pPr>
              <w:spacing w:after="0" w:line="181" w:lineRule="exact"/>
              <w:rPr>
                <w:sz w:val="20"/>
                <w:szCs w:val="20"/>
                <w:color w:val="auto"/>
              </w:rPr>
            </w:pPr>
            <w:r>
              <w:rPr>
                <w:rFonts w:ascii="Arial" w:cs="Arial" w:eastAsia="Arial" w:hAnsi="Arial"/>
                <w:sz w:val="16"/>
                <w:szCs w:val="16"/>
                <w:color w:val="auto"/>
              </w:rPr>
              <w:t>4.1</w:t>
            </w:r>
          </w:p>
        </w:tc>
        <w:tc>
          <w:tcPr>
            <w:tcW w:w="5700" w:type="dxa"/>
            <w:vAlign w:val="bottom"/>
            <w:gridSpan w:val="11"/>
          </w:tcPr>
          <w:p>
            <w:pPr>
              <w:spacing w:after="0" w:line="181" w:lineRule="exact"/>
              <w:rPr>
                <w:rFonts w:ascii="Arial" w:cs="Arial" w:eastAsia="Arial" w:hAnsi="Arial"/>
                <w:sz w:val="16"/>
                <w:szCs w:val="16"/>
                <w:color w:val="0000FF"/>
                <w:w w:val="93"/>
              </w:rPr>
            </w:pPr>
            <w:hyperlink r:id="rId130">
              <w:r>
                <w:rPr>
                  <w:rFonts w:ascii="Arial" w:cs="Arial" w:eastAsia="Arial" w:hAnsi="Arial"/>
                  <w:sz w:val="16"/>
                  <w:szCs w:val="16"/>
                  <w:color w:val="0000FF"/>
                  <w:w w:val="93"/>
                </w:rPr>
                <w:t>Eleventh Supplemental Indenture, dated as of July 17, 2020, among Clearway Energy</w:t>
              </w:r>
            </w:hyperlink>
          </w:p>
        </w:tc>
      </w:tr>
      <w:tr>
        <w:trPr>
          <w:trHeight w:val="156"/>
        </w:trPr>
        <w:tc>
          <w:tcPr>
            <w:tcW w:w="1020" w:type="dxa"/>
            <w:vAlign w:val="bottom"/>
          </w:tcPr>
          <w:p>
            <w:pPr>
              <w:spacing w:after="0"/>
              <w:rPr>
                <w:sz w:val="13"/>
                <w:szCs w:val="13"/>
                <w:color w:val="auto"/>
              </w:rPr>
            </w:pPr>
          </w:p>
        </w:tc>
        <w:tc>
          <w:tcPr>
            <w:tcW w:w="5560" w:type="dxa"/>
            <w:vAlign w:val="bottom"/>
            <w:tcBorders>
              <w:top w:val="single" w:sz="8" w:color="0000FF"/>
            </w:tcBorders>
            <w:gridSpan w:val="7"/>
          </w:tcPr>
          <w:p>
            <w:pPr>
              <w:spacing w:after="0" w:line="155" w:lineRule="exact"/>
              <w:rPr>
                <w:rFonts w:ascii="Arial" w:cs="Arial" w:eastAsia="Arial" w:hAnsi="Arial"/>
                <w:sz w:val="16"/>
                <w:szCs w:val="16"/>
                <w:color w:val="0000FF"/>
                <w:w w:val="97"/>
              </w:rPr>
            </w:pPr>
            <w:hyperlink r:id="rId130">
              <w:r>
                <w:rPr>
                  <w:rFonts w:ascii="Arial" w:cs="Arial" w:eastAsia="Arial" w:hAnsi="Arial"/>
                  <w:sz w:val="16"/>
                  <w:szCs w:val="16"/>
                  <w:color w:val="0000FF"/>
                  <w:w w:val="97"/>
                </w:rPr>
                <w:t>Operating LLC, the guarantors named therein and Delaware Trust Company (as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3"/>
          </w:tcPr>
          <w:p>
            <w:pPr>
              <w:spacing w:after="0" w:line="155" w:lineRule="exact"/>
              <w:rPr>
                <w:rFonts w:ascii="Arial" w:cs="Arial" w:eastAsia="Arial" w:hAnsi="Arial"/>
                <w:sz w:val="16"/>
                <w:szCs w:val="16"/>
                <w:color w:val="0000FF"/>
                <w:w w:val="91"/>
              </w:rPr>
            </w:pPr>
            <w:hyperlink r:id="rId130">
              <w:r>
                <w:rPr>
                  <w:rFonts w:ascii="Arial" w:cs="Arial" w:eastAsia="Arial" w:hAnsi="Arial"/>
                  <w:sz w:val="16"/>
                  <w:szCs w:val="16"/>
                  <w:color w:val="0000FF"/>
                  <w:w w:val="91"/>
                </w:rPr>
                <w:t>successor in interest to Law Debenture Trust Company of New York).</w:t>
              </w:r>
            </w:hyperlink>
          </w:p>
        </w:tc>
        <w:tc>
          <w:tcPr>
            <w:tcW w:w="64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4.2</w:t>
            </w:r>
          </w:p>
        </w:tc>
        <w:tc>
          <w:tcPr>
            <w:tcW w:w="5700" w:type="dxa"/>
            <w:vAlign w:val="bottom"/>
            <w:gridSpan w:val="11"/>
          </w:tcPr>
          <w:p>
            <w:pPr>
              <w:spacing w:after="0"/>
              <w:rPr>
                <w:rFonts w:ascii="Arial" w:cs="Arial" w:eastAsia="Arial" w:hAnsi="Arial"/>
                <w:sz w:val="16"/>
                <w:szCs w:val="16"/>
                <w:color w:val="0000FF"/>
                <w:w w:val="93"/>
              </w:rPr>
            </w:pPr>
            <w:hyperlink r:id="rId131">
              <w:r>
                <w:rPr>
                  <w:rFonts w:ascii="Arial" w:cs="Arial" w:eastAsia="Arial" w:hAnsi="Arial"/>
                  <w:sz w:val="16"/>
                  <w:szCs w:val="16"/>
                  <w:color w:val="0000FF"/>
                  <w:w w:val="93"/>
                </w:rPr>
                <w:t>Seventh Supplemental Indenture, dated as of July 17, 2020, among Clearway Energy</w:t>
              </w:r>
            </w:hyperlink>
          </w:p>
        </w:tc>
      </w:tr>
      <w:tr>
        <w:trPr>
          <w:trHeight w:val="200"/>
        </w:trPr>
        <w:tc>
          <w:tcPr>
            <w:tcW w:w="1020" w:type="dxa"/>
            <w:vAlign w:val="bottom"/>
          </w:tcPr>
          <w:p>
            <w:pPr>
              <w:spacing w:after="0"/>
              <w:rPr>
                <w:sz w:val="17"/>
                <w:szCs w:val="17"/>
                <w:color w:val="auto"/>
              </w:rPr>
            </w:pPr>
          </w:p>
        </w:tc>
        <w:tc>
          <w:tcPr>
            <w:tcW w:w="5500" w:type="dxa"/>
            <w:vAlign w:val="bottom"/>
            <w:tcBorders>
              <w:top w:val="single" w:sz="8" w:color="0000FF"/>
            </w:tcBorders>
            <w:gridSpan w:val="6"/>
          </w:tcPr>
          <w:p>
            <w:pPr>
              <w:spacing w:after="0"/>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Operating LLC, the guarantors named therein and Delaware Trust Company</w:t>
              </w:r>
            </w:hyperlink>
          </w:p>
        </w:tc>
        <w:tc>
          <w:tcPr>
            <w:tcW w:w="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1020" w:type="dxa"/>
            <w:vAlign w:val="bottom"/>
          </w:tcPr>
          <w:p>
            <w:pPr>
              <w:spacing w:after="0"/>
              <w:rPr>
                <w:sz w:val="20"/>
                <w:szCs w:val="20"/>
                <w:color w:val="auto"/>
              </w:rPr>
            </w:pPr>
            <w:r>
              <w:rPr>
                <w:rFonts w:ascii="Arial" w:cs="Arial" w:eastAsia="Arial" w:hAnsi="Arial"/>
                <w:sz w:val="16"/>
                <w:szCs w:val="16"/>
                <w:color w:val="auto"/>
              </w:rPr>
              <w:t>4.3</w:t>
            </w:r>
          </w:p>
        </w:tc>
        <w:tc>
          <w:tcPr>
            <w:tcW w:w="5700" w:type="dxa"/>
            <w:vAlign w:val="bottom"/>
            <w:gridSpan w:val="11"/>
          </w:tcPr>
          <w:p>
            <w:pPr>
              <w:spacing w:after="0"/>
              <w:rPr>
                <w:rFonts w:ascii="Arial" w:cs="Arial" w:eastAsia="Arial" w:hAnsi="Arial"/>
                <w:sz w:val="16"/>
                <w:szCs w:val="16"/>
                <w:color w:val="0000FF"/>
                <w:w w:val="97"/>
              </w:rPr>
            </w:pPr>
            <w:hyperlink r:id="rId132">
              <w:r>
                <w:rPr>
                  <w:rFonts w:ascii="Arial" w:cs="Arial" w:eastAsia="Arial" w:hAnsi="Arial"/>
                  <w:sz w:val="16"/>
                  <w:szCs w:val="16"/>
                  <w:color w:val="0000FF"/>
                  <w:w w:val="97"/>
                </w:rPr>
                <w:t>Third Supplemental Indenture, dated as of July 17, 2020, among Clearway Energy</w:t>
              </w:r>
            </w:hyperlink>
          </w:p>
        </w:tc>
      </w:tr>
      <w:tr>
        <w:trPr>
          <w:trHeight w:val="200"/>
        </w:trPr>
        <w:tc>
          <w:tcPr>
            <w:tcW w:w="1020" w:type="dxa"/>
            <w:vAlign w:val="bottom"/>
          </w:tcPr>
          <w:p>
            <w:pPr>
              <w:spacing w:after="0"/>
              <w:rPr>
                <w:sz w:val="17"/>
                <w:szCs w:val="17"/>
                <w:color w:val="auto"/>
              </w:rPr>
            </w:pPr>
          </w:p>
        </w:tc>
        <w:tc>
          <w:tcPr>
            <w:tcW w:w="5340" w:type="dxa"/>
            <w:vAlign w:val="bottom"/>
            <w:tcBorders>
              <w:top w:val="single" w:sz="8" w:color="0000FF"/>
            </w:tcBorders>
            <w:gridSpan w:val="5"/>
          </w:tcPr>
          <w:p>
            <w:pPr>
              <w:spacing w:after="0"/>
              <w:rPr>
                <w:rFonts w:ascii="Arial" w:cs="Arial" w:eastAsia="Arial" w:hAnsi="Arial"/>
                <w:sz w:val="16"/>
                <w:szCs w:val="16"/>
                <w:u w:val="single" w:color="auto"/>
                <w:color w:val="0000FF"/>
                <w:w w:val="97"/>
              </w:rPr>
            </w:pPr>
            <w:hyperlink r:id="rId132">
              <w:r>
                <w:rPr>
                  <w:rFonts w:ascii="Arial" w:cs="Arial" w:eastAsia="Arial" w:hAnsi="Arial"/>
                  <w:sz w:val="16"/>
                  <w:szCs w:val="16"/>
                  <w:u w:val="single" w:color="auto"/>
                  <w:color w:val="0000FF"/>
                  <w:w w:val="97"/>
                </w:rPr>
                <w:t>Operating LLC, the guarantors named therein and Delaware Trust Company.</w:t>
              </w:r>
            </w:hyperlink>
          </w:p>
        </w:tc>
        <w:tc>
          <w:tcPr>
            <w:tcW w:w="2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1020" w:type="dxa"/>
            <w:vAlign w:val="bottom"/>
          </w:tcPr>
          <w:p>
            <w:pPr>
              <w:spacing w:after="0"/>
              <w:rPr>
                <w:sz w:val="20"/>
                <w:szCs w:val="20"/>
                <w:color w:val="auto"/>
              </w:rPr>
            </w:pPr>
            <w:r>
              <w:rPr>
                <w:rFonts w:ascii="Arial" w:cs="Arial" w:eastAsia="Arial" w:hAnsi="Arial"/>
                <w:sz w:val="16"/>
                <w:szCs w:val="16"/>
                <w:color w:val="auto"/>
              </w:rPr>
              <w:t>4.4</w:t>
            </w:r>
          </w:p>
        </w:tc>
        <w:tc>
          <w:tcPr>
            <w:tcW w:w="5700" w:type="dxa"/>
            <w:vAlign w:val="bottom"/>
            <w:gridSpan w:val="11"/>
          </w:tcPr>
          <w:p>
            <w:pPr>
              <w:spacing w:after="0"/>
              <w:rPr>
                <w:rFonts w:ascii="Arial" w:cs="Arial" w:eastAsia="Arial" w:hAnsi="Arial"/>
                <w:sz w:val="16"/>
                <w:szCs w:val="16"/>
                <w:color w:val="0000FF"/>
                <w:w w:val="91"/>
              </w:rPr>
            </w:pPr>
            <w:hyperlink r:id="rId133">
              <w:r>
                <w:rPr>
                  <w:rFonts w:ascii="Arial" w:cs="Arial" w:eastAsia="Arial" w:hAnsi="Arial"/>
                  <w:sz w:val="16"/>
                  <w:szCs w:val="16"/>
                  <w:color w:val="0000FF"/>
                  <w:w w:val="91"/>
                </w:rPr>
                <w:t>Twelfth Supplemental Indenture, dated as of August 17, 2020, among Clearway Energy</w:t>
              </w:r>
            </w:hyperlink>
          </w:p>
        </w:tc>
      </w:tr>
      <w:tr>
        <w:trPr>
          <w:trHeight w:val="156"/>
        </w:trPr>
        <w:tc>
          <w:tcPr>
            <w:tcW w:w="1020" w:type="dxa"/>
            <w:vAlign w:val="bottom"/>
          </w:tcPr>
          <w:p>
            <w:pPr>
              <w:spacing w:after="0"/>
              <w:rPr>
                <w:sz w:val="13"/>
                <w:szCs w:val="13"/>
                <w:color w:val="auto"/>
              </w:rPr>
            </w:pPr>
          </w:p>
        </w:tc>
        <w:tc>
          <w:tcPr>
            <w:tcW w:w="5680" w:type="dxa"/>
            <w:vAlign w:val="bottom"/>
            <w:tcBorders>
              <w:top w:val="single" w:sz="8" w:color="0000FF"/>
            </w:tcBorders>
            <w:gridSpan w:val="10"/>
          </w:tcPr>
          <w:p>
            <w:pPr>
              <w:spacing w:after="0" w:line="155" w:lineRule="exact"/>
              <w:rPr>
                <w:rFonts w:ascii="Arial" w:cs="Arial" w:eastAsia="Arial" w:hAnsi="Arial"/>
                <w:sz w:val="16"/>
                <w:szCs w:val="16"/>
                <w:color w:val="0000FF"/>
                <w:w w:val="99"/>
              </w:rPr>
            </w:pPr>
            <w:hyperlink r:id="rId133">
              <w:r>
                <w:rPr>
                  <w:rFonts w:ascii="Arial" w:cs="Arial" w:eastAsia="Arial" w:hAnsi="Arial"/>
                  <w:sz w:val="16"/>
                  <w:szCs w:val="16"/>
                  <w:color w:val="0000FF"/>
                  <w:w w:val="99"/>
                </w:rPr>
                <w:t>Operating LLC, the guarantors named therein and Delaware Trust Company (as</w:t>
              </w:r>
            </w:hyperlink>
          </w:p>
        </w:tc>
        <w:tc>
          <w:tcPr>
            <w:tcW w:w="2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3"/>
          </w:tcPr>
          <w:p>
            <w:pPr>
              <w:spacing w:after="0" w:line="155" w:lineRule="exact"/>
              <w:rPr>
                <w:rFonts w:ascii="Arial" w:cs="Arial" w:eastAsia="Arial" w:hAnsi="Arial"/>
                <w:sz w:val="16"/>
                <w:szCs w:val="16"/>
                <w:color w:val="0000FF"/>
                <w:w w:val="91"/>
              </w:rPr>
            </w:pPr>
            <w:hyperlink r:id="rId133">
              <w:r>
                <w:rPr>
                  <w:rFonts w:ascii="Arial" w:cs="Arial" w:eastAsia="Arial" w:hAnsi="Arial"/>
                  <w:sz w:val="16"/>
                  <w:szCs w:val="16"/>
                  <w:color w:val="0000FF"/>
                  <w:w w:val="91"/>
                </w:rPr>
                <w:t>successor in interest to Law Debenture Trust Company of New York).</w:t>
              </w:r>
            </w:hyperlink>
          </w:p>
        </w:tc>
        <w:tc>
          <w:tcPr>
            <w:tcW w:w="640" w:type="dxa"/>
            <w:vAlign w:val="bottom"/>
            <w:tcBorders>
              <w:top w:val="single" w:sz="8" w:color="0000FF"/>
            </w:tcBorders>
          </w:tcPr>
          <w:p>
            <w:pPr>
              <w:spacing w:after="0"/>
              <w:rPr>
                <w:sz w:val="13"/>
                <w:szCs w:val="13"/>
                <w:color w:val="auto"/>
              </w:rPr>
            </w:pPr>
          </w:p>
        </w:tc>
        <w:tc>
          <w:tcPr>
            <w:tcW w:w="40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6"/>
                <w:szCs w:val="16"/>
                <w:color w:val="auto"/>
              </w:rPr>
              <w:t>4.5</w:t>
            </w:r>
          </w:p>
        </w:tc>
        <w:tc>
          <w:tcPr>
            <w:tcW w:w="5700" w:type="dxa"/>
            <w:vAlign w:val="bottom"/>
            <w:gridSpan w:val="11"/>
          </w:tcPr>
          <w:p>
            <w:pPr>
              <w:spacing w:after="0"/>
              <w:rPr>
                <w:rFonts w:ascii="Arial" w:cs="Arial" w:eastAsia="Arial" w:hAnsi="Arial"/>
                <w:sz w:val="16"/>
                <w:szCs w:val="16"/>
                <w:color w:val="0000FF"/>
                <w:w w:val="92"/>
              </w:rPr>
            </w:pPr>
            <w:hyperlink r:id="rId134">
              <w:r>
                <w:rPr>
                  <w:rFonts w:ascii="Arial" w:cs="Arial" w:eastAsia="Arial" w:hAnsi="Arial"/>
                  <w:sz w:val="16"/>
                  <w:szCs w:val="16"/>
                  <w:color w:val="0000FF"/>
                  <w:w w:val="92"/>
                </w:rPr>
                <w:t>Eighth Supplemental Indenture, dated as of August 17, 2020, among Clearway Energy</w:t>
              </w:r>
            </w:hyperlink>
          </w:p>
        </w:tc>
      </w:tr>
      <w:tr>
        <w:trPr>
          <w:trHeight w:val="200"/>
        </w:trPr>
        <w:tc>
          <w:tcPr>
            <w:tcW w:w="1020" w:type="dxa"/>
            <w:vAlign w:val="bottom"/>
          </w:tcPr>
          <w:p>
            <w:pPr>
              <w:spacing w:after="0"/>
              <w:rPr>
                <w:sz w:val="17"/>
                <w:szCs w:val="17"/>
                <w:color w:val="auto"/>
              </w:rPr>
            </w:pPr>
          </w:p>
        </w:tc>
        <w:tc>
          <w:tcPr>
            <w:tcW w:w="5620" w:type="dxa"/>
            <w:vAlign w:val="bottom"/>
            <w:tcBorders>
              <w:top w:val="single" w:sz="8" w:color="0000FF"/>
            </w:tcBorders>
            <w:gridSpan w:val="9"/>
          </w:tcPr>
          <w:p>
            <w:pPr>
              <w:spacing w:after="0"/>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Operating LLC, the guarantors named therein and Delaware Trust Company.</w:t>
              </w:r>
            </w:hyperlink>
          </w:p>
        </w:tc>
        <w:tc>
          <w:tcPr>
            <w:tcW w:w="80" w:type="dxa"/>
            <w:vAlign w:val="bottom"/>
            <w:gridSpan w:val="2"/>
          </w:tcPr>
          <w:p>
            <w:pPr>
              <w:spacing w:after="0"/>
              <w:rPr>
                <w:sz w:val="17"/>
                <w:szCs w:val="17"/>
                <w:color w:val="auto"/>
              </w:rPr>
            </w:pPr>
          </w:p>
        </w:tc>
      </w:tr>
      <w:tr>
        <w:trPr>
          <w:trHeight w:val="185"/>
        </w:trPr>
        <w:tc>
          <w:tcPr>
            <w:tcW w:w="1020" w:type="dxa"/>
            <w:vAlign w:val="bottom"/>
          </w:tcPr>
          <w:p>
            <w:pPr>
              <w:spacing w:after="0"/>
              <w:rPr>
                <w:sz w:val="20"/>
                <w:szCs w:val="20"/>
                <w:color w:val="auto"/>
              </w:rPr>
            </w:pPr>
            <w:r>
              <w:rPr>
                <w:rFonts w:ascii="Arial" w:cs="Arial" w:eastAsia="Arial" w:hAnsi="Arial"/>
                <w:sz w:val="16"/>
                <w:szCs w:val="16"/>
                <w:color w:val="auto"/>
              </w:rPr>
              <w:t>4.6</w:t>
            </w:r>
          </w:p>
        </w:tc>
        <w:tc>
          <w:tcPr>
            <w:tcW w:w="5700" w:type="dxa"/>
            <w:vAlign w:val="bottom"/>
            <w:gridSpan w:val="11"/>
          </w:tcPr>
          <w:p>
            <w:pPr>
              <w:spacing w:after="0"/>
              <w:rPr>
                <w:rFonts w:ascii="Arial" w:cs="Arial" w:eastAsia="Arial" w:hAnsi="Arial"/>
                <w:sz w:val="16"/>
                <w:szCs w:val="16"/>
                <w:color w:val="0000FF"/>
                <w:w w:val="92"/>
              </w:rPr>
            </w:pPr>
            <w:hyperlink r:id="rId135">
              <w:r>
                <w:rPr>
                  <w:rFonts w:ascii="Arial" w:cs="Arial" w:eastAsia="Arial" w:hAnsi="Arial"/>
                  <w:sz w:val="16"/>
                  <w:szCs w:val="16"/>
                  <w:color w:val="0000FF"/>
                  <w:w w:val="92"/>
                </w:rPr>
                <w:t>Fourth Supplemental Indenture, dated as of August 17, 2020, among Clearway Energy</w:t>
              </w:r>
            </w:hyperlink>
          </w:p>
        </w:tc>
      </w:tr>
      <w:tr>
        <w:trPr>
          <w:trHeight w:val="200"/>
        </w:trPr>
        <w:tc>
          <w:tcPr>
            <w:tcW w:w="1020" w:type="dxa"/>
            <w:vAlign w:val="bottom"/>
          </w:tcPr>
          <w:p>
            <w:pPr>
              <w:spacing w:after="0"/>
              <w:rPr>
                <w:sz w:val="17"/>
                <w:szCs w:val="17"/>
                <w:color w:val="auto"/>
              </w:rPr>
            </w:pPr>
          </w:p>
        </w:tc>
        <w:tc>
          <w:tcPr>
            <w:tcW w:w="5620" w:type="dxa"/>
            <w:vAlign w:val="bottom"/>
            <w:tcBorders>
              <w:top w:val="single" w:sz="8" w:color="0000FF"/>
            </w:tcBorders>
            <w:gridSpan w:val="9"/>
          </w:tcPr>
          <w:p>
            <w:pPr>
              <w:spacing w:after="0"/>
              <w:rPr>
                <w:rFonts w:ascii="Arial" w:cs="Arial" w:eastAsia="Arial" w:hAnsi="Arial"/>
                <w:sz w:val="16"/>
                <w:szCs w:val="16"/>
                <w:u w:val="single" w:color="auto"/>
                <w:color w:val="0000FF"/>
              </w:rPr>
            </w:pPr>
            <w:hyperlink r:id="rId135">
              <w:r>
                <w:rPr>
                  <w:rFonts w:ascii="Arial" w:cs="Arial" w:eastAsia="Arial" w:hAnsi="Arial"/>
                  <w:sz w:val="16"/>
                  <w:szCs w:val="16"/>
                  <w:u w:val="single" w:color="auto"/>
                  <w:color w:val="0000FF"/>
                </w:rPr>
                <w:t>Operating LLC, the guarantors named therein and Delaware Trust Company.</w:t>
              </w:r>
            </w:hyperlink>
          </w:p>
        </w:tc>
        <w:tc>
          <w:tcPr>
            <w:tcW w:w="80" w:type="dxa"/>
            <w:vAlign w:val="bottom"/>
            <w:gridSpan w:val="2"/>
          </w:tcPr>
          <w:p>
            <w:pPr>
              <w:spacing w:after="0"/>
              <w:rPr>
                <w:sz w:val="17"/>
                <w:szCs w:val="17"/>
                <w:color w:val="auto"/>
              </w:rPr>
            </w:pPr>
          </w:p>
        </w:tc>
      </w:tr>
      <w:tr>
        <w:trPr>
          <w:trHeight w:val="185"/>
        </w:trPr>
        <w:tc>
          <w:tcPr>
            <w:tcW w:w="1020" w:type="dxa"/>
            <w:vAlign w:val="bottom"/>
          </w:tcPr>
          <w:p>
            <w:pPr>
              <w:spacing w:after="0"/>
              <w:rPr>
                <w:sz w:val="20"/>
                <w:szCs w:val="20"/>
                <w:color w:val="auto"/>
              </w:rPr>
            </w:pPr>
            <w:r>
              <w:rPr>
                <w:rFonts w:ascii="Arial" w:cs="Arial" w:eastAsia="Arial" w:hAnsi="Arial"/>
                <w:sz w:val="16"/>
                <w:szCs w:val="16"/>
                <w:color w:val="auto"/>
              </w:rPr>
              <w:t>10.1</w:t>
            </w:r>
          </w:p>
        </w:tc>
        <w:tc>
          <w:tcPr>
            <w:tcW w:w="5700" w:type="dxa"/>
            <w:vAlign w:val="bottom"/>
            <w:gridSpan w:val="11"/>
          </w:tcPr>
          <w:p>
            <w:pPr>
              <w:spacing w:after="0"/>
              <w:rPr>
                <w:rFonts w:ascii="Arial" w:cs="Arial" w:eastAsia="Arial" w:hAnsi="Arial"/>
                <w:sz w:val="16"/>
                <w:szCs w:val="16"/>
                <w:color w:val="0000FF"/>
                <w:w w:val="94"/>
              </w:rPr>
            </w:pPr>
            <w:hyperlink w:anchor="page81">
              <w:r>
                <w:rPr>
                  <w:rFonts w:ascii="Arial" w:cs="Arial" w:eastAsia="Arial" w:hAnsi="Arial"/>
                  <w:sz w:val="16"/>
                  <w:szCs w:val="16"/>
                  <w:color w:val="0000FF"/>
                  <w:w w:val="94"/>
                </w:rPr>
                <w:t>Fourth Amendment to Right of First Offer Agreement, dated as of November 2, 2020,</w:t>
              </w:r>
            </w:hyperlink>
          </w:p>
        </w:tc>
      </w:tr>
      <w:tr>
        <w:trPr>
          <w:trHeight w:val="200"/>
        </w:trPr>
        <w:tc>
          <w:tcPr>
            <w:tcW w:w="1020" w:type="dxa"/>
            <w:vAlign w:val="bottom"/>
          </w:tcPr>
          <w:p>
            <w:pPr>
              <w:spacing w:after="0"/>
              <w:rPr>
                <w:sz w:val="17"/>
                <w:szCs w:val="17"/>
                <w:color w:val="auto"/>
              </w:rPr>
            </w:pPr>
          </w:p>
        </w:tc>
        <w:tc>
          <w:tcPr>
            <w:tcW w:w="5580" w:type="dxa"/>
            <w:vAlign w:val="bottom"/>
            <w:tcBorders>
              <w:top w:val="single" w:sz="8" w:color="0000FF"/>
            </w:tcBorders>
            <w:gridSpan w:val="8"/>
          </w:tcPr>
          <w:p>
            <w:pPr>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by and between Clearway Energy Group LLC and Clearway Energy, Inc.</w:t>
              </w:r>
            </w:hyperlink>
          </w:p>
        </w:tc>
        <w:tc>
          <w:tcPr>
            <w:tcW w:w="120" w:type="dxa"/>
            <w:vAlign w:val="bottom"/>
            <w:gridSpan w:val="3"/>
          </w:tcPr>
          <w:p>
            <w:pPr>
              <w:spacing w:after="0"/>
              <w:rPr>
                <w:sz w:val="17"/>
                <w:szCs w:val="17"/>
                <w:color w:val="auto"/>
              </w:rPr>
            </w:pPr>
          </w:p>
        </w:tc>
      </w:tr>
      <w:tr>
        <w:trPr>
          <w:trHeight w:val="220"/>
        </w:trPr>
        <w:tc>
          <w:tcPr>
            <w:tcW w:w="1020" w:type="dxa"/>
            <w:vAlign w:val="bottom"/>
          </w:tcPr>
          <w:p>
            <w:pPr>
              <w:spacing w:after="0"/>
              <w:rPr>
                <w:sz w:val="20"/>
                <w:szCs w:val="20"/>
                <w:color w:val="auto"/>
              </w:rPr>
            </w:pPr>
            <w:r>
              <w:rPr>
                <w:rFonts w:ascii="Arial" w:cs="Arial" w:eastAsia="Arial" w:hAnsi="Arial"/>
                <w:sz w:val="16"/>
                <w:szCs w:val="16"/>
                <w:color w:val="auto"/>
              </w:rPr>
              <w:t>31.1</w:t>
            </w:r>
          </w:p>
        </w:tc>
        <w:tc>
          <w:tcPr>
            <w:tcW w:w="5700" w:type="dxa"/>
            <w:vAlign w:val="bottom"/>
            <w:gridSpan w:val="11"/>
          </w:tcPr>
          <w:p>
            <w:pPr>
              <w:spacing w:after="0"/>
              <w:rPr>
                <w:rFonts w:ascii="Arial" w:cs="Arial" w:eastAsia="Arial" w:hAnsi="Arial"/>
                <w:sz w:val="16"/>
                <w:szCs w:val="16"/>
                <w:u w:val="single" w:color="auto"/>
                <w:color w:val="0000FF"/>
              </w:rPr>
            </w:pPr>
            <w:hyperlink w:anchor="page85">
              <w:r>
                <w:rPr>
                  <w:rFonts w:ascii="Arial" w:cs="Arial" w:eastAsia="Arial" w:hAnsi="Arial"/>
                  <w:sz w:val="16"/>
                  <w:szCs w:val="16"/>
                  <w:u w:val="single" w:color="auto"/>
                  <w:color w:val="0000FF"/>
                </w:rPr>
                <w:t>Rule 13a-14(a)/15d-14(a) certification of Christopher S. Sotos.</w:t>
              </w:r>
            </w:hyperlink>
          </w:p>
        </w:tc>
      </w:tr>
      <w:tr>
        <w:trPr>
          <w:trHeight w:val="216"/>
        </w:trPr>
        <w:tc>
          <w:tcPr>
            <w:tcW w:w="1020" w:type="dxa"/>
            <w:vAlign w:val="bottom"/>
          </w:tcPr>
          <w:p>
            <w:pPr>
              <w:spacing w:after="0"/>
              <w:rPr>
                <w:sz w:val="20"/>
                <w:szCs w:val="20"/>
                <w:color w:val="auto"/>
              </w:rPr>
            </w:pPr>
            <w:r>
              <w:rPr>
                <w:rFonts w:ascii="Arial" w:cs="Arial" w:eastAsia="Arial" w:hAnsi="Arial"/>
                <w:sz w:val="16"/>
                <w:szCs w:val="16"/>
                <w:color w:val="auto"/>
              </w:rPr>
              <w:t>31.2</w:t>
            </w:r>
          </w:p>
        </w:tc>
        <w:tc>
          <w:tcPr>
            <w:tcW w:w="5700" w:type="dxa"/>
            <w:vAlign w:val="bottom"/>
            <w:gridSpan w:val="11"/>
          </w:tcPr>
          <w:p>
            <w:pPr>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Rule 13a-14(a)/15d-14(a) certification of Chad Plotkin.</w:t>
              </w:r>
            </w:hyperlink>
          </w:p>
        </w:tc>
      </w:tr>
      <w:tr>
        <w:trPr>
          <w:trHeight w:val="182"/>
        </w:trPr>
        <w:tc>
          <w:tcPr>
            <w:tcW w:w="1020" w:type="dxa"/>
            <w:vAlign w:val="bottom"/>
          </w:tcPr>
          <w:p>
            <w:pPr>
              <w:spacing w:after="0" w:line="181" w:lineRule="exact"/>
              <w:rPr>
                <w:sz w:val="20"/>
                <w:szCs w:val="20"/>
                <w:color w:val="auto"/>
              </w:rPr>
            </w:pPr>
            <w:r>
              <w:rPr>
                <w:rFonts w:ascii="Arial" w:cs="Arial" w:eastAsia="Arial" w:hAnsi="Arial"/>
                <w:sz w:val="16"/>
                <w:szCs w:val="16"/>
                <w:color w:val="auto"/>
              </w:rPr>
              <w:t>31.3</w:t>
            </w:r>
          </w:p>
        </w:tc>
        <w:tc>
          <w:tcPr>
            <w:tcW w:w="5700" w:type="dxa"/>
            <w:vAlign w:val="bottom"/>
            <w:gridSpan w:val="11"/>
          </w:tcPr>
          <w:p>
            <w:pPr>
              <w:spacing w:after="0" w:line="181" w:lineRule="exact"/>
              <w:rPr>
                <w:rFonts w:ascii="Arial" w:cs="Arial" w:eastAsia="Arial" w:hAnsi="Arial"/>
                <w:sz w:val="16"/>
                <w:szCs w:val="16"/>
                <w:color w:val="0000FF"/>
              </w:rPr>
            </w:pPr>
            <w:hyperlink w:anchor="page87">
              <w:r>
                <w:rPr>
                  <w:rFonts w:ascii="Arial" w:cs="Arial" w:eastAsia="Arial" w:hAnsi="Arial"/>
                  <w:sz w:val="16"/>
                  <w:szCs w:val="16"/>
                  <w:u w:val="single" w:color="auto"/>
                  <w:color w:val="0000FF"/>
                </w:rPr>
                <w:t>Rule 13a-14(a)/15d-14(a) certification of</w:t>
              </w:r>
              <w:r>
                <w:rPr>
                  <w:rFonts w:ascii="Arial" w:cs="Arial" w:eastAsia="Arial" w:hAnsi="Arial"/>
                  <w:sz w:val="16"/>
                  <w:szCs w:val="16"/>
                  <w:color w:val="0000FF"/>
                </w:rPr>
                <w:t xml:space="preserve"> Sarah Rubenstein.</w:t>
              </w:r>
            </w:hyperlink>
          </w:p>
        </w:tc>
      </w:tr>
      <w:tr>
        <w:trPr>
          <w:trHeight w:val="20"/>
        </w:trPr>
        <w:tc>
          <w:tcPr>
            <w:tcW w:w="10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 w:lineRule="exact"/>
        <w:rPr>
          <w:sz w:val="20"/>
          <w:szCs w:val="20"/>
          <w:color w:val="auto"/>
        </w:rPr>
      </w:pPr>
    </w:p>
    <w:p>
      <w:pPr>
        <w:ind w:left="1060" w:hanging="1014"/>
        <w:spacing w:after="0"/>
        <w:tabs>
          <w:tab w:leader="none" w:pos="1060" w:val="left"/>
        </w:tabs>
        <w:numPr>
          <w:ilvl w:val="0"/>
          <w:numId w:val="37"/>
        </w:numPr>
        <w:rPr>
          <w:rFonts w:ascii="Arial" w:cs="Arial" w:eastAsia="Arial" w:hAnsi="Arial"/>
          <w:sz w:val="16"/>
          <w:szCs w:val="16"/>
          <w:color w:val="0000FF"/>
        </w:rPr>
      </w:pPr>
      <w:hyperlink w:anchor="page88">
        <w:r>
          <w:rPr>
            <w:rFonts w:ascii="Arial" w:cs="Arial" w:eastAsia="Arial" w:hAnsi="Arial"/>
            <w:sz w:val="16"/>
            <w:szCs w:val="16"/>
            <w:u w:val="single" w:color="auto"/>
            <w:color w:val="0000FF"/>
          </w:rPr>
          <w:t>Section 1350 Certification</w:t>
        </w:r>
        <w:r>
          <w:rPr>
            <w:rFonts w:ascii="Arial" w:cs="Arial" w:eastAsia="Arial" w:hAnsi="Arial"/>
            <w:sz w:val="16"/>
            <w:szCs w:val="16"/>
            <w:color w:val="0000FF"/>
          </w:rPr>
          <w:t>.</w:t>
        </w:r>
      </w:hyperlink>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INS</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Instance Document.</w:t>
            </w: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Taxonomy Extension Schema.</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CAL</w:t>
            </w:r>
          </w:p>
        </w:tc>
        <w:tc>
          <w:tcPr>
            <w:tcW w:w="3980" w:type="dxa"/>
            <w:vAlign w:val="bottom"/>
          </w:tcPr>
          <w:p>
            <w:pPr>
              <w:ind w:left="200"/>
              <w:spacing w:after="0"/>
              <w:rPr>
                <w:sz w:val="20"/>
                <w:szCs w:val="20"/>
                <w:color w:val="auto"/>
              </w:rPr>
            </w:pPr>
            <w:r>
              <w:rPr>
                <w:rFonts w:ascii="Arial" w:cs="Arial" w:eastAsia="Arial" w:hAnsi="Arial"/>
                <w:sz w:val="16"/>
                <w:szCs w:val="16"/>
                <w:color w:val="auto"/>
                <w:w w:val="95"/>
              </w:rPr>
              <w:t>Inline XBRL Taxonomy Extension Calculation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DEF</w:t>
            </w:r>
          </w:p>
        </w:tc>
        <w:tc>
          <w:tcPr>
            <w:tcW w:w="3980" w:type="dxa"/>
            <w:vAlign w:val="bottom"/>
          </w:tcPr>
          <w:p>
            <w:pPr>
              <w:ind w:left="200"/>
              <w:spacing w:after="0"/>
              <w:rPr>
                <w:sz w:val="20"/>
                <w:szCs w:val="20"/>
                <w:color w:val="auto"/>
              </w:rPr>
            </w:pPr>
            <w:r>
              <w:rPr>
                <w:rFonts w:ascii="Arial" w:cs="Arial" w:eastAsia="Arial" w:hAnsi="Arial"/>
                <w:sz w:val="16"/>
                <w:szCs w:val="16"/>
                <w:color w:val="auto"/>
                <w:w w:val="98"/>
              </w:rPr>
              <w:t>Inline XBRL Taxonomy Extension Definition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LAB</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Taxonomy Extension Label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PRE</w:t>
            </w:r>
          </w:p>
        </w:tc>
        <w:tc>
          <w:tcPr>
            <w:tcW w:w="3980" w:type="dxa"/>
            <w:vAlign w:val="bottom"/>
          </w:tcPr>
          <w:p>
            <w:pPr>
              <w:ind w:left="200"/>
              <w:spacing w:after="0"/>
              <w:rPr>
                <w:sz w:val="20"/>
                <w:szCs w:val="20"/>
                <w:color w:val="auto"/>
              </w:rPr>
            </w:pPr>
            <w:r>
              <w:rPr>
                <w:rFonts w:ascii="Arial" w:cs="Arial" w:eastAsia="Arial" w:hAnsi="Arial"/>
                <w:sz w:val="16"/>
                <w:szCs w:val="16"/>
                <w:color w:val="auto"/>
                <w:w w:val="92"/>
              </w:rPr>
              <w:t>Inline XBRL Taxonomy Extension Presentation Linkbase.</w:t>
            </w:r>
          </w:p>
        </w:tc>
      </w:tr>
    </w:tbl>
    <w:p>
      <w:pPr>
        <w:spacing w:after="0" w:line="10" w:lineRule="exact"/>
        <w:rPr>
          <w:sz w:val="20"/>
          <w:szCs w:val="20"/>
          <w:color w:val="auto"/>
        </w:rPr>
      </w:pPr>
    </w:p>
    <w:p>
      <w:pPr>
        <w:ind w:left="1060" w:hanging="1014"/>
        <w:spacing w:after="0" w:line="230" w:lineRule="auto"/>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32"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Incorporated herein by reference to Exhibit 4.1 to the Company’s Current Report on Form 8-K filed on July 21, 2020.</w:t>
      </w:r>
    </w:p>
    <w:p>
      <w:pPr>
        <w:spacing w:after="0" w:line="5"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Incorporated herein by reference to Exhibit 4.2 to the Company's Current Report on Form 8-K filed on July 21, 2020.</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Incorporated herein by reference to Exhibit 4.3 to the Company's Current Report on Form 8-K filed on July 21, 2020.</w:t>
      </w:r>
    </w:p>
    <w:p>
      <w:pPr>
        <w:spacing w:after="0" w:line="1" w:lineRule="exact"/>
        <w:rPr>
          <w:sz w:val="20"/>
          <w:szCs w:val="20"/>
          <w:color w:val="auto"/>
        </w:rPr>
      </w:pPr>
    </w:p>
    <w:p>
      <w:pPr>
        <w:spacing w:after="0" w:line="32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August 20, 2020.</w:t>
      </w:r>
    </w:p>
    <w:p>
      <w:pPr>
        <w:spacing w:after="0" w:line="139"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4.2 to the Company's Current Report on Form 8-K filed on August 20, 2020.</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4.3 to the Company's Current Report on Form 8-K filed on August 20, 2020.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544" w:lineRule="exact"/>
        <w:rPr>
          <w:sz w:val="20"/>
          <w:szCs w:val="20"/>
          <w:color w:val="auto"/>
        </w:rPr>
      </w:pPr>
    </w:p>
    <w:p>
      <w:pPr>
        <w:sectPr>
          <w:pgSz w:w="11900" w:h="16838" w:orient="portrait"/>
          <w:cols w:equalWidth="0" w:num="2">
            <w:col w:w="6740" w:space="200"/>
            <w:col w:w="4200"/>
          </w:cols>
          <w:pgMar w:left="320" w:top="89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type w:val="continuous"/>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CLEARWAY ENERGY LLC</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485"/>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SOTOS</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Christopher S. Sotos</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688"/>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Chad Plotkin</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r>
        <w:trPr>
          <w:trHeight w:val="688"/>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RUBENSTEIN</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Sarah Rubenstein</w:t>
            </w:r>
          </w:p>
        </w:tc>
        <w:tc>
          <w:tcPr>
            <w:tcW w:w="0" w:type="dxa"/>
            <w:vAlign w:val="bottom"/>
          </w:tcPr>
          <w:p>
            <w:pPr>
              <w:spacing w:after="0"/>
              <w:rPr>
                <w:sz w:val="1"/>
                <w:szCs w:val="1"/>
                <w:color w:val="auto"/>
              </w:rPr>
            </w:pPr>
          </w:p>
        </w:tc>
      </w:tr>
      <w:tr>
        <w:trPr>
          <w:trHeight w:val="176"/>
        </w:trPr>
        <w:tc>
          <w:tcPr>
            <w:tcW w:w="6640" w:type="dxa"/>
            <w:vAlign w:val="bottom"/>
            <w:vMerge w:val="restart"/>
          </w:tcPr>
          <w:p>
            <w:pPr>
              <w:spacing w:after="0"/>
              <w:rPr>
                <w:sz w:val="20"/>
                <w:szCs w:val="20"/>
                <w:color w:val="auto"/>
              </w:rPr>
            </w:pPr>
            <w:r>
              <w:rPr>
                <w:rFonts w:ascii="Arial" w:cs="Arial" w:eastAsia="Arial" w:hAnsi="Arial"/>
                <w:sz w:val="18"/>
                <w:szCs w:val="18"/>
                <w:color w:val="auto"/>
              </w:rPr>
              <w:t>Date: November 5, 2020</w:t>
            </w: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Vice President, Accounting &amp; Controller</w:t>
            </w:r>
          </w:p>
        </w:tc>
        <w:tc>
          <w:tcPr>
            <w:tcW w:w="0" w:type="dxa"/>
            <w:vAlign w:val="bottom"/>
          </w:tcPr>
          <w:p>
            <w:pPr>
              <w:spacing w:after="0"/>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891"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 OF FIRST OFFER AGREEMENT</w:t>
      </w:r>
    </w:p>
    <w:p>
      <w:pPr>
        <w:spacing w:after="0" w:line="22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FOURTH AMENDMENT TO RIGHT OF FIRST OFFER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November 2, 2020 (the “</w:t>
      </w:r>
      <w:r>
        <w:rPr>
          <w:rFonts w:ascii="Arial" w:cs="Arial" w:eastAsia="Arial" w:hAnsi="Arial"/>
          <w:sz w:val="22"/>
          <w:szCs w:val="22"/>
          <w:u w:val="single" w:color="auto"/>
          <w:color w:val="auto"/>
        </w:rPr>
        <w:t>Amendment Date</w:t>
      </w:r>
      <w:r>
        <w:rPr>
          <w:rFonts w:ascii="Arial" w:cs="Arial" w:eastAsia="Arial" w:hAnsi="Arial"/>
          <w:sz w:val="22"/>
          <w:szCs w:val="22"/>
          <w:color w:val="auto"/>
        </w:rPr>
        <w:t>”), is entered into by and between CLEARWAY ENERGY GROUP LLC, a Delaware limited liability company (f/k/a Zephyr Renewables LLC) (“</w:t>
      </w:r>
      <w:r>
        <w:rPr>
          <w:rFonts w:ascii="Arial" w:cs="Arial" w:eastAsia="Arial" w:hAnsi="Arial"/>
          <w:sz w:val="22"/>
          <w:szCs w:val="22"/>
          <w:u w:val="single" w:color="auto"/>
          <w:color w:val="auto"/>
        </w:rPr>
        <w:t>CEG</w:t>
      </w:r>
      <w:r>
        <w:rPr>
          <w:rFonts w:ascii="Arial" w:cs="Arial" w:eastAsia="Arial" w:hAnsi="Arial"/>
          <w:sz w:val="22"/>
          <w:szCs w:val="22"/>
          <w:color w:val="auto"/>
        </w:rPr>
        <w:t>”), and CLEARWAY ENERGY, INC., a Delaware corporation (f/k/a NRG Yield, Inc.) (“</w:t>
      </w:r>
      <w:r>
        <w:rPr>
          <w:rFonts w:ascii="Arial" w:cs="Arial" w:eastAsia="Arial" w:hAnsi="Arial"/>
          <w:sz w:val="22"/>
          <w:szCs w:val="22"/>
          <w:u w:val="single" w:color="auto"/>
          <w:color w:val="auto"/>
        </w:rPr>
        <w:t>CWEN</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CEG and CWEN are parties to that certain Right of First Offer Agreement dated as of August 31, 2018, as</w:t>
      </w:r>
      <w:r>
        <w:rPr>
          <w:rFonts w:ascii="Arial" w:cs="Arial" w:eastAsia="Arial" w:hAnsi="Arial"/>
          <w:sz w:val="22"/>
          <w:szCs w:val="22"/>
          <w:b w:val="1"/>
          <w:bCs w:val="1"/>
          <w:color w:val="auto"/>
        </w:rPr>
        <w:t xml:space="preserve"> </w:t>
      </w:r>
      <w:r>
        <w:rPr>
          <w:rFonts w:ascii="Arial" w:cs="Arial" w:eastAsia="Arial" w:hAnsi="Arial"/>
          <w:sz w:val="22"/>
          <w:szCs w:val="22"/>
          <w:color w:val="auto"/>
        </w:rPr>
        <w:t>subsequently amended on February 14, 2019, on August 1, 2019, and on December 6, 2019 (the “</w:t>
      </w:r>
      <w:r>
        <w:rPr>
          <w:rFonts w:ascii="Arial" w:cs="Arial" w:eastAsia="Arial" w:hAnsi="Arial"/>
          <w:sz w:val="22"/>
          <w:szCs w:val="22"/>
          <w:u w:val="single" w:color="auto"/>
          <w:color w:val="auto"/>
        </w:rPr>
        <w:t>ROFO Agreement</w:t>
      </w:r>
      <w:r>
        <w:rPr>
          <w:rFonts w:ascii="Arial" w:cs="Arial" w:eastAsia="Arial" w:hAnsi="Arial"/>
          <w:sz w:val="22"/>
          <w:szCs w:val="22"/>
          <w:color w:val="auto"/>
        </w:rPr>
        <w:t>”). Capitalized terms used but not otherwise defined in this Amendment shall have the respective meanings specified in the ROFO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amend the ROFO Agreement as set forth herein.</w:t>
      </w:r>
    </w:p>
    <w:p>
      <w:pPr>
        <w:spacing w:after="0" w:line="220"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set forth in this Amendment and for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are hereby acknowledged, CEG and CWEN hereby agree as follows.</w:t>
      </w:r>
    </w:p>
    <w:p>
      <w:pPr>
        <w:spacing w:after="0" w:line="10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Amendments to Section 1.1 (Definitions)</w:t>
      </w:r>
      <w:r>
        <w:rPr>
          <w:rFonts w:ascii="Arial" w:cs="Arial" w:eastAsia="Arial" w:hAnsi="Arial"/>
          <w:sz w:val="19"/>
          <w:szCs w:val="19"/>
          <w:color w:val="auto"/>
        </w:rPr>
        <w:t>.</w:t>
      </w:r>
    </w:p>
    <w:p>
      <w:pPr>
        <w:spacing w:after="0" w:line="22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ii.Section 1.1 of the ROFO Agreement is hereby amended by deleting therefrom the definition of “Black Rock”.</w:t>
      </w:r>
    </w:p>
    <w:p>
      <w:pPr>
        <w:spacing w:after="0" w:line="25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iii.Section 1.1 of the ROFO Agreement is hereby amended by adding thereto the following definitions:</w:t>
      </w:r>
    </w:p>
    <w:p>
      <w:pPr>
        <w:spacing w:after="0" w:line="220"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Black Rock</w:t>
      </w:r>
      <w:r>
        <w:rPr>
          <w:rFonts w:ascii="Arial" w:cs="Arial" w:eastAsia="Arial" w:hAnsi="Arial"/>
          <w:sz w:val="22"/>
          <w:szCs w:val="22"/>
          <w:color w:val="auto"/>
        </w:rPr>
        <w:t>” consists of 50% of the membership interests in Black Rock Wind Force, LLC that are indirectly owned by CEG.</w:t>
      </w:r>
    </w:p>
    <w:p>
      <w:pPr>
        <w:spacing w:after="0" w:line="17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Daggett</w:t>
      </w:r>
      <w:r>
        <w:rPr>
          <w:rFonts w:ascii="Arial" w:cs="Arial" w:eastAsia="Arial" w:hAnsi="Arial"/>
          <w:sz w:val="22"/>
          <w:szCs w:val="22"/>
          <w:color w:val="auto"/>
        </w:rPr>
        <w:t>” consists of 25% of the membership interests in in each of Daggett Solar Power 2 LLC and Daggett Solar Power 3 LLC that are indirectly owned by CEG.</w:t>
      </w:r>
    </w:p>
    <w:p>
      <w:pPr>
        <w:spacing w:after="0" w:line="175"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Hawaii 2.0</w:t>
      </w:r>
      <w:r>
        <w:rPr>
          <w:rFonts w:ascii="Arial" w:cs="Arial" w:eastAsia="Arial" w:hAnsi="Arial"/>
          <w:sz w:val="22"/>
          <w:szCs w:val="22"/>
          <w:color w:val="auto"/>
        </w:rPr>
        <w:t>” consists of 50% of the membership interests in each of Mililani I and Waiawa that are indirectly owned by CEG.</w:t>
      </w:r>
    </w:p>
    <w:p>
      <w:pPr>
        <w:spacing w:after="0" w:line="175"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Mesquite Sky</w:t>
      </w:r>
      <w:r>
        <w:rPr>
          <w:rFonts w:ascii="Arial" w:cs="Arial" w:eastAsia="Arial" w:hAnsi="Arial"/>
          <w:sz w:val="22"/>
          <w:szCs w:val="22"/>
          <w:color w:val="auto"/>
        </w:rPr>
        <w:t>” consists of 50% of the membership interests in BMP Wind LLC that are indirectly owned by CEG.</w:t>
      </w:r>
    </w:p>
    <w:p>
      <w:pPr>
        <w:spacing w:after="0" w:line="17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Rosamond Central</w:t>
      </w:r>
      <w:r>
        <w:rPr>
          <w:rFonts w:ascii="Arial" w:cs="Arial" w:eastAsia="Arial" w:hAnsi="Arial"/>
          <w:sz w:val="22"/>
          <w:szCs w:val="22"/>
          <w:color w:val="auto"/>
        </w:rPr>
        <w:t>” consists of 50% of the membership interests in Golden Fields Solar III, LLC that are indirectly owned by CEG.</w:t>
      </w:r>
    </w:p>
    <w:p>
      <w:pPr>
        <w:sectPr>
          <w:pgSz w:w="11900" w:h="16838" w:orient="portrait"/>
          <w:cols w:equalWidth="0" w:num="1">
            <w:col w:w="11240"/>
          </w:cols>
          <w:pgMar w:left="320" w:top="126" w:right="339" w:bottom="1440" w:gutter="0" w:footer="0" w:header="0"/>
        </w:sectPr>
      </w:pPr>
    </w:p>
    <w:bookmarkStart w:id="81" w:name="page82"/>
    <w:bookmarkEnd w:id="81"/>
    <w:p>
      <w:pPr>
        <w:jc w:val="both"/>
        <w:ind w:left="1300"/>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SREC Transaction</w:t>
      </w:r>
      <w:r>
        <w:rPr>
          <w:rFonts w:ascii="Arial" w:cs="Arial" w:eastAsia="Arial" w:hAnsi="Arial"/>
          <w:sz w:val="21"/>
          <w:szCs w:val="21"/>
          <w:color w:val="auto"/>
        </w:rPr>
        <w:t>” means that certain transaction by and between CEG and NRG Power Marketing LLC, evidenced by a Financial Swap Confirmation (Cash Settled) dated as of August 31, 2018, as amended by that certain First Amendment to Financial Swap Confirmation (Cash Settled) dated as of October 12, 2020.</w:t>
      </w:r>
    </w:p>
    <w:p>
      <w:pPr>
        <w:spacing w:after="0" w:line="1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Amendments to Article II</w:t>
      </w:r>
      <w:r>
        <w:rPr>
          <w:rFonts w:ascii="Arial" w:cs="Arial" w:eastAsia="Arial" w:hAnsi="Arial"/>
          <w:sz w:val="19"/>
          <w:szCs w:val="19"/>
          <w:color w:val="auto"/>
        </w:rPr>
        <w:t>.</w:t>
      </w:r>
    </w:p>
    <w:p>
      <w:pPr>
        <w:spacing w:after="0" w:line="220" w:lineRule="exact"/>
        <w:rPr>
          <w:sz w:val="20"/>
          <w:szCs w:val="20"/>
          <w:color w:val="auto"/>
        </w:rPr>
      </w:pPr>
    </w:p>
    <w:p>
      <w:pPr>
        <w:ind w:right="80" w:firstLine="1122"/>
        <w:spacing w:after="0" w:line="253" w:lineRule="auto"/>
        <w:rPr>
          <w:sz w:val="20"/>
          <w:szCs w:val="20"/>
          <w:color w:val="auto"/>
        </w:rPr>
      </w:pPr>
      <w:r>
        <w:rPr>
          <w:rFonts w:ascii="Arial" w:cs="Arial" w:eastAsia="Arial" w:hAnsi="Arial"/>
          <w:sz w:val="22"/>
          <w:szCs w:val="22"/>
          <w:color w:val="auto"/>
        </w:rPr>
        <w:t>ii.Section 2.1 of the ROFO Agreement is hereby amended by deleting the words “Mililani I” and “Waiawa” therefrom and by adding the words “Daggett, Mesquite Sky, Hawaii 2.0, Rosamond Central, SREC Transaction,” thereto directly following the word “Wildflower,”.</w:t>
      </w:r>
    </w:p>
    <w:p>
      <w:pPr>
        <w:spacing w:after="0" w:line="185" w:lineRule="exact"/>
        <w:rPr>
          <w:sz w:val="20"/>
          <w:szCs w:val="20"/>
          <w:color w:val="auto"/>
        </w:rPr>
      </w:pPr>
    </w:p>
    <w:p>
      <w:pPr>
        <w:ind w:right="80" w:firstLine="1062"/>
        <w:spacing w:after="0" w:line="263" w:lineRule="auto"/>
        <w:rPr>
          <w:sz w:val="20"/>
          <w:szCs w:val="20"/>
          <w:color w:val="auto"/>
        </w:rPr>
      </w:pPr>
      <w:r>
        <w:rPr>
          <w:rFonts w:ascii="Arial" w:cs="Arial" w:eastAsia="Arial" w:hAnsi="Arial"/>
          <w:sz w:val="21"/>
          <w:szCs w:val="21"/>
          <w:color w:val="auto"/>
        </w:rPr>
        <w:t xml:space="preserve">iii.Section 2.1 of the ROFO Agreement is hereby further amended by deleting the second sentence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upon the closing of the sale by Renew DG Holdings LLC to DGPV Holding LLC of the “Class B Interests” (as</w:t>
      </w:r>
      <w:r>
        <w:rPr>
          <w:rFonts w:ascii="Arial" w:cs="Arial" w:eastAsia="Arial" w:hAnsi="Arial"/>
          <w:sz w:val="21"/>
          <w:szCs w:val="21"/>
          <w:i w:val="1"/>
          <w:iCs w:val="1"/>
          <w:color w:val="auto"/>
        </w:rPr>
        <w:t xml:space="preserve"> </w:t>
      </w:r>
      <w:r>
        <w:rPr>
          <w:rFonts w:ascii="Arial" w:cs="Arial" w:eastAsia="Arial" w:hAnsi="Arial"/>
          <w:sz w:val="21"/>
          <w:szCs w:val="21"/>
          <w:color w:val="auto"/>
        </w:rPr>
        <w:t>defined in the applicable Limited Liability Company Agreement) of each of DGPV HoldCo 1 LLC, DGPV HoldCo 2 LLC, and DGPV HoldCo 3 LLC, the definition of “Solar Portfolio” shall be deleted from Section 1.1 of the ROFO Agreement and “Solar Portfolio” shall be deleted from Section 2.1 of the ROFO Agreement.</w:t>
      </w:r>
    </w:p>
    <w:p>
      <w:pPr>
        <w:spacing w:after="0" w:line="175" w:lineRule="exact"/>
        <w:rPr>
          <w:sz w:val="20"/>
          <w:szCs w:val="20"/>
          <w:color w:val="auto"/>
        </w:rPr>
      </w:pPr>
    </w:p>
    <w:p>
      <w:pPr>
        <w:ind w:right="160" w:firstLine="1074"/>
        <w:spacing w:after="0" w:line="261" w:lineRule="auto"/>
        <w:rPr>
          <w:sz w:val="20"/>
          <w:szCs w:val="20"/>
          <w:color w:val="auto"/>
        </w:rPr>
      </w:pPr>
      <w:r>
        <w:rPr>
          <w:rFonts w:ascii="Arial" w:cs="Arial" w:eastAsia="Arial" w:hAnsi="Arial"/>
          <w:sz w:val="21"/>
          <w:szCs w:val="21"/>
          <w:color w:val="auto"/>
        </w:rPr>
        <w:t>iv.With respect to Black Rock, Daggett, Mesquite Sky, Hawaii 2.0, Rosamond Central, Kawailoa and Oahu only, (i) Section 2.2 of the ROFO Agreement is hereby amended by replacing “within the next one hundred eighty (180) calendar days” with “until November 2, 2021,” (ii) Section 2.3 of the ROFO Agreement is hereby amended by replacing “for a period of one hundred eighty (180) calendar days from and after the ROFO Termination Date for any Zephyr ROFO Asset and the applicable proposed Transfer” with “until November 2, 2021,” and (iii) Section 2.3 of the ROFO Agreement is hereby amended by replacing “such one hundred eighty (180) day period” with “November 2, 2021.”</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Effectiveness of this Amendment</w:t>
      </w:r>
      <w:r>
        <w:rPr>
          <w:rFonts w:ascii="Arial" w:cs="Arial" w:eastAsia="Arial" w:hAnsi="Arial"/>
          <w:sz w:val="19"/>
          <w:szCs w:val="19"/>
          <w:color w:val="auto"/>
        </w:rPr>
        <w:t>. This Amendment is effective as of the Amendment Date.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No Other Changes</w:t>
      </w:r>
      <w:r>
        <w:rPr>
          <w:rFonts w:ascii="Arial" w:cs="Arial" w:eastAsia="Arial" w:hAnsi="Arial"/>
          <w:sz w:val="22"/>
          <w:szCs w:val="22"/>
          <w:color w:val="auto"/>
        </w:rPr>
        <w:t>. Except as expressly provided or contemplated by this Amendment, all the terms, conditions and provisions of the ROFO Agreement remain unaltered and in full force and effect. The ROFO Agreement and this Amendment shall be read and construed as one agreement.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Facsimile; Counterparts</w:t>
      </w:r>
      <w:r>
        <w:rPr>
          <w:rFonts w:ascii="Arial" w:cs="Arial" w:eastAsia="Arial" w:hAnsi="Arial"/>
          <w:sz w:val="22"/>
          <w:szCs w:val="22"/>
          <w:color w:val="auto"/>
        </w:rPr>
        <w:t>. Each Party may deliver executed signature pages to this Amendment by facsimile or electronic transmission to the other Parties, which facsimile or electronic copy shall be deemed to be an original executed signature page. This Amendment may be executed in any number of counterparts, each of which shall be deemed an original and all of which counterparts together shall constitute one agreement with the same effect as if the Parties had signed the same signature page.</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 Section 5.7 of the Agreement shall apply,</w:t>
      </w:r>
      <w:r>
        <w:rPr>
          <w:rFonts w:ascii="Arial" w:cs="Arial" w:eastAsia="Arial" w:hAnsi="Arial"/>
          <w:sz w:val="19"/>
          <w:szCs w:val="19"/>
          <w:u w:val="single" w:color="auto"/>
          <w:color w:val="auto"/>
        </w:rPr>
        <w:t xml:space="preserve"> </w:t>
      </w:r>
      <w:r>
        <w:rPr>
          <w:rFonts w:ascii="Arial" w:cs="Arial" w:eastAsia="Arial" w:hAnsi="Arial"/>
          <w:sz w:val="19"/>
          <w:szCs w:val="19"/>
          <w:i w:val="1"/>
          <w:iCs w:val="1"/>
          <w:color w:val="auto"/>
        </w:rPr>
        <w:t>mutatis mutandis</w:t>
      </w:r>
      <w:r>
        <w:rPr>
          <w:rFonts w:ascii="Arial" w:cs="Arial" w:eastAsia="Arial" w:hAnsi="Arial"/>
          <w:sz w:val="19"/>
          <w:szCs w:val="19"/>
          <w:color w:val="auto"/>
        </w:rPr>
        <w:t>,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82" w:name="page83"/>
    <w:bookmarkEnd w:id="82"/>
    <w:p>
      <w:pPr>
        <w:jc w:val="both"/>
        <w:ind w:firstLine="648"/>
        <w:spacing w:after="0" w:line="250"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or provision of this Amendment is held to be or rendered invalid or unenforceable at any time in any jurisdiction, such term or provision shall not affect the validity or enforceability of any other terms or provisions of this Amendment, or the validity or enforceability of such affected terms or provisions at any other time or in any other jurisdiction.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83" w:name="page84"/>
    <w:bookmarkEnd w:id="83"/>
    <w:p>
      <w:pPr>
        <w:ind w:firstLine="648"/>
        <w:spacing w:after="0" w:line="293"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CEG and CWEN have each caused this Amendment to be executed and delivered in their</w:t>
      </w:r>
      <w:r>
        <w:rPr>
          <w:rFonts w:ascii="Arial" w:cs="Arial" w:eastAsia="Arial" w:hAnsi="Arial"/>
          <w:sz w:val="21"/>
          <w:szCs w:val="21"/>
          <w:b w:val="1"/>
          <w:bCs w:val="1"/>
          <w:color w:val="auto"/>
        </w:rPr>
        <w:t xml:space="preserve"> </w:t>
      </w:r>
      <w:r>
        <w:rPr>
          <w:rFonts w:ascii="Arial" w:cs="Arial" w:eastAsia="Arial" w:hAnsi="Arial"/>
          <w:sz w:val="21"/>
          <w:szCs w:val="21"/>
          <w:color w:val="auto"/>
        </w:rPr>
        <w:t>names by their respective duly authorized officers or representatives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CLEARWAY ENERGY GROUP LLC</w:t>
      </w:r>
    </w:p>
    <w:p>
      <w:pPr>
        <w:spacing w:after="0" w:line="64"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/s/ Steve Ryder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24130</wp:posOffset>
            </wp:positionV>
            <wp:extent cx="21685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5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 Steve Ryder</w:t>
      </w:r>
    </w:p>
    <w:p>
      <w:pPr>
        <w:spacing w:after="0" w:line="5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Title: Chief Financial Officer</w:t>
      </w:r>
    </w:p>
    <w:p>
      <w:pPr>
        <w:spacing w:after="0" w:line="322"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CLEARWAY ENERGY, INC.</w:t>
      </w:r>
    </w:p>
    <w:p>
      <w:pPr>
        <w:spacing w:after="0" w:line="64"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24130</wp:posOffset>
            </wp:positionV>
            <wp:extent cx="2168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5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 Christopher S. Sotos</w:t>
      </w:r>
    </w:p>
    <w:p>
      <w:pPr>
        <w:spacing w:after="0" w:line="5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Title: President &amp; Chief Executive</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Amendment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Right of First Offer Agreement</w:t>
      </w:r>
    </w:p>
    <w:p>
      <w:pPr>
        <w:sectPr>
          <w:pgSz w:w="11900" w:h="16838" w:orient="portrait"/>
          <w:cols w:equalWidth="0" w:num="1">
            <w:col w:w="11240"/>
          </w:cols>
          <w:pgMar w:left="320" w:top="1422"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31750</wp:posOffset>
            </wp:positionV>
            <wp:extent cx="18776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8"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Christopher S. Sotos</w:t>
      </w:r>
    </w:p>
    <w:p>
      <w:pPr>
        <w:ind w:left="7000"/>
        <w:spacing w:after="0" w:line="203" w:lineRule="auto"/>
        <w:rPr>
          <w:sz w:val="20"/>
          <w:szCs w:val="20"/>
          <w:color w:val="auto"/>
        </w:rPr>
      </w:pPr>
      <w:r>
        <w:rPr>
          <w:rFonts w:ascii="Arial" w:cs="Arial" w:eastAsia="Arial" w:hAnsi="Arial"/>
          <w:sz w:val="18"/>
          <w:szCs w:val="18"/>
          <w:i w:val="1"/>
          <w:iCs w:val="1"/>
          <w:color w:val="auto"/>
        </w:rPr>
        <w:t>Chief Executive Officer</w:t>
      </w:r>
    </w:p>
    <w:p>
      <w:pPr>
        <w:ind w:left="7000"/>
        <w:spacing w:after="0"/>
        <w:rPr>
          <w:sz w:val="20"/>
          <w:szCs w:val="20"/>
          <w:color w:val="auto"/>
        </w:rPr>
      </w:pPr>
      <w:r>
        <w:rPr>
          <w:rFonts w:ascii="Arial" w:cs="Arial" w:eastAsia="Arial" w:hAnsi="Arial"/>
          <w:sz w:val="18"/>
          <w:szCs w:val="18"/>
          <w:i w:val="1"/>
          <w:iCs w:val="1"/>
          <w:color w:val="auto"/>
        </w:rPr>
        <w:t>(Principal Executive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ectPr>
          <w:pgSz w:w="11900" w:h="16838" w:orient="portrait"/>
          <w:cols w:equalWidth="0" w:num="1">
            <w:col w:w="11240"/>
          </w:cols>
          <w:pgMar w:left="320" w:top="98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4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31750</wp:posOffset>
            </wp:positionV>
            <wp:extent cx="19545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Chad Plotkin</w:t>
      </w:r>
    </w:p>
    <w:p>
      <w:pPr>
        <w:ind w:left="6880"/>
        <w:spacing w:after="0" w:line="203" w:lineRule="auto"/>
        <w:rPr>
          <w:sz w:val="20"/>
          <w:szCs w:val="20"/>
          <w:color w:val="auto"/>
        </w:rPr>
      </w:pPr>
      <w:r>
        <w:rPr>
          <w:rFonts w:ascii="Arial" w:cs="Arial" w:eastAsia="Arial" w:hAnsi="Arial"/>
          <w:sz w:val="18"/>
          <w:szCs w:val="18"/>
          <w:i w:val="1"/>
          <w:iCs w:val="1"/>
          <w:color w:val="auto"/>
        </w:rPr>
        <w:t>Chief Financial Officer</w:t>
      </w: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ectPr>
          <w:pgSz w:w="11900" w:h="16838" w:orient="portrait"/>
          <w:cols w:equalWidth="0" w:num="1">
            <w:col w:w="11240"/>
          </w:cols>
          <w:pgMar w:left="320" w:top="98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18002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8"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Sarah Rubenstein</w:t>
      </w:r>
    </w:p>
    <w:p>
      <w:pPr>
        <w:ind w:left="7300"/>
        <w:spacing w:after="0" w:line="203" w:lineRule="auto"/>
        <w:rPr>
          <w:sz w:val="20"/>
          <w:szCs w:val="20"/>
          <w:color w:val="auto"/>
        </w:rPr>
      </w:pPr>
      <w:r>
        <w:rPr>
          <w:rFonts w:ascii="Arial" w:cs="Arial" w:eastAsia="Arial" w:hAnsi="Arial"/>
          <w:sz w:val="18"/>
          <w:szCs w:val="18"/>
          <w:i w:val="1"/>
          <w:iCs w:val="1"/>
          <w:color w:val="auto"/>
        </w:rPr>
        <w:t>Vice President, Accounting &amp;</w:t>
      </w:r>
    </w:p>
    <w:p>
      <w:pPr>
        <w:ind w:left="7300"/>
        <w:spacing w:after="0" w:line="203" w:lineRule="auto"/>
        <w:rPr>
          <w:sz w:val="20"/>
          <w:szCs w:val="20"/>
          <w:color w:val="auto"/>
        </w:rPr>
      </w:pPr>
      <w:r>
        <w:rPr>
          <w:rFonts w:ascii="Arial" w:cs="Arial" w:eastAsia="Arial" w:hAnsi="Arial"/>
          <w:sz w:val="18"/>
          <w:szCs w:val="18"/>
          <w:i w:val="1"/>
          <w:iCs w:val="1"/>
          <w:color w:val="auto"/>
        </w:rPr>
        <w:t>Controller</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Accounting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Clearway Energy LLC on Form 10-Q for the quarter ended September 30, 2020,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36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2425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Christopher S. Sotos</w:t>
      </w:r>
    </w:p>
    <w:p>
      <w:pPr>
        <w:spacing w:after="0" w:line="34"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Executive Officer</w:t>
      </w:r>
    </w:p>
    <w:p>
      <w:pPr>
        <w:ind w:left="58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2425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Chad Plotkin</w:t>
      </w:r>
    </w:p>
    <w:p>
      <w:pPr>
        <w:spacing w:after="0" w:line="34"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p>
      <w:pPr>
        <w:ind w:left="5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6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2425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Sarah Rubenstein</w:t>
      </w:r>
    </w:p>
    <w:p>
      <w:pPr>
        <w:spacing w:after="0" w:line="34"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Vice President, Accounting &amp; Controller</w:t>
      </w:r>
    </w:p>
    <w:p>
      <w:pPr>
        <w:ind w:left="58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lvl w:ilvl="1">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lowerLetter"/>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32"/>
    </w:lvl>
  </w:abstractNum>
  <w:abstractNum w:abstractNumId="37">
    <w:nsid w:val="2D517796"/>
    <w:multiLevelType w:val="hybridMultilevel"/>
    <w:lvl w:ilvl="0">
      <w:lvlJc w:val="left"/>
      <w:lvlText w:val="%1"/>
      <w:numFmt w:val="decimal"/>
      <w:start w:val="10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30" Type="http://schemas.openxmlformats.org/officeDocument/2006/relationships/hyperlink" Target="http://www.sec.gov/Archives/edgar/data/1567683/000110465920085304/tm2025125d1_ex4-3.htm" TargetMode="External"/><Relationship Id="rId131" Type="http://schemas.openxmlformats.org/officeDocument/2006/relationships/hyperlink" Target="http://www.sec.gov/Archives/edgar/data/1637757/000110465920085307/tm2025128d1_ex4-2.htm" TargetMode="External"/><Relationship Id="rId132" Type="http://schemas.openxmlformats.org/officeDocument/2006/relationships/hyperlink" Target="http://www.sec.gov/Archives/edgar/data/1637757/000110465920085307/tm2025128d1_ex4-3.htm" TargetMode="External"/><Relationship Id="rId133" Type="http://schemas.openxmlformats.org/officeDocument/2006/relationships/hyperlink" Target="http://www.sec.gov/Archives/edgar/data/1567683/000110465920097221/tm2025854d5_ex4-1.htm" TargetMode="External"/><Relationship Id="rId134" Type="http://schemas.openxmlformats.org/officeDocument/2006/relationships/hyperlink" Target="http://www.sec.gov/Archives/edgar/data/1567683/000110465920097221/tm2025854d5_ex4-2.htm" TargetMode="External"/><Relationship Id="rId135" Type="http://schemas.openxmlformats.org/officeDocument/2006/relationships/hyperlink" Target="http://www.sec.gov/Archives/edgar/data/1567683/000110465920097221/tm2025854d5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2020-11-05T13:09:16Z</dcterms:created>
  <dcterms:modified xsi:type="dcterms:W3CDTF">2020-11-05T13:09:16Z</dcterms:modified>
</cp:coreProperties>
</file>