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638810</wp:posOffset>
            </wp:positionH>
            <wp:positionV relativeFrom="page">
              <wp:posOffset>469900</wp:posOffset>
            </wp:positionV>
            <wp:extent cx="64230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255"/>
                    </a:xfrm>
                    <a:prstGeom prst="rect">
                      <a:avLst/>
                    </a:prstGeom>
                    <a:noFill/>
                  </pic:spPr>
                </pic:pic>
              </a:graphicData>
            </a:graphic>
          </wp:anchor>
        </w:drawing>
        <w:drawing>
          <wp:anchor simplePos="0" relativeHeight="251657728" behindDoc="1" locked="0" layoutInCell="0" allowOverlap="1">
            <wp:simplePos x="0" y="0"/>
            <wp:positionH relativeFrom="page">
              <wp:posOffset>638810</wp:posOffset>
            </wp:positionH>
            <wp:positionV relativeFrom="page">
              <wp:posOffset>427355</wp:posOffset>
            </wp:positionV>
            <wp:extent cx="64230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17145"/>
                    </a:xfrm>
                    <a:prstGeom prst="rect">
                      <a:avLst/>
                    </a:prstGeom>
                    <a:noFill/>
                  </pic:spPr>
                </pic:pic>
              </a:graphicData>
            </a:graphic>
          </wp:anchor>
        </w:drawing>
        <w:t>UNITED STATES SECURITIES AND EXCHANGE COMMISSION</w:t>
      </w:r>
    </w:p>
    <w:p>
      <w:pPr>
        <w:spacing w:after="0" w:line="28"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Washington, D.C. 20549</w:t>
      </w:r>
    </w:p>
    <w:p>
      <w:pPr>
        <w:jc w:val="center"/>
        <w:ind w:right="-239"/>
        <w:spacing w:after="0"/>
        <w:rPr>
          <w:sz w:val="20"/>
          <w:szCs w:val="20"/>
          <w:color w:val="auto"/>
        </w:rPr>
      </w:pPr>
      <w:r>
        <w:rPr>
          <w:rFonts w:ascii="Arial" w:cs="Arial" w:eastAsia="Arial" w:hAnsi="Arial"/>
          <w:sz w:val="28"/>
          <w:szCs w:val="28"/>
          <w:b w:val="1"/>
          <w:bCs w:val="1"/>
          <w:color w:val="auto"/>
        </w:rPr>
        <w:t>Form 10-K</w:t>
      </w:r>
    </w:p>
    <w:p>
      <w:pPr>
        <w:spacing w:after="0" w:line="87" w:lineRule="exact"/>
        <w:rPr>
          <w:sz w:val="24"/>
          <w:szCs w:val="24"/>
          <w:color w:val="auto"/>
        </w:rPr>
      </w:pPr>
    </w:p>
    <w:p>
      <w:pPr>
        <w:ind w:left="1060" w:hanging="554"/>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5"/>
          <w:szCs w:val="15"/>
          <w:b w:val="1"/>
          <w:bCs w:val="1"/>
          <w:color w:val="auto"/>
        </w:rPr>
        <w:t>ANNUAL REPORT PURSUANT TO SECTION 13 OR 15(d) OF THE SECURITIES EXCHANGE ACT OF 1934</w:t>
      </w:r>
    </w:p>
    <w:p>
      <w:pPr>
        <w:spacing w:after="0" w:line="13" w:lineRule="exact"/>
        <w:rPr>
          <w:sz w:val="24"/>
          <w:szCs w:val="24"/>
          <w:color w:val="auto"/>
        </w:rPr>
      </w:pPr>
    </w:p>
    <w:p>
      <w:pPr>
        <w:ind w:left="1060"/>
        <w:spacing w:after="0"/>
        <w:tabs>
          <w:tab w:leader="none" w:pos="3080" w:val="left"/>
        </w:tabs>
        <w:rPr>
          <w:sz w:val="20"/>
          <w:szCs w:val="20"/>
          <w:color w:val="auto"/>
        </w:rPr>
      </w:pPr>
      <w:r>
        <w:rPr>
          <w:rFonts w:ascii="Arial" w:cs="Arial" w:eastAsia="Arial" w:hAnsi="Arial"/>
          <w:sz w:val="15"/>
          <w:szCs w:val="15"/>
          <w:b w:val="1"/>
          <w:bCs w:val="1"/>
          <w:color w:val="auto"/>
        </w:rPr>
        <w:t>For the Fiscal Year ended</w:t>
      </w:r>
      <w:r>
        <w:rPr>
          <w:sz w:val="20"/>
          <w:szCs w:val="20"/>
          <w:color w:val="auto"/>
        </w:rPr>
        <w:tab/>
      </w:r>
      <w:r>
        <w:rPr>
          <w:rFonts w:ascii="Arial" w:cs="Arial" w:eastAsia="Arial" w:hAnsi="Arial"/>
          <w:sz w:val="13"/>
          <w:szCs w:val="13"/>
          <w:b w:val="1"/>
          <w:bCs w:val="1"/>
          <w:color w:val="auto"/>
        </w:rPr>
        <w:t>December 31, 2021</w:t>
      </w:r>
    </w:p>
    <w:p>
      <w:pPr>
        <w:spacing w:after="0" w:line="62" w:lineRule="exact"/>
        <w:rPr>
          <w:sz w:val="24"/>
          <w:szCs w:val="24"/>
          <w:color w:val="auto"/>
        </w:rPr>
      </w:pPr>
    </w:p>
    <w:p>
      <w:pPr>
        <w:ind w:left="1060" w:hanging="554"/>
        <w:spacing w:after="0"/>
        <w:tabs>
          <w:tab w:leader="none" w:pos="1060" w:val="left"/>
        </w:tabs>
        <w:numPr>
          <w:ilvl w:val="0"/>
          <w:numId w:val="2"/>
        </w:numPr>
        <w:rPr>
          <w:rFonts w:ascii="MS PGothic" w:cs="MS PGothic" w:eastAsia="MS PGothic" w:hAnsi="MS PGothic"/>
          <w:sz w:val="18"/>
          <w:szCs w:val="18"/>
          <w:color w:val="auto"/>
        </w:rPr>
      </w:pPr>
      <w:r>
        <w:rPr>
          <w:rFonts w:ascii="Arial" w:cs="Arial" w:eastAsia="Arial" w:hAnsi="Arial"/>
          <w:sz w:val="15"/>
          <w:szCs w:val="15"/>
          <w:b w:val="1"/>
          <w:bCs w:val="1"/>
          <w:color w:val="auto"/>
        </w:rPr>
        <w:t>TRANSITION REPORT PURSUANT TO SECTION 13 OR 15(d) OF THE SECURITIES EXCHANGE ACT OF 1934</w:t>
      </w:r>
    </w:p>
    <w:tbl>
      <w:tblPr>
        <w:tblLayout w:type="fixed"/>
        <w:tblInd w:w="240" w:type="dxa"/>
        <w:tblCellMar>
          <w:top w:w="0" w:type="dxa"/>
          <w:left w:w="0" w:type="dxa"/>
          <w:bottom w:w="0" w:type="dxa"/>
          <w:right w:w="0" w:type="dxa"/>
        </w:tblCellMar>
      </w:tblPr>
      <w:tr>
        <w:trPr>
          <w:trHeight w:val="208"/>
        </w:trPr>
        <w:tc>
          <w:tcPr>
            <w:tcW w:w="3440" w:type="dxa"/>
            <w:vAlign w:val="bottom"/>
          </w:tcPr>
          <w:p>
            <w:pPr>
              <w:ind w:left="820"/>
              <w:spacing w:after="0"/>
              <w:rPr>
                <w:sz w:val="20"/>
                <w:szCs w:val="20"/>
                <w:color w:val="auto"/>
              </w:rPr>
            </w:pPr>
            <w:r>
              <w:rPr>
                <w:rFonts w:ascii="Arial" w:cs="Arial" w:eastAsia="Arial" w:hAnsi="Arial"/>
                <w:sz w:val="15"/>
                <w:szCs w:val="15"/>
                <w:b w:val="1"/>
                <w:bCs w:val="1"/>
                <w:color w:val="auto"/>
              </w:rPr>
              <w:t>For the Transition period from</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2"/>
              </w:rPr>
              <w:t>to</w:t>
            </w:r>
          </w:p>
        </w:tc>
        <w:tc>
          <w:tcPr>
            <w:tcW w:w="1060" w:type="dxa"/>
            <w:vAlign w:val="bottom"/>
          </w:tcPr>
          <w:p>
            <w:pPr>
              <w:jc w:val="right"/>
              <w:ind w:right="155"/>
              <w:spacing w:after="0"/>
              <w:rPr>
                <w:sz w:val="20"/>
                <w:szCs w:val="20"/>
                <w:color w:val="auto"/>
              </w:rPr>
            </w:pPr>
            <w:r>
              <w:rPr>
                <w:rFonts w:ascii="Arial" w:cs="Arial" w:eastAsia="Arial" w:hAnsi="Arial"/>
                <w:sz w:val="16"/>
                <w:szCs w:val="16"/>
                <w:b w:val="1"/>
                <w:bCs w:val="1"/>
                <w:color w:val="auto"/>
              </w:rPr>
              <w:t>.</w:t>
            </w: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Commission File Number: 001-36002</w:t>
            </w:r>
          </w:p>
        </w:tc>
        <w:tc>
          <w:tcPr>
            <w:tcW w:w="4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0"/>
        </w:trPr>
        <w:tc>
          <w:tcPr>
            <w:tcW w:w="3440" w:type="dxa"/>
            <w:vAlign w:val="bottom"/>
          </w:tcPr>
          <w:p>
            <w:pPr>
              <w:spacing w:after="0"/>
              <w:rPr>
                <w:sz w:val="24"/>
                <w:szCs w:val="24"/>
                <w:color w:val="auto"/>
              </w:rPr>
            </w:pPr>
          </w:p>
        </w:tc>
        <w:tc>
          <w:tcPr>
            <w:tcW w:w="4180" w:type="dxa"/>
            <w:vAlign w:val="bottom"/>
            <w:gridSpan w:val="4"/>
          </w:tcPr>
          <w:p>
            <w:pPr>
              <w:jc w:val="center"/>
              <w:spacing w:after="0"/>
              <w:rPr>
                <w:sz w:val="20"/>
                <w:szCs w:val="20"/>
                <w:color w:val="auto"/>
              </w:rPr>
            </w:pPr>
            <w:r>
              <w:rPr>
                <w:rFonts w:ascii="Arial" w:cs="Arial" w:eastAsia="Arial" w:hAnsi="Arial"/>
                <w:sz w:val="39"/>
                <w:szCs w:val="39"/>
                <w:b w:val="1"/>
                <w:bCs w:val="1"/>
                <w:color w:val="auto"/>
                <w:w w:val="92"/>
              </w:rPr>
              <w:t>Clearway Energy, Inc.</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440" w:type="dxa"/>
            <w:vAlign w:val="bottom"/>
          </w:tcPr>
          <w:p>
            <w:pPr>
              <w:spacing w:after="0"/>
              <w:rPr>
                <w:sz w:val="22"/>
                <w:szCs w:val="22"/>
                <w:color w:val="auto"/>
              </w:rPr>
            </w:pPr>
          </w:p>
        </w:tc>
        <w:tc>
          <w:tcPr>
            <w:tcW w:w="4180" w:type="dxa"/>
            <w:vAlign w:val="bottom"/>
            <w:gridSpan w:val="4"/>
          </w:tcPr>
          <w:p>
            <w:pPr>
              <w:jc w:val="center"/>
              <w:spacing w:after="0"/>
              <w:rPr>
                <w:sz w:val="20"/>
                <w:szCs w:val="20"/>
                <w:color w:val="auto"/>
              </w:rPr>
            </w:pPr>
            <w:r>
              <w:rPr>
                <w:rFonts w:ascii="Arial" w:cs="Arial" w:eastAsia="Arial" w:hAnsi="Arial"/>
                <w:sz w:val="18"/>
                <w:szCs w:val="18"/>
                <w:i w:val="1"/>
                <w:iCs w:val="1"/>
                <w:color w:val="auto"/>
                <w:w w:val="90"/>
              </w:rPr>
              <w:t>(Exact name of registrant as specified in its charter)</w:t>
            </w: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440" w:type="dxa"/>
            <w:vAlign w:val="bottom"/>
          </w:tcPr>
          <w:p>
            <w:pPr>
              <w:jc w:val="center"/>
              <w:ind w:left="513"/>
              <w:spacing w:after="0"/>
              <w:rPr>
                <w:sz w:val="20"/>
                <w:szCs w:val="20"/>
                <w:color w:val="auto"/>
              </w:rPr>
            </w:pPr>
            <w:r>
              <w:rPr>
                <w:rFonts w:ascii="Arial" w:cs="Arial" w:eastAsia="Arial" w:hAnsi="Arial"/>
                <w:sz w:val="18"/>
                <w:szCs w:val="18"/>
                <w:b w:val="1"/>
                <w:bCs w:val="1"/>
                <w:color w:val="auto"/>
                <w:w w:val="91"/>
              </w:rPr>
              <w:t>Delaware</w:t>
            </w: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80" w:type="dxa"/>
            <w:vAlign w:val="bottom"/>
          </w:tcPr>
          <w:p>
            <w:pPr>
              <w:jc w:val="right"/>
              <w:ind w:right="1212"/>
              <w:spacing w:after="0"/>
              <w:rPr>
                <w:sz w:val="20"/>
                <w:szCs w:val="20"/>
                <w:color w:val="auto"/>
              </w:rPr>
            </w:pPr>
            <w:r>
              <w:rPr>
                <w:rFonts w:ascii="Arial" w:cs="Arial" w:eastAsia="Arial" w:hAnsi="Arial"/>
                <w:sz w:val="18"/>
                <w:szCs w:val="18"/>
                <w:b w:val="1"/>
                <w:bCs w:val="1"/>
                <w:color w:val="auto"/>
              </w:rPr>
              <w:t>46-1777204</w:t>
            </w:r>
          </w:p>
        </w:tc>
        <w:tc>
          <w:tcPr>
            <w:tcW w:w="0" w:type="dxa"/>
            <w:vAlign w:val="bottom"/>
          </w:tcPr>
          <w:p>
            <w:pPr>
              <w:spacing w:after="0"/>
              <w:rPr>
                <w:sz w:val="1"/>
                <w:szCs w:val="1"/>
                <w:color w:val="auto"/>
              </w:rPr>
            </w:pPr>
          </w:p>
        </w:tc>
      </w:tr>
      <w:tr>
        <w:trPr>
          <w:trHeight w:val="176"/>
        </w:trPr>
        <w:tc>
          <w:tcPr>
            <w:tcW w:w="3440" w:type="dxa"/>
            <w:vAlign w:val="bottom"/>
          </w:tcPr>
          <w:p>
            <w:pPr>
              <w:jc w:val="center"/>
              <w:ind w:left="533"/>
              <w:spacing w:after="0" w:line="176" w:lineRule="exact"/>
              <w:rPr>
                <w:sz w:val="20"/>
                <w:szCs w:val="20"/>
                <w:color w:val="auto"/>
              </w:rPr>
            </w:pPr>
            <w:r>
              <w:rPr>
                <w:rFonts w:ascii="Arial" w:cs="Arial" w:eastAsia="Arial" w:hAnsi="Arial"/>
                <w:sz w:val="18"/>
                <w:szCs w:val="18"/>
                <w:color w:val="auto"/>
                <w:w w:val="90"/>
              </w:rPr>
              <w:t>(State or other jurisdiction</w:t>
            </w: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80" w:type="dxa"/>
            <w:vAlign w:val="bottom"/>
          </w:tcPr>
          <w:p>
            <w:pPr>
              <w:jc w:val="center"/>
              <w:ind w:right="512"/>
              <w:spacing w:after="0" w:line="176" w:lineRule="exact"/>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4"/>
        </w:trPr>
        <w:tc>
          <w:tcPr>
            <w:tcW w:w="3440" w:type="dxa"/>
            <w:vAlign w:val="bottom"/>
          </w:tcPr>
          <w:p>
            <w:pPr>
              <w:jc w:val="center"/>
              <w:ind w:left="293"/>
              <w:spacing w:after="0"/>
              <w:rPr>
                <w:sz w:val="20"/>
                <w:szCs w:val="20"/>
                <w:color w:val="auto"/>
              </w:rPr>
            </w:pPr>
            <w:r>
              <w:rPr>
                <w:rFonts w:ascii="Arial" w:cs="Arial" w:eastAsia="Arial" w:hAnsi="Arial"/>
                <w:sz w:val="18"/>
                <w:szCs w:val="18"/>
                <w:color w:val="auto"/>
                <w:w w:val="92"/>
              </w:rPr>
              <w:t>of incorporation or organization)</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8"/>
                <w:szCs w:val="18"/>
                <w:color w:val="auto"/>
              </w:rPr>
              <w:t>Identification No.)</w:t>
            </w:r>
          </w:p>
        </w:tc>
        <w:tc>
          <w:tcPr>
            <w:tcW w:w="0" w:type="dxa"/>
            <w:vAlign w:val="bottom"/>
          </w:tcPr>
          <w:p>
            <w:pPr>
              <w:spacing w:after="0"/>
              <w:rPr>
                <w:sz w:val="1"/>
                <w:szCs w:val="1"/>
                <w:color w:val="auto"/>
              </w:rPr>
            </w:pPr>
          </w:p>
        </w:tc>
      </w:tr>
      <w:tr>
        <w:trPr>
          <w:trHeight w:val="280"/>
        </w:trPr>
        <w:tc>
          <w:tcPr>
            <w:tcW w:w="3440" w:type="dxa"/>
            <w:vAlign w:val="bottom"/>
          </w:tcPr>
          <w:p>
            <w:pPr>
              <w:jc w:val="center"/>
              <w:ind w:left="533"/>
              <w:spacing w:after="0"/>
              <w:rPr>
                <w:sz w:val="20"/>
                <w:szCs w:val="20"/>
                <w:color w:val="auto"/>
              </w:rPr>
            </w:pPr>
            <w:r>
              <w:rPr>
                <w:rFonts w:ascii="Arial" w:cs="Arial" w:eastAsia="Arial" w:hAnsi="Arial"/>
                <w:sz w:val="18"/>
                <w:szCs w:val="18"/>
                <w:b w:val="1"/>
                <w:bCs w:val="1"/>
                <w:color w:val="auto"/>
                <w:w w:val="88"/>
              </w:rPr>
              <w:t>300 Carnegie Center, Suite 300</w:t>
            </w:r>
          </w:p>
        </w:tc>
        <w:tc>
          <w:tcPr>
            <w:tcW w:w="520" w:type="dxa"/>
            <w:vAlign w:val="bottom"/>
          </w:tcPr>
          <w:p>
            <w:pPr>
              <w:spacing w:after="0"/>
              <w:rPr>
                <w:sz w:val="24"/>
                <w:szCs w:val="24"/>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b w:val="1"/>
                <w:bCs w:val="1"/>
                <w:color w:val="auto"/>
              </w:rPr>
              <w:t>Princeton</w:t>
            </w:r>
          </w:p>
        </w:tc>
        <w:tc>
          <w:tcPr>
            <w:tcW w:w="2120" w:type="dxa"/>
            <w:vAlign w:val="bottom"/>
          </w:tcPr>
          <w:p>
            <w:pPr>
              <w:ind w:left="660"/>
              <w:spacing w:after="0"/>
              <w:rPr>
                <w:sz w:val="20"/>
                <w:szCs w:val="20"/>
                <w:color w:val="auto"/>
              </w:rPr>
            </w:pPr>
            <w:r>
              <w:rPr>
                <w:rFonts w:ascii="Arial" w:cs="Arial" w:eastAsia="Arial" w:hAnsi="Arial"/>
                <w:sz w:val="18"/>
                <w:szCs w:val="18"/>
                <w:b w:val="1"/>
                <w:bCs w:val="1"/>
                <w:color w:val="auto"/>
              </w:rPr>
              <w:t>New Jersey</w:t>
            </w:r>
          </w:p>
        </w:tc>
        <w:tc>
          <w:tcPr>
            <w:tcW w:w="480" w:type="dxa"/>
            <w:vAlign w:val="bottom"/>
          </w:tcPr>
          <w:p>
            <w:pPr>
              <w:spacing w:after="0"/>
              <w:rPr>
                <w:sz w:val="24"/>
                <w:szCs w:val="24"/>
                <w:color w:val="auto"/>
              </w:rPr>
            </w:pPr>
          </w:p>
        </w:tc>
        <w:tc>
          <w:tcPr>
            <w:tcW w:w="2880" w:type="dxa"/>
            <w:vAlign w:val="bottom"/>
          </w:tcPr>
          <w:p>
            <w:pPr>
              <w:jc w:val="right"/>
              <w:ind w:right="1432"/>
              <w:spacing w:after="0"/>
              <w:rPr>
                <w:sz w:val="20"/>
                <w:szCs w:val="20"/>
                <w:color w:val="auto"/>
              </w:rPr>
            </w:pPr>
            <w:r>
              <w:rPr>
                <w:rFonts w:ascii="Arial" w:cs="Arial" w:eastAsia="Arial" w:hAnsi="Arial"/>
                <w:sz w:val="18"/>
                <w:szCs w:val="18"/>
                <w:b w:val="1"/>
                <w:bCs w:val="1"/>
                <w:color w:val="auto"/>
              </w:rPr>
              <w:t>08540</w:t>
            </w:r>
          </w:p>
        </w:tc>
        <w:tc>
          <w:tcPr>
            <w:tcW w:w="0" w:type="dxa"/>
            <w:vAlign w:val="bottom"/>
          </w:tcPr>
          <w:p>
            <w:pPr>
              <w:spacing w:after="0"/>
              <w:rPr>
                <w:sz w:val="1"/>
                <w:szCs w:val="1"/>
                <w:color w:val="auto"/>
              </w:rPr>
            </w:pPr>
          </w:p>
        </w:tc>
      </w:tr>
      <w:tr>
        <w:trPr>
          <w:trHeight w:val="227"/>
        </w:trPr>
        <w:tc>
          <w:tcPr>
            <w:tcW w:w="5020" w:type="dxa"/>
            <w:vAlign w:val="bottom"/>
            <w:gridSpan w:val="3"/>
          </w:tcPr>
          <w:p>
            <w:pPr>
              <w:jc w:val="right"/>
              <w:spacing w:after="0"/>
              <w:rPr>
                <w:sz w:val="20"/>
                <w:szCs w:val="20"/>
                <w:color w:val="auto"/>
              </w:rPr>
            </w:pPr>
            <w:r>
              <w:rPr>
                <w:rFonts w:ascii="Arial" w:cs="Arial" w:eastAsia="Arial" w:hAnsi="Arial"/>
                <w:sz w:val="18"/>
                <w:szCs w:val="18"/>
                <w:color w:val="auto"/>
              </w:rPr>
              <w:t>(Address of principal executive offices)</w:t>
            </w:r>
          </w:p>
        </w:tc>
        <w:tc>
          <w:tcPr>
            <w:tcW w:w="2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80" w:type="dxa"/>
            <w:vAlign w:val="bottom"/>
          </w:tcPr>
          <w:p>
            <w:pPr>
              <w:jc w:val="center"/>
              <w:ind w:right="49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271"/>
        </w:trPr>
        <w:tc>
          <w:tcPr>
            <w:tcW w:w="3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180" w:type="dxa"/>
            <w:vAlign w:val="bottom"/>
            <w:gridSpan w:val="2"/>
          </w:tcPr>
          <w:p>
            <w:pPr>
              <w:jc w:val="center"/>
              <w:ind w:right="253"/>
              <w:spacing w:after="0"/>
              <w:rPr>
                <w:sz w:val="20"/>
                <w:szCs w:val="20"/>
                <w:color w:val="auto"/>
              </w:rPr>
            </w:pPr>
            <w:r>
              <w:rPr>
                <w:rFonts w:ascii="Arial" w:cs="Arial" w:eastAsia="Arial" w:hAnsi="Arial"/>
                <w:sz w:val="16"/>
                <w:szCs w:val="16"/>
                <w:b w:val="1"/>
                <w:bCs w:val="1"/>
                <w:color w:val="auto"/>
                <w:w w:val="91"/>
              </w:rPr>
              <w:t>(609) 608-1525</w:t>
            </w:r>
          </w:p>
        </w:tc>
        <w:tc>
          <w:tcPr>
            <w:tcW w:w="48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3700" w:type="dxa"/>
            <w:vAlign w:val="bottom"/>
            <w:gridSpan w:val="3"/>
          </w:tcPr>
          <w:p>
            <w:pPr>
              <w:jc w:val="center"/>
              <w:ind w:left="99"/>
              <w:spacing w:after="0"/>
              <w:rPr>
                <w:sz w:val="20"/>
                <w:szCs w:val="20"/>
                <w:color w:val="auto"/>
              </w:rPr>
            </w:pPr>
            <w:r>
              <w:rPr>
                <w:rFonts w:ascii="Arial" w:cs="Arial" w:eastAsia="Arial" w:hAnsi="Arial"/>
                <w:sz w:val="16"/>
                <w:szCs w:val="16"/>
                <w:color w:val="auto"/>
                <w:w w:val="89"/>
              </w:rPr>
              <w:t>(Registrant’s telephone number, including area code)</w:t>
            </w:r>
          </w:p>
        </w:tc>
        <w:tc>
          <w:tcPr>
            <w:tcW w:w="4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40" w:type="dxa"/>
            <w:vAlign w:val="bottom"/>
          </w:tcPr>
          <w:p>
            <w:pPr>
              <w:spacing w:after="0"/>
              <w:rPr>
                <w:sz w:val="17"/>
                <w:szCs w:val="17"/>
                <w:color w:val="auto"/>
              </w:rPr>
            </w:pPr>
          </w:p>
        </w:tc>
        <w:tc>
          <w:tcPr>
            <w:tcW w:w="4180" w:type="dxa"/>
            <w:vAlign w:val="bottom"/>
            <w:gridSpan w:val="4"/>
          </w:tcPr>
          <w:p>
            <w:pPr>
              <w:jc w:val="center"/>
              <w:ind w:right="211"/>
              <w:spacing w:after="0"/>
              <w:rPr>
                <w:sz w:val="20"/>
                <w:szCs w:val="20"/>
                <w:color w:val="auto"/>
              </w:rPr>
            </w:pPr>
            <w:r>
              <w:rPr>
                <w:rFonts w:ascii="Arial" w:cs="Arial" w:eastAsia="Arial" w:hAnsi="Arial"/>
                <w:sz w:val="16"/>
                <w:szCs w:val="16"/>
                <w:color w:val="auto"/>
                <w:w w:val="90"/>
              </w:rPr>
              <w:t>Securities registered pursuant to Section 12(b) of the Act:</w:t>
            </w: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40" w:type="dxa"/>
            <w:vAlign w:val="bottom"/>
          </w:tcPr>
          <w:p>
            <w:pPr>
              <w:jc w:val="center"/>
              <w:ind w:left="293"/>
              <w:spacing w:after="0"/>
              <w:rPr>
                <w:sz w:val="20"/>
                <w:szCs w:val="20"/>
                <w:color w:val="auto"/>
              </w:rPr>
            </w:pPr>
            <w:r>
              <w:rPr>
                <w:rFonts w:ascii="Arial" w:cs="Arial" w:eastAsia="Arial" w:hAnsi="Arial"/>
                <w:sz w:val="18"/>
                <w:szCs w:val="18"/>
                <w:b w:val="1"/>
                <w:bCs w:val="1"/>
                <w:color w:val="auto"/>
                <w:w w:val="86"/>
              </w:rPr>
              <w:t>Title of each class</w:t>
            </w:r>
          </w:p>
        </w:tc>
        <w:tc>
          <w:tcPr>
            <w:tcW w:w="520" w:type="dxa"/>
            <w:vAlign w:val="bottom"/>
          </w:tcPr>
          <w:p>
            <w:pPr>
              <w:spacing w:after="0"/>
              <w:rPr>
                <w:sz w:val="21"/>
                <w:szCs w:val="21"/>
                <w:color w:val="auto"/>
              </w:rPr>
            </w:pPr>
          </w:p>
        </w:tc>
        <w:tc>
          <w:tcPr>
            <w:tcW w:w="3180" w:type="dxa"/>
            <w:vAlign w:val="bottom"/>
            <w:gridSpan w:val="2"/>
          </w:tcPr>
          <w:p>
            <w:pPr>
              <w:jc w:val="center"/>
              <w:ind w:right="273"/>
              <w:spacing w:after="0"/>
              <w:rPr>
                <w:sz w:val="20"/>
                <w:szCs w:val="20"/>
                <w:color w:val="auto"/>
              </w:rPr>
            </w:pPr>
            <w:r>
              <w:rPr>
                <w:rFonts w:ascii="Arial" w:cs="Arial" w:eastAsia="Arial" w:hAnsi="Arial"/>
                <w:sz w:val="18"/>
                <w:szCs w:val="18"/>
                <w:b w:val="1"/>
                <w:bCs w:val="1"/>
                <w:color w:val="auto"/>
                <w:w w:val="89"/>
              </w:rPr>
              <w:t>Trading Symbol(s)</w:t>
            </w:r>
          </w:p>
        </w:tc>
        <w:tc>
          <w:tcPr>
            <w:tcW w:w="3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Name of each exchange on which registered</w:t>
            </w:r>
          </w:p>
        </w:tc>
        <w:tc>
          <w:tcPr>
            <w:tcW w:w="0" w:type="dxa"/>
            <w:vAlign w:val="bottom"/>
          </w:tcPr>
          <w:p>
            <w:pPr>
              <w:spacing w:after="0"/>
              <w:rPr>
                <w:sz w:val="1"/>
                <w:szCs w:val="1"/>
                <w:color w:val="auto"/>
              </w:rPr>
            </w:pPr>
          </w:p>
        </w:tc>
      </w:tr>
      <w:tr>
        <w:trPr>
          <w:trHeight w:val="227"/>
        </w:trPr>
        <w:tc>
          <w:tcPr>
            <w:tcW w:w="3440" w:type="dxa"/>
            <w:vAlign w:val="bottom"/>
          </w:tcPr>
          <w:p>
            <w:pPr>
              <w:jc w:val="center"/>
              <w:ind w:left="293"/>
              <w:spacing w:after="0"/>
              <w:rPr>
                <w:sz w:val="20"/>
                <w:szCs w:val="20"/>
                <w:color w:val="auto"/>
              </w:rPr>
            </w:pPr>
            <w:r>
              <w:rPr>
                <w:rFonts w:ascii="Arial" w:cs="Arial" w:eastAsia="Arial" w:hAnsi="Arial"/>
                <w:sz w:val="18"/>
                <w:szCs w:val="18"/>
                <w:color w:val="auto"/>
                <w:w w:val="89"/>
              </w:rPr>
              <w:t>Class A Common Stock, par value $0.01</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120" w:type="dxa"/>
            <w:vAlign w:val="bottom"/>
          </w:tcPr>
          <w:p>
            <w:pPr>
              <w:jc w:val="center"/>
              <w:ind w:right="1333"/>
              <w:spacing w:after="0"/>
              <w:rPr>
                <w:sz w:val="20"/>
                <w:szCs w:val="20"/>
                <w:color w:val="auto"/>
              </w:rPr>
            </w:pPr>
            <w:r>
              <w:rPr>
                <w:rFonts w:ascii="Arial" w:cs="Arial" w:eastAsia="Arial" w:hAnsi="Arial"/>
                <w:sz w:val="18"/>
                <w:szCs w:val="18"/>
                <w:color w:val="auto"/>
                <w:w w:val="97"/>
              </w:rPr>
              <w:t>CWEN.A</w:t>
            </w:r>
          </w:p>
        </w:tc>
        <w:tc>
          <w:tcPr>
            <w:tcW w:w="480" w:type="dxa"/>
            <w:vAlign w:val="bottom"/>
          </w:tcPr>
          <w:p>
            <w:pPr>
              <w:spacing w:after="0"/>
              <w:rPr>
                <w:sz w:val="19"/>
                <w:szCs w:val="19"/>
                <w:color w:val="auto"/>
              </w:rPr>
            </w:pPr>
          </w:p>
        </w:tc>
        <w:tc>
          <w:tcPr>
            <w:tcW w:w="2880" w:type="dxa"/>
            <w:vAlign w:val="bottom"/>
          </w:tcPr>
          <w:p>
            <w:pPr>
              <w:jc w:val="center"/>
              <w:ind w:right="352"/>
              <w:spacing w:after="0"/>
              <w:rPr>
                <w:sz w:val="20"/>
                <w:szCs w:val="20"/>
                <w:color w:val="auto"/>
              </w:rPr>
            </w:pPr>
            <w:r>
              <w:rPr>
                <w:rFonts w:ascii="Arial" w:cs="Arial" w:eastAsia="Arial" w:hAnsi="Arial"/>
                <w:sz w:val="18"/>
                <w:szCs w:val="18"/>
                <w:color w:val="auto"/>
                <w:w w:val="90"/>
              </w:rPr>
              <w:t>New York Stock Exchange</w:t>
            </w:r>
          </w:p>
        </w:tc>
        <w:tc>
          <w:tcPr>
            <w:tcW w:w="0" w:type="dxa"/>
            <w:vAlign w:val="bottom"/>
          </w:tcPr>
          <w:p>
            <w:pPr>
              <w:spacing w:after="0"/>
              <w:rPr>
                <w:sz w:val="1"/>
                <w:szCs w:val="1"/>
                <w:color w:val="auto"/>
              </w:rPr>
            </w:pPr>
          </w:p>
        </w:tc>
      </w:tr>
      <w:tr>
        <w:trPr>
          <w:trHeight w:val="227"/>
        </w:trPr>
        <w:tc>
          <w:tcPr>
            <w:tcW w:w="3440" w:type="dxa"/>
            <w:vAlign w:val="bottom"/>
          </w:tcPr>
          <w:p>
            <w:pPr>
              <w:jc w:val="center"/>
              <w:ind w:left="293"/>
              <w:spacing w:after="0"/>
              <w:rPr>
                <w:sz w:val="20"/>
                <w:szCs w:val="20"/>
                <w:color w:val="auto"/>
              </w:rPr>
            </w:pPr>
            <w:r>
              <w:rPr>
                <w:rFonts w:ascii="Arial" w:cs="Arial" w:eastAsia="Arial" w:hAnsi="Arial"/>
                <w:sz w:val="18"/>
                <w:szCs w:val="18"/>
                <w:color w:val="auto"/>
                <w:w w:val="89"/>
              </w:rPr>
              <w:t>Class C Common Stock, par value $0.01</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120" w:type="dxa"/>
            <w:vAlign w:val="bottom"/>
          </w:tcPr>
          <w:p>
            <w:pPr>
              <w:jc w:val="center"/>
              <w:ind w:right="1333"/>
              <w:spacing w:after="0"/>
              <w:rPr>
                <w:sz w:val="20"/>
                <w:szCs w:val="20"/>
                <w:color w:val="auto"/>
              </w:rPr>
            </w:pPr>
            <w:r>
              <w:rPr>
                <w:rFonts w:ascii="Arial" w:cs="Arial" w:eastAsia="Arial" w:hAnsi="Arial"/>
                <w:sz w:val="18"/>
                <w:szCs w:val="18"/>
                <w:color w:val="auto"/>
                <w:w w:val="98"/>
              </w:rPr>
              <w:t>CWEN</w:t>
            </w:r>
          </w:p>
        </w:tc>
        <w:tc>
          <w:tcPr>
            <w:tcW w:w="480" w:type="dxa"/>
            <w:vAlign w:val="bottom"/>
          </w:tcPr>
          <w:p>
            <w:pPr>
              <w:spacing w:after="0"/>
              <w:rPr>
                <w:sz w:val="19"/>
                <w:szCs w:val="19"/>
                <w:color w:val="auto"/>
              </w:rPr>
            </w:pPr>
          </w:p>
        </w:tc>
        <w:tc>
          <w:tcPr>
            <w:tcW w:w="2880" w:type="dxa"/>
            <w:vAlign w:val="bottom"/>
          </w:tcPr>
          <w:p>
            <w:pPr>
              <w:jc w:val="center"/>
              <w:ind w:right="352"/>
              <w:spacing w:after="0"/>
              <w:rPr>
                <w:sz w:val="20"/>
                <w:szCs w:val="20"/>
                <w:color w:val="auto"/>
              </w:rPr>
            </w:pPr>
            <w:r>
              <w:rPr>
                <w:rFonts w:ascii="Arial" w:cs="Arial" w:eastAsia="Arial" w:hAnsi="Arial"/>
                <w:sz w:val="18"/>
                <w:szCs w:val="18"/>
                <w:color w:val="auto"/>
                <w:w w:val="90"/>
              </w:rPr>
              <w:t>New York Stock Exchange</w:t>
            </w:r>
          </w:p>
        </w:tc>
        <w:tc>
          <w:tcPr>
            <w:tcW w:w="0" w:type="dxa"/>
            <w:vAlign w:val="bottom"/>
          </w:tcPr>
          <w:p>
            <w:pPr>
              <w:spacing w:after="0"/>
              <w:rPr>
                <w:sz w:val="1"/>
                <w:szCs w:val="1"/>
                <w:color w:val="auto"/>
              </w:rPr>
            </w:pPr>
          </w:p>
        </w:tc>
      </w:tr>
      <w:tr>
        <w:trPr>
          <w:trHeight w:val="267"/>
        </w:trPr>
        <w:tc>
          <w:tcPr>
            <w:tcW w:w="3440" w:type="dxa"/>
            <w:vAlign w:val="bottom"/>
          </w:tcPr>
          <w:p>
            <w:pPr>
              <w:spacing w:after="0"/>
              <w:rPr>
                <w:sz w:val="23"/>
                <w:szCs w:val="23"/>
                <w:color w:val="auto"/>
              </w:rPr>
            </w:pPr>
          </w:p>
        </w:tc>
        <w:tc>
          <w:tcPr>
            <w:tcW w:w="4180" w:type="dxa"/>
            <w:vAlign w:val="bottom"/>
            <w:gridSpan w:val="4"/>
          </w:tcPr>
          <w:p>
            <w:pPr>
              <w:ind w:left="220"/>
              <w:spacing w:after="0"/>
              <w:rPr>
                <w:sz w:val="20"/>
                <w:szCs w:val="20"/>
                <w:color w:val="auto"/>
              </w:rPr>
            </w:pPr>
            <w:r>
              <w:rPr>
                <w:rFonts w:ascii="Arial" w:cs="Arial" w:eastAsia="Arial" w:hAnsi="Arial"/>
                <w:sz w:val="16"/>
                <w:szCs w:val="16"/>
                <w:b w:val="1"/>
                <w:bCs w:val="1"/>
                <w:color w:val="auto"/>
                <w:w w:val="89"/>
              </w:rPr>
              <w:t>Securities registered pursuant to Section 12(g) of the Act:</w:t>
            </w:r>
          </w:p>
        </w:tc>
        <w:tc>
          <w:tcPr>
            <w:tcW w:w="2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20" w:type="dxa"/>
            <w:vAlign w:val="bottom"/>
          </w:tcPr>
          <w:p>
            <w:pPr>
              <w:jc w:val="center"/>
              <w:ind w:right="1073"/>
              <w:spacing w:after="0"/>
              <w:rPr>
                <w:sz w:val="20"/>
                <w:szCs w:val="20"/>
                <w:color w:val="auto"/>
              </w:rPr>
            </w:pPr>
            <w:r>
              <w:rPr>
                <w:rFonts w:ascii="Arial" w:cs="Arial" w:eastAsia="Arial" w:hAnsi="Arial"/>
                <w:sz w:val="16"/>
                <w:szCs w:val="16"/>
                <w:b w:val="1"/>
                <w:bCs w:val="1"/>
                <w:color w:val="auto"/>
                <w:w w:val="89"/>
              </w:rPr>
              <w:t>None</w:t>
            </w:r>
          </w:p>
        </w:tc>
        <w:tc>
          <w:tcPr>
            <w:tcW w:w="480" w:type="dxa"/>
            <w:vAlign w:val="bottom"/>
          </w:tcPr>
          <w:p>
            <w:pPr>
              <w:spacing w:after="0"/>
              <w:rPr>
                <w:sz w:val="16"/>
                <w:szCs w:val="16"/>
                <w:color w:val="auto"/>
              </w:rPr>
            </w:pPr>
          </w:p>
        </w:tc>
        <w:tc>
          <w:tcPr>
            <w:tcW w:w="2880" w:type="dxa"/>
            <w:vAlign w:val="bottom"/>
            <w:vMerge w:val="restart"/>
          </w:tcPr>
          <w:p>
            <w:pPr>
              <w:ind w:left="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22"/>
        </w:trPr>
        <w:tc>
          <w:tcPr>
            <w:tcW w:w="7620" w:type="dxa"/>
            <w:vAlign w:val="bottom"/>
            <w:gridSpan w:val="5"/>
          </w:tcPr>
          <w:p>
            <w:pPr>
              <w:jc w:val="center"/>
              <w:ind w:right="11"/>
              <w:spacing w:after="0"/>
              <w:rPr>
                <w:sz w:val="20"/>
                <w:szCs w:val="20"/>
                <w:color w:val="auto"/>
              </w:rPr>
            </w:pPr>
            <w:r>
              <w:rPr>
                <w:rFonts w:ascii="Arial" w:cs="Arial" w:eastAsia="Arial" w:hAnsi="Arial"/>
                <w:sz w:val="16"/>
                <w:szCs w:val="16"/>
                <w:color w:val="auto"/>
                <w:w w:val="90"/>
              </w:rPr>
              <w:t>Indicate by check mark if the registrant is a well-known seasoned issuer, as defined in Rule 405 of the Securities Act.</w:t>
            </w:r>
          </w:p>
        </w:tc>
        <w:tc>
          <w:tcPr>
            <w:tcW w:w="2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240"/>
        <w:spacing w:after="0" w:line="184" w:lineRule="exact"/>
        <w:tabs>
          <w:tab w:leader="none" w:pos="8700" w:val="left"/>
          <w:tab w:leader="none" w:pos="9280" w:val="left"/>
        </w:tabs>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3" w:lineRule="exact"/>
        <w:rPr>
          <w:sz w:val="24"/>
          <w:szCs w:val="24"/>
          <w:color w:val="auto"/>
        </w:rPr>
      </w:pPr>
    </w:p>
    <w:p>
      <w:pPr>
        <w:ind w:right="580" w:firstLine="240"/>
        <w:spacing w:after="0" w:line="28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84" w:lineRule="exact"/>
        <w:tabs>
          <w:tab w:leader="none" w:pos="1160" w:val="left"/>
          <w:tab w:leader="none" w:pos="1860" w:val="left"/>
        </w:tabs>
        <w:rPr>
          <w:sz w:val="20"/>
          <w:szCs w:val="20"/>
          <w:color w:val="auto"/>
        </w:rPr>
      </w:pPr>
      <w:r>
        <w:rPr>
          <w:rFonts w:ascii="Arial" w:cs="Arial" w:eastAsia="Arial" w:hAnsi="Arial"/>
          <w:sz w:val="16"/>
          <w:szCs w:val="16"/>
          <w:color w:val="auto"/>
        </w:rPr>
        <w:t>90 days.</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48" w:lineRule="exact"/>
        <w:rPr>
          <w:sz w:val="24"/>
          <w:szCs w:val="24"/>
          <w:color w:val="auto"/>
        </w:rPr>
      </w:pPr>
    </w:p>
    <w:p>
      <w:pPr>
        <w:ind w:left="240"/>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w:t>
      </w:r>
    </w:p>
    <w:p>
      <w:pPr>
        <w:spacing w:after="0" w:line="22" w:lineRule="exact"/>
        <w:rPr>
          <w:sz w:val="24"/>
          <w:szCs w:val="24"/>
          <w:color w:val="auto"/>
        </w:rPr>
      </w:pPr>
    </w:p>
    <w:p>
      <w:pPr>
        <w:spacing w:after="0" w:line="184" w:lineRule="exact"/>
        <w:tabs>
          <w:tab w:leader="none" w:pos="9960" w:val="left"/>
          <w:tab w:leader="none" w:pos="10620" w:val="left"/>
        </w:tabs>
        <w:rPr>
          <w:sz w:val="20"/>
          <w:szCs w:val="20"/>
          <w:color w:val="auto"/>
        </w:rPr>
      </w:pPr>
      <w:r>
        <w:rPr>
          <w:rFonts w:ascii="Arial" w:cs="Arial" w:eastAsia="Arial" w:hAnsi="Arial"/>
          <w:sz w:val="16"/>
          <w:szCs w:val="16"/>
          <w:color w:val="auto"/>
        </w:rPr>
        <w:t>(§232.405 of this chapter) during the preceding 12 months (or for such shorter period that the registrant was required to submit such files).</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34" w:lineRule="exact"/>
        <w:rPr>
          <w:sz w:val="24"/>
          <w:szCs w:val="24"/>
          <w:color w:val="auto"/>
        </w:rPr>
      </w:pPr>
    </w:p>
    <w:p>
      <w:pPr>
        <w:jc w:val="both"/>
        <w:ind w:firstLine="240"/>
        <w:spacing w:after="0" w:line="22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2160" w:type="dxa"/>
            <w:vAlign w:val="bottom"/>
          </w:tcPr>
          <w:p>
            <w:pPr>
              <w:jc w:val="center"/>
              <w:ind w:right="471"/>
              <w:spacing w:after="0"/>
              <w:rPr>
                <w:sz w:val="20"/>
                <w:szCs w:val="20"/>
                <w:color w:val="auto"/>
              </w:rPr>
            </w:pPr>
            <w:r>
              <w:rPr>
                <w:rFonts w:ascii="Arial" w:cs="Arial" w:eastAsia="Arial" w:hAnsi="Arial"/>
                <w:sz w:val="18"/>
                <w:szCs w:val="18"/>
                <w:color w:val="auto"/>
                <w:w w:val="89"/>
              </w:rPr>
              <w:t>Large accelerated filer</w:t>
            </w:r>
          </w:p>
        </w:tc>
        <w:tc>
          <w:tcPr>
            <w:tcW w:w="13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0"/>
        </w:trPr>
        <w:tc>
          <w:tcPr>
            <w:tcW w:w="2160" w:type="dxa"/>
            <w:vAlign w:val="bottom"/>
          </w:tcPr>
          <w:p>
            <w:pPr>
              <w:jc w:val="center"/>
              <w:ind w:right="491"/>
              <w:spacing w:after="0"/>
              <w:rPr>
                <w:sz w:val="20"/>
                <w:szCs w:val="20"/>
                <w:color w:val="auto"/>
              </w:rPr>
            </w:pPr>
            <w:r>
              <w:rPr>
                <w:rFonts w:ascii="Arial" w:cs="Arial" w:eastAsia="Arial" w:hAnsi="Arial"/>
                <w:sz w:val="18"/>
                <w:szCs w:val="18"/>
                <w:color w:val="auto"/>
                <w:w w:val="90"/>
              </w:rPr>
              <w:t>Non-accelerated filer</w:t>
            </w:r>
          </w:p>
        </w:tc>
        <w:tc>
          <w:tcPr>
            <w:tcW w:w="13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12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12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6" w:lineRule="exact"/>
        <w:rPr>
          <w:sz w:val="24"/>
          <w:szCs w:val="24"/>
          <w:color w:val="auto"/>
        </w:rPr>
      </w:pPr>
    </w:p>
    <w:p>
      <w:pPr>
        <w:ind w:firstLine="240"/>
        <w:spacing w:after="0" w:line="17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240"/>
        <w:spacing w:after="0" w:line="161" w:lineRule="exact"/>
        <w:tabs>
          <w:tab w:leader="none" w:pos="6220" w:val="left"/>
          <w:tab w:leader="none" w:pos="6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No x</w:t>
      </w:r>
    </w:p>
    <w:p>
      <w:pPr>
        <w:spacing w:after="0" w:line="45" w:lineRule="exact"/>
        <w:rPr>
          <w:sz w:val="24"/>
          <w:szCs w:val="24"/>
          <w:color w:val="auto"/>
        </w:rPr>
      </w:pPr>
    </w:p>
    <w:p>
      <w:pPr>
        <w:ind w:firstLine="240"/>
        <w:spacing w:after="0" w:line="287"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1" w:lineRule="exact"/>
        <w:rPr>
          <w:sz w:val="24"/>
          <w:szCs w:val="24"/>
          <w:color w:val="auto"/>
        </w:rPr>
      </w:pPr>
    </w:p>
    <w:p>
      <w:pPr>
        <w:ind w:firstLine="240"/>
        <w:spacing w:after="0" w:line="267" w:lineRule="auto"/>
        <w:rPr>
          <w:sz w:val="20"/>
          <w:szCs w:val="20"/>
          <w:color w:val="auto"/>
        </w:rPr>
      </w:pPr>
      <w:r>
        <w:rPr>
          <w:rFonts w:ascii="Arial" w:cs="Arial" w:eastAsia="Arial" w:hAnsi="Arial"/>
          <w:sz w:val="14"/>
          <w:szCs w:val="14"/>
          <w:color w:val="auto"/>
        </w:rPr>
        <w:t>As of the last business day of the most recently completed second fiscal quarter, the aggregate market value of the common stock of the registrant held by non-affiliates was approximately $3,029,269,190 based on the closing sale prices of such shares as reported on the New York Stock Exchange.</w:t>
      </w:r>
    </w:p>
    <w:p>
      <w:pPr>
        <w:spacing w:after="0" w:line="15" w:lineRule="exact"/>
        <w:rPr>
          <w:sz w:val="24"/>
          <w:szCs w:val="24"/>
          <w:color w:val="auto"/>
        </w:rPr>
      </w:pPr>
    </w:p>
    <w:p>
      <w:pPr>
        <w:ind w:left="240"/>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40" w:lineRule="exact"/>
        <w:rPr>
          <w:sz w:val="24"/>
          <w:szCs w:val="24"/>
          <w:color w:val="auto"/>
        </w:rPr>
      </w:pPr>
    </w:p>
    <w:tbl>
      <w:tblPr>
        <w:tblLayout w:type="fixed"/>
        <w:tblInd w:w="2300" w:type="dxa"/>
        <w:tblCellMar>
          <w:top w:w="0" w:type="dxa"/>
          <w:left w:w="0" w:type="dxa"/>
          <w:bottom w:w="0" w:type="dxa"/>
          <w:right w:w="0" w:type="dxa"/>
        </w:tblCellMar>
      </w:tblPr>
      <w:tr>
        <w:trPr>
          <w:trHeight w:val="195"/>
        </w:trPr>
        <w:tc>
          <w:tcPr>
            <w:tcW w:w="3920" w:type="dxa"/>
            <w:vAlign w:val="bottom"/>
          </w:tcPr>
          <w:p>
            <w:pPr>
              <w:jc w:val="center"/>
              <w:ind w:right="765"/>
              <w:spacing w:after="0"/>
              <w:rPr>
                <w:sz w:val="20"/>
                <w:szCs w:val="20"/>
                <w:color w:val="auto"/>
              </w:rPr>
            </w:pPr>
            <w:r>
              <w:rPr>
                <w:rFonts w:ascii="Arial" w:cs="Arial" w:eastAsia="Arial" w:hAnsi="Arial"/>
                <w:sz w:val="15"/>
                <w:szCs w:val="15"/>
                <w:b w:val="1"/>
                <w:bCs w:val="1"/>
                <w:color w:val="auto"/>
                <w:w w:val="89"/>
              </w:rPr>
              <w:t>Class</w:t>
            </w:r>
          </w:p>
        </w:tc>
        <w:tc>
          <w:tcPr>
            <w:tcW w:w="2940" w:type="dxa"/>
            <w:vAlign w:val="bottom"/>
          </w:tcPr>
          <w:p>
            <w:pPr>
              <w:jc w:val="center"/>
              <w:ind w:left="745"/>
              <w:spacing w:after="0"/>
              <w:rPr>
                <w:sz w:val="20"/>
                <w:szCs w:val="20"/>
                <w:color w:val="auto"/>
              </w:rPr>
            </w:pPr>
            <w:r>
              <w:rPr>
                <w:rFonts w:ascii="Arial" w:cs="Arial" w:eastAsia="Arial" w:hAnsi="Arial"/>
                <w:sz w:val="15"/>
                <w:szCs w:val="15"/>
                <w:b w:val="1"/>
                <w:bCs w:val="1"/>
                <w:color w:val="auto"/>
                <w:w w:val="92"/>
              </w:rPr>
              <w:t>Outstanding at January 31, 2022</w:t>
            </w:r>
          </w:p>
        </w:tc>
      </w:tr>
      <w:tr>
        <w:trPr>
          <w:trHeight w:val="200"/>
        </w:trPr>
        <w:tc>
          <w:tcPr>
            <w:tcW w:w="3920" w:type="dxa"/>
            <w:vAlign w:val="bottom"/>
          </w:tcPr>
          <w:p>
            <w:pPr>
              <w:jc w:val="center"/>
              <w:ind w:right="765"/>
              <w:spacing w:after="0"/>
              <w:rPr>
                <w:sz w:val="20"/>
                <w:szCs w:val="20"/>
                <w:color w:val="auto"/>
              </w:rPr>
            </w:pPr>
            <w:r>
              <w:rPr>
                <w:rFonts w:ascii="Arial" w:cs="Arial" w:eastAsia="Arial" w:hAnsi="Arial"/>
                <w:sz w:val="15"/>
                <w:szCs w:val="15"/>
                <w:color w:val="auto"/>
                <w:w w:val="90"/>
              </w:rPr>
              <w:t>Common Stock, Class A, par value $0.01 per share</w:t>
            </w:r>
          </w:p>
        </w:tc>
        <w:tc>
          <w:tcPr>
            <w:tcW w:w="2940" w:type="dxa"/>
            <w:vAlign w:val="bottom"/>
          </w:tcPr>
          <w:p>
            <w:pPr>
              <w:jc w:val="center"/>
              <w:ind w:left="745"/>
              <w:spacing w:after="0"/>
              <w:rPr>
                <w:sz w:val="20"/>
                <w:szCs w:val="20"/>
                <w:color w:val="auto"/>
              </w:rPr>
            </w:pPr>
            <w:r>
              <w:rPr>
                <w:rFonts w:ascii="Arial" w:cs="Arial" w:eastAsia="Arial" w:hAnsi="Arial"/>
                <w:sz w:val="15"/>
                <w:szCs w:val="15"/>
                <w:color w:val="auto"/>
                <w:w w:val="90"/>
              </w:rPr>
              <w:t>34,599,645</w:t>
            </w:r>
          </w:p>
        </w:tc>
      </w:tr>
      <w:tr>
        <w:trPr>
          <w:trHeight w:val="200"/>
        </w:trPr>
        <w:tc>
          <w:tcPr>
            <w:tcW w:w="3920" w:type="dxa"/>
            <w:vAlign w:val="bottom"/>
          </w:tcPr>
          <w:p>
            <w:pPr>
              <w:jc w:val="center"/>
              <w:ind w:right="765"/>
              <w:spacing w:after="0"/>
              <w:rPr>
                <w:sz w:val="20"/>
                <w:szCs w:val="20"/>
                <w:color w:val="auto"/>
              </w:rPr>
            </w:pPr>
            <w:r>
              <w:rPr>
                <w:rFonts w:ascii="Arial" w:cs="Arial" w:eastAsia="Arial" w:hAnsi="Arial"/>
                <w:sz w:val="15"/>
                <w:szCs w:val="15"/>
                <w:color w:val="auto"/>
                <w:w w:val="90"/>
              </w:rPr>
              <w:t>Common Stock, Class B, par value $0.01 per share</w:t>
            </w:r>
          </w:p>
        </w:tc>
        <w:tc>
          <w:tcPr>
            <w:tcW w:w="2940" w:type="dxa"/>
            <w:vAlign w:val="bottom"/>
          </w:tcPr>
          <w:p>
            <w:pPr>
              <w:jc w:val="center"/>
              <w:ind w:left="745"/>
              <w:spacing w:after="0"/>
              <w:rPr>
                <w:sz w:val="20"/>
                <w:szCs w:val="20"/>
                <w:color w:val="auto"/>
              </w:rPr>
            </w:pPr>
            <w:r>
              <w:rPr>
                <w:rFonts w:ascii="Arial" w:cs="Arial" w:eastAsia="Arial" w:hAnsi="Arial"/>
                <w:sz w:val="15"/>
                <w:szCs w:val="15"/>
                <w:color w:val="auto"/>
                <w:w w:val="90"/>
              </w:rPr>
              <w:t>42,738,750</w:t>
            </w:r>
          </w:p>
        </w:tc>
      </w:tr>
      <w:tr>
        <w:trPr>
          <w:trHeight w:val="200"/>
        </w:trPr>
        <w:tc>
          <w:tcPr>
            <w:tcW w:w="3920" w:type="dxa"/>
            <w:vAlign w:val="bottom"/>
          </w:tcPr>
          <w:p>
            <w:pPr>
              <w:jc w:val="center"/>
              <w:ind w:right="765"/>
              <w:spacing w:after="0"/>
              <w:rPr>
                <w:sz w:val="20"/>
                <w:szCs w:val="20"/>
                <w:color w:val="auto"/>
              </w:rPr>
            </w:pPr>
            <w:r>
              <w:rPr>
                <w:rFonts w:ascii="Arial" w:cs="Arial" w:eastAsia="Arial" w:hAnsi="Arial"/>
                <w:sz w:val="15"/>
                <w:szCs w:val="15"/>
                <w:color w:val="auto"/>
                <w:w w:val="89"/>
              </w:rPr>
              <w:t>Common Stock, Class C, par value $0.01 per share</w:t>
            </w:r>
          </w:p>
        </w:tc>
        <w:tc>
          <w:tcPr>
            <w:tcW w:w="2940" w:type="dxa"/>
            <w:vAlign w:val="bottom"/>
          </w:tcPr>
          <w:p>
            <w:pPr>
              <w:jc w:val="center"/>
              <w:ind w:left="745"/>
              <w:spacing w:after="0"/>
              <w:rPr>
                <w:sz w:val="20"/>
                <w:szCs w:val="20"/>
                <w:color w:val="auto"/>
              </w:rPr>
            </w:pPr>
            <w:r>
              <w:rPr>
                <w:rFonts w:ascii="Arial" w:cs="Arial" w:eastAsia="Arial" w:hAnsi="Arial"/>
                <w:sz w:val="15"/>
                <w:szCs w:val="15"/>
                <w:color w:val="auto"/>
                <w:w w:val="90"/>
              </w:rPr>
              <w:t>81,869,907</w:t>
            </w:r>
          </w:p>
        </w:tc>
      </w:tr>
      <w:tr>
        <w:trPr>
          <w:trHeight w:val="200"/>
        </w:trPr>
        <w:tc>
          <w:tcPr>
            <w:tcW w:w="3920" w:type="dxa"/>
            <w:vAlign w:val="bottom"/>
          </w:tcPr>
          <w:p>
            <w:pPr>
              <w:jc w:val="center"/>
              <w:ind w:right="765"/>
              <w:spacing w:after="0"/>
              <w:rPr>
                <w:sz w:val="20"/>
                <w:szCs w:val="20"/>
                <w:color w:val="auto"/>
              </w:rPr>
            </w:pPr>
            <w:r>
              <w:rPr>
                <w:rFonts w:ascii="Arial" w:cs="Arial" w:eastAsia="Arial" w:hAnsi="Arial"/>
                <w:sz w:val="15"/>
                <w:szCs w:val="15"/>
                <w:color w:val="auto"/>
                <w:w w:val="89"/>
              </w:rPr>
              <w:t>Common Stock, Class D, par value $0.01 per share</w:t>
            </w:r>
          </w:p>
        </w:tc>
        <w:tc>
          <w:tcPr>
            <w:tcW w:w="2940" w:type="dxa"/>
            <w:vAlign w:val="bottom"/>
          </w:tcPr>
          <w:p>
            <w:pPr>
              <w:jc w:val="center"/>
              <w:ind w:left="745"/>
              <w:spacing w:after="0"/>
              <w:rPr>
                <w:sz w:val="20"/>
                <w:szCs w:val="20"/>
                <w:color w:val="auto"/>
              </w:rPr>
            </w:pPr>
            <w:r>
              <w:rPr>
                <w:rFonts w:ascii="Arial" w:cs="Arial" w:eastAsia="Arial" w:hAnsi="Arial"/>
                <w:sz w:val="15"/>
                <w:szCs w:val="15"/>
                <w:color w:val="auto"/>
                <w:w w:val="90"/>
              </w:rPr>
              <w:t>42,738,750</w:t>
            </w:r>
          </w:p>
        </w:tc>
      </w:tr>
    </w:tbl>
    <w:p>
      <w:pPr>
        <w:spacing w:after="0" w:line="85"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Documents Incorporated by Reference:</w:t>
      </w:r>
    </w:p>
    <w:p>
      <w:pPr>
        <w:spacing w:after="0" w:line="17"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Portions of the Registrant's Definitive Proxy Statement relating to its 2022 Annual Meeting of Stockholders</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15"/>
          <w:szCs w:val="15"/>
          <w:b w:val="1"/>
          <w:bCs w:val="1"/>
          <w:color w:val="auto"/>
        </w:rPr>
        <w:t>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359410</wp:posOffset>
            </wp:positionH>
            <wp:positionV relativeFrom="paragraph">
              <wp:posOffset>43815</wp:posOffset>
            </wp:positionV>
            <wp:extent cx="6423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18415</wp:posOffset>
            </wp:positionV>
            <wp:extent cx="64230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3"/>
        </w:trPr>
        <w:tc>
          <w:tcPr>
            <w:tcW w:w="10900" w:type="dxa"/>
            <w:vAlign w:val="bottom"/>
          </w:tcPr>
          <w:p>
            <w:pPr>
              <w:ind w:left="464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900" w:type="dxa"/>
            <w:vAlign w:val="bottom"/>
          </w:tcPr>
          <w:p>
            <w:pPr>
              <w:ind w:left="5360"/>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900" w:type="dxa"/>
            <w:vAlign w:val="bottom"/>
          </w:tcPr>
          <w:p>
            <w:pPr>
              <w:spacing w:after="0"/>
              <w:rPr>
                <w:sz w:val="20"/>
                <w:szCs w:val="20"/>
                <w:color w:val="auto"/>
              </w:rPr>
            </w:pPr>
            <w:r>
              <w:rPr>
                <w:rFonts w:ascii="Arial" w:cs="Arial" w:eastAsia="Arial" w:hAnsi="Arial"/>
                <w:sz w:val="18"/>
                <w:szCs w:val="18"/>
                <w:color w:val="auto"/>
              </w:rPr>
              <w:t>GLOSSARY OF TERMS</w:t>
            </w:r>
          </w:p>
        </w:tc>
        <w:tc>
          <w:tcPr>
            <w:tcW w:w="1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0" w:type="dxa"/>
            <w:vAlign w:val="bottom"/>
          </w:tcPr>
          <w:p>
            <w:pPr>
              <w:spacing w:after="0"/>
              <w:rPr>
                <w:sz w:val="1"/>
                <w:szCs w:val="1"/>
                <w:color w:val="auto"/>
              </w:rPr>
            </w:pPr>
          </w:p>
        </w:tc>
      </w:tr>
      <w:tr>
        <w:trPr>
          <w:trHeight w:val="207"/>
        </w:trPr>
        <w:tc>
          <w:tcPr>
            <w:tcW w:w="109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8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1 — Business</w:t>
            </w:r>
          </w:p>
        </w:tc>
        <w:tc>
          <w:tcPr>
            <w:tcW w:w="18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1A — Risk Factors</w:t>
            </w:r>
          </w:p>
        </w:tc>
        <w:tc>
          <w:tcPr>
            <w:tcW w:w="280" w:type="dxa"/>
            <w:vAlign w:val="bottom"/>
            <w:gridSpan w:val="3"/>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15</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1B — Unresolved Staff Comments</w:t>
            </w:r>
          </w:p>
        </w:tc>
        <w:tc>
          <w:tcPr>
            <w:tcW w:w="28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2 — Properties</w:t>
            </w:r>
          </w:p>
        </w:tc>
        <w:tc>
          <w:tcPr>
            <w:tcW w:w="28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3 — Legal Proceedings</w:t>
            </w:r>
          </w:p>
        </w:tc>
        <w:tc>
          <w:tcPr>
            <w:tcW w:w="28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4 — Mine Safety Disclosures</w:t>
            </w:r>
          </w:p>
        </w:tc>
        <w:tc>
          <w:tcPr>
            <w:tcW w:w="28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1090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vMerge w:val="continue"/>
          </w:tcPr>
          <w:p>
            <w:pPr>
              <w:spacing w:after="0"/>
              <w:rPr>
                <w:sz w:val="17"/>
                <w:szCs w:val="17"/>
                <w:color w:val="auto"/>
              </w:rPr>
            </w:pPr>
          </w:p>
        </w:tc>
        <w:tc>
          <w:tcPr>
            <w:tcW w:w="28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5 — Market for Registrant's Common Equity, Related Stockholder Matters and Issuer Purchases of Equity Securities</w:t>
            </w:r>
          </w:p>
        </w:tc>
        <w:tc>
          <w:tcPr>
            <w:tcW w:w="28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6 — Reserved</w:t>
            </w:r>
          </w:p>
        </w:tc>
        <w:tc>
          <w:tcPr>
            <w:tcW w:w="28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7 — Management's Discussion and Analysis of Financial Condition and Results of Operations</w:t>
            </w:r>
          </w:p>
        </w:tc>
        <w:tc>
          <w:tcPr>
            <w:tcW w:w="280" w:type="dxa"/>
            <w:vAlign w:val="bottom"/>
            <w:gridSpan w:val="3"/>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47</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7A — Quantitative and Qualitative Disclosures About Market Risk</w:t>
            </w:r>
          </w:p>
        </w:tc>
        <w:tc>
          <w:tcPr>
            <w:tcW w:w="280" w:type="dxa"/>
            <w:vAlign w:val="bottom"/>
            <w:gridSpan w:val="3"/>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68</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8 — Financial Statements and Supplementary Data</w:t>
            </w:r>
          </w:p>
        </w:tc>
        <w:tc>
          <w:tcPr>
            <w:tcW w:w="280" w:type="dxa"/>
            <w:vAlign w:val="bottom"/>
            <w:gridSpan w:val="3"/>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69</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9 — Changes in Disagreements With Accountants on Accounting and Financial Disclosure</w:t>
            </w:r>
          </w:p>
        </w:tc>
        <w:tc>
          <w:tcPr>
            <w:tcW w:w="280" w:type="dxa"/>
            <w:vAlign w:val="bottom"/>
            <w:gridSpan w:val="3"/>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9A — Controls and Procedures</w:t>
            </w:r>
          </w:p>
        </w:tc>
        <w:tc>
          <w:tcPr>
            <w:tcW w:w="280" w:type="dxa"/>
            <w:vAlign w:val="bottom"/>
            <w:gridSpan w:val="3"/>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9B — Other Information</w:t>
            </w:r>
          </w:p>
        </w:tc>
        <w:tc>
          <w:tcPr>
            <w:tcW w:w="280" w:type="dxa"/>
            <w:vAlign w:val="bottom"/>
            <w:gridSpan w:val="3"/>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72</w:t>
              </w:r>
            </w:hyperlink>
          </w:p>
        </w:tc>
        <w:tc>
          <w:tcPr>
            <w:tcW w:w="0" w:type="dxa"/>
            <w:vAlign w:val="bottom"/>
          </w:tcPr>
          <w:p>
            <w:pPr>
              <w:spacing w:after="0"/>
              <w:rPr>
                <w:sz w:val="1"/>
                <w:szCs w:val="1"/>
                <w:color w:val="auto"/>
              </w:rPr>
            </w:pPr>
          </w:p>
        </w:tc>
      </w:tr>
      <w:tr>
        <w:trPr>
          <w:trHeight w:val="20"/>
        </w:trPr>
        <w:tc>
          <w:tcPr>
            <w:tcW w:w="10900" w:type="dxa"/>
            <w:vAlign w:val="bottom"/>
            <w:vMerge w:val="restart"/>
          </w:tcPr>
          <w:p>
            <w:pPr>
              <w:spacing w:after="0"/>
              <w:rPr>
                <w:sz w:val="20"/>
                <w:szCs w:val="20"/>
                <w:color w:val="auto"/>
              </w:rPr>
            </w:pPr>
            <w:r>
              <w:rPr>
                <w:rFonts w:ascii="Arial" w:cs="Arial" w:eastAsia="Arial" w:hAnsi="Arial"/>
                <w:sz w:val="18"/>
                <w:szCs w:val="18"/>
                <w:b w:val="1"/>
                <w:bCs w:val="1"/>
                <w:color w:val="auto"/>
              </w:rPr>
              <w:t>PART III</w:t>
            </w: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vMerge w:val="continue"/>
          </w:tcPr>
          <w:p>
            <w:pPr>
              <w:spacing w:after="0"/>
              <w:rPr>
                <w:sz w:val="17"/>
                <w:szCs w:val="17"/>
                <w:color w:val="auto"/>
              </w:rPr>
            </w:pPr>
          </w:p>
        </w:tc>
        <w:tc>
          <w:tcPr>
            <w:tcW w:w="280" w:type="dxa"/>
            <w:vAlign w:val="bottom"/>
            <w:gridSpan w:val="3"/>
          </w:tcPr>
          <w:p>
            <w:pPr>
              <w:jc w:val="right"/>
              <w:spacing w:after="0"/>
              <w:rPr>
                <w:rFonts w:ascii="Arial" w:cs="Arial" w:eastAsia="Arial" w:hAnsi="Arial"/>
                <w:sz w:val="18"/>
                <w:szCs w:val="18"/>
                <w:color w:val="0000FF"/>
              </w:rPr>
            </w:pPr>
            <w:hyperlink w:anchor="page72">
              <w:r>
                <w:rPr>
                  <w:rFonts w:ascii="Arial" w:cs="Arial" w:eastAsia="Arial" w:hAnsi="Arial"/>
                  <w:sz w:val="18"/>
                  <w:szCs w:val="18"/>
                  <w:color w:val="0000FF"/>
                </w:rPr>
                <w:t>73</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10 — Directors, Executive Officers and Corporate Governance</w:t>
            </w:r>
          </w:p>
        </w:tc>
        <w:tc>
          <w:tcPr>
            <w:tcW w:w="280" w:type="dxa"/>
            <w:vAlign w:val="bottom"/>
            <w:gridSpan w:val="3"/>
          </w:tcPr>
          <w:p>
            <w:pPr>
              <w:jc w:val="right"/>
              <w:spacing w:after="0"/>
              <w:rPr>
                <w:rFonts w:ascii="Arial" w:cs="Arial" w:eastAsia="Arial" w:hAnsi="Arial"/>
                <w:sz w:val="18"/>
                <w:szCs w:val="18"/>
                <w:color w:val="0000FF"/>
              </w:rPr>
            </w:pPr>
            <w:hyperlink w:anchor="page73">
              <w:r>
                <w:rPr>
                  <w:rFonts w:ascii="Arial" w:cs="Arial" w:eastAsia="Arial" w:hAnsi="Arial"/>
                  <w:sz w:val="18"/>
                  <w:szCs w:val="18"/>
                  <w:color w:val="0000FF"/>
                </w:rPr>
                <w:t>73</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11 — Executive Compensation</w:t>
            </w:r>
          </w:p>
        </w:tc>
        <w:tc>
          <w:tcPr>
            <w:tcW w:w="280" w:type="dxa"/>
            <w:vAlign w:val="bottom"/>
            <w:gridSpan w:val="3"/>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76</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12 — Security Ownership of Certain Beneficial Owners and Management and Related Stockholder Matters</w:t>
            </w:r>
          </w:p>
        </w:tc>
        <w:tc>
          <w:tcPr>
            <w:tcW w:w="280" w:type="dxa"/>
            <w:vAlign w:val="bottom"/>
            <w:gridSpan w:val="3"/>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13 — Certain Relationships and Related Transactions, and Director Independence</w:t>
            </w:r>
          </w:p>
        </w:tc>
        <w:tc>
          <w:tcPr>
            <w:tcW w:w="280" w:type="dxa"/>
            <w:vAlign w:val="bottom"/>
            <w:gridSpan w:val="3"/>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14 — Principal Accounting Fees and Services</w:t>
            </w:r>
          </w:p>
        </w:tc>
        <w:tc>
          <w:tcPr>
            <w:tcW w:w="280" w:type="dxa"/>
            <w:vAlign w:val="bottom"/>
            <w:gridSpan w:val="3"/>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c>
          <w:tcPr>
            <w:tcW w:w="0" w:type="dxa"/>
            <w:vAlign w:val="bottom"/>
          </w:tcPr>
          <w:p>
            <w:pPr>
              <w:spacing w:after="0"/>
              <w:rPr>
                <w:sz w:val="1"/>
                <w:szCs w:val="1"/>
                <w:color w:val="auto"/>
              </w:rPr>
            </w:pPr>
          </w:p>
        </w:tc>
      </w:tr>
      <w:tr>
        <w:trPr>
          <w:trHeight w:val="20"/>
        </w:trPr>
        <w:tc>
          <w:tcPr>
            <w:tcW w:w="10900" w:type="dxa"/>
            <w:vAlign w:val="bottom"/>
            <w:vMerge w:val="restart"/>
          </w:tcPr>
          <w:p>
            <w:pPr>
              <w:spacing w:after="0"/>
              <w:rPr>
                <w:sz w:val="20"/>
                <w:szCs w:val="20"/>
                <w:color w:val="auto"/>
              </w:rPr>
            </w:pPr>
            <w:r>
              <w:rPr>
                <w:rFonts w:ascii="Arial" w:cs="Arial" w:eastAsia="Arial" w:hAnsi="Arial"/>
                <w:sz w:val="18"/>
                <w:szCs w:val="18"/>
                <w:b w:val="1"/>
                <w:bCs w:val="1"/>
                <w:color w:val="auto"/>
              </w:rPr>
              <w:t>PART IV</w:t>
            </w: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vMerge w:val="continue"/>
          </w:tcPr>
          <w:p>
            <w:pPr>
              <w:spacing w:after="0"/>
              <w:rPr>
                <w:sz w:val="17"/>
                <w:szCs w:val="17"/>
                <w:color w:val="auto"/>
              </w:rPr>
            </w:pPr>
          </w:p>
        </w:tc>
        <w:tc>
          <w:tcPr>
            <w:tcW w:w="280" w:type="dxa"/>
            <w:vAlign w:val="bottom"/>
            <w:gridSpan w:val="3"/>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77</w:t>
              </w:r>
            </w:hyperlink>
          </w:p>
        </w:tc>
        <w:tc>
          <w:tcPr>
            <w:tcW w:w="0" w:type="dxa"/>
            <w:vAlign w:val="bottom"/>
          </w:tcPr>
          <w:p>
            <w:pPr>
              <w:spacing w:after="0"/>
              <w:rPr>
                <w:sz w:val="1"/>
                <w:szCs w:val="1"/>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tcPr>
          <w:p>
            <w:pPr>
              <w:ind w:left="200"/>
              <w:spacing w:after="0"/>
              <w:rPr>
                <w:sz w:val="20"/>
                <w:szCs w:val="20"/>
                <w:color w:val="auto"/>
              </w:rPr>
            </w:pPr>
            <w:r>
              <w:rPr>
                <w:rFonts w:ascii="Arial" w:cs="Arial" w:eastAsia="Arial" w:hAnsi="Arial"/>
                <w:sz w:val="18"/>
                <w:szCs w:val="18"/>
                <w:color w:val="auto"/>
              </w:rPr>
              <w:t>Item 15 — Exhibits, Financial Statement Schedules</w:t>
            </w:r>
          </w:p>
        </w:tc>
        <w:tc>
          <w:tcPr>
            <w:tcW w:w="280" w:type="dxa"/>
            <w:vAlign w:val="bottom"/>
            <w:gridSpan w:val="3"/>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77</w:t>
              </w:r>
            </w:hyperlink>
          </w:p>
        </w:tc>
        <w:tc>
          <w:tcPr>
            <w:tcW w:w="0" w:type="dxa"/>
            <w:vAlign w:val="bottom"/>
          </w:tcPr>
          <w:p>
            <w:pPr>
              <w:spacing w:after="0"/>
              <w:rPr>
                <w:sz w:val="1"/>
                <w:szCs w:val="1"/>
                <w:color w:val="auto"/>
              </w:rPr>
            </w:pPr>
          </w:p>
        </w:tc>
      </w:tr>
      <w:tr>
        <w:trPr>
          <w:trHeight w:val="20"/>
        </w:trPr>
        <w:tc>
          <w:tcPr>
            <w:tcW w:w="10900" w:type="dxa"/>
            <w:vAlign w:val="bottom"/>
            <w:vMerge w:val="restart"/>
          </w:tcPr>
          <w:p>
            <w:pPr>
              <w:spacing w:after="0"/>
              <w:rPr>
                <w:sz w:val="20"/>
                <w:szCs w:val="20"/>
                <w:color w:val="auto"/>
              </w:rPr>
            </w:pPr>
            <w:r>
              <w:rPr>
                <w:rFonts w:ascii="Arial" w:cs="Arial" w:eastAsia="Arial" w:hAnsi="Arial"/>
                <w:sz w:val="18"/>
                <w:szCs w:val="18"/>
                <w:b w:val="1"/>
                <w:bCs w:val="1"/>
                <w:color w:val="auto"/>
              </w:rPr>
              <w:t>EXHIBIT INDEX</w:t>
            </w: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900" w:type="dxa"/>
            <w:vAlign w:val="bottom"/>
            <w:vMerge w:val="continue"/>
          </w:tcPr>
          <w:p>
            <w:pPr>
              <w:spacing w:after="0"/>
              <w:rPr>
                <w:sz w:val="17"/>
                <w:szCs w:val="17"/>
                <w:color w:val="auto"/>
              </w:rPr>
            </w:pPr>
          </w:p>
        </w:tc>
        <w:tc>
          <w:tcPr>
            <w:tcW w:w="280" w:type="dxa"/>
            <w:vAlign w:val="bottom"/>
            <w:tcBorders>
              <w:bottom w:val="single" w:sz="8" w:color="0000FF"/>
            </w:tcBorders>
            <w:gridSpan w:val="3"/>
          </w:tcPr>
          <w:p>
            <w:pPr>
              <w:jc w:val="right"/>
              <w:spacing w:after="0"/>
              <w:rPr>
                <w:rFonts w:ascii="Arial" w:cs="Arial" w:eastAsia="Arial" w:hAnsi="Arial"/>
                <w:sz w:val="18"/>
                <w:szCs w:val="18"/>
                <w:color w:val="0000FF"/>
                <w:w w:val="86"/>
              </w:rPr>
            </w:pPr>
            <w:hyperlink w:anchor="page137">
              <w:r>
                <w:rPr>
                  <w:rFonts w:ascii="Arial" w:cs="Arial" w:eastAsia="Arial" w:hAnsi="Arial"/>
                  <w:sz w:val="18"/>
                  <w:szCs w:val="18"/>
                  <w:color w:val="0000FF"/>
                  <w:w w:val="86"/>
                </w:rPr>
                <w:t>138</w:t>
              </w:r>
            </w:hyperlink>
          </w:p>
        </w:tc>
        <w:tc>
          <w:tcPr>
            <w:tcW w:w="0" w:type="dxa"/>
            <w:vAlign w:val="bottom"/>
          </w:tcPr>
          <w:p>
            <w:pPr>
              <w:spacing w:after="0"/>
              <w:rPr>
                <w:sz w:val="1"/>
                <w:szCs w:val="1"/>
                <w:color w:val="auto"/>
              </w:rPr>
            </w:pPr>
          </w:p>
        </w:tc>
      </w:tr>
      <w:tr>
        <w:trPr>
          <w:trHeight w:val="245"/>
        </w:trPr>
        <w:tc>
          <w:tcPr>
            <w:tcW w:w="10900" w:type="dxa"/>
            <w:vAlign w:val="bottom"/>
          </w:tcPr>
          <w:p>
            <w:pPr>
              <w:ind w:left="200"/>
              <w:spacing w:after="0"/>
              <w:rPr>
                <w:sz w:val="20"/>
                <w:szCs w:val="20"/>
                <w:color w:val="auto"/>
              </w:rPr>
            </w:pPr>
            <w:r>
              <w:rPr>
                <w:rFonts w:ascii="Arial" w:cs="Arial" w:eastAsia="Arial" w:hAnsi="Arial"/>
                <w:sz w:val="18"/>
                <w:szCs w:val="18"/>
                <w:color w:val="auto"/>
              </w:rPr>
              <w:t>Item 16 — Form 10-K Summary</w:t>
            </w:r>
          </w:p>
        </w:tc>
        <w:tc>
          <w:tcPr>
            <w:tcW w:w="280" w:type="dxa"/>
            <w:vAlign w:val="bottom"/>
            <w:gridSpan w:val="3"/>
            <w:vMerge w:val="restart"/>
          </w:tcPr>
          <w:p>
            <w:pPr>
              <w:jc w:val="right"/>
              <w:spacing w:after="0"/>
              <w:rPr>
                <w:rFonts w:ascii="Arial" w:cs="Arial" w:eastAsia="Arial" w:hAnsi="Arial"/>
                <w:sz w:val="18"/>
                <w:szCs w:val="18"/>
                <w:color w:val="0000FF"/>
                <w:w w:val="86"/>
              </w:rPr>
            </w:pPr>
            <w:hyperlink w:anchor="page142">
              <w:r>
                <w:rPr>
                  <w:rFonts w:ascii="Arial" w:cs="Arial" w:eastAsia="Arial" w:hAnsi="Arial"/>
                  <w:sz w:val="18"/>
                  <w:szCs w:val="18"/>
                  <w:color w:val="0000FF"/>
                  <w:w w:val="86"/>
                </w:rPr>
                <w:t>143</w:t>
              </w:r>
            </w:hyperlink>
          </w:p>
        </w:tc>
        <w:tc>
          <w:tcPr>
            <w:tcW w:w="0" w:type="dxa"/>
            <w:vAlign w:val="bottom"/>
          </w:tcPr>
          <w:p>
            <w:pPr>
              <w:spacing w:after="0"/>
              <w:rPr>
                <w:sz w:val="1"/>
                <w:szCs w:val="1"/>
                <w:color w:val="auto"/>
              </w:rPr>
            </w:pPr>
          </w:p>
        </w:tc>
      </w:tr>
      <w:tr>
        <w:trPr>
          <w:trHeight w:val="126"/>
        </w:trPr>
        <w:tc>
          <w:tcPr>
            <w:tcW w:w="10900" w:type="dxa"/>
            <w:vAlign w:val="bottom"/>
          </w:tcPr>
          <w:p>
            <w:pPr>
              <w:spacing w:after="0"/>
              <w:rPr>
                <w:sz w:val="10"/>
                <w:szCs w:val="10"/>
                <w:color w:val="auto"/>
              </w:rPr>
            </w:pPr>
          </w:p>
        </w:tc>
        <w:tc>
          <w:tcPr>
            <w:tcW w:w="280" w:type="dxa"/>
            <w:vAlign w:val="bottom"/>
            <w:tcBorders>
              <w:bottom w:val="single" w:sz="8" w:color="0000FF"/>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66675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120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8400" w:type="dxa"/>
            <w:vAlign w:val="bottom"/>
          </w:tcPr>
          <w:p>
            <w:pPr>
              <w:ind w:left="1820"/>
              <w:spacing w:after="0"/>
              <w:rPr>
                <w:sz w:val="20"/>
                <w:szCs w:val="20"/>
                <w:color w:val="auto"/>
              </w:rPr>
            </w:pPr>
            <w:r>
              <w:rPr>
                <w:rFonts w:ascii="Arial" w:cs="Arial" w:eastAsia="Arial" w:hAnsi="Arial"/>
                <w:sz w:val="18"/>
                <w:szCs w:val="18"/>
                <w:b w:val="1"/>
                <w:bCs w:val="1"/>
                <w:color w:val="auto"/>
              </w:rPr>
              <w:t>GLOSSARY OF TERMS</w:t>
            </w:r>
          </w:p>
        </w:tc>
      </w:tr>
      <w:tr>
        <w:trPr>
          <w:trHeight w:val="373"/>
        </w:trPr>
        <w:tc>
          <w:tcPr>
            <w:tcW w:w="11240" w:type="dxa"/>
            <w:vAlign w:val="bottom"/>
            <w:gridSpan w:val="2"/>
          </w:tcPr>
          <w:p>
            <w:pPr>
              <w:ind w:left="28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r>
      <w:tr>
        <w:trPr>
          <w:trHeight w:val="202"/>
        </w:trPr>
        <w:tc>
          <w:tcPr>
            <w:tcW w:w="2840" w:type="dxa"/>
            <w:vAlign w:val="bottom"/>
          </w:tcPr>
          <w:p>
            <w:pPr>
              <w:ind w:left="300"/>
              <w:spacing w:after="0" w:line="202" w:lineRule="exact"/>
              <w:rPr>
                <w:sz w:val="20"/>
                <w:szCs w:val="20"/>
                <w:color w:val="auto"/>
              </w:rPr>
            </w:pPr>
            <w:r>
              <w:rPr>
                <w:rFonts w:ascii="Arial" w:cs="Arial" w:eastAsia="Arial" w:hAnsi="Arial"/>
                <w:sz w:val="18"/>
                <w:szCs w:val="18"/>
                <w:color w:val="auto"/>
              </w:rPr>
              <w:t>2020 Convertible Notes</w:t>
            </w:r>
          </w:p>
        </w:tc>
        <w:tc>
          <w:tcPr>
            <w:tcW w:w="8400" w:type="dxa"/>
            <w:vAlign w:val="bottom"/>
          </w:tcPr>
          <w:p>
            <w:pPr>
              <w:ind w:left="440"/>
              <w:spacing w:after="0" w:line="202" w:lineRule="exact"/>
              <w:rPr>
                <w:sz w:val="20"/>
                <w:szCs w:val="20"/>
                <w:color w:val="auto"/>
              </w:rPr>
            </w:pPr>
            <w:r>
              <w:rPr>
                <w:rFonts w:ascii="Arial" w:cs="Arial" w:eastAsia="Arial" w:hAnsi="Arial"/>
                <w:sz w:val="18"/>
                <w:szCs w:val="18"/>
                <w:color w:val="auto"/>
                <w:w w:val="90"/>
              </w:rPr>
              <w:t>$45 million aggregate principal amount of 3.25% convertible notes due 2020, issued by Clearway Energy, Inc.,</w:t>
            </w:r>
          </w:p>
        </w:tc>
      </w:tr>
      <w:tr>
        <w:trPr>
          <w:trHeight w:val="224"/>
        </w:trPr>
        <w:tc>
          <w:tcPr>
            <w:tcW w:w="28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which were repaid on June 1, 2020</w:t>
            </w:r>
          </w:p>
        </w:tc>
      </w:tr>
      <w:tr>
        <w:trPr>
          <w:trHeight w:val="176"/>
        </w:trPr>
        <w:tc>
          <w:tcPr>
            <w:tcW w:w="2840" w:type="dxa"/>
            <w:vAlign w:val="bottom"/>
          </w:tcPr>
          <w:p>
            <w:pPr>
              <w:ind w:left="300"/>
              <w:spacing w:after="0" w:line="176" w:lineRule="exact"/>
              <w:rPr>
                <w:sz w:val="20"/>
                <w:szCs w:val="20"/>
                <w:color w:val="auto"/>
              </w:rPr>
            </w:pPr>
            <w:r>
              <w:rPr>
                <w:rFonts w:ascii="Arial" w:cs="Arial" w:eastAsia="Arial" w:hAnsi="Arial"/>
                <w:sz w:val="18"/>
                <w:szCs w:val="18"/>
                <w:color w:val="auto"/>
              </w:rPr>
              <w:t>2024 Senior Notes</w:t>
            </w:r>
          </w:p>
        </w:tc>
        <w:tc>
          <w:tcPr>
            <w:tcW w:w="8400" w:type="dxa"/>
            <w:vAlign w:val="bottom"/>
          </w:tcPr>
          <w:p>
            <w:pPr>
              <w:ind w:left="440"/>
              <w:spacing w:after="0" w:line="176" w:lineRule="exact"/>
              <w:rPr>
                <w:sz w:val="20"/>
                <w:szCs w:val="20"/>
                <w:color w:val="auto"/>
              </w:rPr>
            </w:pPr>
            <w:r>
              <w:rPr>
                <w:rFonts w:ascii="Arial" w:cs="Arial" w:eastAsia="Arial" w:hAnsi="Arial"/>
                <w:sz w:val="18"/>
                <w:szCs w:val="18"/>
                <w:color w:val="auto"/>
                <w:w w:val="94"/>
              </w:rPr>
              <w:t>$500 million aggregate principal amount of 5.375% unsecured senior notes due 2024, issued by Clearway</w:t>
            </w:r>
          </w:p>
        </w:tc>
      </w:tr>
      <w:tr>
        <w:trPr>
          <w:trHeight w:val="224"/>
        </w:trPr>
        <w:tc>
          <w:tcPr>
            <w:tcW w:w="28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Energy Operating LLC, which were repaid on January 3,2020</w:t>
            </w:r>
          </w:p>
        </w:tc>
      </w:tr>
      <w:tr>
        <w:trPr>
          <w:trHeight w:val="176"/>
        </w:trPr>
        <w:tc>
          <w:tcPr>
            <w:tcW w:w="2840" w:type="dxa"/>
            <w:vAlign w:val="bottom"/>
          </w:tcPr>
          <w:p>
            <w:pPr>
              <w:ind w:left="300"/>
              <w:spacing w:after="0" w:line="176" w:lineRule="exact"/>
              <w:rPr>
                <w:sz w:val="20"/>
                <w:szCs w:val="20"/>
                <w:color w:val="auto"/>
              </w:rPr>
            </w:pPr>
            <w:r>
              <w:rPr>
                <w:rFonts w:ascii="Arial" w:cs="Arial" w:eastAsia="Arial" w:hAnsi="Arial"/>
                <w:sz w:val="18"/>
                <w:szCs w:val="18"/>
                <w:color w:val="auto"/>
              </w:rPr>
              <w:t>2025 Senior Notes</w:t>
            </w:r>
          </w:p>
        </w:tc>
        <w:tc>
          <w:tcPr>
            <w:tcW w:w="8400" w:type="dxa"/>
            <w:vAlign w:val="bottom"/>
          </w:tcPr>
          <w:p>
            <w:pPr>
              <w:ind w:left="440"/>
              <w:spacing w:after="0" w:line="176" w:lineRule="exact"/>
              <w:rPr>
                <w:sz w:val="20"/>
                <w:szCs w:val="20"/>
                <w:color w:val="auto"/>
              </w:rPr>
            </w:pPr>
            <w:r>
              <w:rPr>
                <w:rFonts w:ascii="Arial" w:cs="Arial" w:eastAsia="Arial" w:hAnsi="Arial"/>
                <w:sz w:val="18"/>
                <w:szCs w:val="18"/>
                <w:color w:val="auto"/>
                <w:w w:val="94"/>
              </w:rPr>
              <w:t>$600 million aggregate principal amount of 5.750% unsecured senior notes due 2025, issued by Clearway</w:t>
            </w:r>
          </w:p>
        </w:tc>
      </w:tr>
      <w:tr>
        <w:trPr>
          <w:trHeight w:val="224"/>
        </w:trPr>
        <w:tc>
          <w:tcPr>
            <w:tcW w:w="28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Energy Operating LLC, which were repaid in March 2021</w:t>
            </w:r>
          </w:p>
        </w:tc>
      </w:tr>
      <w:tr>
        <w:trPr>
          <w:trHeight w:val="176"/>
        </w:trPr>
        <w:tc>
          <w:tcPr>
            <w:tcW w:w="2840" w:type="dxa"/>
            <w:vAlign w:val="bottom"/>
          </w:tcPr>
          <w:p>
            <w:pPr>
              <w:ind w:left="300"/>
              <w:spacing w:after="0" w:line="176" w:lineRule="exact"/>
              <w:rPr>
                <w:sz w:val="20"/>
                <w:szCs w:val="20"/>
                <w:color w:val="auto"/>
              </w:rPr>
            </w:pPr>
            <w:r>
              <w:rPr>
                <w:rFonts w:ascii="Arial" w:cs="Arial" w:eastAsia="Arial" w:hAnsi="Arial"/>
                <w:sz w:val="18"/>
                <w:szCs w:val="18"/>
                <w:color w:val="auto"/>
              </w:rPr>
              <w:t>2026 Senior Notes</w:t>
            </w:r>
          </w:p>
        </w:tc>
        <w:tc>
          <w:tcPr>
            <w:tcW w:w="8400" w:type="dxa"/>
            <w:vAlign w:val="bottom"/>
          </w:tcPr>
          <w:p>
            <w:pPr>
              <w:ind w:left="440"/>
              <w:spacing w:after="0" w:line="176" w:lineRule="exact"/>
              <w:rPr>
                <w:sz w:val="20"/>
                <w:szCs w:val="20"/>
                <w:color w:val="auto"/>
              </w:rPr>
            </w:pPr>
            <w:r>
              <w:rPr>
                <w:rFonts w:ascii="Arial" w:cs="Arial" w:eastAsia="Arial" w:hAnsi="Arial"/>
                <w:sz w:val="18"/>
                <w:szCs w:val="18"/>
                <w:color w:val="auto"/>
                <w:w w:val="95"/>
              </w:rPr>
              <w:t>$350 million aggregate principal amount of 5.00% unsecured senior notes due 2026, issued by Clearway</w:t>
            </w:r>
          </w:p>
        </w:tc>
      </w:tr>
      <w:tr>
        <w:trPr>
          <w:trHeight w:val="224"/>
        </w:trPr>
        <w:tc>
          <w:tcPr>
            <w:tcW w:w="28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Energy Operating LLC, which were repaid in October 2021</w:t>
            </w:r>
          </w:p>
        </w:tc>
      </w:tr>
      <w:tr>
        <w:trPr>
          <w:trHeight w:val="176"/>
        </w:trPr>
        <w:tc>
          <w:tcPr>
            <w:tcW w:w="2840" w:type="dxa"/>
            <w:vAlign w:val="bottom"/>
          </w:tcPr>
          <w:p>
            <w:pPr>
              <w:ind w:left="300"/>
              <w:spacing w:after="0" w:line="176" w:lineRule="exact"/>
              <w:rPr>
                <w:sz w:val="20"/>
                <w:szCs w:val="20"/>
                <w:color w:val="auto"/>
              </w:rPr>
            </w:pPr>
            <w:r>
              <w:rPr>
                <w:rFonts w:ascii="Arial" w:cs="Arial" w:eastAsia="Arial" w:hAnsi="Arial"/>
                <w:sz w:val="18"/>
                <w:szCs w:val="18"/>
                <w:color w:val="auto"/>
              </w:rPr>
              <w:t>2028 Senior Notes</w:t>
            </w:r>
          </w:p>
        </w:tc>
        <w:tc>
          <w:tcPr>
            <w:tcW w:w="8400" w:type="dxa"/>
            <w:vAlign w:val="bottom"/>
          </w:tcPr>
          <w:p>
            <w:pPr>
              <w:ind w:left="440"/>
              <w:spacing w:after="0" w:line="176" w:lineRule="exact"/>
              <w:rPr>
                <w:sz w:val="20"/>
                <w:szCs w:val="20"/>
                <w:color w:val="auto"/>
              </w:rPr>
            </w:pPr>
            <w:r>
              <w:rPr>
                <w:rFonts w:ascii="Arial" w:cs="Arial" w:eastAsia="Arial" w:hAnsi="Arial"/>
                <w:sz w:val="18"/>
                <w:szCs w:val="18"/>
                <w:color w:val="auto"/>
                <w:w w:val="95"/>
              </w:rPr>
              <w:t>$850 million aggregate principal amount of 4.75% unsecured senior notes due 2028, issued by Clearway</w:t>
            </w:r>
          </w:p>
        </w:tc>
      </w:tr>
      <w:tr>
        <w:trPr>
          <w:trHeight w:val="224"/>
        </w:trPr>
        <w:tc>
          <w:tcPr>
            <w:tcW w:w="28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Energy Operating LLC</w:t>
            </w:r>
          </w:p>
        </w:tc>
      </w:tr>
      <w:tr>
        <w:trPr>
          <w:trHeight w:val="349"/>
        </w:trPr>
        <w:tc>
          <w:tcPr>
            <w:tcW w:w="2840" w:type="dxa"/>
            <w:vAlign w:val="bottom"/>
          </w:tcPr>
          <w:p>
            <w:pPr>
              <w:ind w:left="300"/>
              <w:spacing w:after="0"/>
              <w:rPr>
                <w:sz w:val="20"/>
                <w:szCs w:val="20"/>
                <w:color w:val="auto"/>
              </w:rPr>
            </w:pPr>
            <w:r>
              <w:rPr>
                <w:rFonts w:ascii="Arial" w:cs="Arial" w:eastAsia="Arial" w:hAnsi="Arial"/>
                <w:sz w:val="18"/>
                <w:szCs w:val="18"/>
                <w:color w:val="auto"/>
              </w:rPr>
              <w:t>2031 Senior Notes</w:t>
            </w:r>
          </w:p>
        </w:tc>
        <w:tc>
          <w:tcPr>
            <w:tcW w:w="8400" w:type="dxa"/>
            <w:vAlign w:val="bottom"/>
          </w:tcPr>
          <w:p>
            <w:pPr>
              <w:ind w:left="440"/>
              <w:spacing w:after="0"/>
              <w:rPr>
                <w:sz w:val="20"/>
                <w:szCs w:val="20"/>
                <w:color w:val="auto"/>
              </w:rPr>
            </w:pPr>
            <w:r>
              <w:rPr>
                <w:rFonts w:ascii="Arial" w:cs="Arial" w:eastAsia="Arial" w:hAnsi="Arial"/>
                <w:sz w:val="18"/>
                <w:szCs w:val="18"/>
                <w:color w:val="auto"/>
                <w:w w:val="94"/>
              </w:rPr>
              <w:t>$925 million aggregate principal amount of 3.750% unsecured senior notes due 2031, issued by Clearway</w:t>
            </w:r>
          </w:p>
        </w:tc>
      </w:tr>
      <w:tr>
        <w:trPr>
          <w:trHeight w:val="224"/>
        </w:trPr>
        <w:tc>
          <w:tcPr>
            <w:tcW w:w="28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Energy Operating LLC</w:t>
            </w:r>
          </w:p>
        </w:tc>
      </w:tr>
      <w:tr>
        <w:trPr>
          <w:trHeight w:val="176"/>
        </w:trPr>
        <w:tc>
          <w:tcPr>
            <w:tcW w:w="2840" w:type="dxa"/>
            <w:vAlign w:val="bottom"/>
          </w:tcPr>
          <w:p>
            <w:pPr>
              <w:ind w:left="300"/>
              <w:spacing w:after="0" w:line="176" w:lineRule="exact"/>
              <w:rPr>
                <w:sz w:val="20"/>
                <w:szCs w:val="20"/>
                <w:color w:val="auto"/>
              </w:rPr>
            </w:pPr>
            <w:r>
              <w:rPr>
                <w:rFonts w:ascii="Arial" w:cs="Arial" w:eastAsia="Arial" w:hAnsi="Arial"/>
                <w:sz w:val="18"/>
                <w:szCs w:val="18"/>
                <w:color w:val="auto"/>
              </w:rPr>
              <w:t>2032 Senior Notes</w:t>
            </w:r>
          </w:p>
        </w:tc>
        <w:tc>
          <w:tcPr>
            <w:tcW w:w="8400" w:type="dxa"/>
            <w:vAlign w:val="bottom"/>
          </w:tcPr>
          <w:p>
            <w:pPr>
              <w:ind w:left="440"/>
              <w:spacing w:after="0" w:line="176" w:lineRule="exact"/>
              <w:rPr>
                <w:sz w:val="20"/>
                <w:szCs w:val="20"/>
                <w:color w:val="auto"/>
              </w:rPr>
            </w:pPr>
            <w:r>
              <w:rPr>
                <w:rFonts w:ascii="Arial" w:cs="Arial" w:eastAsia="Arial" w:hAnsi="Arial"/>
                <w:sz w:val="18"/>
                <w:szCs w:val="18"/>
                <w:color w:val="auto"/>
                <w:w w:val="94"/>
              </w:rPr>
              <w:t>$350 million aggregate principal amount of 3.750% unsecured senior notes due 2032, issued by Clearway</w:t>
            </w:r>
          </w:p>
        </w:tc>
      </w:tr>
      <w:tr>
        <w:trPr>
          <w:trHeight w:val="224"/>
        </w:trPr>
        <w:tc>
          <w:tcPr>
            <w:tcW w:w="28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Energy Operating LLC</w:t>
            </w:r>
          </w:p>
        </w:tc>
      </w:tr>
      <w:tr>
        <w:trPr>
          <w:trHeight w:val="176"/>
        </w:trPr>
        <w:tc>
          <w:tcPr>
            <w:tcW w:w="2840" w:type="dxa"/>
            <w:vAlign w:val="bottom"/>
          </w:tcPr>
          <w:p>
            <w:pPr>
              <w:ind w:left="300"/>
              <w:spacing w:after="0" w:line="176" w:lineRule="exact"/>
              <w:rPr>
                <w:sz w:val="20"/>
                <w:szCs w:val="20"/>
                <w:color w:val="auto"/>
              </w:rPr>
            </w:pPr>
            <w:r>
              <w:rPr>
                <w:rFonts w:ascii="Arial" w:cs="Arial" w:eastAsia="Arial" w:hAnsi="Arial"/>
                <w:sz w:val="18"/>
                <w:szCs w:val="18"/>
                <w:color w:val="auto"/>
              </w:rPr>
              <w:t>Adjusted EBITDA</w:t>
            </w:r>
          </w:p>
        </w:tc>
        <w:tc>
          <w:tcPr>
            <w:tcW w:w="8400" w:type="dxa"/>
            <w:vAlign w:val="bottom"/>
          </w:tcPr>
          <w:p>
            <w:pPr>
              <w:ind w:left="440"/>
              <w:spacing w:after="0" w:line="176" w:lineRule="exact"/>
              <w:rPr>
                <w:sz w:val="20"/>
                <w:szCs w:val="20"/>
                <w:color w:val="auto"/>
              </w:rPr>
            </w:pPr>
            <w:r>
              <w:rPr>
                <w:rFonts w:ascii="Arial" w:cs="Arial" w:eastAsia="Arial" w:hAnsi="Arial"/>
                <w:sz w:val="18"/>
                <w:szCs w:val="18"/>
                <w:color w:val="auto"/>
                <w:w w:val="96"/>
              </w:rPr>
              <w:t>A non-GAAP measure, represents earnings before interest (including loss on debt extinguishment), tax,</w:t>
            </w:r>
          </w:p>
        </w:tc>
      </w:tr>
      <w:tr>
        <w:trPr>
          <w:trHeight w:val="173"/>
        </w:trPr>
        <w:tc>
          <w:tcPr>
            <w:tcW w:w="2840" w:type="dxa"/>
            <w:vAlign w:val="bottom"/>
          </w:tcPr>
          <w:p>
            <w:pPr>
              <w:spacing w:after="0"/>
              <w:rPr>
                <w:sz w:val="15"/>
                <w:szCs w:val="15"/>
                <w:color w:val="auto"/>
              </w:rPr>
            </w:pPr>
          </w:p>
        </w:tc>
        <w:tc>
          <w:tcPr>
            <w:tcW w:w="8400" w:type="dxa"/>
            <w:vAlign w:val="bottom"/>
          </w:tcPr>
          <w:p>
            <w:pPr>
              <w:ind w:left="160"/>
              <w:spacing w:after="0" w:line="173" w:lineRule="exact"/>
              <w:rPr>
                <w:sz w:val="20"/>
                <w:szCs w:val="20"/>
                <w:color w:val="auto"/>
              </w:rPr>
            </w:pPr>
            <w:r>
              <w:rPr>
                <w:rFonts w:ascii="Arial" w:cs="Arial" w:eastAsia="Arial" w:hAnsi="Arial"/>
                <w:sz w:val="18"/>
                <w:szCs w:val="18"/>
                <w:color w:val="auto"/>
                <w:w w:val="91"/>
              </w:rPr>
              <w:t>depreciation and amortization adjusted for mark-to-market gains or losses, asset write offs and impairments; and</w:t>
            </w:r>
          </w:p>
        </w:tc>
      </w:tr>
      <w:tr>
        <w:trPr>
          <w:trHeight w:val="224"/>
        </w:trPr>
        <w:tc>
          <w:tcPr>
            <w:tcW w:w="28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factors which the Company does not consider indicative of future operating performance</w:t>
            </w:r>
          </w:p>
        </w:tc>
      </w:tr>
      <w:tr>
        <w:trPr>
          <w:trHeight w:val="227"/>
        </w:trPr>
        <w:tc>
          <w:tcPr>
            <w:tcW w:w="2840" w:type="dxa"/>
            <w:vAlign w:val="bottom"/>
          </w:tcPr>
          <w:p>
            <w:pPr>
              <w:ind w:left="300"/>
              <w:spacing w:after="0"/>
              <w:rPr>
                <w:sz w:val="20"/>
                <w:szCs w:val="20"/>
                <w:color w:val="auto"/>
              </w:rPr>
            </w:pPr>
            <w:r>
              <w:rPr>
                <w:rFonts w:ascii="Arial" w:cs="Arial" w:eastAsia="Arial" w:hAnsi="Arial"/>
                <w:sz w:val="18"/>
                <w:szCs w:val="18"/>
                <w:color w:val="auto"/>
              </w:rPr>
              <w:t>ARO</w:t>
            </w:r>
          </w:p>
        </w:tc>
        <w:tc>
          <w:tcPr>
            <w:tcW w:w="8400" w:type="dxa"/>
            <w:vAlign w:val="bottom"/>
          </w:tcPr>
          <w:p>
            <w:pPr>
              <w:ind w:left="440"/>
              <w:spacing w:after="0"/>
              <w:rPr>
                <w:sz w:val="20"/>
                <w:szCs w:val="20"/>
                <w:color w:val="auto"/>
              </w:rPr>
            </w:pPr>
            <w:r>
              <w:rPr>
                <w:rFonts w:ascii="Arial" w:cs="Arial" w:eastAsia="Arial" w:hAnsi="Arial"/>
                <w:sz w:val="18"/>
                <w:szCs w:val="18"/>
                <w:color w:val="auto"/>
              </w:rPr>
              <w:t>Asset Retirement Obligation</w:t>
            </w:r>
          </w:p>
        </w:tc>
      </w:tr>
      <w:tr>
        <w:trPr>
          <w:trHeight w:val="176"/>
        </w:trPr>
        <w:tc>
          <w:tcPr>
            <w:tcW w:w="2840" w:type="dxa"/>
            <w:vAlign w:val="bottom"/>
          </w:tcPr>
          <w:p>
            <w:pPr>
              <w:ind w:left="300"/>
              <w:spacing w:after="0" w:line="176" w:lineRule="exact"/>
              <w:rPr>
                <w:sz w:val="20"/>
                <w:szCs w:val="20"/>
                <w:color w:val="auto"/>
              </w:rPr>
            </w:pPr>
            <w:r>
              <w:rPr>
                <w:rFonts w:ascii="Arial" w:cs="Arial" w:eastAsia="Arial" w:hAnsi="Arial"/>
                <w:sz w:val="18"/>
                <w:szCs w:val="18"/>
                <w:color w:val="auto"/>
              </w:rPr>
              <w:t>ASC</w:t>
            </w:r>
          </w:p>
        </w:tc>
        <w:tc>
          <w:tcPr>
            <w:tcW w:w="8400" w:type="dxa"/>
            <w:vAlign w:val="bottom"/>
          </w:tcPr>
          <w:p>
            <w:pPr>
              <w:ind w:left="440"/>
              <w:spacing w:after="0" w:line="176" w:lineRule="exact"/>
              <w:rPr>
                <w:sz w:val="20"/>
                <w:szCs w:val="20"/>
                <w:color w:val="auto"/>
              </w:rPr>
            </w:pPr>
            <w:r>
              <w:rPr>
                <w:rFonts w:ascii="Arial" w:cs="Arial" w:eastAsia="Arial" w:hAnsi="Arial"/>
                <w:sz w:val="18"/>
                <w:szCs w:val="18"/>
                <w:color w:val="auto"/>
              </w:rPr>
              <w:t>The FASB Accounting Standards Codification, which the FASB established as the source of</w:t>
            </w:r>
          </w:p>
        </w:tc>
      </w:tr>
      <w:tr>
        <w:trPr>
          <w:trHeight w:val="224"/>
        </w:trPr>
        <w:tc>
          <w:tcPr>
            <w:tcW w:w="28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authoritative GAAP</w:t>
            </w:r>
          </w:p>
        </w:tc>
      </w:tr>
      <w:tr>
        <w:trPr>
          <w:trHeight w:val="227"/>
        </w:trPr>
        <w:tc>
          <w:tcPr>
            <w:tcW w:w="2840" w:type="dxa"/>
            <w:vAlign w:val="bottom"/>
          </w:tcPr>
          <w:p>
            <w:pPr>
              <w:ind w:left="300"/>
              <w:spacing w:after="0"/>
              <w:rPr>
                <w:sz w:val="20"/>
                <w:szCs w:val="20"/>
                <w:color w:val="auto"/>
              </w:rPr>
            </w:pPr>
            <w:r>
              <w:rPr>
                <w:rFonts w:ascii="Arial" w:cs="Arial" w:eastAsia="Arial" w:hAnsi="Arial"/>
                <w:sz w:val="18"/>
                <w:szCs w:val="18"/>
                <w:color w:val="auto"/>
              </w:rPr>
              <w:t>ASU</w:t>
            </w:r>
          </w:p>
        </w:tc>
        <w:tc>
          <w:tcPr>
            <w:tcW w:w="8400" w:type="dxa"/>
            <w:vAlign w:val="bottom"/>
          </w:tcPr>
          <w:p>
            <w:pPr>
              <w:ind w:left="440"/>
              <w:spacing w:after="0"/>
              <w:rPr>
                <w:sz w:val="20"/>
                <w:szCs w:val="20"/>
                <w:color w:val="auto"/>
              </w:rPr>
            </w:pPr>
            <w:r>
              <w:rPr>
                <w:rFonts w:ascii="Arial" w:cs="Arial" w:eastAsia="Arial" w:hAnsi="Arial"/>
                <w:sz w:val="18"/>
                <w:szCs w:val="18"/>
                <w:color w:val="auto"/>
              </w:rPr>
              <w:t>Accounting Standards Updates – updates to the ASC</w:t>
            </w:r>
          </w:p>
        </w:tc>
      </w:tr>
      <w:tr>
        <w:trPr>
          <w:trHeight w:val="227"/>
        </w:trPr>
        <w:tc>
          <w:tcPr>
            <w:tcW w:w="2840" w:type="dxa"/>
            <w:vAlign w:val="bottom"/>
          </w:tcPr>
          <w:p>
            <w:pPr>
              <w:ind w:left="300"/>
              <w:spacing w:after="0"/>
              <w:rPr>
                <w:sz w:val="20"/>
                <w:szCs w:val="20"/>
                <w:color w:val="auto"/>
              </w:rPr>
            </w:pPr>
            <w:r>
              <w:rPr>
                <w:rFonts w:ascii="Arial" w:cs="Arial" w:eastAsia="Arial" w:hAnsi="Arial"/>
                <w:sz w:val="18"/>
                <w:szCs w:val="18"/>
                <w:color w:val="auto"/>
              </w:rPr>
              <w:t>ATM Programs</w:t>
            </w:r>
          </w:p>
        </w:tc>
        <w:tc>
          <w:tcPr>
            <w:tcW w:w="8400" w:type="dxa"/>
            <w:vAlign w:val="bottom"/>
          </w:tcPr>
          <w:p>
            <w:pPr>
              <w:ind w:left="440"/>
              <w:spacing w:after="0"/>
              <w:rPr>
                <w:sz w:val="20"/>
                <w:szCs w:val="20"/>
                <w:color w:val="auto"/>
              </w:rPr>
            </w:pPr>
            <w:r>
              <w:rPr>
                <w:rFonts w:ascii="Arial" w:cs="Arial" w:eastAsia="Arial" w:hAnsi="Arial"/>
                <w:sz w:val="18"/>
                <w:szCs w:val="18"/>
                <w:color w:val="auto"/>
              </w:rPr>
              <w:t>At-The-Market Equity Offering Programs</w:t>
            </w:r>
          </w:p>
        </w:tc>
      </w:tr>
      <w:tr>
        <w:trPr>
          <w:trHeight w:val="227"/>
        </w:trPr>
        <w:tc>
          <w:tcPr>
            <w:tcW w:w="2840" w:type="dxa"/>
            <w:vAlign w:val="bottom"/>
          </w:tcPr>
          <w:p>
            <w:pPr>
              <w:ind w:left="300"/>
              <w:spacing w:after="0"/>
              <w:rPr>
                <w:sz w:val="20"/>
                <w:szCs w:val="20"/>
                <w:color w:val="auto"/>
              </w:rPr>
            </w:pPr>
            <w:r>
              <w:rPr>
                <w:rFonts w:ascii="Arial" w:cs="Arial" w:eastAsia="Arial" w:hAnsi="Arial"/>
                <w:sz w:val="18"/>
                <w:szCs w:val="18"/>
                <w:color w:val="auto"/>
              </w:rPr>
              <w:t>Bankruptcy Code</w:t>
            </w:r>
          </w:p>
        </w:tc>
        <w:tc>
          <w:tcPr>
            <w:tcW w:w="8400" w:type="dxa"/>
            <w:vAlign w:val="bottom"/>
          </w:tcPr>
          <w:p>
            <w:pPr>
              <w:ind w:left="440"/>
              <w:spacing w:after="0"/>
              <w:rPr>
                <w:sz w:val="20"/>
                <w:szCs w:val="20"/>
                <w:color w:val="auto"/>
              </w:rPr>
            </w:pPr>
            <w:r>
              <w:rPr>
                <w:rFonts w:ascii="Arial" w:cs="Arial" w:eastAsia="Arial" w:hAnsi="Arial"/>
                <w:sz w:val="18"/>
                <w:szCs w:val="18"/>
                <w:color w:val="auto"/>
              </w:rPr>
              <w:t>Title 11 of the U.S. Code</w:t>
            </w:r>
          </w:p>
        </w:tc>
      </w:tr>
      <w:tr>
        <w:trPr>
          <w:trHeight w:val="227"/>
        </w:trPr>
        <w:tc>
          <w:tcPr>
            <w:tcW w:w="2840" w:type="dxa"/>
            <w:vAlign w:val="bottom"/>
          </w:tcPr>
          <w:p>
            <w:pPr>
              <w:ind w:left="300"/>
              <w:spacing w:after="0"/>
              <w:rPr>
                <w:sz w:val="20"/>
                <w:szCs w:val="20"/>
                <w:color w:val="auto"/>
              </w:rPr>
            </w:pPr>
            <w:r>
              <w:rPr>
                <w:rFonts w:ascii="Arial" w:cs="Arial" w:eastAsia="Arial" w:hAnsi="Arial"/>
                <w:sz w:val="18"/>
                <w:szCs w:val="18"/>
                <w:color w:val="auto"/>
              </w:rPr>
              <w:t>Bankruptcy Court</w:t>
            </w:r>
          </w:p>
        </w:tc>
        <w:tc>
          <w:tcPr>
            <w:tcW w:w="8400" w:type="dxa"/>
            <w:vAlign w:val="bottom"/>
          </w:tcPr>
          <w:p>
            <w:pPr>
              <w:ind w:left="440"/>
              <w:spacing w:after="0"/>
              <w:rPr>
                <w:sz w:val="20"/>
                <w:szCs w:val="20"/>
                <w:color w:val="auto"/>
              </w:rPr>
            </w:pPr>
            <w:r>
              <w:rPr>
                <w:rFonts w:ascii="Arial" w:cs="Arial" w:eastAsia="Arial" w:hAnsi="Arial"/>
                <w:sz w:val="18"/>
                <w:szCs w:val="18"/>
                <w:color w:val="auto"/>
              </w:rPr>
              <w:t>U.S. Bankruptcy Court for the Northern District of California</w:t>
            </w:r>
          </w:p>
        </w:tc>
      </w:tr>
      <w:tr>
        <w:trPr>
          <w:trHeight w:val="176"/>
        </w:trPr>
        <w:tc>
          <w:tcPr>
            <w:tcW w:w="2840" w:type="dxa"/>
            <w:vAlign w:val="bottom"/>
          </w:tcPr>
          <w:p>
            <w:pPr>
              <w:ind w:left="300"/>
              <w:spacing w:after="0" w:line="176" w:lineRule="exact"/>
              <w:rPr>
                <w:sz w:val="20"/>
                <w:szCs w:val="20"/>
                <w:color w:val="auto"/>
              </w:rPr>
            </w:pPr>
            <w:r>
              <w:rPr>
                <w:rFonts w:ascii="Arial" w:cs="Arial" w:eastAsia="Arial" w:hAnsi="Arial"/>
                <w:sz w:val="18"/>
                <w:szCs w:val="18"/>
                <w:color w:val="auto"/>
              </w:rPr>
              <w:t>Bridge Loan Agreement</w:t>
            </w:r>
          </w:p>
        </w:tc>
        <w:tc>
          <w:tcPr>
            <w:tcW w:w="8400" w:type="dxa"/>
            <w:vAlign w:val="bottom"/>
          </w:tcPr>
          <w:p>
            <w:pPr>
              <w:ind w:left="440"/>
              <w:spacing w:after="0" w:line="176" w:lineRule="exact"/>
              <w:rPr>
                <w:sz w:val="20"/>
                <w:szCs w:val="20"/>
                <w:color w:val="auto"/>
              </w:rPr>
            </w:pPr>
            <w:r>
              <w:rPr>
                <w:rFonts w:ascii="Arial" w:cs="Arial" w:eastAsia="Arial" w:hAnsi="Arial"/>
                <w:sz w:val="18"/>
                <w:szCs w:val="18"/>
                <w:color w:val="auto"/>
                <w:w w:val="91"/>
              </w:rPr>
              <w:t>Senior secured bridge credit agreement entered into by Clearway Energy Operating LLC that provides a term</w:t>
            </w:r>
          </w:p>
        </w:tc>
      </w:tr>
      <w:tr>
        <w:trPr>
          <w:trHeight w:val="224"/>
        </w:trPr>
        <w:tc>
          <w:tcPr>
            <w:tcW w:w="28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loan facility in an aggregate principal amount of $335 million that will mature on November 29, 2022</w:t>
            </w:r>
          </w:p>
        </w:tc>
      </w:tr>
      <w:tr>
        <w:trPr>
          <w:trHeight w:val="176"/>
        </w:trPr>
        <w:tc>
          <w:tcPr>
            <w:tcW w:w="2840" w:type="dxa"/>
            <w:vAlign w:val="bottom"/>
          </w:tcPr>
          <w:p>
            <w:pPr>
              <w:ind w:left="300"/>
              <w:spacing w:after="0" w:line="176" w:lineRule="exact"/>
              <w:rPr>
                <w:sz w:val="20"/>
                <w:szCs w:val="20"/>
                <w:color w:val="auto"/>
              </w:rPr>
            </w:pPr>
            <w:r>
              <w:rPr>
                <w:rFonts w:ascii="Arial" w:cs="Arial" w:eastAsia="Arial" w:hAnsi="Arial"/>
                <w:sz w:val="18"/>
                <w:szCs w:val="18"/>
                <w:color w:val="auto"/>
              </w:rPr>
              <w:t>CAFD</w:t>
            </w:r>
          </w:p>
        </w:tc>
        <w:tc>
          <w:tcPr>
            <w:tcW w:w="8400" w:type="dxa"/>
            <w:vAlign w:val="bottom"/>
          </w:tcPr>
          <w:p>
            <w:pPr>
              <w:ind w:left="440"/>
              <w:spacing w:after="0" w:line="176" w:lineRule="exact"/>
              <w:rPr>
                <w:sz w:val="20"/>
                <w:szCs w:val="20"/>
                <w:color w:val="auto"/>
              </w:rPr>
            </w:pPr>
            <w:r>
              <w:rPr>
                <w:rFonts w:ascii="Arial" w:cs="Arial" w:eastAsia="Arial" w:hAnsi="Arial"/>
                <w:sz w:val="18"/>
                <w:szCs w:val="18"/>
                <w:color w:val="auto"/>
                <w:w w:val="97"/>
              </w:rPr>
              <w:t>A non-GAAP measure, Cash Available for Distribution is defined as of December 31, 2021 as Adjusted</w:t>
            </w:r>
          </w:p>
        </w:tc>
      </w:tr>
      <w:tr>
        <w:trPr>
          <w:trHeight w:val="173"/>
        </w:trPr>
        <w:tc>
          <w:tcPr>
            <w:tcW w:w="2840" w:type="dxa"/>
            <w:vAlign w:val="bottom"/>
          </w:tcPr>
          <w:p>
            <w:pPr>
              <w:spacing w:after="0"/>
              <w:rPr>
                <w:sz w:val="15"/>
                <w:szCs w:val="15"/>
                <w:color w:val="auto"/>
              </w:rPr>
            </w:pPr>
          </w:p>
        </w:tc>
        <w:tc>
          <w:tcPr>
            <w:tcW w:w="8400" w:type="dxa"/>
            <w:vAlign w:val="bottom"/>
          </w:tcPr>
          <w:p>
            <w:pPr>
              <w:ind w:left="160"/>
              <w:spacing w:after="0" w:line="173" w:lineRule="exact"/>
              <w:rPr>
                <w:sz w:val="20"/>
                <w:szCs w:val="20"/>
                <w:color w:val="auto"/>
              </w:rPr>
            </w:pPr>
            <w:r>
              <w:rPr>
                <w:rFonts w:ascii="Arial" w:cs="Arial" w:eastAsia="Arial" w:hAnsi="Arial"/>
                <w:sz w:val="18"/>
                <w:szCs w:val="18"/>
                <w:color w:val="auto"/>
                <w:w w:val="92"/>
              </w:rPr>
              <w:t>EBITDA plus cash distributions/return of investment from unconsolidated affiliates, adjustments to reflect CAFD</w:t>
            </w:r>
          </w:p>
        </w:tc>
      </w:tr>
      <w:tr>
        <w:trPr>
          <w:trHeight w:val="173"/>
        </w:trPr>
        <w:tc>
          <w:tcPr>
            <w:tcW w:w="2840" w:type="dxa"/>
            <w:vAlign w:val="bottom"/>
          </w:tcPr>
          <w:p>
            <w:pPr>
              <w:spacing w:after="0"/>
              <w:rPr>
                <w:sz w:val="15"/>
                <w:szCs w:val="15"/>
                <w:color w:val="auto"/>
              </w:rPr>
            </w:pPr>
          </w:p>
        </w:tc>
        <w:tc>
          <w:tcPr>
            <w:tcW w:w="8400" w:type="dxa"/>
            <w:vAlign w:val="bottom"/>
          </w:tcPr>
          <w:p>
            <w:pPr>
              <w:ind w:left="160"/>
              <w:spacing w:after="0" w:line="173" w:lineRule="exact"/>
              <w:rPr>
                <w:sz w:val="20"/>
                <w:szCs w:val="20"/>
                <w:color w:val="auto"/>
              </w:rPr>
            </w:pPr>
            <w:r>
              <w:rPr>
                <w:rFonts w:ascii="Arial" w:cs="Arial" w:eastAsia="Arial" w:hAnsi="Arial"/>
                <w:sz w:val="18"/>
                <w:szCs w:val="18"/>
                <w:color w:val="auto"/>
                <w:w w:val="97"/>
              </w:rPr>
              <w:t>generated by unconsolidated investments that were not able to distribute project dividends prior to PG&amp;E's</w:t>
            </w:r>
          </w:p>
        </w:tc>
      </w:tr>
      <w:tr>
        <w:trPr>
          <w:trHeight w:val="173"/>
        </w:trPr>
        <w:tc>
          <w:tcPr>
            <w:tcW w:w="2840" w:type="dxa"/>
            <w:vAlign w:val="bottom"/>
          </w:tcPr>
          <w:p>
            <w:pPr>
              <w:spacing w:after="0"/>
              <w:rPr>
                <w:sz w:val="15"/>
                <w:szCs w:val="15"/>
                <w:color w:val="auto"/>
              </w:rPr>
            </w:pPr>
          </w:p>
        </w:tc>
        <w:tc>
          <w:tcPr>
            <w:tcW w:w="8400" w:type="dxa"/>
            <w:vAlign w:val="bottom"/>
          </w:tcPr>
          <w:p>
            <w:pPr>
              <w:ind w:left="160"/>
              <w:spacing w:after="0" w:line="173" w:lineRule="exact"/>
              <w:rPr>
                <w:sz w:val="20"/>
                <w:szCs w:val="20"/>
                <w:color w:val="auto"/>
              </w:rPr>
            </w:pPr>
            <w:r>
              <w:rPr>
                <w:rFonts w:ascii="Arial" w:cs="Arial" w:eastAsia="Arial" w:hAnsi="Arial"/>
                <w:sz w:val="18"/>
                <w:szCs w:val="18"/>
                <w:color w:val="auto"/>
                <w:w w:val="92"/>
              </w:rPr>
              <w:t>emergence from bankruptcy on July 1, 2020 and subsequent release post-bankruptcy, cash receipts from notes</w:t>
            </w:r>
          </w:p>
        </w:tc>
      </w:tr>
      <w:tr>
        <w:trPr>
          <w:trHeight w:val="173"/>
        </w:trPr>
        <w:tc>
          <w:tcPr>
            <w:tcW w:w="2840" w:type="dxa"/>
            <w:vAlign w:val="bottom"/>
          </w:tcPr>
          <w:p>
            <w:pPr>
              <w:spacing w:after="0"/>
              <w:rPr>
                <w:sz w:val="15"/>
                <w:szCs w:val="15"/>
                <w:color w:val="auto"/>
              </w:rPr>
            </w:pPr>
          </w:p>
        </w:tc>
        <w:tc>
          <w:tcPr>
            <w:tcW w:w="8400" w:type="dxa"/>
            <w:vAlign w:val="bottom"/>
          </w:tcPr>
          <w:p>
            <w:pPr>
              <w:ind w:left="160"/>
              <w:spacing w:after="0" w:line="173" w:lineRule="exact"/>
              <w:rPr>
                <w:sz w:val="20"/>
                <w:szCs w:val="20"/>
                <w:color w:val="auto"/>
              </w:rPr>
            </w:pPr>
            <w:r>
              <w:rPr>
                <w:rFonts w:ascii="Arial" w:cs="Arial" w:eastAsia="Arial" w:hAnsi="Arial"/>
                <w:sz w:val="18"/>
                <w:szCs w:val="18"/>
                <w:color w:val="auto"/>
                <w:w w:val="90"/>
              </w:rPr>
              <w:t>receivable, cash distributions from noncontrolling interests, adjustments to reflect sales-type lease cash payments,</w:t>
            </w:r>
          </w:p>
        </w:tc>
      </w:tr>
      <w:tr>
        <w:trPr>
          <w:trHeight w:val="173"/>
        </w:trPr>
        <w:tc>
          <w:tcPr>
            <w:tcW w:w="2840" w:type="dxa"/>
            <w:vAlign w:val="bottom"/>
          </w:tcPr>
          <w:p>
            <w:pPr>
              <w:spacing w:after="0"/>
              <w:rPr>
                <w:sz w:val="15"/>
                <w:szCs w:val="15"/>
                <w:color w:val="auto"/>
              </w:rPr>
            </w:pPr>
          </w:p>
        </w:tc>
        <w:tc>
          <w:tcPr>
            <w:tcW w:w="8400" w:type="dxa"/>
            <w:vAlign w:val="bottom"/>
          </w:tcPr>
          <w:p>
            <w:pPr>
              <w:ind w:left="160"/>
              <w:spacing w:after="0" w:line="173" w:lineRule="exact"/>
              <w:rPr>
                <w:sz w:val="20"/>
                <w:szCs w:val="20"/>
                <w:color w:val="auto"/>
              </w:rPr>
            </w:pPr>
            <w:r>
              <w:rPr>
                <w:rFonts w:ascii="Arial" w:cs="Arial" w:eastAsia="Arial" w:hAnsi="Arial"/>
                <w:sz w:val="18"/>
                <w:szCs w:val="18"/>
                <w:color w:val="auto"/>
                <w:w w:val="93"/>
              </w:rPr>
              <w:t>less cash distributions to noncontrolling interests, maintenance capital expenditures, pro-rata Adjusted EBITDA</w:t>
            </w:r>
          </w:p>
        </w:tc>
      </w:tr>
      <w:tr>
        <w:trPr>
          <w:trHeight w:val="173"/>
        </w:trPr>
        <w:tc>
          <w:tcPr>
            <w:tcW w:w="2840" w:type="dxa"/>
            <w:vAlign w:val="bottom"/>
          </w:tcPr>
          <w:p>
            <w:pPr>
              <w:spacing w:after="0"/>
              <w:rPr>
                <w:sz w:val="15"/>
                <w:szCs w:val="15"/>
                <w:color w:val="auto"/>
              </w:rPr>
            </w:pPr>
          </w:p>
        </w:tc>
        <w:tc>
          <w:tcPr>
            <w:tcW w:w="8400" w:type="dxa"/>
            <w:vAlign w:val="bottom"/>
          </w:tcPr>
          <w:p>
            <w:pPr>
              <w:ind w:left="160"/>
              <w:spacing w:after="0" w:line="173" w:lineRule="exact"/>
              <w:rPr>
                <w:sz w:val="20"/>
                <w:szCs w:val="20"/>
                <w:color w:val="auto"/>
              </w:rPr>
            </w:pPr>
            <w:r>
              <w:rPr>
                <w:rFonts w:ascii="Arial" w:cs="Arial" w:eastAsia="Arial" w:hAnsi="Arial"/>
                <w:sz w:val="18"/>
                <w:szCs w:val="18"/>
                <w:color w:val="auto"/>
                <w:w w:val="95"/>
              </w:rPr>
              <w:t>from unconsolidated affiliates, cash interest paid, income taxes paid, principal amortization of indebtedness,</w:t>
            </w:r>
          </w:p>
        </w:tc>
      </w:tr>
      <w:tr>
        <w:trPr>
          <w:trHeight w:val="224"/>
        </w:trPr>
        <w:tc>
          <w:tcPr>
            <w:tcW w:w="28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changes in prepaid and accrued capacity payments, and adjusted for development expenses.</w:t>
            </w:r>
          </w:p>
        </w:tc>
      </w:tr>
      <w:tr>
        <w:trPr>
          <w:trHeight w:val="227"/>
        </w:trPr>
        <w:tc>
          <w:tcPr>
            <w:tcW w:w="2840" w:type="dxa"/>
            <w:vAlign w:val="bottom"/>
          </w:tcPr>
          <w:p>
            <w:pPr>
              <w:ind w:left="300"/>
              <w:spacing w:after="0"/>
              <w:rPr>
                <w:sz w:val="20"/>
                <w:szCs w:val="20"/>
                <w:color w:val="auto"/>
              </w:rPr>
            </w:pPr>
            <w:r>
              <w:rPr>
                <w:rFonts w:ascii="Arial" w:cs="Arial" w:eastAsia="Arial" w:hAnsi="Arial"/>
                <w:sz w:val="18"/>
                <w:szCs w:val="18"/>
                <w:color w:val="auto"/>
              </w:rPr>
              <w:t>CARES Act</w:t>
            </w:r>
          </w:p>
        </w:tc>
        <w:tc>
          <w:tcPr>
            <w:tcW w:w="8400" w:type="dxa"/>
            <w:vAlign w:val="bottom"/>
          </w:tcPr>
          <w:p>
            <w:pPr>
              <w:ind w:left="440"/>
              <w:spacing w:after="0"/>
              <w:rPr>
                <w:sz w:val="20"/>
                <w:szCs w:val="20"/>
                <w:color w:val="auto"/>
              </w:rPr>
            </w:pPr>
            <w:r>
              <w:rPr>
                <w:rFonts w:ascii="Arial" w:cs="Arial" w:eastAsia="Arial" w:hAnsi="Arial"/>
                <w:sz w:val="18"/>
                <w:szCs w:val="18"/>
                <w:color w:val="auto"/>
              </w:rPr>
              <w:t>The Coronavirus Aid, Relief, and Economic Security Act</w:t>
            </w:r>
          </w:p>
        </w:tc>
      </w:tr>
      <w:tr>
        <w:trPr>
          <w:trHeight w:val="176"/>
        </w:trPr>
        <w:tc>
          <w:tcPr>
            <w:tcW w:w="2840" w:type="dxa"/>
            <w:vAlign w:val="bottom"/>
          </w:tcPr>
          <w:p>
            <w:pPr>
              <w:ind w:left="300"/>
              <w:spacing w:after="0" w:line="176" w:lineRule="exact"/>
              <w:rPr>
                <w:sz w:val="20"/>
                <w:szCs w:val="20"/>
                <w:color w:val="auto"/>
              </w:rPr>
            </w:pPr>
            <w:r>
              <w:rPr>
                <w:rFonts w:ascii="Arial" w:cs="Arial" w:eastAsia="Arial" w:hAnsi="Arial"/>
                <w:sz w:val="18"/>
                <w:szCs w:val="18"/>
                <w:color w:val="auto"/>
              </w:rPr>
              <w:t>Carlsbad Drop Down</w:t>
            </w:r>
          </w:p>
        </w:tc>
        <w:tc>
          <w:tcPr>
            <w:tcW w:w="8400" w:type="dxa"/>
            <w:vAlign w:val="bottom"/>
          </w:tcPr>
          <w:p>
            <w:pPr>
              <w:ind w:left="440"/>
              <w:spacing w:after="0" w:line="176" w:lineRule="exact"/>
              <w:rPr>
                <w:sz w:val="20"/>
                <w:szCs w:val="20"/>
                <w:color w:val="auto"/>
              </w:rPr>
            </w:pPr>
            <w:r>
              <w:rPr>
                <w:rFonts w:ascii="Arial" w:cs="Arial" w:eastAsia="Arial" w:hAnsi="Arial"/>
                <w:sz w:val="18"/>
                <w:szCs w:val="18"/>
                <w:color w:val="auto"/>
                <w:w w:val="90"/>
              </w:rPr>
              <w:t>The acquisition by the Company of the Carlsbad Energy Center, a 527 MW natural gas-fired project located in</w:t>
            </w:r>
          </w:p>
        </w:tc>
      </w:tr>
      <w:tr>
        <w:trPr>
          <w:trHeight w:val="224"/>
        </w:trPr>
        <w:tc>
          <w:tcPr>
            <w:tcW w:w="28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Carlsbad, CA</w:t>
            </w:r>
          </w:p>
        </w:tc>
      </w:tr>
      <w:tr>
        <w:trPr>
          <w:trHeight w:val="227"/>
        </w:trPr>
        <w:tc>
          <w:tcPr>
            <w:tcW w:w="2840" w:type="dxa"/>
            <w:vAlign w:val="bottom"/>
          </w:tcPr>
          <w:p>
            <w:pPr>
              <w:ind w:left="300"/>
              <w:spacing w:after="0"/>
              <w:rPr>
                <w:sz w:val="20"/>
                <w:szCs w:val="20"/>
                <w:color w:val="auto"/>
              </w:rPr>
            </w:pPr>
            <w:r>
              <w:rPr>
                <w:rFonts w:ascii="Arial" w:cs="Arial" w:eastAsia="Arial" w:hAnsi="Arial"/>
                <w:sz w:val="18"/>
                <w:szCs w:val="18"/>
                <w:color w:val="auto"/>
              </w:rPr>
              <w:t>CEG</w:t>
            </w:r>
          </w:p>
        </w:tc>
        <w:tc>
          <w:tcPr>
            <w:tcW w:w="8400" w:type="dxa"/>
            <w:vAlign w:val="bottom"/>
          </w:tcPr>
          <w:p>
            <w:pPr>
              <w:ind w:left="440"/>
              <w:spacing w:after="0"/>
              <w:rPr>
                <w:sz w:val="20"/>
                <w:szCs w:val="20"/>
                <w:color w:val="auto"/>
              </w:rPr>
            </w:pPr>
            <w:r>
              <w:rPr>
                <w:rFonts w:ascii="Arial" w:cs="Arial" w:eastAsia="Arial" w:hAnsi="Arial"/>
                <w:sz w:val="18"/>
                <w:szCs w:val="18"/>
                <w:color w:val="auto"/>
              </w:rPr>
              <w:t>Clearway Energy Group LLC (formerly Zephyr Renewables LLC)</w:t>
            </w:r>
          </w:p>
        </w:tc>
      </w:tr>
      <w:tr>
        <w:trPr>
          <w:trHeight w:val="176"/>
        </w:trPr>
        <w:tc>
          <w:tcPr>
            <w:tcW w:w="2840" w:type="dxa"/>
            <w:vAlign w:val="bottom"/>
          </w:tcPr>
          <w:p>
            <w:pPr>
              <w:ind w:left="300"/>
              <w:spacing w:after="0" w:line="176" w:lineRule="exact"/>
              <w:rPr>
                <w:sz w:val="20"/>
                <w:szCs w:val="20"/>
                <w:color w:val="auto"/>
              </w:rPr>
            </w:pPr>
            <w:r>
              <w:rPr>
                <w:rFonts w:ascii="Arial" w:cs="Arial" w:eastAsia="Arial" w:hAnsi="Arial"/>
                <w:sz w:val="18"/>
                <w:szCs w:val="18"/>
                <w:color w:val="auto"/>
                <w:w w:val="94"/>
              </w:rPr>
              <w:t>CEG Master Services Agreement</w:t>
            </w:r>
          </w:p>
        </w:tc>
        <w:tc>
          <w:tcPr>
            <w:tcW w:w="8400" w:type="dxa"/>
            <w:vAlign w:val="bottom"/>
          </w:tcPr>
          <w:p>
            <w:pPr>
              <w:ind w:left="440"/>
              <w:spacing w:after="0" w:line="176" w:lineRule="exact"/>
              <w:rPr>
                <w:sz w:val="20"/>
                <w:szCs w:val="20"/>
                <w:color w:val="auto"/>
              </w:rPr>
            </w:pPr>
            <w:r>
              <w:rPr>
                <w:rFonts w:ascii="Arial" w:cs="Arial" w:eastAsia="Arial" w:hAnsi="Arial"/>
                <w:sz w:val="18"/>
                <w:szCs w:val="18"/>
                <w:color w:val="auto"/>
                <w:w w:val="90"/>
              </w:rPr>
              <w:t>Master Services Agreements entered into as of August 31, 2018 between the Company, Clearway Energy LLC</w:t>
            </w:r>
          </w:p>
        </w:tc>
      </w:tr>
      <w:tr>
        <w:trPr>
          <w:trHeight w:val="224"/>
        </w:trPr>
        <w:tc>
          <w:tcPr>
            <w:tcW w:w="28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and Clearway Energy Operating LLC, and CEG</w:t>
            </w:r>
          </w:p>
        </w:tc>
      </w:tr>
      <w:tr>
        <w:trPr>
          <w:trHeight w:val="176"/>
        </w:trPr>
        <w:tc>
          <w:tcPr>
            <w:tcW w:w="2840" w:type="dxa"/>
            <w:vAlign w:val="bottom"/>
          </w:tcPr>
          <w:p>
            <w:pPr>
              <w:ind w:left="300"/>
              <w:spacing w:after="0" w:line="176" w:lineRule="exact"/>
              <w:rPr>
                <w:sz w:val="20"/>
                <w:szCs w:val="20"/>
                <w:color w:val="auto"/>
              </w:rPr>
            </w:pPr>
            <w:r>
              <w:rPr>
                <w:rFonts w:ascii="Arial" w:cs="Arial" w:eastAsia="Arial" w:hAnsi="Arial"/>
                <w:sz w:val="18"/>
                <w:szCs w:val="18"/>
                <w:color w:val="auto"/>
              </w:rPr>
              <w:t>CEG ROFO Agreement</w:t>
            </w:r>
          </w:p>
        </w:tc>
        <w:tc>
          <w:tcPr>
            <w:tcW w:w="8400" w:type="dxa"/>
            <w:vAlign w:val="bottom"/>
          </w:tcPr>
          <w:p>
            <w:pPr>
              <w:ind w:left="440"/>
              <w:spacing w:after="0" w:line="176" w:lineRule="exact"/>
              <w:rPr>
                <w:sz w:val="20"/>
                <w:szCs w:val="20"/>
                <w:color w:val="auto"/>
              </w:rPr>
            </w:pPr>
            <w:r>
              <w:rPr>
                <w:rFonts w:ascii="Arial" w:cs="Arial" w:eastAsia="Arial" w:hAnsi="Arial"/>
                <w:sz w:val="18"/>
                <w:szCs w:val="18"/>
                <w:color w:val="auto"/>
                <w:w w:val="92"/>
              </w:rPr>
              <w:t>Right of First Offer Agreement, entered into as of August 31, 2018, by and between Clearway Energy Group</w:t>
            </w:r>
          </w:p>
        </w:tc>
      </w:tr>
      <w:tr>
        <w:trPr>
          <w:trHeight w:val="173"/>
        </w:trPr>
        <w:tc>
          <w:tcPr>
            <w:tcW w:w="2840" w:type="dxa"/>
            <w:vAlign w:val="bottom"/>
          </w:tcPr>
          <w:p>
            <w:pPr>
              <w:spacing w:after="0"/>
              <w:rPr>
                <w:sz w:val="15"/>
                <w:szCs w:val="15"/>
                <w:color w:val="auto"/>
              </w:rPr>
            </w:pPr>
          </w:p>
        </w:tc>
        <w:tc>
          <w:tcPr>
            <w:tcW w:w="8400" w:type="dxa"/>
            <w:vAlign w:val="bottom"/>
          </w:tcPr>
          <w:p>
            <w:pPr>
              <w:ind w:left="160"/>
              <w:spacing w:after="0" w:line="173" w:lineRule="exact"/>
              <w:rPr>
                <w:sz w:val="20"/>
                <w:szCs w:val="20"/>
                <w:color w:val="auto"/>
              </w:rPr>
            </w:pPr>
            <w:r>
              <w:rPr>
                <w:rFonts w:ascii="Arial" w:cs="Arial" w:eastAsia="Arial" w:hAnsi="Arial"/>
                <w:sz w:val="18"/>
                <w:szCs w:val="18"/>
                <w:color w:val="auto"/>
                <w:w w:val="91"/>
              </w:rPr>
              <w:t>LLC and Clearway Energy, Inc., and solely for purposes of Section 2.4, GIP III Zephyr Acquisition Partners, L.P.,</w:t>
            </w:r>
          </w:p>
        </w:tc>
      </w:tr>
      <w:tr>
        <w:trPr>
          <w:trHeight w:val="173"/>
        </w:trPr>
        <w:tc>
          <w:tcPr>
            <w:tcW w:w="2840" w:type="dxa"/>
            <w:vAlign w:val="bottom"/>
          </w:tcPr>
          <w:p>
            <w:pPr>
              <w:spacing w:after="0"/>
              <w:rPr>
                <w:sz w:val="15"/>
                <w:szCs w:val="15"/>
                <w:color w:val="auto"/>
              </w:rPr>
            </w:pPr>
          </w:p>
        </w:tc>
        <w:tc>
          <w:tcPr>
            <w:tcW w:w="8400" w:type="dxa"/>
            <w:vAlign w:val="bottom"/>
          </w:tcPr>
          <w:p>
            <w:pPr>
              <w:ind w:left="160"/>
              <w:spacing w:after="0" w:line="173" w:lineRule="exact"/>
              <w:rPr>
                <w:sz w:val="20"/>
                <w:szCs w:val="20"/>
                <w:color w:val="auto"/>
              </w:rPr>
            </w:pPr>
            <w:r>
              <w:rPr>
                <w:rFonts w:ascii="Arial" w:cs="Arial" w:eastAsia="Arial" w:hAnsi="Arial"/>
                <w:sz w:val="18"/>
                <w:szCs w:val="18"/>
                <w:color w:val="auto"/>
                <w:w w:val="90"/>
              </w:rPr>
              <w:t>as amended by the First Amendment dated February 14, 2019, the Second Amendment dated August 1, 2019, the</w:t>
            </w:r>
          </w:p>
        </w:tc>
      </w:tr>
      <w:tr>
        <w:trPr>
          <w:trHeight w:val="224"/>
        </w:trPr>
        <w:tc>
          <w:tcPr>
            <w:tcW w:w="28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Third Amendment dated December 6, 2019 and the Fourth Amendment dated November 2, 2020</w:t>
            </w:r>
          </w:p>
        </w:tc>
      </w:tr>
      <w:tr>
        <w:trPr>
          <w:trHeight w:val="176"/>
        </w:trPr>
        <w:tc>
          <w:tcPr>
            <w:tcW w:w="2840" w:type="dxa"/>
            <w:vAlign w:val="bottom"/>
          </w:tcPr>
          <w:p>
            <w:pPr>
              <w:ind w:left="300"/>
              <w:spacing w:after="0" w:line="176" w:lineRule="exact"/>
              <w:rPr>
                <w:sz w:val="20"/>
                <w:szCs w:val="20"/>
                <w:color w:val="auto"/>
              </w:rPr>
            </w:pPr>
            <w:r>
              <w:rPr>
                <w:rFonts w:ascii="Arial" w:cs="Arial" w:eastAsia="Arial" w:hAnsi="Arial"/>
                <w:sz w:val="18"/>
                <w:szCs w:val="18"/>
                <w:color w:val="auto"/>
              </w:rPr>
              <w:t>Clearway Energy LLC</w:t>
            </w:r>
          </w:p>
        </w:tc>
        <w:tc>
          <w:tcPr>
            <w:tcW w:w="8400" w:type="dxa"/>
            <w:vAlign w:val="bottom"/>
          </w:tcPr>
          <w:p>
            <w:pPr>
              <w:ind w:left="440"/>
              <w:spacing w:after="0" w:line="176" w:lineRule="exact"/>
              <w:rPr>
                <w:sz w:val="20"/>
                <w:szCs w:val="20"/>
                <w:color w:val="auto"/>
              </w:rPr>
            </w:pPr>
            <w:r>
              <w:rPr>
                <w:rFonts w:ascii="Arial" w:cs="Arial" w:eastAsia="Arial" w:hAnsi="Arial"/>
                <w:sz w:val="18"/>
                <w:szCs w:val="18"/>
                <w:color w:val="auto"/>
                <w:w w:val="93"/>
              </w:rPr>
              <w:t>The holding company through which the projects are owned by Clearway Energy Group LLC, the holder of</w:t>
            </w:r>
          </w:p>
        </w:tc>
      </w:tr>
      <w:tr>
        <w:trPr>
          <w:trHeight w:val="224"/>
        </w:trPr>
        <w:tc>
          <w:tcPr>
            <w:tcW w:w="28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Class B and Class D units, and Clearway Energy, Inc., the holder of the Class A and Class C units</w:t>
            </w:r>
          </w:p>
        </w:tc>
      </w:tr>
      <w:tr>
        <w:trPr>
          <w:trHeight w:val="176"/>
        </w:trPr>
        <w:tc>
          <w:tcPr>
            <w:tcW w:w="2840" w:type="dxa"/>
            <w:vAlign w:val="bottom"/>
          </w:tcPr>
          <w:p>
            <w:pPr>
              <w:ind w:left="300"/>
              <w:spacing w:after="0" w:line="176" w:lineRule="exact"/>
              <w:rPr>
                <w:sz w:val="20"/>
                <w:szCs w:val="20"/>
                <w:color w:val="auto"/>
              </w:rPr>
            </w:pPr>
            <w:r>
              <w:rPr>
                <w:rFonts w:ascii="Arial" w:cs="Arial" w:eastAsia="Arial" w:hAnsi="Arial"/>
                <w:sz w:val="18"/>
                <w:szCs w:val="18"/>
                <w:color w:val="auto"/>
              </w:rPr>
              <w:t>Clearway Energy Group LLC</w:t>
            </w:r>
          </w:p>
        </w:tc>
        <w:tc>
          <w:tcPr>
            <w:tcW w:w="8400" w:type="dxa"/>
            <w:vAlign w:val="bottom"/>
          </w:tcPr>
          <w:p>
            <w:pPr>
              <w:ind w:left="440"/>
              <w:spacing w:after="0" w:line="176" w:lineRule="exact"/>
              <w:rPr>
                <w:sz w:val="20"/>
                <w:szCs w:val="20"/>
                <w:color w:val="auto"/>
              </w:rPr>
            </w:pPr>
            <w:r>
              <w:rPr>
                <w:rFonts w:ascii="Arial" w:cs="Arial" w:eastAsia="Arial" w:hAnsi="Arial"/>
                <w:sz w:val="18"/>
                <w:szCs w:val="18"/>
                <w:color w:val="auto"/>
                <w:w w:val="89"/>
              </w:rPr>
              <w:t>The holder of all the Company's Class B and Class D common shares and Clearway Energy LLC's Class B and</w:t>
            </w:r>
          </w:p>
        </w:tc>
      </w:tr>
      <w:tr>
        <w:trPr>
          <w:trHeight w:val="173"/>
        </w:trPr>
        <w:tc>
          <w:tcPr>
            <w:tcW w:w="2840" w:type="dxa"/>
            <w:vAlign w:val="bottom"/>
          </w:tcPr>
          <w:p>
            <w:pPr>
              <w:spacing w:after="0"/>
              <w:rPr>
                <w:sz w:val="15"/>
                <w:szCs w:val="15"/>
                <w:color w:val="auto"/>
              </w:rPr>
            </w:pPr>
          </w:p>
        </w:tc>
        <w:tc>
          <w:tcPr>
            <w:tcW w:w="8400" w:type="dxa"/>
            <w:vAlign w:val="bottom"/>
          </w:tcPr>
          <w:p>
            <w:pPr>
              <w:ind w:left="160"/>
              <w:spacing w:after="0" w:line="173" w:lineRule="exact"/>
              <w:rPr>
                <w:sz w:val="20"/>
                <w:szCs w:val="20"/>
                <w:color w:val="auto"/>
              </w:rPr>
            </w:pPr>
            <w:r>
              <w:rPr>
                <w:rFonts w:ascii="Arial" w:cs="Arial" w:eastAsia="Arial" w:hAnsi="Arial"/>
                <w:sz w:val="18"/>
                <w:szCs w:val="18"/>
                <w:color w:val="auto"/>
                <w:w w:val="92"/>
              </w:rPr>
              <w:t>Class D units and from time to time, possibly shares of Clearway Energy, Inc.'s Class A and/or Class C common</w:t>
            </w:r>
          </w:p>
        </w:tc>
      </w:tr>
      <w:tr>
        <w:trPr>
          <w:trHeight w:val="224"/>
        </w:trPr>
        <w:tc>
          <w:tcPr>
            <w:tcW w:w="2840" w:type="dxa"/>
            <w:vAlign w:val="bottom"/>
          </w:tcPr>
          <w:p>
            <w:pPr>
              <w:spacing w:after="0"/>
              <w:rPr>
                <w:sz w:val="19"/>
                <w:szCs w:val="19"/>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stock</w:t>
            </w:r>
          </w:p>
        </w:tc>
      </w:tr>
      <w:tr>
        <w:trPr>
          <w:trHeight w:val="906"/>
        </w:trPr>
        <w:tc>
          <w:tcPr>
            <w:tcW w:w="2840" w:type="dxa"/>
            <w:vAlign w:val="bottom"/>
          </w:tcPr>
          <w:p>
            <w:pPr>
              <w:spacing w:after="0"/>
              <w:rPr>
                <w:sz w:val="24"/>
                <w:szCs w:val="24"/>
                <w:color w:val="auto"/>
              </w:rPr>
            </w:pPr>
          </w:p>
        </w:tc>
        <w:tc>
          <w:tcPr>
            <w:tcW w:w="8400" w:type="dxa"/>
            <w:vAlign w:val="bottom"/>
          </w:tcPr>
          <w:p>
            <w:pPr>
              <w:ind w:left="2740"/>
              <w:spacing w:after="0"/>
              <w:rPr>
                <w:sz w:val="20"/>
                <w:szCs w:val="20"/>
                <w:color w:val="auto"/>
              </w:rPr>
            </w:pPr>
            <w:r>
              <w:rPr>
                <w:rFonts w:ascii="Arial" w:cs="Arial" w:eastAsia="Arial" w:hAnsi="Arial"/>
                <w:sz w:val="18"/>
                <w:szCs w:val="18"/>
                <w:color w:val="auto"/>
              </w:rPr>
              <w:t>3</w:t>
            </w:r>
          </w:p>
        </w:tc>
      </w:tr>
      <w:tr>
        <w:trPr>
          <w:trHeight w:val="115"/>
        </w:trPr>
        <w:tc>
          <w:tcPr>
            <w:tcW w:w="2840" w:type="dxa"/>
            <w:vAlign w:val="bottom"/>
            <w:tcBorders>
              <w:bottom w:val="single" w:sz="8" w:color="9A9A9A"/>
            </w:tcBorders>
          </w:tcPr>
          <w:p>
            <w:pPr>
              <w:spacing w:after="0"/>
              <w:rPr>
                <w:sz w:val="9"/>
                <w:szCs w:val="9"/>
                <w:color w:val="auto"/>
              </w:rPr>
            </w:pPr>
          </w:p>
        </w:tc>
        <w:tc>
          <w:tcPr>
            <w:tcW w:w="8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4"/>
        </w:trPr>
        <w:tc>
          <w:tcPr>
            <w:tcW w:w="3120" w:type="dxa"/>
            <w:vAlign w:val="bottom"/>
          </w:tcPr>
          <w:p>
            <w:pPr>
              <w:ind w:left="580"/>
              <w:spacing w:after="0"/>
              <w:rPr>
                <w:sz w:val="20"/>
                <w:szCs w:val="20"/>
                <w:color w:val="auto"/>
              </w:rPr>
            </w:pPr>
            <w:r>
              <w:rPr>
                <w:rFonts w:ascii="Arial" w:cs="Arial" w:eastAsia="Arial" w:hAnsi="Arial"/>
                <w:sz w:val="18"/>
                <w:szCs w:val="18"/>
                <w:color w:val="auto"/>
                <w:w w:val="97"/>
              </w:rPr>
              <w:t>Clearway Energy Operating LLC</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COD</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Commercial Operation Date</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Code</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Internal Revenue Code of 1986, as amended</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Company</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Clearway Energy, Inc., together with its consolidated subsidiaries</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CVSR</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CVSR Holdco</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DGPV Holdco Entities</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Collectively, DGPV Holdco 1, DGPV Holdco 2 and DGPV Holdco 3</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DGPV Holdco 1</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DGPV Holdco 1 LLC</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DGPV Holdco 2</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DGPV Holdco 2 LLC</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DGPV Holdco 3</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DGPV Holdco 3 LLC</w:t>
            </w:r>
          </w:p>
        </w:tc>
        <w:tc>
          <w:tcPr>
            <w:tcW w:w="0" w:type="dxa"/>
            <w:vAlign w:val="bottom"/>
          </w:tcPr>
          <w:p>
            <w:pPr>
              <w:spacing w:after="0"/>
              <w:rPr>
                <w:sz w:val="1"/>
                <w:szCs w:val="1"/>
                <w:color w:val="auto"/>
              </w:rPr>
            </w:pPr>
          </w:p>
        </w:tc>
      </w:tr>
      <w:tr>
        <w:trPr>
          <w:trHeight w:val="176"/>
        </w:trPr>
        <w:tc>
          <w:tcPr>
            <w:tcW w:w="3120" w:type="dxa"/>
            <w:vAlign w:val="bottom"/>
          </w:tcPr>
          <w:p>
            <w:pPr>
              <w:ind w:left="580"/>
              <w:spacing w:after="0" w:line="176" w:lineRule="exact"/>
              <w:rPr>
                <w:sz w:val="20"/>
                <w:szCs w:val="20"/>
                <w:color w:val="auto"/>
              </w:rPr>
            </w:pPr>
            <w:r>
              <w:rPr>
                <w:rFonts w:ascii="Arial" w:cs="Arial" w:eastAsia="Arial" w:hAnsi="Arial"/>
                <w:sz w:val="18"/>
                <w:szCs w:val="18"/>
                <w:color w:val="auto"/>
              </w:rPr>
              <w:t>Distributed Solar</w:t>
            </w:r>
          </w:p>
        </w:tc>
        <w:tc>
          <w:tcPr>
            <w:tcW w:w="8220" w:type="dxa"/>
            <w:vAlign w:val="bottom"/>
            <w:gridSpan w:val="2"/>
          </w:tcPr>
          <w:p>
            <w:pPr>
              <w:ind w:left="440"/>
              <w:spacing w:after="0" w:line="176" w:lineRule="exact"/>
              <w:rPr>
                <w:sz w:val="20"/>
                <w:szCs w:val="20"/>
                <w:color w:val="auto"/>
              </w:rPr>
            </w:pPr>
            <w:r>
              <w:rPr>
                <w:rFonts w:ascii="Arial" w:cs="Arial" w:eastAsia="Arial" w:hAnsi="Arial"/>
                <w:sz w:val="18"/>
                <w:szCs w:val="18"/>
                <w:color w:val="auto"/>
                <w:w w:val="93"/>
              </w:rPr>
              <w:t>Solar power projects, typically less than 20 MW in size, that primarily sell power produced to customers f</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usage on site, or are interconnected to sell power into the local distribution grid</w:t>
            </w:r>
          </w:p>
        </w:tc>
        <w:tc>
          <w:tcPr>
            <w:tcW w:w="0" w:type="dxa"/>
            <w:vAlign w:val="bottom"/>
          </w:tcPr>
          <w:p>
            <w:pPr>
              <w:spacing w:after="0"/>
              <w:rPr>
                <w:sz w:val="1"/>
                <w:szCs w:val="1"/>
                <w:color w:val="auto"/>
              </w:rPr>
            </w:pPr>
          </w:p>
        </w:tc>
      </w:tr>
      <w:tr>
        <w:trPr>
          <w:trHeight w:val="176"/>
        </w:trPr>
        <w:tc>
          <w:tcPr>
            <w:tcW w:w="3120" w:type="dxa"/>
            <w:vAlign w:val="bottom"/>
          </w:tcPr>
          <w:p>
            <w:pPr>
              <w:ind w:left="580"/>
              <w:spacing w:after="0" w:line="176" w:lineRule="exact"/>
              <w:rPr>
                <w:sz w:val="20"/>
                <w:szCs w:val="20"/>
                <w:color w:val="auto"/>
              </w:rPr>
            </w:pPr>
            <w:r>
              <w:rPr>
                <w:rFonts w:ascii="Arial" w:cs="Arial" w:eastAsia="Arial" w:hAnsi="Arial"/>
                <w:sz w:val="18"/>
                <w:szCs w:val="18"/>
                <w:color w:val="auto"/>
              </w:rPr>
              <w:t>Drop Down Assets</w:t>
            </w:r>
          </w:p>
        </w:tc>
        <w:tc>
          <w:tcPr>
            <w:tcW w:w="8220" w:type="dxa"/>
            <w:vAlign w:val="bottom"/>
            <w:gridSpan w:val="2"/>
          </w:tcPr>
          <w:p>
            <w:pPr>
              <w:ind w:left="440"/>
              <w:spacing w:after="0" w:line="176" w:lineRule="exact"/>
              <w:rPr>
                <w:sz w:val="20"/>
                <w:szCs w:val="20"/>
                <w:color w:val="auto"/>
              </w:rPr>
            </w:pPr>
            <w:r>
              <w:rPr>
                <w:rFonts w:ascii="Arial" w:cs="Arial" w:eastAsia="Arial" w:hAnsi="Arial"/>
                <w:sz w:val="18"/>
                <w:szCs w:val="18"/>
                <w:color w:val="auto"/>
                <w:w w:val="90"/>
              </w:rPr>
              <w:t>Collectively, assets under common control acquired by the Company from NRG from January 1, 2014 throu</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8220" w:type="dxa"/>
            <w:vAlign w:val="bottom"/>
            <w:gridSpan w:val="2"/>
          </w:tcPr>
          <w:p>
            <w:pPr>
              <w:ind w:left="160"/>
              <w:spacing w:after="0" w:line="173" w:lineRule="exact"/>
              <w:rPr>
                <w:sz w:val="20"/>
                <w:szCs w:val="20"/>
                <w:color w:val="auto"/>
              </w:rPr>
            </w:pPr>
            <w:r>
              <w:rPr>
                <w:rFonts w:ascii="Arial" w:cs="Arial" w:eastAsia="Arial" w:hAnsi="Arial"/>
                <w:sz w:val="18"/>
                <w:szCs w:val="18"/>
                <w:color w:val="auto"/>
                <w:w w:val="91"/>
              </w:rPr>
              <w:t>the period ended August 31, 2018 and from CEG from August 31, 2018 through the period ended December 3</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19"/>
                <w:szCs w:val="19"/>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ECP</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Energy Center Pittsburgh LLC, a subsidiary of the Company</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EPA</w:t>
            </w:r>
          </w:p>
        </w:tc>
        <w:tc>
          <w:tcPr>
            <w:tcW w:w="8220" w:type="dxa"/>
            <w:vAlign w:val="bottom"/>
            <w:gridSpan w:val="2"/>
            <w:vMerge w:val="restart"/>
          </w:tcPr>
          <w:p>
            <w:pPr>
              <w:ind w:left="440"/>
              <w:spacing w:after="0"/>
              <w:rPr>
                <w:sz w:val="20"/>
                <w:szCs w:val="20"/>
                <w:color w:val="auto"/>
              </w:rPr>
            </w:pPr>
            <w:r>
              <w:rPr>
                <w:rFonts w:ascii="Arial" w:cs="Arial" w:eastAsia="Arial" w:hAnsi="Arial"/>
                <w:sz w:val="18"/>
                <w:szCs w:val="18"/>
                <w:color w:val="auto"/>
              </w:rPr>
              <w:t>United States Environmental Protection Agency</w:t>
            </w:r>
          </w:p>
        </w:tc>
        <w:tc>
          <w:tcPr>
            <w:tcW w:w="0" w:type="dxa"/>
            <w:vAlign w:val="bottom"/>
          </w:tcPr>
          <w:p>
            <w:pPr>
              <w:spacing w:after="0"/>
              <w:rPr>
                <w:sz w:val="1"/>
                <w:szCs w:val="1"/>
                <w:color w:val="auto"/>
              </w:rPr>
            </w:pPr>
          </w:p>
        </w:tc>
      </w:tr>
      <w:tr>
        <w:trPr>
          <w:trHeight w:val="93"/>
        </w:trPr>
        <w:tc>
          <w:tcPr>
            <w:tcW w:w="3120" w:type="dxa"/>
            <w:vAlign w:val="bottom"/>
          </w:tcPr>
          <w:p>
            <w:pPr>
              <w:spacing w:after="0"/>
              <w:rPr>
                <w:sz w:val="8"/>
                <w:szCs w:val="8"/>
                <w:color w:val="auto"/>
              </w:rPr>
            </w:pPr>
          </w:p>
        </w:tc>
        <w:tc>
          <w:tcPr>
            <w:tcW w:w="82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3120" w:type="dxa"/>
            <w:vAlign w:val="bottom"/>
          </w:tcPr>
          <w:p>
            <w:pPr>
              <w:ind w:left="580"/>
              <w:spacing w:after="0"/>
              <w:rPr>
                <w:sz w:val="20"/>
                <w:szCs w:val="20"/>
                <w:color w:val="auto"/>
              </w:rPr>
            </w:pPr>
            <w:r>
              <w:rPr>
                <w:rFonts w:ascii="Arial" w:cs="Arial" w:eastAsia="Arial" w:hAnsi="Arial"/>
                <w:sz w:val="18"/>
                <w:szCs w:val="18"/>
                <w:color w:val="auto"/>
              </w:rPr>
              <w:t>ERCOT</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w w:val="93"/>
              </w:rPr>
              <w:t>Electric Reliability Council of Texas, the ISO and the regional reliability coordinator of the various electrici</w:t>
            </w:r>
          </w:p>
        </w:tc>
        <w:tc>
          <w:tcPr>
            <w:tcW w:w="0" w:type="dxa"/>
            <w:vAlign w:val="bottom"/>
          </w:tcPr>
          <w:p>
            <w:pPr>
              <w:spacing w:after="0"/>
              <w:rPr>
                <w:sz w:val="1"/>
                <w:szCs w:val="1"/>
                <w:color w:val="auto"/>
              </w:rPr>
            </w:pPr>
          </w:p>
        </w:tc>
      </w:tr>
      <w:tr>
        <w:trPr>
          <w:trHeight w:val="224"/>
        </w:trPr>
        <w:tc>
          <w:tcPr>
            <w:tcW w:w="31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systems within Texas</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EWG</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Exempt Wholesale Generator</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Exchange Act</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FASB</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FERC</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Federal Energy Regulatory Commission</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FPA</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Federal Power Act</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GAAP</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GenConn</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GHG</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Greenhouse gas</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GIM</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Global Infrastructure Management, LLC</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GIP</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Global Infrastructure Partners</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HLBV</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IRS</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Internal Revenue Service</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ISO</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Independent System Operator, also referred to as an RTO</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ITC</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Investment Tax Credit</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KKR</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KKR Thor Bidco, LLC, an affiliate of Kohlberg Kravis Roberts &amp; Co. L.P.</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kWh</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Kilowatt Hour</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LIBOR</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MBTA</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Migratory Bird Treaty Act</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Mesquite Star</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Mesquite Star Special LLC</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MMBtu</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Mt. Storm</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NedPower Mount Storm LLC</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MW</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Megawatt</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MWh</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MWt</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NEPA</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National Environmental Policy Act</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NERC</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North American Electric Reliability Corporation</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Net Exposure</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27"/>
        </w:trPr>
        <w:tc>
          <w:tcPr>
            <w:tcW w:w="3120" w:type="dxa"/>
            <w:vAlign w:val="bottom"/>
          </w:tcPr>
          <w:p>
            <w:pPr>
              <w:ind w:left="580"/>
              <w:spacing w:after="0"/>
              <w:rPr>
                <w:sz w:val="20"/>
                <w:szCs w:val="20"/>
                <w:color w:val="auto"/>
              </w:rPr>
            </w:pPr>
            <w:r>
              <w:rPr>
                <w:rFonts w:ascii="Arial" w:cs="Arial" w:eastAsia="Arial" w:hAnsi="Arial"/>
                <w:sz w:val="18"/>
                <w:szCs w:val="18"/>
                <w:color w:val="auto"/>
              </w:rPr>
              <w:t>NOLs</w:t>
            </w:r>
          </w:p>
        </w:tc>
        <w:tc>
          <w:tcPr>
            <w:tcW w:w="8220" w:type="dxa"/>
            <w:vAlign w:val="bottom"/>
            <w:gridSpan w:val="2"/>
          </w:tcPr>
          <w:p>
            <w:pPr>
              <w:ind w:left="440"/>
              <w:spacing w:after="0"/>
              <w:rPr>
                <w:sz w:val="20"/>
                <w:szCs w:val="20"/>
                <w:color w:val="auto"/>
              </w:rPr>
            </w:pPr>
            <w:r>
              <w:rPr>
                <w:rFonts w:ascii="Arial" w:cs="Arial" w:eastAsia="Arial" w:hAnsi="Arial"/>
                <w:sz w:val="18"/>
                <w:szCs w:val="18"/>
                <w:color w:val="auto"/>
              </w:rPr>
              <w:t>Net Operating Losses</w:t>
            </w:r>
          </w:p>
        </w:tc>
        <w:tc>
          <w:tcPr>
            <w:tcW w:w="0" w:type="dxa"/>
            <w:vAlign w:val="bottom"/>
          </w:tcPr>
          <w:p>
            <w:pPr>
              <w:spacing w:after="0"/>
              <w:rPr>
                <w:sz w:val="1"/>
                <w:szCs w:val="1"/>
                <w:color w:val="auto"/>
              </w:rPr>
            </w:pPr>
          </w:p>
        </w:tc>
      </w:tr>
      <w:tr>
        <w:trPr>
          <w:trHeight w:val="906"/>
        </w:trPr>
        <w:tc>
          <w:tcPr>
            <w:tcW w:w="3120" w:type="dxa"/>
            <w:vAlign w:val="bottom"/>
          </w:tcPr>
          <w:p>
            <w:pPr>
              <w:spacing w:after="0"/>
              <w:rPr>
                <w:sz w:val="24"/>
                <w:szCs w:val="24"/>
                <w:color w:val="auto"/>
              </w:rPr>
            </w:pPr>
          </w:p>
        </w:tc>
        <w:tc>
          <w:tcPr>
            <w:tcW w:w="8120" w:type="dxa"/>
            <w:vAlign w:val="bottom"/>
          </w:tcPr>
          <w:p>
            <w:pPr>
              <w:ind w:left="24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9A9A9A"/>
            </w:tcBorders>
          </w:tcPr>
          <w:p>
            <w:pPr>
              <w:spacing w:after="0"/>
              <w:rPr>
                <w:sz w:val="9"/>
                <w:szCs w:val="9"/>
                <w:color w:val="auto"/>
              </w:rPr>
            </w:pPr>
          </w:p>
        </w:tc>
        <w:tc>
          <w:tcPr>
            <w:tcW w:w="8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92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95"/>
        </w:trPr>
        <w:tc>
          <w:tcPr>
            <w:tcW w:w="2080" w:type="dxa"/>
            <w:vAlign w:val="bottom"/>
          </w:tcPr>
          <w:p>
            <w:pPr>
              <w:spacing w:after="0"/>
              <w:rPr>
                <w:sz w:val="20"/>
                <w:szCs w:val="20"/>
                <w:color w:val="auto"/>
              </w:rPr>
            </w:pPr>
            <w:r>
              <w:rPr>
                <w:rFonts w:ascii="Arial" w:cs="Arial" w:eastAsia="Arial" w:hAnsi="Arial"/>
                <w:sz w:val="18"/>
                <w:szCs w:val="18"/>
                <w:color w:val="auto"/>
              </w:rPr>
              <w:t>NO</w:t>
            </w:r>
            <w:r>
              <w:rPr>
                <w:rFonts w:ascii="Arial" w:cs="Arial" w:eastAsia="Arial" w:hAnsi="Arial"/>
                <w:sz w:val="23"/>
                <w:szCs w:val="23"/>
                <w:color w:val="auto"/>
                <w:vertAlign w:val="subscript"/>
              </w:rPr>
              <w:t>x</w:t>
            </w:r>
          </w:p>
        </w:tc>
        <w:tc>
          <w:tcPr>
            <w:tcW w:w="8680" w:type="dxa"/>
            <w:vAlign w:val="bottom"/>
          </w:tcPr>
          <w:p>
            <w:pPr>
              <w:ind w:left="900"/>
              <w:spacing w:after="0"/>
              <w:rPr>
                <w:sz w:val="20"/>
                <w:szCs w:val="20"/>
                <w:color w:val="auto"/>
              </w:rPr>
            </w:pPr>
            <w:r>
              <w:rPr>
                <w:rFonts w:ascii="Arial" w:cs="Arial" w:eastAsia="Arial" w:hAnsi="Arial"/>
                <w:sz w:val="18"/>
                <w:szCs w:val="18"/>
                <w:color w:val="auto"/>
              </w:rPr>
              <w:t>Nitrogen Oxides</w:t>
            </w:r>
          </w:p>
        </w:tc>
        <w:tc>
          <w:tcPr>
            <w:tcW w:w="0" w:type="dxa"/>
            <w:vAlign w:val="bottom"/>
          </w:tcPr>
          <w:p>
            <w:pPr>
              <w:spacing w:after="0"/>
              <w:rPr>
                <w:sz w:val="1"/>
                <w:szCs w:val="1"/>
                <w:color w:val="auto"/>
              </w:rPr>
            </w:pPr>
          </w:p>
        </w:tc>
      </w:tr>
      <w:tr>
        <w:trPr>
          <w:trHeight w:val="224"/>
        </w:trPr>
        <w:tc>
          <w:tcPr>
            <w:tcW w:w="2080" w:type="dxa"/>
            <w:vAlign w:val="bottom"/>
          </w:tcPr>
          <w:p>
            <w:pPr>
              <w:spacing w:after="0"/>
              <w:rPr>
                <w:sz w:val="20"/>
                <w:szCs w:val="20"/>
                <w:color w:val="auto"/>
              </w:rPr>
            </w:pPr>
            <w:r>
              <w:rPr>
                <w:rFonts w:ascii="Arial" w:cs="Arial" w:eastAsia="Arial" w:hAnsi="Arial"/>
                <w:sz w:val="18"/>
                <w:szCs w:val="18"/>
                <w:color w:val="auto"/>
              </w:rPr>
              <w:t>NPNS</w:t>
            </w:r>
          </w:p>
        </w:tc>
        <w:tc>
          <w:tcPr>
            <w:tcW w:w="8680" w:type="dxa"/>
            <w:vAlign w:val="bottom"/>
          </w:tcPr>
          <w:p>
            <w:pPr>
              <w:ind w:left="900"/>
              <w:spacing w:after="0"/>
              <w:rPr>
                <w:sz w:val="20"/>
                <w:szCs w:val="20"/>
                <w:color w:val="auto"/>
              </w:rPr>
            </w:pPr>
            <w:r>
              <w:rPr>
                <w:rFonts w:ascii="Arial" w:cs="Arial" w:eastAsia="Arial" w:hAnsi="Arial"/>
                <w:sz w:val="18"/>
                <w:szCs w:val="18"/>
                <w:color w:val="auto"/>
              </w:rPr>
              <w:t>Normal Purchases and Normal Sales</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NPPD</w:t>
            </w:r>
          </w:p>
        </w:tc>
        <w:tc>
          <w:tcPr>
            <w:tcW w:w="8680" w:type="dxa"/>
            <w:vAlign w:val="bottom"/>
          </w:tcPr>
          <w:p>
            <w:pPr>
              <w:ind w:left="900"/>
              <w:spacing w:after="0"/>
              <w:rPr>
                <w:sz w:val="20"/>
                <w:szCs w:val="20"/>
                <w:color w:val="auto"/>
              </w:rPr>
            </w:pPr>
            <w:r>
              <w:rPr>
                <w:rFonts w:ascii="Arial" w:cs="Arial" w:eastAsia="Arial" w:hAnsi="Arial"/>
                <w:sz w:val="18"/>
                <w:szCs w:val="18"/>
                <w:color w:val="auto"/>
              </w:rPr>
              <w:t>Nebraska Public Power District</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NRG</w:t>
            </w:r>
          </w:p>
        </w:tc>
        <w:tc>
          <w:tcPr>
            <w:tcW w:w="8680" w:type="dxa"/>
            <w:vAlign w:val="bottom"/>
          </w:tcPr>
          <w:p>
            <w:pPr>
              <w:ind w:left="90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OCI/OCL</w:t>
            </w:r>
          </w:p>
        </w:tc>
        <w:tc>
          <w:tcPr>
            <w:tcW w:w="8680" w:type="dxa"/>
            <w:vAlign w:val="bottom"/>
          </w:tcPr>
          <w:p>
            <w:pPr>
              <w:ind w:left="900"/>
              <w:spacing w:after="0"/>
              <w:rPr>
                <w:sz w:val="20"/>
                <w:szCs w:val="20"/>
                <w:color w:val="auto"/>
              </w:rPr>
            </w:pPr>
            <w:r>
              <w:rPr>
                <w:rFonts w:ascii="Arial" w:cs="Arial" w:eastAsia="Arial" w:hAnsi="Arial"/>
                <w:sz w:val="18"/>
                <w:szCs w:val="18"/>
                <w:color w:val="auto"/>
              </w:rPr>
              <w:t>Other comprehensive income/loss</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O&amp;M</w:t>
            </w:r>
          </w:p>
        </w:tc>
        <w:tc>
          <w:tcPr>
            <w:tcW w:w="8680" w:type="dxa"/>
            <w:vAlign w:val="bottom"/>
          </w:tcPr>
          <w:p>
            <w:pPr>
              <w:ind w:left="900"/>
              <w:spacing w:after="0"/>
              <w:rPr>
                <w:sz w:val="20"/>
                <w:szCs w:val="20"/>
                <w:color w:val="auto"/>
              </w:rPr>
            </w:pPr>
            <w:r>
              <w:rPr>
                <w:rFonts w:ascii="Arial" w:cs="Arial" w:eastAsia="Arial" w:hAnsi="Arial"/>
                <w:sz w:val="18"/>
                <w:szCs w:val="18"/>
                <w:color w:val="auto"/>
              </w:rPr>
              <w:t>Operations and Maintenance</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PG&amp;E</w:t>
            </w:r>
          </w:p>
        </w:tc>
        <w:tc>
          <w:tcPr>
            <w:tcW w:w="8680" w:type="dxa"/>
            <w:vAlign w:val="bottom"/>
          </w:tcPr>
          <w:p>
            <w:pPr>
              <w:ind w:left="900"/>
              <w:spacing w:after="0"/>
              <w:rPr>
                <w:sz w:val="20"/>
                <w:szCs w:val="20"/>
                <w:color w:val="auto"/>
              </w:rPr>
            </w:pPr>
            <w:r>
              <w:rPr>
                <w:rFonts w:ascii="Arial" w:cs="Arial" w:eastAsia="Arial" w:hAnsi="Arial"/>
                <w:sz w:val="18"/>
                <w:szCs w:val="18"/>
                <w:color w:val="auto"/>
              </w:rPr>
              <w:t>Pacific Gas and Electric Company</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PG&amp;E Bankruptcy</w:t>
            </w:r>
          </w:p>
        </w:tc>
        <w:tc>
          <w:tcPr>
            <w:tcW w:w="8680" w:type="dxa"/>
            <w:vAlign w:val="bottom"/>
            <w:vMerge w:val="restart"/>
          </w:tcPr>
          <w:p>
            <w:pPr>
              <w:ind w:left="900"/>
              <w:spacing w:after="0"/>
              <w:rPr>
                <w:sz w:val="20"/>
                <w:szCs w:val="20"/>
                <w:color w:val="auto"/>
              </w:rPr>
            </w:pPr>
            <w:r>
              <w:rPr>
                <w:rFonts w:ascii="Arial" w:cs="Arial" w:eastAsia="Arial" w:hAnsi="Arial"/>
                <w:sz w:val="18"/>
                <w:szCs w:val="18"/>
                <w:color w:val="auto"/>
                <w:w w:val="92"/>
              </w:rPr>
              <w:t>On January 29, 2019, PG&amp;E Corporation and Pacific Gas and Electric Company filed voluntary petitions f</w:t>
            </w:r>
          </w:p>
        </w:tc>
        <w:tc>
          <w:tcPr>
            <w:tcW w:w="0" w:type="dxa"/>
            <w:vAlign w:val="bottom"/>
          </w:tcPr>
          <w:p>
            <w:pPr>
              <w:spacing w:after="0"/>
              <w:rPr>
                <w:sz w:val="1"/>
                <w:szCs w:val="1"/>
                <w:color w:val="auto"/>
              </w:rPr>
            </w:pPr>
          </w:p>
        </w:tc>
      </w:tr>
      <w:tr>
        <w:trPr>
          <w:trHeight w:val="42"/>
        </w:trPr>
        <w:tc>
          <w:tcPr>
            <w:tcW w:w="2080" w:type="dxa"/>
            <w:vAlign w:val="bottom"/>
          </w:tcPr>
          <w:p>
            <w:pPr>
              <w:spacing w:after="0"/>
              <w:rPr>
                <w:sz w:val="3"/>
                <w:szCs w:val="3"/>
                <w:color w:val="auto"/>
              </w:rPr>
            </w:pPr>
          </w:p>
        </w:tc>
        <w:tc>
          <w:tcPr>
            <w:tcW w:w="8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8680" w:type="dxa"/>
            <w:vAlign w:val="bottom"/>
          </w:tcPr>
          <w:p>
            <w:pPr>
              <w:ind w:left="620"/>
              <w:spacing w:after="0" w:line="173" w:lineRule="exact"/>
              <w:rPr>
                <w:sz w:val="20"/>
                <w:szCs w:val="20"/>
                <w:color w:val="auto"/>
              </w:rPr>
            </w:pPr>
            <w:r>
              <w:rPr>
                <w:rFonts w:ascii="Arial" w:cs="Arial" w:eastAsia="Arial" w:hAnsi="Arial"/>
                <w:sz w:val="18"/>
                <w:szCs w:val="18"/>
                <w:color w:val="auto"/>
                <w:w w:val="93"/>
              </w:rPr>
              <w:t>relief under the Bankruptcy Code in the U.S. Bankruptcy Court for the Northern District of California. On July</w:t>
            </w:r>
          </w:p>
        </w:tc>
        <w:tc>
          <w:tcPr>
            <w:tcW w:w="0" w:type="dxa"/>
            <w:vAlign w:val="bottom"/>
          </w:tcPr>
          <w:p>
            <w:pPr>
              <w:spacing w:after="0"/>
              <w:rPr>
                <w:sz w:val="1"/>
                <w:szCs w:val="1"/>
                <w:color w:val="auto"/>
              </w:rPr>
            </w:pPr>
          </w:p>
        </w:tc>
      </w:tr>
      <w:tr>
        <w:trPr>
          <w:trHeight w:val="224"/>
        </w:trPr>
        <w:tc>
          <w:tcPr>
            <w:tcW w:w="2080" w:type="dxa"/>
            <w:vAlign w:val="bottom"/>
          </w:tcPr>
          <w:p>
            <w:pPr>
              <w:spacing w:after="0"/>
              <w:rPr>
                <w:sz w:val="19"/>
                <w:szCs w:val="19"/>
                <w:color w:val="auto"/>
              </w:rPr>
            </w:pPr>
          </w:p>
        </w:tc>
        <w:tc>
          <w:tcPr>
            <w:tcW w:w="8680" w:type="dxa"/>
            <w:vAlign w:val="bottom"/>
          </w:tcPr>
          <w:p>
            <w:pPr>
              <w:ind w:left="620"/>
              <w:spacing w:after="0"/>
              <w:rPr>
                <w:sz w:val="20"/>
                <w:szCs w:val="20"/>
                <w:color w:val="auto"/>
              </w:rPr>
            </w:pPr>
            <w:r>
              <w:rPr>
                <w:rFonts w:ascii="Arial" w:cs="Arial" w:eastAsia="Arial" w:hAnsi="Arial"/>
                <w:sz w:val="18"/>
                <w:szCs w:val="18"/>
                <w:color w:val="auto"/>
              </w:rPr>
              <w:t>2020 PG&amp;E emerged from bankruptcy.</w:t>
            </w:r>
          </w:p>
        </w:tc>
        <w:tc>
          <w:tcPr>
            <w:tcW w:w="0" w:type="dxa"/>
            <w:vAlign w:val="bottom"/>
          </w:tcPr>
          <w:p>
            <w:pPr>
              <w:spacing w:after="0"/>
              <w:rPr>
                <w:sz w:val="1"/>
                <w:szCs w:val="1"/>
                <w:color w:val="auto"/>
              </w:rPr>
            </w:pPr>
          </w:p>
        </w:tc>
      </w:tr>
      <w:tr>
        <w:trPr>
          <w:trHeight w:val="307"/>
        </w:trPr>
        <w:tc>
          <w:tcPr>
            <w:tcW w:w="2080" w:type="dxa"/>
            <w:vAlign w:val="bottom"/>
          </w:tcPr>
          <w:p>
            <w:pPr>
              <w:spacing w:after="0"/>
              <w:rPr>
                <w:sz w:val="20"/>
                <w:szCs w:val="20"/>
                <w:color w:val="auto"/>
              </w:rPr>
            </w:pPr>
            <w:r>
              <w:rPr>
                <w:rFonts w:ascii="Arial" w:cs="Arial" w:eastAsia="Arial" w:hAnsi="Arial"/>
                <w:sz w:val="18"/>
                <w:szCs w:val="18"/>
                <w:color w:val="auto"/>
              </w:rPr>
              <w:t>PJM</w:t>
            </w:r>
          </w:p>
        </w:tc>
        <w:tc>
          <w:tcPr>
            <w:tcW w:w="8680" w:type="dxa"/>
            <w:vAlign w:val="bottom"/>
          </w:tcPr>
          <w:p>
            <w:pPr>
              <w:ind w:left="900"/>
              <w:spacing w:after="0"/>
              <w:rPr>
                <w:sz w:val="20"/>
                <w:szCs w:val="20"/>
                <w:color w:val="auto"/>
              </w:rPr>
            </w:pPr>
            <w:r>
              <w:rPr>
                <w:rFonts w:ascii="Arial" w:cs="Arial" w:eastAsia="Arial" w:hAnsi="Arial"/>
                <w:sz w:val="18"/>
                <w:szCs w:val="18"/>
                <w:color w:val="auto"/>
              </w:rPr>
              <w:t>PJM Interconnection, LLC</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PPA</w:t>
            </w:r>
          </w:p>
        </w:tc>
        <w:tc>
          <w:tcPr>
            <w:tcW w:w="8680" w:type="dxa"/>
            <w:vAlign w:val="bottom"/>
          </w:tcPr>
          <w:p>
            <w:pPr>
              <w:ind w:left="90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PTC</w:t>
            </w:r>
          </w:p>
        </w:tc>
        <w:tc>
          <w:tcPr>
            <w:tcW w:w="8680" w:type="dxa"/>
            <w:vAlign w:val="bottom"/>
          </w:tcPr>
          <w:p>
            <w:pPr>
              <w:ind w:left="900"/>
              <w:spacing w:after="0"/>
              <w:rPr>
                <w:sz w:val="20"/>
                <w:szCs w:val="20"/>
                <w:color w:val="auto"/>
              </w:rPr>
            </w:pPr>
            <w:r>
              <w:rPr>
                <w:rFonts w:ascii="Arial" w:cs="Arial" w:eastAsia="Arial" w:hAnsi="Arial"/>
                <w:sz w:val="18"/>
                <w:szCs w:val="18"/>
                <w:color w:val="auto"/>
              </w:rPr>
              <w:t>Production Tax Credit</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PUCT</w:t>
            </w:r>
          </w:p>
        </w:tc>
        <w:tc>
          <w:tcPr>
            <w:tcW w:w="8680" w:type="dxa"/>
            <w:vAlign w:val="bottom"/>
          </w:tcPr>
          <w:p>
            <w:pPr>
              <w:ind w:left="900"/>
              <w:spacing w:after="0"/>
              <w:rPr>
                <w:sz w:val="20"/>
                <w:szCs w:val="20"/>
                <w:color w:val="auto"/>
              </w:rPr>
            </w:pPr>
            <w:r>
              <w:rPr>
                <w:rFonts w:ascii="Arial" w:cs="Arial" w:eastAsia="Arial" w:hAnsi="Arial"/>
                <w:sz w:val="18"/>
                <w:szCs w:val="18"/>
                <w:color w:val="auto"/>
              </w:rPr>
              <w:t>Public Utility Commission of Texas</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PUHCA</w:t>
            </w:r>
          </w:p>
        </w:tc>
        <w:tc>
          <w:tcPr>
            <w:tcW w:w="8680" w:type="dxa"/>
            <w:vAlign w:val="bottom"/>
          </w:tcPr>
          <w:p>
            <w:pPr>
              <w:ind w:left="900"/>
              <w:spacing w:after="0"/>
              <w:rPr>
                <w:sz w:val="20"/>
                <w:szCs w:val="20"/>
                <w:color w:val="auto"/>
              </w:rPr>
            </w:pPr>
            <w:r>
              <w:rPr>
                <w:rFonts w:ascii="Arial" w:cs="Arial" w:eastAsia="Arial" w:hAnsi="Arial"/>
                <w:sz w:val="18"/>
                <w:szCs w:val="18"/>
                <w:color w:val="auto"/>
              </w:rPr>
              <w:t>Public Utility Holding Company Act of 2005</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PURPA</w:t>
            </w:r>
          </w:p>
        </w:tc>
        <w:tc>
          <w:tcPr>
            <w:tcW w:w="8680" w:type="dxa"/>
            <w:vAlign w:val="bottom"/>
          </w:tcPr>
          <w:p>
            <w:pPr>
              <w:ind w:left="900"/>
              <w:spacing w:after="0"/>
              <w:rPr>
                <w:sz w:val="20"/>
                <w:szCs w:val="20"/>
                <w:color w:val="auto"/>
              </w:rPr>
            </w:pPr>
            <w:r>
              <w:rPr>
                <w:rFonts w:ascii="Arial" w:cs="Arial" w:eastAsia="Arial" w:hAnsi="Arial"/>
                <w:sz w:val="18"/>
                <w:szCs w:val="18"/>
                <w:color w:val="auto"/>
              </w:rPr>
              <w:t>Public Utility Regulatory Policies Act of 1978</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QF</w:t>
            </w:r>
          </w:p>
        </w:tc>
        <w:tc>
          <w:tcPr>
            <w:tcW w:w="8680" w:type="dxa"/>
            <w:vAlign w:val="bottom"/>
          </w:tcPr>
          <w:p>
            <w:pPr>
              <w:ind w:left="900"/>
              <w:spacing w:after="0"/>
              <w:rPr>
                <w:sz w:val="20"/>
                <w:szCs w:val="20"/>
                <w:color w:val="auto"/>
              </w:rPr>
            </w:pPr>
            <w:r>
              <w:rPr>
                <w:rFonts w:ascii="Arial" w:cs="Arial" w:eastAsia="Arial" w:hAnsi="Arial"/>
                <w:sz w:val="18"/>
                <w:szCs w:val="18"/>
                <w:color w:val="auto"/>
              </w:rPr>
              <w:t>Qualifying Facility under PURPA</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RENOM</w:t>
            </w:r>
          </w:p>
        </w:tc>
        <w:tc>
          <w:tcPr>
            <w:tcW w:w="8680" w:type="dxa"/>
            <w:vAlign w:val="bottom"/>
          </w:tcPr>
          <w:p>
            <w:pPr>
              <w:ind w:left="900"/>
              <w:spacing w:after="0"/>
              <w:rPr>
                <w:sz w:val="20"/>
                <w:szCs w:val="20"/>
                <w:color w:val="auto"/>
              </w:rPr>
            </w:pPr>
            <w:r>
              <w:rPr>
                <w:rFonts w:ascii="Arial" w:cs="Arial" w:eastAsia="Arial" w:hAnsi="Arial"/>
                <w:sz w:val="18"/>
                <w:szCs w:val="18"/>
                <w:color w:val="auto"/>
              </w:rPr>
              <w:t>Clearway Renewable Operation &amp; Maintenance LLC</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ROFO</w:t>
            </w:r>
          </w:p>
        </w:tc>
        <w:tc>
          <w:tcPr>
            <w:tcW w:w="8680" w:type="dxa"/>
            <w:vAlign w:val="bottom"/>
          </w:tcPr>
          <w:p>
            <w:pPr>
              <w:ind w:left="900"/>
              <w:spacing w:after="0"/>
              <w:rPr>
                <w:sz w:val="20"/>
                <w:szCs w:val="20"/>
                <w:color w:val="auto"/>
              </w:rPr>
            </w:pPr>
            <w:r>
              <w:rPr>
                <w:rFonts w:ascii="Arial" w:cs="Arial" w:eastAsia="Arial" w:hAnsi="Arial"/>
                <w:sz w:val="18"/>
                <w:szCs w:val="18"/>
                <w:color w:val="auto"/>
              </w:rPr>
              <w:t>Right of First Offer</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RPS</w:t>
            </w:r>
          </w:p>
        </w:tc>
        <w:tc>
          <w:tcPr>
            <w:tcW w:w="8680" w:type="dxa"/>
            <w:vAlign w:val="bottom"/>
          </w:tcPr>
          <w:p>
            <w:pPr>
              <w:ind w:left="900"/>
              <w:spacing w:after="0"/>
              <w:rPr>
                <w:sz w:val="20"/>
                <w:szCs w:val="20"/>
                <w:color w:val="auto"/>
              </w:rPr>
            </w:pPr>
            <w:r>
              <w:rPr>
                <w:rFonts w:ascii="Arial" w:cs="Arial" w:eastAsia="Arial" w:hAnsi="Arial"/>
                <w:sz w:val="18"/>
                <w:szCs w:val="18"/>
                <w:color w:val="auto"/>
              </w:rPr>
              <w:t>Renewable Portfolio Standards</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RPV Holdco</w:t>
            </w:r>
          </w:p>
        </w:tc>
        <w:tc>
          <w:tcPr>
            <w:tcW w:w="8680" w:type="dxa"/>
            <w:vAlign w:val="bottom"/>
          </w:tcPr>
          <w:p>
            <w:pPr>
              <w:ind w:left="900"/>
              <w:spacing w:after="0"/>
              <w:rPr>
                <w:sz w:val="20"/>
                <w:szCs w:val="20"/>
                <w:color w:val="auto"/>
              </w:rPr>
            </w:pPr>
            <w:r>
              <w:rPr>
                <w:rFonts w:ascii="Arial" w:cs="Arial" w:eastAsia="Arial" w:hAnsi="Arial"/>
                <w:sz w:val="18"/>
                <w:szCs w:val="18"/>
                <w:color w:val="auto"/>
              </w:rPr>
              <w:t>RPV Holdco 1 LLC</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RTO</w:t>
            </w:r>
          </w:p>
        </w:tc>
        <w:tc>
          <w:tcPr>
            <w:tcW w:w="8680" w:type="dxa"/>
            <w:vAlign w:val="bottom"/>
          </w:tcPr>
          <w:p>
            <w:pPr>
              <w:ind w:left="900"/>
              <w:spacing w:after="0"/>
              <w:rPr>
                <w:sz w:val="20"/>
                <w:szCs w:val="20"/>
                <w:color w:val="auto"/>
              </w:rPr>
            </w:pPr>
            <w:r>
              <w:rPr>
                <w:rFonts w:ascii="Arial" w:cs="Arial" w:eastAsia="Arial" w:hAnsi="Arial"/>
                <w:sz w:val="18"/>
                <w:szCs w:val="18"/>
                <w:color w:val="auto"/>
              </w:rPr>
              <w:t>Regional Transmission Organization</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SCE</w:t>
            </w:r>
          </w:p>
        </w:tc>
        <w:tc>
          <w:tcPr>
            <w:tcW w:w="8680" w:type="dxa"/>
            <w:vAlign w:val="bottom"/>
          </w:tcPr>
          <w:p>
            <w:pPr>
              <w:ind w:left="900"/>
              <w:spacing w:after="0"/>
              <w:rPr>
                <w:sz w:val="20"/>
                <w:szCs w:val="20"/>
                <w:color w:val="auto"/>
              </w:rPr>
            </w:pPr>
            <w:r>
              <w:rPr>
                <w:rFonts w:ascii="Arial" w:cs="Arial" w:eastAsia="Arial" w:hAnsi="Arial"/>
                <w:sz w:val="18"/>
                <w:szCs w:val="18"/>
                <w:color w:val="auto"/>
              </w:rPr>
              <w:t>Southern California Edison</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SEC</w:t>
            </w:r>
          </w:p>
        </w:tc>
        <w:tc>
          <w:tcPr>
            <w:tcW w:w="8680" w:type="dxa"/>
            <w:vAlign w:val="bottom"/>
          </w:tcPr>
          <w:p>
            <w:pPr>
              <w:ind w:left="900"/>
              <w:spacing w:after="0"/>
              <w:rPr>
                <w:sz w:val="20"/>
                <w:szCs w:val="20"/>
                <w:color w:val="auto"/>
              </w:rPr>
            </w:pPr>
            <w:r>
              <w:rPr>
                <w:rFonts w:ascii="Arial" w:cs="Arial" w:eastAsia="Arial" w:hAnsi="Arial"/>
                <w:sz w:val="18"/>
                <w:szCs w:val="18"/>
                <w:color w:val="auto"/>
              </w:rPr>
              <w:t>U.S. Securities and Exchange Commission</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Senior Notes</w:t>
            </w:r>
          </w:p>
        </w:tc>
        <w:tc>
          <w:tcPr>
            <w:tcW w:w="8680" w:type="dxa"/>
            <w:vAlign w:val="bottom"/>
          </w:tcPr>
          <w:p>
            <w:pPr>
              <w:ind w:left="900"/>
              <w:spacing w:after="0"/>
              <w:rPr>
                <w:sz w:val="20"/>
                <w:szCs w:val="20"/>
                <w:color w:val="auto"/>
              </w:rPr>
            </w:pPr>
            <w:r>
              <w:rPr>
                <w:rFonts w:ascii="Arial" w:cs="Arial" w:eastAsia="Arial" w:hAnsi="Arial"/>
                <w:sz w:val="18"/>
                <w:szCs w:val="18"/>
                <w:color w:val="auto"/>
              </w:rPr>
              <w:t>Collectively, the 2028 Senior Notes, the 2031 Senior Notes and the 2032 Senior Notes</w:t>
            </w:r>
          </w:p>
        </w:tc>
        <w:tc>
          <w:tcPr>
            <w:tcW w:w="0" w:type="dxa"/>
            <w:vAlign w:val="bottom"/>
          </w:tcPr>
          <w:p>
            <w:pPr>
              <w:spacing w:after="0"/>
              <w:rPr>
                <w:sz w:val="1"/>
                <w:szCs w:val="1"/>
                <w:color w:val="auto"/>
              </w:rPr>
            </w:pPr>
          </w:p>
        </w:tc>
      </w:tr>
      <w:tr>
        <w:trPr>
          <w:trHeight w:val="229"/>
        </w:trPr>
        <w:tc>
          <w:tcPr>
            <w:tcW w:w="2080" w:type="dxa"/>
            <w:vAlign w:val="bottom"/>
          </w:tcPr>
          <w:p>
            <w:pPr>
              <w:spacing w:after="0" w:line="229" w:lineRule="exact"/>
              <w:rPr>
                <w:sz w:val="20"/>
                <w:szCs w:val="20"/>
                <w:color w:val="auto"/>
              </w:rPr>
            </w:pPr>
            <w:r>
              <w:rPr>
                <w:rFonts w:ascii="Arial" w:cs="Arial" w:eastAsia="Arial" w:hAnsi="Arial"/>
                <w:sz w:val="18"/>
                <w:szCs w:val="18"/>
                <w:color w:val="auto"/>
              </w:rPr>
              <w:t>SO</w:t>
            </w:r>
            <w:r>
              <w:rPr>
                <w:rFonts w:ascii="Arial" w:cs="Arial" w:eastAsia="Arial" w:hAnsi="Arial"/>
                <w:sz w:val="23"/>
                <w:szCs w:val="23"/>
                <w:color w:val="auto"/>
                <w:vertAlign w:val="subscript"/>
              </w:rPr>
              <w:t>2</w:t>
            </w:r>
          </w:p>
        </w:tc>
        <w:tc>
          <w:tcPr>
            <w:tcW w:w="8680" w:type="dxa"/>
            <w:vAlign w:val="bottom"/>
          </w:tcPr>
          <w:p>
            <w:pPr>
              <w:ind w:left="900"/>
              <w:spacing w:after="0"/>
              <w:rPr>
                <w:sz w:val="20"/>
                <w:szCs w:val="20"/>
                <w:color w:val="auto"/>
              </w:rPr>
            </w:pPr>
            <w:r>
              <w:rPr>
                <w:rFonts w:ascii="Arial" w:cs="Arial" w:eastAsia="Arial" w:hAnsi="Arial"/>
                <w:sz w:val="18"/>
                <w:szCs w:val="18"/>
                <w:color w:val="auto"/>
              </w:rPr>
              <w:t>Sulfur Dioxide</w:t>
            </w:r>
          </w:p>
        </w:tc>
        <w:tc>
          <w:tcPr>
            <w:tcW w:w="0" w:type="dxa"/>
            <w:vAlign w:val="bottom"/>
          </w:tcPr>
          <w:p>
            <w:pPr>
              <w:spacing w:after="0"/>
              <w:rPr>
                <w:sz w:val="1"/>
                <w:szCs w:val="1"/>
                <w:color w:val="auto"/>
              </w:rPr>
            </w:pPr>
          </w:p>
        </w:tc>
      </w:tr>
      <w:tr>
        <w:trPr>
          <w:trHeight w:val="224"/>
        </w:trPr>
        <w:tc>
          <w:tcPr>
            <w:tcW w:w="2080" w:type="dxa"/>
            <w:vAlign w:val="bottom"/>
          </w:tcPr>
          <w:p>
            <w:pPr>
              <w:spacing w:after="0"/>
              <w:rPr>
                <w:sz w:val="20"/>
                <w:szCs w:val="20"/>
                <w:color w:val="auto"/>
              </w:rPr>
            </w:pPr>
            <w:r>
              <w:rPr>
                <w:rFonts w:ascii="Arial" w:cs="Arial" w:eastAsia="Arial" w:hAnsi="Arial"/>
                <w:sz w:val="18"/>
                <w:szCs w:val="18"/>
                <w:color w:val="auto"/>
              </w:rPr>
              <w:t>SOFR</w:t>
            </w:r>
          </w:p>
        </w:tc>
        <w:tc>
          <w:tcPr>
            <w:tcW w:w="8680" w:type="dxa"/>
            <w:vAlign w:val="bottom"/>
          </w:tcPr>
          <w:p>
            <w:pPr>
              <w:ind w:left="900"/>
              <w:spacing w:after="0"/>
              <w:rPr>
                <w:sz w:val="20"/>
                <w:szCs w:val="20"/>
                <w:color w:val="auto"/>
              </w:rPr>
            </w:pPr>
            <w:r>
              <w:rPr>
                <w:rFonts w:ascii="Arial" w:cs="Arial" w:eastAsia="Arial" w:hAnsi="Arial"/>
                <w:sz w:val="18"/>
                <w:szCs w:val="18"/>
                <w:color w:val="auto"/>
              </w:rPr>
              <w:t>Secured Overnight Financing Rate</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SREC</w:t>
            </w:r>
          </w:p>
        </w:tc>
        <w:tc>
          <w:tcPr>
            <w:tcW w:w="8680" w:type="dxa"/>
            <w:vAlign w:val="bottom"/>
          </w:tcPr>
          <w:p>
            <w:pPr>
              <w:ind w:left="900"/>
              <w:spacing w:after="0"/>
              <w:rPr>
                <w:sz w:val="20"/>
                <w:szCs w:val="20"/>
                <w:color w:val="auto"/>
              </w:rPr>
            </w:pPr>
            <w:r>
              <w:rPr>
                <w:rFonts w:ascii="Arial" w:cs="Arial" w:eastAsia="Arial" w:hAnsi="Arial"/>
                <w:sz w:val="18"/>
                <w:szCs w:val="18"/>
                <w:color w:val="auto"/>
              </w:rPr>
              <w:t>Solar Renewable Energy Credit</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Tax Act</w:t>
            </w:r>
          </w:p>
        </w:tc>
        <w:tc>
          <w:tcPr>
            <w:tcW w:w="8680" w:type="dxa"/>
            <w:vAlign w:val="bottom"/>
          </w:tcPr>
          <w:p>
            <w:pPr>
              <w:ind w:left="900"/>
              <w:spacing w:after="0"/>
              <w:rPr>
                <w:sz w:val="20"/>
                <w:szCs w:val="20"/>
                <w:color w:val="auto"/>
              </w:rPr>
            </w:pPr>
            <w:r>
              <w:rPr>
                <w:rFonts w:ascii="Arial" w:cs="Arial" w:eastAsia="Arial" w:hAnsi="Arial"/>
                <w:sz w:val="18"/>
                <w:szCs w:val="18"/>
                <w:color w:val="auto"/>
              </w:rPr>
              <w:t>Tax Cuts and Jobs Act of 2017</w:t>
            </w:r>
          </w:p>
        </w:tc>
        <w:tc>
          <w:tcPr>
            <w:tcW w:w="0" w:type="dxa"/>
            <w:vAlign w:val="bottom"/>
          </w:tcPr>
          <w:p>
            <w:pPr>
              <w:spacing w:after="0"/>
              <w:rPr>
                <w:sz w:val="1"/>
                <w:szCs w:val="1"/>
                <w:color w:val="auto"/>
              </w:rPr>
            </w:pPr>
          </w:p>
        </w:tc>
      </w:tr>
      <w:tr>
        <w:trPr>
          <w:trHeight w:val="176"/>
        </w:trPr>
        <w:tc>
          <w:tcPr>
            <w:tcW w:w="2080" w:type="dxa"/>
            <w:vAlign w:val="bottom"/>
          </w:tcPr>
          <w:p>
            <w:pPr>
              <w:spacing w:after="0" w:line="176" w:lineRule="exact"/>
              <w:rPr>
                <w:sz w:val="20"/>
                <w:szCs w:val="20"/>
                <w:color w:val="auto"/>
              </w:rPr>
            </w:pPr>
            <w:r>
              <w:rPr>
                <w:rFonts w:ascii="Arial" w:cs="Arial" w:eastAsia="Arial" w:hAnsi="Arial"/>
                <w:sz w:val="18"/>
                <w:szCs w:val="18"/>
                <w:color w:val="auto"/>
              </w:rPr>
              <w:t>Thermal Business</w:t>
            </w:r>
          </w:p>
        </w:tc>
        <w:tc>
          <w:tcPr>
            <w:tcW w:w="8680" w:type="dxa"/>
            <w:vAlign w:val="bottom"/>
          </w:tcPr>
          <w:p>
            <w:pPr>
              <w:ind w:left="900"/>
              <w:spacing w:after="0" w:line="176" w:lineRule="exact"/>
              <w:rPr>
                <w:sz w:val="20"/>
                <w:szCs w:val="20"/>
                <w:color w:val="auto"/>
              </w:rPr>
            </w:pPr>
            <w:r>
              <w:rPr>
                <w:rFonts w:ascii="Arial" w:cs="Arial" w:eastAsia="Arial" w:hAnsi="Arial"/>
                <w:sz w:val="18"/>
                <w:szCs w:val="18"/>
                <w:color w:val="auto"/>
                <w:w w:val="89"/>
              </w:rPr>
              <w:t>The Company's thermal business, which consists of thermal infrastructure assets that provide steam, hot wat</w:t>
            </w: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8680" w:type="dxa"/>
            <w:vAlign w:val="bottom"/>
          </w:tcPr>
          <w:p>
            <w:pPr>
              <w:ind w:left="620"/>
              <w:spacing w:after="0" w:line="173" w:lineRule="exact"/>
              <w:rPr>
                <w:sz w:val="20"/>
                <w:szCs w:val="20"/>
                <w:color w:val="auto"/>
              </w:rPr>
            </w:pPr>
            <w:r>
              <w:rPr>
                <w:rFonts w:ascii="Arial" w:cs="Arial" w:eastAsia="Arial" w:hAnsi="Arial"/>
                <w:sz w:val="18"/>
                <w:szCs w:val="18"/>
                <w:color w:val="auto"/>
                <w:w w:val="94"/>
              </w:rPr>
              <w:t>and/or chilled water, and in some instances electricity, to commercial businesses, universities, hospitals an</w:t>
            </w:r>
          </w:p>
        </w:tc>
        <w:tc>
          <w:tcPr>
            <w:tcW w:w="0" w:type="dxa"/>
            <w:vAlign w:val="bottom"/>
          </w:tcPr>
          <w:p>
            <w:pPr>
              <w:spacing w:after="0"/>
              <w:rPr>
                <w:sz w:val="1"/>
                <w:szCs w:val="1"/>
                <w:color w:val="auto"/>
              </w:rPr>
            </w:pPr>
          </w:p>
        </w:tc>
      </w:tr>
      <w:tr>
        <w:trPr>
          <w:trHeight w:val="224"/>
        </w:trPr>
        <w:tc>
          <w:tcPr>
            <w:tcW w:w="2080" w:type="dxa"/>
            <w:vAlign w:val="bottom"/>
          </w:tcPr>
          <w:p>
            <w:pPr>
              <w:spacing w:after="0"/>
              <w:rPr>
                <w:sz w:val="19"/>
                <w:szCs w:val="19"/>
                <w:color w:val="auto"/>
              </w:rPr>
            </w:pPr>
          </w:p>
        </w:tc>
        <w:tc>
          <w:tcPr>
            <w:tcW w:w="8680" w:type="dxa"/>
            <w:vAlign w:val="bottom"/>
          </w:tcPr>
          <w:p>
            <w:pPr>
              <w:ind w:left="620"/>
              <w:spacing w:after="0"/>
              <w:rPr>
                <w:sz w:val="20"/>
                <w:szCs w:val="20"/>
                <w:color w:val="auto"/>
              </w:rPr>
            </w:pPr>
            <w:r>
              <w:rPr>
                <w:rFonts w:ascii="Arial" w:cs="Arial" w:eastAsia="Arial" w:hAnsi="Arial"/>
                <w:sz w:val="18"/>
                <w:szCs w:val="18"/>
                <w:color w:val="auto"/>
              </w:rPr>
              <w:t>governmental units</w:t>
            </w:r>
          </w:p>
        </w:tc>
        <w:tc>
          <w:tcPr>
            <w:tcW w:w="0" w:type="dxa"/>
            <w:vAlign w:val="bottom"/>
          </w:tcPr>
          <w:p>
            <w:pPr>
              <w:spacing w:after="0"/>
              <w:rPr>
                <w:sz w:val="1"/>
                <w:szCs w:val="1"/>
                <w:color w:val="auto"/>
              </w:rPr>
            </w:pPr>
          </w:p>
        </w:tc>
      </w:tr>
      <w:tr>
        <w:trPr>
          <w:trHeight w:val="176"/>
        </w:trPr>
        <w:tc>
          <w:tcPr>
            <w:tcW w:w="2080" w:type="dxa"/>
            <w:vAlign w:val="bottom"/>
          </w:tcPr>
          <w:p>
            <w:pPr>
              <w:spacing w:after="0" w:line="176" w:lineRule="exact"/>
              <w:rPr>
                <w:sz w:val="20"/>
                <w:szCs w:val="20"/>
                <w:color w:val="auto"/>
              </w:rPr>
            </w:pPr>
            <w:r>
              <w:rPr>
                <w:rFonts w:ascii="Arial" w:cs="Arial" w:eastAsia="Arial" w:hAnsi="Arial"/>
                <w:sz w:val="18"/>
                <w:szCs w:val="18"/>
                <w:color w:val="auto"/>
              </w:rPr>
              <w:t>Thermal Disposition</w:t>
            </w:r>
          </w:p>
        </w:tc>
        <w:tc>
          <w:tcPr>
            <w:tcW w:w="8680" w:type="dxa"/>
            <w:vAlign w:val="bottom"/>
          </w:tcPr>
          <w:p>
            <w:pPr>
              <w:ind w:left="900"/>
              <w:spacing w:after="0" w:line="176" w:lineRule="exact"/>
              <w:rPr>
                <w:sz w:val="20"/>
                <w:szCs w:val="20"/>
                <w:color w:val="auto"/>
              </w:rPr>
            </w:pPr>
            <w:r>
              <w:rPr>
                <w:rFonts w:ascii="Arial" w:cs="Arial" w:eastAsia="Arial" w:hAnsi="Arial"/>
                <w:sz w:val="18"/>
                <w:szCs w:val="18"/>
                <w:color w:val="auto"/>
                <w:w w:val="91"/>
              </w:rPr>
              <w:t>On October 22, 2021, Clearway Energy Operating LLC entered into a binding agreement to sell the Therm</w:t>
            </w:r>
          </w:p>
        </w:tc>
        <w:tc>
          <w:tcPr>
            <w:tcW w:w="0" w:type="dxa"/>
            <w:vAlign w:val="bottom"/>
          </w:tcPr>
          <w:p>
            <w:pPr>
              <w:spacing w:after="0"/>
              <w:rPr>
                <w:sz w:val="1"/>
                <w:szCs w:val="1"/>
                <w:color w:val="auto"/>
              </w:rPr>
            </w:pPr>
          </w:p>
        </w:tc>
      </w:tr>
      <w:tr>
        <w:trPr>
          <w:trHeight w:val="224"/>
        </w:trPr>
        <w:tc>
          <w:tcPr>
            <w:tcW w:w="2080" w:type="dxa"/>
            <w:vAlign w:val="bottom"/>
          </w:tcPr>
          <w:p>
            <w:pPr>
              <w:spacing w:after="0"/>
              <w:rPr>
                <w:sz w:val="19"/>
                <w:szCs w:val="19"/>
                <w:color w:val="auto"/>
              </w:rPr>
            </w:pPr>
          </w:p>
        </w:tc>
        <w:tc>
          <w:tcPr>
            <w:tcW w:w="8680" w:type="dxa"/>
            <w:vAlign w:val="bottom"/>
          </w:tcPr>
          <w:p>
            <w:pPr>
              <w:ind w:left="620"/>
              <w:spacing w:after="0"/>
              <w:rPr>
                <w:sz w:val="20"/>
                <w:szCs w:val="20"/>
                <w:color w:val="auto"/>
              </w:rPr>
            </w:pPr>
            <w:r>
              <w:rPr>
                <w:rFonts w:ascii="Arial" w:cs="Arial" w:eastAsia="Arial" w:hAnsi="Arial"/>
                <w:sz w:val="18"/>
                <w:szCs w:val="18"/>
                <w:color w:val="auto"/>
              </w:rPr>
              <w:t>Business to KKR</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U.S.</w:t>
            </w:r>
          </w:p>
        </w:tc>
        <w:tc>
          <w:tcPr>
            <w:tcW w:w="8680" w:type="dxa"/>
            <w:vAlign w:val="bottom"/>
          </w:tcPr>
          <w:p>
            <w:pPr>
              <w:ind w:left="9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U.S. DOE</w:t>
            </w:r>
          </w:p>
        </w:tc>
        <w:tc>
          <w:tcPr>
            <w:tcW w:w="8680" w:type="dxa"/>
            <w:vAlign w:val="bottom"/>
          </w:tcPr>
          <w:p>
            <w:pPr>
              <w:ind w:left="900"/>
              <w:spacing w:after="0"/>
              <w:rPr>
                <w:sz w:val="20"/>
                <w:szCs w:val="20"/>
                <w:color w:val="auto"/>
              </w:rPr>
            </w:pPr>
            <w:r>
              <w:rPr>
                <w:rFonts w:ascii="Arial" w:cs="Arial" w:eastAsia="Arial" w:hAnsi="Arial"/>
                <w:sz w:val="18"/>
                <w:szCs w:val="18"/>
                <w:color w:val="auto"/>
              </w:rPr>
              <w:t>U.S. Department of Energy</w:t>
            </w:r>
          </w:p>
        </w:tc>
        <w:tc>
          <w:tcPr>
            <w:tcW w:w="0" w:type="dxa"/>
            <w:vAlign w:val="bottom"/>
          </w:tcPr>
          <w:p>
            <w:pPr>
              <w:spacing w:after="0"/>
              <w:rPr>
                <w:sz w:val="1"/>
                <w:szCs w:val="1"/>
                <w:color w:val="auto"/>
              </w:rPr>
            </w:pPr>
          </w:p>
        </w:tc>
      </w:tr>
      <w:tr>
        <w:trPr>
          <w:trHeight w:val="176"/>
        </w:trPr>
        <w:tc>
          <w:tcPr>
            <w:tcW w:w="2080" w:type="dxa"/>
            <w:vAlign w:val="bottom"/>
          </w:tcPr>
          <w:p>
            <w:pPr>
              <w:spacing w:after="0" w:line="176" w:lineRule="exact"/>
              <w:rPr>
                <w:sz w:val="20"/>
                <w:szCs w:val="20"/>
                <w:color w:val="auto"/>
              </w:rPr>
            </w:pPr>
            <w:r>
              <w:rPr>
                <w:rFonts w:ascii="Arial" w:cs="Arial" w:eastAsia="Arial" w:hAnsi="Arial"/>
                <w:sz w:val="18"/>
                <w:szCs w:val="18"/>
                <w:color w:val="auto"/>
              </w:rPr>
              <w:t>Utah Solar Portfolio</w:t>
            </w:r>
          </w:p>
        </w:tc>
        <w:tc>
          <w:tcPr>
            <w:tcW w:w="8680" w:type="dxa"/>
            <w:vAlign w:val="bottom"/>
          </w:tcPr>
          <w:p>
            <w:pPr>
              <w:ind w:left="900"/>
              <w:spacing w:after="0" w:line="176" w:lineRule="exact"/>
              <w:rPr>
                <w:sz w:val="20"/>
                <w:szCs w:val="20"/>
                <w:color w:val="auto"/>
              </w:rPr>
            </w:pPr>
            <w:r>
              <w:rPr>
                <w:rFonts w:ascii="Arial" w:cs="Arial" w:eastAsia="Arial" w:hAnsi="Arial"/>
                <w:sz w:val="18"/>
                <w:szCs w:val="18"/>
                <w:color w:val="auto"/>
                <w:w w:val="91"/>
              </w:rPr>
              <w:t>Collection consists of Four Brothers Solar, LLC, Granite Mountain Holdings, LLC, and Iron Springs Holding</w:t>
            </w: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8680" w:type="dxa"/>
            <w:vAlign w:val="bottom"/>
          </w:tcPr>
          <w:p>
            <w:pPr>
              <w:ind w:left="620"/>
              <w:spacing w:after="0" w:line="173" w:lineRule="exact"/>
              <w:rPr>
                <w:sz w:val="20"/>
                <w:szCs w:val="20"/>
                <w:color w:val="auto"/>
              </w:rPr>
            </w:pPr>
            <w:r>
              <w:rPr>
                <w:rFonts w:ascii="Arial" w:cs="Arial" w:eastAsia="Arial" w:hAnsi="Arial"/>
                <w:sz w:val="18"/>
                <w:szCs w:val="18"/>
                <w:color w:val="auto"/>
                <w:w w:val="93"/>
              </w:rPr>
              <w:t>LLC, which are equity investments owned by Four Brothers Capital, LLC, Granite Mountain Capital, LLC, an</w:t>
            </w:r>
          </w:p>
        </w:tc>
        <w:tc>
          <w:tcPr>
            <w:tcW w:w="0" w:type="dxa"/>
            <w:vAlign w:val="bottom"/>
          </w:tcPr>
          <w:p>
            <w:pPr>
              <w:spacing w:after="0"/>
              <w:rPr>
                <w:sz w:val="1"/>
                <w:szCs w:val="1"/>
                <w:color w:val="auto"/>
              </w:rPr>
            </w:pPr>
          </w:p>
        </w:tc>
      </w:tr>
      <w:tr>
        <w:trPr>
          <w:trHeight w:val="224"/>
        </w:trPr>
        <w:tc>
          <w:tcPr>
            <w:tcW w:w="2080" w:type="dxa"/>
            <w:vAlign w:val="bottom"/>
          </w:tcPr>
          <w:p>
            <w:pPr>
              <w:spacing w:after="0"/>
              <w:rPr>
                <w:sz w:val="19"/>
                <w:szCs w:val="19"/>
                <w:color w:val="auto"/>
              </w:rPr>
            </w:pPr>
          </w:p>
        </w:tc>
        <w:tc>
          <w:tcPr>
            <w:tcW w:w="8680" w:type="dxa"/>
            <w:vAlign w:val="bottom"/>
          </w:tcPr>
          <w:p>
            <w:pPr>
              <w:ind w:left="620"/>
              <w:spacing w:after="0"/>
              <w:rPr>
                <w:sz w:val="20"/>
                <w:szCs w:val="20"/>
                <w:color w:val="auto"/>
              </w:rPr>
            </w:pPr>
            <w:r>
              <w:rPr>
                <w:rFonts w:ascii="Arial" w:cs="Arial" w:eastAsia="Arial" w:hAnsi="Arial"/>
                <w:sz w:val="18"/>
                <w:szCs w:val="18"/>
                <w:color w:val="auto"/>
              </w:rPr>
              <w:t>Iron Springs Capital, LLC, respectively</w:t>
            </w:r>
          </w:p>
        </w:tc>
        <w:tc>
          <w:tcPr>
            <w:tcW w:w="0" w:type="dxa"/>
            <w:vAlign w:val="bottom"/>
          </w:tcPr>
          <w:p>
            <w:pPr>
              <w:spacing w:after="0"/>
              <w:rPr>
                <w:sz w:val="1"/>
                <w:szCs w:val="1"/>
                <w:color w:val="auto"/>
              </w:rPr>
            </w:pPr>
          </w:p>
        </w:tc>
      </w:tr>
      <w:tr>
        <w:trPr>
          <w:trHeight w:val="176"/>
        </w:trPr>
        <w:tc>
          <w:tcPr>
            <w:tcW w:w="2080" w:type="dxa"/>
            <w:vAlign w:val="bottom"/>
          </w:tcPr>
          <w:p>
            <w:pPr>
              <w:spacing w:after="0" w:line="176" w:lineRule="exact"/>
              <w:rPr>
                <w:sz w:val="20"/>
                <w:szCs w:val="20"/>
                <w:color w:val="auto"/>
              </w:rPr>
            </w:pPr>
            <w:r>
              <w:rPr>
                <w:rFonts w:ascii="Arial" w:cs="Arial" w:eastAsia="Arial" w:hAnsi="Arial"/>
                <w:sz w:val="18"/>
                <w:szCs w:val="18"/>
                <w:color w:val="auto"/>
              </w:rPr>
              <w:t>Utility Scale Solar</w:t>
            </w:r>
          </w:p>
        </w:tc>
        <w:tc>
          <w:tcPr>
            <w:tcW w:w="8680" w:type="dxa"/>
            <w:vAlign w:val="bottom"/>
          </w:tcPr>
          <w:p>
            <w:pPr>
              <w:ind w:left="900"/>
              <w:spacing w:after="0" w:line="176" w:lineRule="exact"/>
              <w:rPr>
                <w:sz w:val="20"/>
                <w:szCs w:val="20"/>
                <w:color w:val="auto"/>
              </w:rPr>
            </w:pPr>
            <w:r>
              <w:rPr>
                <w:rFonts w:ascii="Arial" w:cs="Arial" w:eastAsia="Arial" w:hAnsi="Arial"/>
                <w:sz w:val="18"/>
                <w:szCs w:val="18"/>
                <w:color w:val="auto"/>
                <w:w w:val="95"/>
              </w:rPr>
              <w:t>Solar power projects, typically 20 MW or greater in size (on an alternating current, or AC, basis), that a</w:t>
            </w:r>
          </w:p>
        </w:tc>
        <w:tc>
          <w:tcPr>
            <w:tcW w:w="0" w:type="dxa"/>
            <w:vAlign w:val="bottom"/>
          </w:tcPr>
          <w:p>
            <w:pPr>
              <w:spacing w:after="0"/>
              <w:rPr>
                <w:sz w:val="1"/>
                <w:szCs w:val="1"/>
                <w:color w:val="auto"/>
              </w:rPr>
            </w:pPr>
          </w:p>
        </w:tc>
      </w:tr>
      <w:tr>
        <w:trPr>
          <w:trHeight w:val="224"/>
        </w:trPr>
        <w:tc>
          <w:tcPr>
            <w:tcW w:w="2080" w:type="dxa"/>
            <w:vAlign w:val="bottom"/>
          </w:tcPr>
          <w:p>
            <w:pPr>
              <w:spacing w:after="0"/>
              <w:rPr>
                <w:sz w:val="19"/>
                <w:szCs w:val="19"/>
                <w:color w:val="auto"/>
              </w:rPr>
            </w:pPr>
          </w:p>
        </w:tc>
        <w:tc>
          <w:tcPr>
            <w:tcW w:w="8680" w:type="dxa"/>
            <w:vAlign w:val="bottom"/>
          </w:tcPr>
          <w:p>
            <w:pPr>
              <w:ind w:left="620"/>
              <w:spacing w:after="0"/>
              <w:rPr>
                <w:sz w:val="20"/>
                <w:szCs w:val="20"/>
                <w:color w:val="auto"/>
              </w:rPr>
            </w:pPr>
            <w:r>
              <w:rPr>
                <w:rFonts w:ascii="Arial" w:cs="Arial" w:eastAsia="Arial" w:hAnsi="Arial"/>
                <w:sz w:val="18"/>
                <w:szCs w:val="18"/>
                <w:color w:val="auto"/>
              </w:rPr>
              <w:t>interconnected into the transmission or distribution grid to sell power at a wholesale level</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VaR</w:t>
            </w:r>
          </w:p>
        </w:tc>
        <w:tc>
          <w:tcPr>
            <w:tcW w:w="8680" w:type="dxa"/>
            <w:vAlign w:val="bottom"/>
          </w:tcPr>
          <w:p>
            <w:pPr>
              <w:ind w:left="900"/>
              <w:spacing w:after="0"/>
              <w:rPr>
                <w:sz w:val="20"/>
                <w:szCs w:val="20"/>
                <w:color w:val="auto"/>
              </w:rPr>
            </w:pPr>
            <w:r>
              <w:rPr>
                <w:rFonts w:ascii="Arial" w:cs="Arial" w:eastAsia="Arial" w:hAnsi="Arial"/>
                <w:sz w:val="18"/>
                <w:szCs w:val="18"/>
                <w:color w:val="auto"/>
              </w:rPr>
              <w:t>Value at Risk</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VIE</w:t>
            </w:r>
          </w:p>
        </w:tc>
        <w:tc>
          <w:tcPr>
            <w:tcW w:w="8680" w:type="dxa"/>
            <w:vAlign w:val="bottom"/>
          </w:tcPr>
          <w:p>
            <w:pPr>
              <w:ind w:left="900"/>
              <w:spacing w:after="0"/>
              <w:rPr>
                <w:sz w:val="20"/>
                <w:szCs w:val="20"/>
                <w:color w:val="auto"/>
              </w:rPr>
            </w:pPr>
            <w:r>
              <w:rPr>
                <w:rFonts w:ascii="Arial" w:cs="Arial" w:eastAsia="Arial" w:hAnsi="Arial"/>
                <w:sz w:val="18"/>
                <w:szCs w:val="18"/>
                <w:color w:val="auto"/>
              </w:rPr>
              <w:t>Variable Interest Entity</w:t>
            </w:r>
          </w:p>
        </w:tc>
        <w:tc>
          <w:tcPr>
            <w:tcW w:w="0" w:type="dxa"/>
            <w:vAlign w:val="bottom"/>
          </w:tcPr>
          <w:p>
            <w:pPr>
              <w:spacing w:after="0"/>
              <w:rPr>
                <w:sz w:val="1"/>
                <w:szCs w:val="1"/>
                <w:color w:val="auto"/>
              </w:rPr>
            </w:pP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Wind TE Holdco</w:t>
            </w:r>
          </w:p>
        </w:tc>
        <w:tc>
          <w:tcPr>
            <w:tcW w:w="8680" w:type="dxa"/>
            <w:vAlign w:val="bottom"/>
          </w:tcPr>
          <w:p>
            <w:pPr>
              <w:ind w:left="900"/>
              <w:spacing w:after="0"/>
              <w:rPr>
                <w:sz w:val="20"/>
                <w:szCs w:val="20"/>
                <w:color w:val="auto"/>
              </w:rPr>
            </w:pPr>
            <w:r>
              <w:rPr>
                <w:rFonts w:ascii="Arial" w:cs="Arial" w:eastAsia="Arial" w:hAnsi="Arial"/>
                <w:sz w:val="18"/>
                <w:szCs w:val="18"/>
                <w:color w:val="auto"/>
              </w:rPr>
              <w:t>Wind TE Holdco LLC, an 814 net MW portfolio of twelve wind projects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66675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60"/>
          </w:cols>
          <w:pgMar w:left="900" w:top="85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2"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or GIP. GIP is an independent infrastructure fund manager that makes equity and debt investments in infrastructure assets and businesses. The Company is sponsored by GIP through GIP's portfolio company, Clearway Energy Group LLC, or CEG.</w:t>
      </w:r>
    </w:p>
    <w:p>
      <w:pPr>
        <w:spacing w:after="0" w:line="140"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color w:val="auto"/>
        </w:rPr>
        <w:t xml:space="preserve">The Company is one of the largest renewable energy owners in the U.S. with over 5,000 net MW of installed wind and solar generation projects. The Company's over 9,000 net MW of assets also includes approximately 2,500 net MW of environmentally-sound, highly efficient natural gas-fired generation facilities as well as the Thermal Business.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12 years </w:t>
      </w:r>
      <w:r>
        <w:rPr>
          <w:rFonts w:ascii="Arial" w:cs="Arial" w:eastAsia="Arial" w:hAnsi="Arial"/>
          <w:sz w:val="18"/>
          <w:szCs w:val="18"/>
          <w:color w:val="231F20"/>
        </w:rPr>
        <w:t>as of</w:t>
      </w:r>
      <w:r>
        <w:rPr>
          <w:rFonts w:ascii="Arial" w:cs="Arial" w:eastAsia="Arial" w:hAnsi="Arial"/>
          <w:sz w:val="18"/>
          <w:szCs w:val="18"/>
          <w:color w:val="auto"/>
        </w:rPr>
        <w:t xml:space="preserve"> December 31, 2021 </w:t>
      </w:r>
      <w:r>
        <w:rPr>
          <w:rFonts w:ascii="Arial" w:cs="Arial" w:eastAsia="Arial" w:hAnsi="Arial"/>
          <w:sz w:val="18"/>
          <w:szCs w:val="18"/>
          <w:color w:val="231F20"/>
        </w:rPr>
        <w:t>based on CAFD.</w:t>
      </w:r>
    </w:p>
    <w:p>
      <w:pPr>
        <w:spacing w:after="0" w:line="141"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color w:val="auto"/>
        </w:rPr>
        <w:t>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spacing w:after="0" w:line="123" w:lineRule="exact"/>
        <w:rPr>
          <w:sz w:val="20"/>
          <w:szCs w:val="20"/>
          <w:color w:val="auto"/>
        </w:rPr>
      </w:pPr>
    </w:p>
    <w:p>
      <w:pPr>
        <w:jc w:val="both"/>
        <w:ind w:firstLine="400"/>
        <w:spacing w:after="0" w:line="295" w:lineRule="auto"/>
        <w:rPr>
          <w:sz w:val="20"/>
          <w:szCs w:val="20"/>
          <w:color w:val="auto"/>
        </w:rPr>
      </w:pPr>
      <w:r>
        <w:rPr>
          <w:rFonts w:ascii="Arial" w:cs="Arial" w:eastAsia="Arial" w:hAnsi="Arial"/>
          <w:sz w:val="16"/>
          <w:szCs w:val="16"/>
          <w:color w:val="auto"/>
        </w:rPr>
        <w:t xml:space="preserve">On October 22, 2021, Clearway Energy Operating LLC entered into a binding agreement to sell the Thermal Business to KKR Thor Bidco, LLC, an affiliate of Kohlberg Kravis Roberts &amp; Co. L.P., or KKR, for total consideration of $1.9 billion, subject to customary closing adjustments, which is referred to herein as the Thermal Disposition. The transaction is expected to close in the first half of 2022. The Company's Thermal segment is comprised solely of the Thermal Business's results of operations. For further discussion of the Thermal Disposition, refer to Item 15 —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w:t>
      </w:r>
    </w:p>
    <w:p>
      <w:pPr>
        <w:spacing w:after="0" w:line="108"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As of December 31, 2021, the Company owned 57.65% of the economic interests of Clearway Energy LLC, with CEG owning 42.35% of the economic interests of Clearway Energy LLC.</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complete listing of the Company's interests in facilities, operations and/or projects owned or leased as of December 31, 2021 can be found in Item 2</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Properties.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72"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The Company was formed as a Delaware corporation on December 20, 2012 by NRG. On August 31, 2018, NRG transferred its full ownership interest in the Company to CEG, the holder of NRG's renewable energy development and operations platform, and subsequently sold 100% of its interest in CEG to GIP.</w:t>
      </w:r>
    </w:p>
    <w:p>
      <w:pPr>
        <w:spacing w:after="0" w:line="135"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color w:val="auto"/>
        </w:rPr>
        <w:t>The Company is the sole managing member of Clearway Energy LLC and operates and controls all of its business and affairs and consolidates the financial results of Clearway Energy LLC and its subsidiaries. Clearway Energy LLC is a holding company for the companies that directly and indirectly own and operate the Company's assets. As of December 31, 2021, the Company owned 57.65% of the economic interests of Clearway Energy LLC, with CEG owning 42.35% of the economic interests of Clearway Energy LLC. As a result of the current ownership of the Class B common stock and Class D common stock, CEG controls the Company, and the Company in turn, as the sole managing member of Clearway Energy LLC, controls Clearway Energy LLC and its subsidiaries.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6" w:name="page7"/>
    <w:bookmarkEnd w:id="6"/>
    <w:p>
      <w:pPr>
        <w:ind w:left="180"/>
        <w:spacing w:after="0"/>
        <w:rPr>
          <w:sz w:val="20"/>
          <w:szCs w:val="20"/>
          <w:color w:val="auto"/>
        </w:rPr>
      </w:pPr>
      <w:r>
        <w:rPr>
          <w:rFonts w:ascii="Arial" w:cs="Arial" w:eastAsia="Arial" w:hAnsi="Arial"/>
          <w:sz w:val="18"/>
          <w:szCs w:val="18"/>
          <w:color w:val="auto"/>
        </w:rPr>
        <w:t>The diagram below depicts the Company’s organizational structure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12065</wp:posOffset>
            </wp:positionV>
            <wp:extent cx="5788660" cy="434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88660" cy="434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72"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The Company's primary business strategy is to focus on the acquisition and ownership of assets with predictable, long-term cash flows in order that it may be able to increase the cash dividends paid to holders of the Company's Class A and Class C common stock over time without compromising the ongoing stability of the business.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plan for executing its business strategy includes the following key components:</w:t>
      </w:r>
    </w:p>
    <w:p>
      <w:pPr>
        <w:spacing w:after="0" w:line="166"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b w:val="1"/>
          <w:bCs w:val="1"/>
          <w:i w:val="1"/>
          <w:iCs w:val="1"/>
          <w:color w:val="auto"/>
        </w:rPr>
        <w:t xml:space="preserve">Focus on contracted renewable energy and conventional generation. </w:t>
      </w:r>
      <w:r>
        <w:rPr>
          <w:rFonts w:ascii="Arial" w:cs="Arial" w:eastAsia="Arial" w:hAnsi="Arial"/>
          <w:sz w:val="16"/>
          <w:szCs w:val="16"/>
          <w:color w:val="auto"/>
        </w:rPr>
        <w:t>The Company owns and operates utility scale and distributed renewable energy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natural gas-fired generation assets with proven technologies, low operating risks and stable cash flows. The Company believes by focusing on this core asset class and leveraging its industry knowledge, it will maximize its strategic opportunities, be a leader in operational efficiency and maximize its overall financial performance. The Company also owns the Thermal Business that Clearway Energy Operating LLC has entered into a binding agreement to sell to KKR. For further discussion of the Thermal Disposition, refer to Item 15 —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both"/>
        <w:ind w:firstLine="400"/>
        <w:spacing w:after="0" w:line="265" w:lineRule="auto"/>
        <w:rPr>
          <w:sz w:val="20"/>
          <w:szCs w:val="20"/>
          <w:color w:val="auto"/>
        </w:rPr>
      </w:pPr>
      <w:r>
        <w:rPr>
          <w:rFonts w:ascii="Arial" w:cs="Arial" w:eastAsia="Arial" w:hAnsi="Arial"/>
          <w:sz w:val="17"/>
          <w:szCs w:val="17"/>
          <w:b w:val="1"/>
          <w:bCs w:val="1"/>
          <w:i w:val="1"/>
          <w:iCs w:val="1"/>
          <w:color w:val="auto"/>
        </w:rPr>
        <w:t xml:space="preserve">Growing the business through acquisitions of contracted operating assets. </w:t>
      </w:r>
      <w:r>
        <w:rPr>
          <w:rFonts w:ascii="Arial" w:cs="Arial" w:eastAsia="Arial" w:hAnsi="Arial"/>
          <w:sz w:val="17"/>
          <w:szCs w:val="17"/>
          <w:color w:val="auto"/>
        </w:rPr>
        <w:t>The Company believes that its base of operations provides a platform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strategic growth through cash accretive and tax advantaged acquisitions complementary to its existing portfolio. In addition to acquiring generation facilities from third parties where the Company believes its knowledge of the market and operating expertise provides it with a competitive advantage, the Company may consummate future acquisitions from CEG. The Company believes that CEG's project development expertise provides the Company access to a development platform with an extensive pipeline of potential renewable energy and storage projects that are aligned to support the Company's growth. Furthermore, the Company has entered into the CEG ROFO Agreement, whereby CEG has granted the Company and its affiliates a right of first offer on any proposed sale, transfer or other disposition of certain assets of CEG, or the CEG ROFO Assets, until August 31, 2023. CEG is not obligated to sell the remaining CEG ROFO Assets to the Company and, if offered by CEG, the Company cannot be sure whether these assets will be offered on acceptable terms, or that the Company will choose to consummate such acquisitions. The Company and CEG work collaboratively in considering new assets to be added under the CEG ROFO Agreement or to be acquired by the Company outside of the CEG ROFO Agreement. The assets listed below, all of which are included in a co-investment partnership with Hannon Armstrong Sustainable Infrastructure Capital, Inc., represent the Company's currently committed investments in projects with CEG and the CEG ROFO Assets: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w:t>
            </w:r>
          </w:p>
        </w:tc>
        <w:tc>
          <w:tcPr>
            <w:tcW w:w="2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Technology</w:t>
            </w:r>
          </w:p>
        </w:tc>
        <w:tc>
          <w:tcPr>
            <w:tcW w:w="2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Gross Capacity (MW)</w:t>
            </w: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State</w:t>
            </w:r>
          </w:p>
        </w:tc>
        <w:tc>
          <w:tcPr>
            <w:tcW w:w="2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COD</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Status</w:t>
            </w:r>
          </w:p>
        </w:tc>
      </w:tr>
      <w:tr>
        <w:trPr>
          <w:trHeight w:val="209"/>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Mililani I</w:t>
            </w:r>
          </w:p>
        </w:tc>
        <w:tc>
          <w:tcPr>
            <w:tcW w:w="20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0"/>
              </w:rPr>
              <w:t>Solar</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9"/>
              </w:rPr>
              <w:t>HI</w:t>
            </w:r>
          </w:p>
        </w:tc>
        <w:tc>
          <w:tcPr>
            <w:tcW w:w="17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4"/>
              </w:rPr>
              <w:t>2H22</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Committed</w:t>
            </w:r>
          </w:p>
        </w:tc>
      </w:tr>
      <w:tr>
        <w:trPr>
          <w:trHeight w:val="211"/>
        </w:trPr>
        <w:tc>
          <w:tcPr>
            <w:tcW w:w="2980" w:type="dxa"/>
            <w:vAlign w:val="bottom"/>
            <w:gridSpan w:val="2"/>
          </w:tcPr>
          <w:p>
            <w:pPr>
              <w:ind w:left="20"/>
              <w:spacing w:after="0"/>
              <w:rPr>
                <w:sz w:val="20"/>
                <w:szCs w:val="20"/>
                <w:color w:val="auto"/>
              </w:rPr>
            </w:pPr>
            <w:r>
              <w:rPr>
                <w:rFonts w:ascii="Arial" w:cs="Arial" w:eastAsia="Arial" w:hAnsi="Arial"/>
                <w:sz w:val="16"/>
                <w:szCs w:val="16"/>
                <w:color w:val="auto"/>
              </w:rPr>
              <w:t>Waiawa</w:t>
            </w: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Solar</w:t>
            </w:r>
          </w:p>
        </w:tc>
        <w:tc>
          <w:tcPr>
            <w:tcW w:w="196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2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HI</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2H22</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Committed</w:t>
            </w:r>
          </w:p>
        </w:tc>
      </w:tr>
      <w:tr>
        <w:trPr>
          <w:trHeight w:val="21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Daggett Solar 2 and 3</w:t>
            </w:r>
          </w:p>
        </w:tc>
        <w:tc>
          <w:tcPr>
            <w:tcW w:w="20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0"/>
              </w:rPr>
              <w:t>Solar</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CA</w:t>
            </w:r>
          </w:p>
        </w:tc>
        <w:tc>
          <w:tcPr>
            <w:tcW w:w="17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3"/>
              </w:rPr>
              <w:t>2H22/1H23</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Committed</w:t>
            </w:r>
          </w:p>
        </w:tc>
      </w:tr>
    </w:tbl>
    <w:p>
      <w:pPr>
        <w:spacing w:after="0" w:line="241" w:lineRule="exact"/>
        <w:rPr>
          <w:sz w:val="20"/>
          <w:szCs w:val="20"/>
          <w:color w:val="auto"/>
        </w:rPr>
      </w:pPr>
    </w:p>
    <w:p>
      <w:pPr>
        <w:ind w:right="40" w:firstLine="400"/>
        <w:spacing w:after="0" w:line="273" w:lineRule="auto"/>
        <w:rPr>
          <w:sz w:val="20"/>
          <w:szCs w:val="20"/>
          <w:color w:val="auto"/>
        </w:rPr>
      </w:pPr>
      <w:r>
        <w:rPr>
          <w:rFonts w:ascii="Arial" w:cs="Arial" w:eastAsia="Arial" w:hAnsi="Arial"/>
          <w:sz w:val="17"/>
          <w:szCs w:val="17"/>
          <w:b w:val="1"/>
          <w:bCs w:val="1"/>
          <w:i w:val="1"/>
          <w:iCs w:val="1"/>
          <w:color w:val="auto"/>
        </w:rPr>
        <w:t xml:space="preserve">Primary focus on North America. </w:t>
      </w:r>
      <w:r>
        <w:rPr>
          <w:rFonts w:ascii="Arial" w:cs="Arial" w:eastAsia="Arial" w:hAnsi="Arial"/>
          <w:sz w:val="17"/>
          <w:szCs w:val="17"/>
          <w:color w:val="auto"/>
        </w:rPr>
        <w:t>The Company intends to primarily focus its investments in North America (including the unincorporated territories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U.S.). The Company believes that industry fundamentals in North America present it with significant opportunity to grow its portfolio without creating significant exposure to currency and sovereign risk. By primarily focusing its efforts on North America, the Company believes it will best leverage its regional knowledge of power markets, industry relationships and skill sets to maximize the performance of the Company.</w:t>
      </w:r>
    </w:p>
    <w:p>
      <w:pPr>
        <w:spacing w:after="0" w:line="123"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b w:val="1"/>
          <w:bCs w:val="1"/>
          <w:i w:val="1"/>
          <w:iCs w:val="1"/>
          <w:color w:val="auto"/>
        </w:rPr>
        <w:t xml:space="preserve">Maintain sound financial practices to grow the dividend. </w:t>
      </w:r>
      <w:r>
        <w:rPr>
          <w:rFonts w:ascii="Arial" w:cs="Arial" w:eastAsia="Arial" w:hAnsi="Arial"/>
          <w:sz w:val="17"/>
          <w:szCs w:val="17"/>
          <w:color w:val="auto"/>
        </w:rPr>
        <w:t>The Company intends to maintain a commitment to disciplined financial analysis and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balanced capital structure to enable it to increase its quarterly dividend over time and serve the long-term interests of its stockholders.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long-term dividends and maximize value; and a dividend policy that is based on distributing a significant portion of CAFD each quarter that the Company receives from Clearway Energy LLC, subject to available capital, market conditions and compliance with associated laws, regulations and other contractual obligations. The Company intends to evaluate various alternatives for financing future acquisitions and refinancing of existing project-level debt, in each case, to reduce the cost of debt, extend maturities and maximize CAFD.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2" w:lineRule="exact"/>
        <w:rPr>
          <w:sz w:val="20"/>
          <w:szCs w:val="20"/>
          <w:color w:val="auto"/>
        </w:rPr>
      </w:pPr>
    </w:p>
    <w:p>
      <w:pPr>
        <w:jc w:val="both"/>
        <w:ind w:firstLine="400"/>
        <w:spacing w:after="0" w:line="285" w:lineRule="auto"/>
        <w:rPr>
          <w:sz w:val="20"/>
          <w:szCs w:val="20"/>
          <w:color w:val="auto"/>
        </w:rPr>
      </w:pPr>
      <w:r>
        <w:rPr>
          <w:rFonts w:ascii="Arial" w:cs="Arial" w:eastAsia="Arial" w:hAnsi="Arial"/>
          <w:sz w:val="16"/>
          <w:szCs w:val="16"/>
          <w:color w:val="auto"/>
        </w:rPr>
        <w:t>Power generation is a capital-intensive business with numerous and diverse industry participants. The Company competes on the basis of the location of its plants and on the basis of contract price and terms of individual projects. Within the power industry, there is a wide variation in terms of the capabilities, resources, nature and identity of the companies with whom the Company competes depending on the market. Competitors for energy supply are utilities, independent power producers and other providers of distributed generation. The Company also competes to acquire new projects with renewable developers who retain renewable power plant ownership, independent power producers, financial investors and other dividend, growth-oriented companies.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projects, and it could be difficult for the Company to adapt to and operate under such laws and regulations.</w:t>
      </w:r>
    </w:p>
    <w:p>
      <w:pPr>
        <w:spacing w:after="0" w:line="118" w:lineRule="exact"/>
        <w:rPr>
          <w:sz w:val="20"/>
          <w:szCs w:val="20"/>
          <w:color w:val="auto"/>
        </w:rPr>
      </w:pPr>
    </w:p>
    <w:p>
      <w:pPr>
        <w:jc w:val="both"/>
        <w:ind w:firstLine="400"/>
        <w:spacing w:after="0" w:line="286" w:lineRule="auto"/>
        <w:rPr>
          <w:sz w:val="20"/>
          <w:szCs w:val="20"/>
          <w:color w:val="auto"/>
        </w:rPr>
      </w:pPr>
      <w:r>
        <w:rPr>
          <w:rFonts w:ascii="Arial" w:cs="Arial" w:eastAsia="Arial" w:hAnsi="Arial"/>
          <w:sz w:val="16"/>
          <w:szCs w:val="16"/>
          <w:color w:val="auto"/>
        </w:rPr>
        <w:t xml:space="preserve">The Company's Thermal Business has certain cost efficiencies that may form barriers to entry. Generally, there is only one district energy system in a given territory, for which the only competition comes from on-site systems. While the district energy system can usually make an effective case for the efficiency of its services, some building owners nonetheless may opt for on-site systems, either due to corporate policies regarding allocation of capital, unique situations where an on-site system might in fact prove more efficient or because of previously committed capital in systems that are already on-site. Growth in existing district energy systems generally comes from new building construction or existing building conversions within the service territory of the district energy provider. On October 22, 2021, Clearway Energy Operating LLC entered into a binding agreement to sell the Thermal Business to KKR. For further discussion of the Thermal Disposition, refer to Item 15 —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Competitive Strengths</w:t>
      </w:r>
    </w:p>
    <w:p>
      <w:pPr>
        <w:spacing w:after="0" w:line="172"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b w:val="1"/>
          <w:bCs w:val="1"/>
          <w:i w:val="1"/>
          <w:iCs w:val="1"/>
          <w:color w:val="auto"/>
        </w:rPr>
        <w:t xml:space="preserve">Stable, high quality cash flows. </w:t>
      </w:r>
      <w:r>
        <w:rPr>
          <w:rFonts w:ascii="Arial" w:cs="Arial" w:eastAsia="Arial" w:hAnsi="Arial"/>
          <w:sz w:val="17"/>
          <w:szCs w:val="17"/>
          <w:color w:val="auto"/>
        </w:rPr>
        <w:t>The Company's facilities have a stable, predictable cash flow profile consisting of predominantly long-life electric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generation assets that sell electricity under long-term fixed priced contracts or pursuant to regulated rates with investment-grade and certain other creditworthy counterparties. The Company's facilities have minimal fuel risk. For the Company's contracted conventional assets, fuel is provided by the toll counterparty or the cost thereof is a pass-through cost under the Contract for Differences. Renewable facilities have no fuel costs, and most of the Company's thermal infrastructure assets have contractual or regulatory tariff mechanisms for fuel cost recovery. The offtake agreements for the Company's conventional and renewable generation facilities have a weighted-average remaining duration, based on CAFD, of approximately 12 years as of December 31, 2021, providing long-term cash flow stability. The Company's generation offtake agreements with counterparties for whom credit ratings are available have a weighted-average Moody’s rating of Ba1 based on rated capacity under contract and continues to be influenced by the PG&amp;E Bankruptcy. All of the Company's assets are in the U.S. and accordingly have no currency or repatriation risks.</w:t>
      </w:r>
    </w:p>
    <w:p>
      <w:pPr>
        <w:spacing w:after="0" w:line="129" w:lineRule="exact"/>
        <w:rPr>
          <w:sz w:val="20"/>
          <w:szCs w:val="20"/>
          <w:color w:val="auto"/>
        </w:rPr>
      </w:pPr>
    </w:p>
    <w:p>
      <w:pPr>
        <w:jc w:val="both"/>
        <w:ind w:firstLine="400"/>
        <w:spacing w:after="0" w:line="288" w:lineRule="auto"/>
        <w:rPr>
          <w:sz w:val="20"/>
          <w:szCs w:val="20"/>
          <w:color w:val="auto"/>
        </w:rPr>
      </w:pPr>
      <w:r>
        <w:rPr>
          <w:rFonts w:ascii="Arial" w:cs="Arial" w:eastAsia="Arial" w:hAnsi="Arial"/>
          <w:sz w:val="16"/>
          <w:szCs w:val="16"/>
          <w:b w:val="1"/>
          <w:bCs w:val="1"/>
          <w:i w:val="1"/>
          <w:iCs w:val="1"/>
          <w:color w:val="auto"/>
        </w:rPr>
        <w:t xml:space="preserve">Environmentally well-positioned portfolio of assets. </w:t>
      </w:r>
      <w:r>
        <w:rPr>
          <w:rFonts w:ascii="Arial" w:cs="Arial" w:eastAsia="Arial" w:hAnsi="Arial"/>
          <w:sz w:val="16"/>
          <w:szCs w:val="16"/>
          <w:color w:val="auto"/>
        </w:rPr>
        <w:t>The Company's portfolio of electric generation assets consists of over 5,000 net MW of renewable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capacity that are non-emitting sources of power generation. Additionally, the Company's California conventional assets consist of efficient gas generation facilities that support electric system reliability.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spacing w:after="0" w:line="115"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b w:val="1"/>
          <w:bCs w:val="1"/>
          <w:i w:val="1"/>
          <w:iCs w:val="1"/>
          <w:color w:val="auto"/>
        </w:rPr>
        <w:t xml:space="preserve">High quality, long-lived assets with low operating and capital requirements. </w:t>
      </w:r>
      <w:r>
        <w:rPr>
          <w:rFonts w:ascii="Arial" w:cs="Arial" w:eastAsia="Arial" w:hAnsi="Arial"/>
          <w:sz w:val="18"/>
          <w:szCs w:val="18"/>
          <w:color w:val="auto"/>
        </w:rPr>
        <w:t>The Company benefits from a portfolio of relatively younger assets,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thermal infrastructure assets. The Company's assets are comprised of proven and reliable technologies, provided by leading original solar and wind equipment manufacturers such as General Electric, Siemens AG, SunPower Corporation, or SunPower, First Solar Inc., or First Solar, Vestas, Mitsubishi, Trina Solar, JA Solar and Siemens Gamesa. Given the modern nature of the portfolio, which includes a substantial number of relatively low operating and maintenance cost solar and wind generation assets, the Company expects to achieve high fleet availability and expend modest maintenance-related capital expenditures.</w:t>
      </w:r>
    </w:p>
    <w:p>
      <w:pPr>
        <w:spacing w:after="0" w:line="141"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b w:val="1"/>
          <w:bCs w:val="1"/>
          <w:i w:val="1"/>
          <w:iCs w:val="1"/>
          <w:color w:val="auto"/>
        </w:rPr>
        <w:t xml:space="preserve">Significant scale and diversity. </w:t>
      </w:r>
      <w:r>
        <w:rPr>
          <w:rFonts w:ascii="Arial" w:cs="Arial" w:eastAsia="Arial" w:hAnsi="Arial"/>
          <w:sz w:val="17"/>
          <w:szCs w:val="17"/>
          <w:color w:val="auto"/>
        </w:rPr>
        <w:t>The Company is one of the largest renewable energy owners in the U.S. with over 5,000 net MW of installed wind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solar generation projects. The Company's over 9,000 net MW of assets also includes approximately 2,500 net MW of environmentally-sound, highly efficient natural gas-fired generation facilities as well as the Thermal Business. The Company's contracted renewable and conventional generation assets benefit from significant diversification in terms of technology, fuel type, counterparty and geography. The Company's Thermal Business consists of fifteen operations, seven of which are district energy centers that provide steam and chilled water to approximately 685 customers, and eight of which provide generation.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133"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b w:val="1"/>
          <w:bCs w:val="1"/>
          <w:i w:val="1"/>
          <w:iCs w:val="1"/>
          <w:color w:val="auto"/>
        </w:rPr>
        <w:t xml:space="preserve">Relationship with GIP and CEG. </w:t>
      </w:r>
      <w:r>
        <w:rPr>
          <w:rFonts w:ascii="Arial" w:cs="Arial" w:eastAsia="Arial" w:hAnsi="Arial"/>
          <w:sz w:val="17"/>
          <w:szCs w:val="17"/>
          <w:color w:val="auto"/>
        </w:rPr>
        <w:t>The Company believes that its relationship with GIP and CEG provides significant benefits. Global Infrastructure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LLC, or GIM, the manager of GIP, is an independent infrastructure fund manager that makes equity and debt investments in infrastructure assets and businesses in both the Organization for Economic Co-operation and Development and select emerging market countries. GIM has a strong track record of investment and value creation in the renewable energy sector. GIM also has extensive experience with publicly traded yield vehicles and development platforms, ranging from Europe's first application of a yield company/development company model to the largest renewable platform in Asia-Pacific. Additionally, the Company believes that CEG provides the Company access to a highly capable renewable development and operations platform that is aligned to support the Company's growth.</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 w:name="page10"/>
    <w:bookmarkEnd w:id="9"/>
    <w:p>
      <w:pPr>
        <w:jc w:val="both"/>
        <w:ind w:firstLine="400"/>
        <w:spacing w:after="0" w:line="283" w:lineRule="auto"/>
        <w:rPr>
          <w:sz w:val="20"/>
          <w:szCs w:val="20"/>
          <w:color w:val="auto"/>
        </w:rPr>
      </w:pPr>
      <w:r>
        <w:rPr>
          <w:rFonts w:ascii="Arial" w:cs="Arial" w:eastAsia="Arial" w:hAnsi="Arial"/>
          <w:sz w:val="16"/>
          <w:szCs w:val="16"/>
          <w:b w:val="1"/>
          <w:bCs w:val="1"/>
          <w:i w:val="1"/>
          <w:iCs w:val="1"/>
          <w:color w:val="auto"/>
        </w:rPr>
        <w:t xml:space="preserve">Thermal infrastructure business has high entry costs. </w:t>
      </w:r>
      <w:r>
        <w:rPr>
          <w:rFonts w:ascii="Arial" w:cs="Arial" w:eastAsia="Arial" w:hAnsi="Arial"/>
          <w:sz w:val="16"/>
          <w:szCs w:val="16"/>
          <w:color w:val="auto"/>
        </w:rPr>
        <w:t>Significant capital has been invested to construct the Company's thermal infrastructure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serving as a barrier to entry in the markets in which such assets operate. The Company's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the Company believes it has the ability to retain customers over long periods of time and to compete effectively for additional business against stand-alone on-site heating and cooling generation facilities. Installation of stand-alone equipment can require significant modification to a building as well as significant space for equipment and funding for capital expenditures. The Company's system technologies often provide economies of scale in terms of fuel procurement, ability to switch between multiple types of fuel to generate thermal energy, and fuel conversion efficiency. On October 22, 2021, Clearway Energy Operating LLC entered into a binding agreement to sell the Thermal Business to KKR. For further discussion of the Thermal Disposition, refer to Item 15 —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tables summarize the Company's operating revenues, net income (loss) and assets by segment for the years ended December 31, 2021,</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2020 and 2019, as discussed in Item 15 — Note 13,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3"/>
          </w:tcPr>
          <w:p>
            <w:pPr>
              <w:jc w:val="center"/>
              <w:ind w:right="9"/>
              <w:spacing w:after="0"/>
              <w:rPr>
                <w:sz w:val="20"/>
                <w:szCs w:val="20"/>
                <w:color w:val="auto"/>
              </w:rPr>
            </w:pPr>
            <w:r>
              <w:rPr>
                <w:rFonts w:ascii="Arial" w:cs="Arial" w:eastAsia="Arial" w:hAnsi="Arial"/>
                <w:sz w:val="14"/>
                <w:szCs w:val="14"/>
                <w:b w:val="1"/>
                <w:bCs w:val="1"/>
                <w:color w:val="auto"/>
                <w:w w:val="90"/>
              </w:rPr>
              <w:t>Year ended December 31, 2021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Conventional</w:t>
            </w:r>
          </w:p>
        </w:tc>
        <w:tc>
          <w:tcPr>
            <w:tcW w:w="12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Renewables</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Thermal</w:t>
            </w:r>
          </w:p>
        </w:tc>
        <w:tc>
          <w:tcPr>
            <w:tcW w:w="13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Corporate</w:t>
            </w:r>
          </w:p>
        </w:tc>
        <w:tc>
          <w:tcPr>
            <w:tcW w:w="11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120" w:type="dxa"/>
            <w:vAlign w:val="bottom"/>
            <w:vMerge w:val="continue"/>
          </w:tcPr>
          <w:p>
            <w:pPr>
              <w:spacing w:after="0"/>
              <w:rPr>
                <w:sz w:val="16"/>
                <w:szCs w:val="16"/>
                <w:color w:val="auto"/>
              </w:rPr>
            </w:pPr>
          </w:p>
        </w:tc>
        <w:tc>
          <w:tcPr>
            <w:tcW w:w="1200" w:type="dxa"/>
            <w:vAlign w:val="bottom"/>
          </w:tcPr>
          <w:p>
            <w:pPr>
              <w:jc w:val="center"/>
              <w:ind w:right="9"/>
              <w:spacing w:after="0"/>
              <w:rPr>
                <w:sz w:val="20"/>
                <w:szCs w:val="20"/>
                <w:color w:val="auto"/>
              </w:rPr>
            </w:pPr>
            <w:r>
              <w:rPr>
                <w:rFonts w:ascii="Arial" w:cs="Arial" w:eastAsia="Arial" w:hAnsi="Arial"/>
                <w:sz w:val="14"/>
                <w:szCs w:val="14"/>
                <w:b w:val="1"/>
                <w:bCs w:val="1"/>
                <w:color w:val="auto"/>
                <w:w w:val="91"/>
              </w:rPr>
              <w:t>Generation</w:t>
            </w:r>
          </w:p>
        </w:tc>
        <w:tc>
          <w:tcPr>
            <w:tcW w:w="12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641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11"/>
        </w:trPr>
        <w:tc>
          <w:tcPr>
            <w:tcW w:w="51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9,603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12,813</w:t>
            </w:r>
          </w:p>
        </w:tc>
        <w:tc>
          <w:tcPr>
            <w:tcW w:w="0" w:type="dxa"/>
            <w:vAlign w:val="bottom"/>
          </w:tcPr>
          <w:p>
            <w:pPr>
              <w:spacing w:after="0"/>
              <w:rPr>
                <w:sz w:val="1"/>
                <w:szCs w:val="1"/>
                <w:color w:val="auto"/>
              </w:rPr>
            </w:pPr>
          </w:p>
        </w:tc>
      </w:tr>
      <w:tr>
        <w:trPr>
          <w:trHeight w:val="301"/>
        </w:trPr>
        <w:tc>
          <w:tcPr>
            <w:tcW w:w="5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0"/>
              </w:rPr>
              <w:t>Year ended December 31, 2020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2"/>
              </w:rPr>
              <w:t>Conventional</w:t>
            </w:r>
          </w:p>
        </w:tc>
        <w:tc>
          <w:tcPr>
            <w:tcW w:w="140" w:type="dxa"/>
            <w:vAlign w:val="bottom"/>
          </w:tcPr>
          <w:p>
            <w:pPr>
              <w:spacing w:after="0"/>
              <w:rPr>
                <w:sz w:val="11"/>
                <w:szCs w:val="11"/>
                <w:color w:val="auto"/>
              </w:rPr>
            </w:pPr>
          </w:p>
        </w:tc>
        <w:tc>
          <w:tcPr>
            <w:tcW w:w="98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3"/>
              </w:rPr>
              <w:t>Renewables</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5"/>
              </w:rPr>
              <w:t>Thermal</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1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1"/>
              </w:rPr>
              <w:t>Generation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11"/>
        </w:trPr>
        <w:tc>
          <w:tcPr>
            <w:tcW w:w="51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7,157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10,592</w:t>
            </w:r>
          </w:p>
        </w:tc>
        <w:tc>
          <w:tcPr>
            <w:tcW w:w="0" w:type="dxa"/>
            <w:vAlign w:val="bottom"/>
          </w:tcPr>
          <w:p>
            <w:pPr>
              <w:spacing w:after="0"/>
              <w:rPr>
                <w:sz w:val="1"/>
                <w:szCs w:val="1"/>
                <w:color w:val="auto"/>
              </w:rPr>
            </w:pPr>
          </w:p>
        </w:tc>
      </w:tr>
      <w:tr>
        <w:trPr>
          <w:trHeight w:val="341"/>
        </w:trPr>
        <w:tc>
          <w:tcPr>
            <w:tcW w:w="5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0"/>
              </w:rPr>
              <w:t>Year ended December 31, 2019</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2"/>
              </w:rPr>
              <w:t>Conventional</w:t>
            </w:r>
          </w:p>
        </w:tc>
        <w:tc>
          <w:tcPr>
            <w:tcW w:w="140" w:type="dxa"/>
            <w:vAlign w:val="bottom"/>
          </w:tcPr>
          <w:p>
            <w:pPr>
              <w:spacing w:after="0"/>
              <w:rPr>
                <w:sz w:val="11"/>
                <w:szCs w:val="11"/>
                <w:color w:val="auto"/>
              </w:rPr>
            </w:pPr>
          </w:p>
        </w:tc>
        <w:tc>
          <w:tcPr>
            <w:tcW w:w="98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3"/>
              </w:rPr>
              <w:t>Renewables</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5"/>
              </w:rPr>
              <w:t>Thermal</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1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1"/>
              </w:rPr>
              <w:t>Generation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08"/>
        </w:trPr>
        <w:tc>
          <w:tcPr>
            <w:tcW w:w="51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Incentives</w:t>
      </w:r>
    </w:p>
    <w:p>
      <w:pPr>
        <w:spacing w:after="0" w:line="172"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color w:val="auto"/>
        </w:rPr>
        <w:t>Policy incentives in the U.S. have the effect of making the development of renewable energy projects more competitive by providing tax credits or grants and accelerated depreciation for a portion of the development costs, decreasing the costs and risks associated with developing such projects or creating demand for renewable energy assets through RPS programs. The elimination of, loss of or reduction in such incentives could decrease the attractiveness of renewable generation projects to developers, including, but not limited to, CEG, which could reduce the Company's acquisition opportunities. Such an elimination, loss or reduction could also reduce the Company's willingness to pursue or develop certain renewable energy projects due to higher operating costs or decreased revenues under its PPAs.</w:t>
      </w:r>
    </w:p>
    <w:p>
      <w:pPr>
        <w:spacing w:after="0" w:line="220"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color w:val="auto"/>
        </w:rPr>
        <w:t>U.S. federal, state and local governments have established various incentives to support the development of renewable energy projects. These incentives include accelerated tax depreciation, PTCs, ITCs, cash grants, tax abatements and RPS programs. Pursuant to the U.S. federal Modified Accelerated Cost Recovery System, or MACRS, wind and solar projects are generally fully depreciated for tax purposes over a five-year period (before taking into account certain conventions) even though the useful life of such projects is generally much longer than five years. The Tax Cuts and Jobs Act of 2017, or the Tax Act, also provides the ability for wind and solar projects to claim immediate expensing for property acquired and placed in service after September 27, 2017, and before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jc w:val="both"/>
        <w:ind w:firstLine="400"/>
        <w:spacing w:after="0" w:line="265" w:lineRule="auto"/>
        <w:rPr>
          <w:sz w:val="20"/>
          <w:szCs w:val="20"/>
          <w:color w:val="auto"/>
        </w:rPr>
      </w:pPr>
      <w:r>
        <w:rPr>
          <w:rFonts w:ascii="Arial" w:cs="Arial" w:eastAsia="Arial" w:hAnsi="Arial"/>
          <w:sz w:val="17"/>
          <w:szCs w:val="17"/>
          <w:color w:val="auto"/>
        </w:rPr>
        <w:t>Owners of utility-scale wind facilities are eligible to claim an income tax credit (the PTC, or an ITC in lieu of the PTC) upon initially achieving commercial operation. The PTC is determined based on the amount of electricity produced by the wind facility during the first ten years of commercial operation. This incentive was created under the Energy Policy Act of 1992 and has been extended several times. Alternatively, an ITC equal to a percentage of the cost of a wind facility may be claimed in lieu of the PTC. In order to qualify for the PTC (or ITC in lieu of the PTC), construction of a wind facility must begin before a specified date and the taxpayer must maintain a continuous program of construction or continuous efforts to advance the project to completion. The Internal Revenue Service, or IRS, issued guidance stating that the safe harbor for continuous efforts and continuous construction requirements will generally be satisfied if the facility is placed in service no more than four years after the year in which construction of the facility began. In response to the COVID-19 pandemic, the IRS extended this safe harbor by one year for facilities that began construction in 2016 or 2017. In 2021, the IRS further extended the continuity safe harbor period to six years for facilities that began construction in 2016 through 2019. For facilities that began construction in 2020, the continuity safe harbor was extended to five years.</w:t>
      </w:r>
    </w:p>
    <w:p>
      <w:pPr>
        <w:spacing w:after="0" w:line="134"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Owners of solar projects are eligible to claim an ITC for new solar projects. This incentive was created under the Energy Policy Act of 2005 and has also been extended several times, including most recently by the Consolidated Appropriations Act of 2020.</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Tax credits for qualifying wind and solar projects are subject to the following phase-down schedule: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color w:val="auto"/>
                <w:w w:val="92"/>
              </w:rPr>
              <w:t>Year construction of project begins</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07"/>
        </w:trPr>
        <w:tc>
          <w:tcPr>
            <w:tcW w:w="28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2024</w:t>
            </w:r>
          </w:p>
        </w:tc>
      </w:tr>
      <w:tr>
        <w:trPr>
          <w:trHeight w:val="226"/>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PTC </w:t>
            </w:r>
            <w:r>
              <w:rPr>
                <w:rFonts w:ascii="Arial" w:cs="Arial" w:eastAsia="Arial" w:hAnsi="Arial"/>
                <w:sz w:val="18"/>
                <w:szCs w:val="18"/>
                <w:color w:val="auto"/>
                <w:vertAlign w:val="superscript"/>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7"/>
        </w:trPr>
        <w:tc>
          <w:tcPr>
            <w:tcW w:w="2820" w:type="dxa"/>
            <w:vAlign w:val="bottom"/>
          </w:tcPr>
          <w:p>
            <w:pPr>
              <w:ind w:left="20"/>
              <w:spacing w:after="0"/>
              <w:rPr>
                <w:sz w:val="20"/>
                <w:szCs w:val="20"/>
                <w:color w:val="auto"/>
              </w:rPr>
            </w:pPr>
            <w:r>
              <w:rPr>
                <w:rFonts w:ascii="Arial" w:cs="Arial" w:eastAsia="Arial" w:hAnsi="Arial"/>
                <w:sz w:val="14"/>
                <w:szCs w:val="14"/>
                <w:color w:val="auto"/>
              </w:rPr>
              <w:t xml:space="preserve">On Shore Wind ITC </w:t>
            </w:r>
            <w:r>
              <w:rPr>
                <w:rFonts w:ascii="Arial" w:cs="Arial" w:eastAsia="Arial" w:hAnsi="Arial"/>
                <w:sz w:val="18"/>
                <w:szCs w:val="18"/>
                <w:color w:val="auto"/>
                <w:vertAlign w:val="superscript"/>
              </w:rPr>
              <w:t>(b)</w:t>
            </w:r>
          </w:p>
        </w:tc>
        <w:tc>
          <w:tcPr>
            <w:tcW w:w="740" w:type="dxa"/>
            <w:vAlign w:val="bottom"/>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4"/>
                <w:szCs w:val="14"/>
                <w:color w:val="auto"/>
              </w:rPr>
              <w:t>— %</w:t>
            </w:r>
          </w:p>
        </w:tc>
        <w:tc>
          <w:tcPr>
            <w:tcW w:w="840" w:type="dxa"/>
            <w:vAlign w:val="bottom"/>
            <w:gridSpan w:val="2"/>
          </w:tcPr>
          <w:p>
            <w:pPr>
              <w:ind w:left="420"/>
              <w:spacing w:after="0"/>
              <w:rPr>
                <w:sz w:val="20"/>
                <w:szCs w:val="20"/>
                <w:color w:val="auto"/>
              </w:rPr>
            </w:pPr>
            <w:r>
              <w:rPr>
                <w:rFonts w:ascii="Arial" w:cs="Arial" w:eastAsia="Arial" w:hAnsi="Arial"/>
                <w:sz w:val="14"/>
                <w:szCs w:val="14"/>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187"/>
        </w:trPr>
        <w:tc>
          <w:tcPr>
            <w:tcW w:w="2820" w:type="dxa"/>
            <w:vAlign w:val="bottom"/>
            <w:shd w:val="clear" w:color="auto" w:fill="CCEEFF"/>
          </w:tcPr>
          <w:p>
            <w:pPr>
              <w:ind w:left="20"/>
              <w:spacing w:after="0" w:line="187" w:lineRule="exact"/>
              <w:rPr>
                <w:sz w:val="20"/>
                <w:szCs w:val="20"/>
                <w:color w:val="auto"/>
              </w:rPr>
            </w:pPr>
            <w:r>
              <w:rPr>
                <w:rFonts w:ascii="Arial" w:cs="Arial" w:eastAsia="Arial" w:hAnsi="Arial"/>
                <w:sz w:val="14"/>
                <w:szCs w:val="14"/>
                <w:color w:val="auto"/>
              </w:rPr>
              <w:t xml:space="preserve">Solar ITC </w:t>
            </w:r>
            <w:r>
              <w:rPr>
                <w:rFonts w:ascii="Arial" w:cs="Arial" w:eastAsia="Arial" w:hAnsi="Arial"/>
                <w:sz w:val="18"/>
                <w:szCs w:val="18"/>
                <w:color w:val="auto"/>
                <w:vertAlign w:val="superscript"/>
              </w:rPr>
              <w:t>(c)</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40"/>
              <w:spacing w:after="0"/>
              <w:rPr>
                <w:sz w:val="20"/>
                <w:szCs w:val="20"/>
                <w:color w:val="auto"/>
              </w:rPr>
            </w:pPr>
            <w:r>
              <w:rPr>
                <w:rFonts w:ascii="Arial" w:cs="Arial" w:eastAsia="Arial" w:hAnsi="Arial"/>
                <w:sz w:val="14"/>
                <w:szCs w:val="14"/>
                <w:color w:val="auto"/>
                <w:w w:val="93"/>
              </w:rPr>
              <w:t>26 %</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3"/>
              </w:rPr>
              <w:t>22 %</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13792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spacing w:after="0" w:line="228" w:lineRule="exact"/>
        <w:rPr>
          <w:sz w:val="20"/>
          <w:szCs w:val="20"/>
          <w:color w:val="auto"/>
        </w:rPr>
      </w:pPr>
    </w:p>
    <w:p>
      <w:pPr>
        <w:ind w:left="140" w:hanging="133"/>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Percentage of the full PTC available for wind projects that begin construction during the applicable year.</w:t>
      </w:r>
    </w:p>
    <w:p>
      <w:pPr>
        <w:spacing w:after="0" w:line="10" w:lineRule="exact"/>
        <w:rPr>
          <w:rFonts w:ascii="Arial" w:cs="Arial" w:eastAsia="Arial" w:hAnsi="Arial"/>
          <w:sz w:val="9"/>
          <w:szCs w:val="9"/>
          <w:color w:val="auto"/>
        </w:rPr>
      </w:pPr>
    </w:p>
    <w:p>
      <w:pPr>
        <w:ind w:left="140" w:hanging="133"/>
        <w:spacing w:after="0" w:line="238" w:lineRule="auto"/>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The Taxpayer Certainty and Disaster Tax Relief Act of 2020 provides for a new 30% ITC for offshore wind projects that begin construction before January 1, 2026.</w:t>
      </w:r>
    </w:p>
    <w:p>
      <w:pPr>
        <w:ind w:left="140" w:hanging="133"/>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ITC is limited to 10% for projects not placed in service before January 1, 2026.</w:t>
      </w:r>
    </w:p>
    <w:p>
      <w:pPr>
        <w:spacing w:after="0" w:line="153" w:lineRule="exact"/>
        <w:rPr>
          <w:sz w:val="20"/>
          <w:szCs w:val="20"/>
          <w:color w:val="auto"/>
        </w:rPr>
      </w:pPr>
    </w:p>
    <w:p>
      <w:pPr>
        <w:jc w:val="both"/>
        <w:ind w:firstLine="400"/>
        <w:spacing w:after="0" w:line="279" w:lineRule="auto"/>
        <w:rPr>
          <w:sz w:val="20"/>
          <w:szCs w:val="20"/>
          <w:color w:val="auto"/>
        </w:rPr>
      </w:pPr>
      <w:r>
        <w:rPr>
          <w:rFonts w:ascii="Arial" w:cs="Arial" w:eastAsia="Arial" w:hAnsi="Arial"/>
          <w:sz w:val="17"/>
          <w:szCs w:val="17"/>
          <w:color w:val="auto"/>
        </w:rPr>
        <w:t>RPS,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2" w:lineRule="exact"/>
        <w:rPr>
          <w:sz w:val="20"/>
          <w:szCs w:val="20"/>
          <w:color w:val="auto"/>
        </w:rPr>
      </w:pPr>
    </w:p>
    <w:p>
      <w:pPr>
        <w:jc w:val="both"/>
        <w:ind w:firstLine="400"/>
        <w:spacing w:after="0" w:line="289" w:lineRule="auto"/>
        <w:rPr>
          <w:sz w:val="20"/>
          <w:szCs w:val="20"/>
          <w:color w:val="auto"/>
        </w:rPr>
      </w:pPr>
      <w:r>
        <w:rPr>
          <w:rFonts w:ascii="Arial" w:cs="Arial" w:eastAsia="Arial" w:hAnsi="Arial"/>
          <w:sz w:val="16"/>
          <w:szCs w:val="16"/>
          <w:color w:val="auto"/>
        </w:rPr>
        <w:t>As owners of power plants and participants in wholesale and thermal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FERC</w:t>
      </w:r>
    </w:p>
    <w:p>
      <w:pPr>
        <w:spacing w:after="0" w:line="166"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FERC, among other things, regulates the transmission and the wholesale sale of electricity in interstate commerce under the authority of the FPA. The transmission and sale of electric energy occurring wholly within ERCOT is not subject to FERC’s jurisdiction. Under existing regulations, FERC has the authority to determine whether an entity owning a generation facility is an EWG, as defined in the PUHCA. FERC also has the authority to determine whether a generation facility meets the applicable criteria of a QF under the PURPA. Each of the Company’s U.S. generating facilities qualifies as either an EWG or QF.</w:t>
      </w:r>
    </w:p>
    <w:p>
      <w:pPr>
        <w:spacing w:after="0" w:line="139" w:lineRule="exact"/>
        <w:rPr>
          <w:sz w:val="20"/>
          <w:szCs w:val="20"/>
          <w:color w:val="auto"/>
        </w:rPr>
      </w:pPr>
    </w:p>
    <w:p>
      <w:pPr>
        <w:jc w:val="both"/>
        <w:ind w:firstLine="400"/>
        <w:spacing w:after="0" w:line="304" w:lineRule="auto"/>
        <w:rPr>
          <w:sz w:val="20"/>
          <w:szCs w:val="20"/>
          <w:color w:val="auto"/>
        </w:rPr>
      </w:pPr>
      <w:r>
        <w:rPr>
          <w:rFonts w:ascii="Arial" w:cs="Arial" w:eastAsia="Arial" w:hAnsi="Arial"/>
          <w:sz w:val="16"/>
          <w:szCs w:val="16"/>
          <w:color w:val="auto"/>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that are just and reasonable.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jc w:val="both"/>
        <w:ind w:firstLine="400"/>
        <w:spacing w:after="0" w:line="295" w:lineRule="auto"/>
        <w:rPr>
          <w:sz w:val="20"/>
          <w:szCs w:val="20"/>
          <w:color w:val="auto"/>
        </w:rPr>
      </w:pPr>
      <w:r>
        <w:rPr>
          <w:rFonts w:ascii="Arial" w:cs="Arial" w:eastAsia="Arial" w:hAnsi="Arial"/>
          <w:sz w:val="16"/>
          <w:szCs w:val="16"/>
          <w:color w:val="auto"/>
        </w:rPr>
        <w:t>Public utilities are required to obtain FERC’s acceptance, pursuant to Section 205 of the FPA, of their rate schedules for the wholesale sale of electricity. Several of the Company's QF generating facilities and all of the Company’s non-QF generating facilities located in the U.S. outside of ERCOT make sales of electricity pursuant to market-based rates, as opposed to traditional cost-of-service regulated rates. FERC conducts a review of the market-based rates of Company public utilities and potential market power every three years according to a regional schedule established by FERC.</w:t>
      </w:r>
    </w:p>
    <w:p>
      <w:pPr>
        <w:spacing w:after="0" w:line="108"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with such authority delegated in part to regional reliability entities charged with enforcement of mandatory reliability standards for the region which they are responsible for overseeing.</w:t>
      </w:r>
    </w:p>
    <w:p>
      <w:pPr>
        <w:spacing w:after="0" w:line="140"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The PURPA was passed in 1978 in large part to promote increased energy efficiency and development of independent power producers. The PURPA created QFs to further both goals, and FERC is primarily charged with administering the PURPA as it applies to QFs. QFs are exempt from certain regulations under the FPA.</w:t>
      </w:r>
    </w:p>
    <w:p>
      <w:pPr>
        <w:spacing w:after="0" w:line="135"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The PUHCA provides FERC with certain authority over and access to books and records of public utility holding companies not otherwise exempt by virtue of their ownership of EWGs, QFs, and Foreign Utility Companies. The Company is exempt from many of the accounting, record retention, and reporting requirements of the PUHCA.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2"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41" w:lineRule="exact"/>
        <w:rPr>
          <w:sz w:val="20"/>
          <w:szCs w:val="20"/>
          <w:color w:val="auto"/>
        </w:rPr>
      </w:pPr>
    </w:p>
    <w:p>
      <w:pPr>
        <w:jc w:val="both"/>
        <w:ind w:firstLine="400"/>
        <w:spacing w:after="0" w:line="295" w:lineRule="auto"/>
        <w:rPr>
          <w:sz w:val="20"/>
          <w:szCs w:val="20"/>
          <w:color w:val="auto"/>
        </w:rPr>
      </w:pPr>
      <w:r>
        <w:rPr>
          <w:rFonts w:ascii="Arial" w:cs="Arial" w:eastAsia="Arial" w:hAnsi="Arial"/>
          <w:sz w:val="16"/>
          <w:szCs w:val="16"/>
          <w:color w:val="auto"/>
        </w:rPr>
        <w:t>A number of regulations that may affect the Company are under review for potential revision or rescission in 2022, including the federal Migratory Bird Treaty Act (MBTA) incidental take permit regulations and federal Bald and Golden Eagle Protection Act incidental take permit regulations. Government leaders have also considered proposed MBTA legislation (Lowenthal Bill). The Company will evaluate the impact of the legislation and regulations as they</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are revised but cannot fully predict the impact of each until anticipated revisions and legal challenges are resolved. To the extent that proposed legislation and new or revised regulations restrict or otherwise impact the Company's operations, the proposed legislation and regulations could have a negative impact on the Company's financial performance.</w:t>
      </w:r>
    </w:p>
    <w:p>
      <w:pPr>
        <w:spacing w:after="0" w:line="135"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i w:val="1"/>
          <w:iCs w:val="1"/>
          <w:color w:val="auto"/>
        </w:rPr>
        <w:t xml:space="preserve">Proposed Federal MBTA Incidental Take Legislation and Regulations </w:t>
      </w:r>
      <w:r>
        <w:rPr>
          <w:rFonts w:ascii="Arial" w:cs="Arial" w:eastAsia="Arial" w:hAnsi="Arial"/>
          <w:sz w:val="17"/>
          <w:szCs w:val="17"/>
          <w:color w:val="auto"/>
        </w:rPr>
        <w:t>— On October 4, 2021, U.S. Fish and Wildlife Service (FWS) issued the final</w:t>
      </w:r>
      <w:r>
        <w:rPr>
          <w:rFonts w:ascii="Arial" w:cs="Arial" w:eastAsia="Arial" w:hAnsi="Arial"/>
          <w:sz w:val="17"/>
          <w:szCs w:val="17"/>
          <w:i w:val="1"/>
          <w:iCs w:val="1"/>
          <w:color w:val="auto"/>
        </w:rPr>
        <w:t xml:space="preserve"> </w:t>
      </w:r>
      <w:r>
        <w:rPr>
          <w:rFonts w:ascii="Arial" w:cs="Arial" w:eastAsia="Arial" w:hAnsi="Arial"/>
          <w:sz w:val="17"/>
          <w:szCs w:val="17"/>
          <w:color w:val="auto"/>
        </w:rPr>
        <w:t>MBTA rule, effective December 3, 2021, restoring the MBTA to prohibit the incidental take of migratory birds. FWS also issued an advance notice of proposed rulemaking (ANPR) advising that it intends to gather information necessary to develop proposed regulations to authorize the incidental take of migratory birds under prescribed conditions and prepare a draft environmental review pursuant to the National Environmental Policy Act. In the ANPR, FWS is considering authorizing incidental take using three primary mechanisms: exceptions to the MBTA’s prohibition on incidental take, general permits for certain activity types and specific or individual permits. FWS is seeking comments on when and how it should apply these three mechanisms to different types of activities. The Company is working with renewable industry groups to provide comments on the proposed rule. Scoping comments on the ANPR were due to FWS by December 3, 2021 and the company participated in this process through the industry groups. FWS is expecting to have the Draft Environmental Impact Statement out for public review during the summer 2022 and the Final Environmental Impact Statement and Record of Decision are anticipated for the following summer 2023.</w:t>
      </w:r>
    </w:p>
    <w:p>
      <w:pPr>
        <w:spacing w:after="0" w:line="134" w:lineRule="exact"/>
        <w:rPr>
          <w:sz w:val="20"/>
          <w:szCs w:val="20"/>
          <w:color w:val="auto"/>
        </w:rPr>
      </w:pPr>
    </w:p>
    <w:p>
      <w:pPr>
        <w:jc w:val="both"/>
        <w:ind w:firstLine="400"/>
        <w:spacing w:after="0" w:line="286" w:lineRule="auto"/>
        <w:rPr>
          <w:sz w:val="20"/>
          <w:szCs w:val="20"/>
          <w:color w:val="auto"/>
        </w:rPr>
      </w:pPr>
      <w:r>
        <w:rPr>
          <w:rFonts w:ascii="Arial" w:cs="Arial" w:eastAsia="Arial" w:hAnsi="Arial"/>
          <w:sz w:val="16"/>
          <w:szCs w:val="16"/>
          <w:i w:val="1"/>
          <w:iCs w:val="1"/>
          <w:color w:val="auto"/>
        </w:rPr>
        <w:t xml:space="preserve">Changes to the National Environmental Policy Act </w:t>
      </w:r>
      <w:r>
        <w:rPr>
          <w:rFonts w:ascii="Arial" w:cs="Arial" w:eastAsia="Arial" w:hAnsi="Arial"/>
          <w:sz w:val="16"/>
          <w:szCs w:val="16"/>
          <w:color w:val="auto"/>
        </w:rPr>
        <w:t>— On October 7, 2021, the Council on Environmental Quality (CEQ) published notice of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rulemaking that would alter regulations for implementing the National Environmental Policy Act (NEPA) in order "to generally restore regulatory provisions that were in effect for decades before being modified in 2020." Specifically, the proposed rule would (1) grant federal agencies greater discretion in developing project alternatives; (2) allow federal agencies to adopt NEPA regulations more stringent than CEQ’s regulations; and (3) require agencies to consider direct, indirect, and cumulative effects of major federal actions. The Notice represents "Phase 1" of the Biden Administration’s plans to revise NEPA regulations, which focuses on provisions that pose significant near-term interpretation or implementation challenges and that "make sense to revert to the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1978 regulatory approach." A "Phase 2" proposal that will "more broadly revisit the 2020 NEPA Regulations" is expected to be released in 2022.</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jc w:val="both"/>
        <w:ind w:firstLine="400"/>
        <w:spacing w:after="0" w:line="282" w:lineRule="auto"/>
        <w:rPr>
          <w:sz w:val="20"/>
          <w:szCs w:val="20"/>
          <w:color w:val="auto"/>
        </w:rPr>
      </w:pPr>
      <w:r>
        <w:rPr>
          <w:rFonts w:ascii="Arial" w:cs="Arial" w:eastAsia="Arial" w:hAnsi="Arial"/>
          <w:sz w:val="16"/>
          <w:szCs w:val="16"/>
          <w:i w:val="1"/>
          <w:iCs w:val="1"/>
          <w:color w:val="auto"/>
        </w:rPr>
        <w:t xml:space="preserve">Proposed Federal Eagle Incidental Take Permit Proposed Rule </w:t>
      </w:r>
      <w:r>
        <w:rPr>
          <w:rFonts w:ascii="Arial" w:cs="Arial" w:eastAsia="Arial" w:hAnsi="Arial"/>
          <w:sz w:val="16"/>
          <w:szCs w:val="16"/>
          <w:color w:val="auto"/>
        </w:rPr>
        <w:t>— On September 14, 2021, the FWS published in the Federal Register a Notice of</w:t>
      </w:r>
      <w:r>
        <w:rPr>
          <w:rFonts w:ascii="Arial" w:cs="Arial" w:eastAsia="Arial" w:hAnsi="Arial"/>
          <w:sz w:val="16"/>
          <w:szCs w:val="16"/>
          <w:i w:val="1"/>
          <w:iCs w:val="1"/>
          <w:color w:val="auto"/>
        </w:rPr>
        <w:t xml:space="preserve"> </w:t>
      </w:r>
      <w:r>
        <w:rPr>
          <w:rFonts w:ascii="Arial" w:cs="Arial" w:eastAsia="Arial" w:hAnsi="Arial"/>
          <w:sz w:val="16"/>
          <w:szCs w:val="16"/>
          <w:color w:val="auto"/>
        </w:rPr>
        <w:t>Proposed Rulemaking (ANPR) seeking public and regulated-community input on potential approaches for further expediting and simplifying the permit process authorizing incidental take of eagles. This advance notice of proposed rulemaking seeks comment on several approaches that could potentially underpin a more streamlined eagle incidental-take-permitting framework that was first established in 2009. Specifically, FWS is interested in comments clarifying specific aspects of the current permitting process that hinder permit application, processing, or implementation. FWS is also seeking recommendations for additional guidance that would reduce the time and/or cost associated with applying for and implementing long-term, eagle incidental take permits under existing regulations. FWS is looking for recommendations for targeted revisions that could be made to existing regulations consistent with the overall permitting framework that would reduce the time and/or cost associated with applying for and processing long-term permits for incidental take of eagles. Finally, FWS is interested in comments regarding potential new regulatory approaches to authorizing incidental take under the Eagle Act, particularly for projects that can be shown in advance to have minimal impacts on eagles, that would reduce the time and/or cost associated with applying for and operating under long-term permits for the incidental take of eagles. The Company is working with renewable industry groups to provide comments on the proposed rule. Comments on the ANPR were due to FWS by October 29, 2021 and the company participated in this process through the industry groups.</w:t>
      </w:r>
    </w:p>
    <w:p>
      <w:pPr>
        <w:spacing w:after="0" w:line="125" w:lineRule="exact"/>
        <w:rPr>
          <w:sz w:val="20"/>
          <w:szCs w:val="20"/>
          <w:color w:val="auto"/>
        </w:rPr>
      </w:pPr>
    </w:p>
    <w:p>
      <w:pPr>
        <w:jc w:val="both"/>
        <w:ind w:firstLine="400"/>
        <w:spacing w:after="0" w:line="250" w:lineRule="auto"/>
        <w:rPr>
          <w:sz w:val="20"/>
          <w:szCs w:val="20"/>
          <w:color w:val="auto"/>
        </w:rPr>
      </w:pPr>
      <w:r>
        <w:rPr>
          <w:rFonts w:ascii="Arial" w:cs="Arial" w:eastAsia="Arial" w:hAnsi="Arial"/>
          <w:sz w:val="18"/>
          <w:szCs w:val="18"/>
          <w:i w:val="1"/>
          <w:iCs w:val="1"/>
          <w:color w:val="auto"/>
        </w:rPr>
        <w:t xml:space="preserve">Local California Air District Rules </w:t>
      </w:r>
      <w:r>
        <w:rPr>
          <w:rFonts w:ascii="Arial" w:cs="Arial" w:eastAsia="Arial" w:hAnsi="Arial"/>
          <w:sz w:val="18"/>
          <w:szCs w:val="18"/>
          <w:color w:val="auto"/>
        </w:rPr>
        <w:t>— Air districts have proposed updates to its respective rules to amend, as applicable, Best Available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criteria for stationary emissions sources including gas turbines, Toxic Air Contaminant Health Risk reporting and general reporting requirements. Rulemaking in the Los Angeles Air Basin, as regulated by South Coast Air Quality Management District, or SCAQMD, continues to update command-and-control regulations that limit NOx emissions for stationary sources in preparation for sunsetting SCAQMD’s Regional Clean Air Market, or RECLAIM, NOx cap and trade program in the next few years. The Company’s conventional generation plants meet the district’s existing and proposed amendments to command-and-control regulations. Proposed updates to local California Air District Rules are not expected to affect the operations nor compliance of the Company’s conventional generation plants.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2"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The Company sells its electricity and environmental attributes, including RECs, primarily to local utilities under contractual arrangements. During the year ended December 31, 2021, the Company derived approximately 33% of its consolidated revenue from Southern California Edison, or SCE, and approximately 23% of its consolidated revenue from PG&amp;E.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2" w:lineRule="exact"/>
        <w:rPr>
          <w:sz w:val="20"/>
          <w:szCs w:val="20"/>
          <w:color w:val="auto"/>
        </w:rPr>
      </w:pPr>
    </w:p>
    <w:p>
      <w:pPr>
        <w:jc w:val="both"/>
        <w:ind w:firstLine="400"/>
        <w:spacing w:after="0" w:line="279" w:lineRule="auto"/>
        <w:rPr>
          <w:sz w:val="20"/>
          <w:szCs w:val="20"/>
          <w:color w:val="auto"/>
        </w:rPr>
      </w:pPr>
      <w:r>
        <w:rPr>
          <w:rFonts w:ascii="Arial" w:cs="Arial" w:eastAsia="Arial" w:hAnsi="Arial"/>
          <w:sz w:val="17"/>
          <w:szCs w:val="17"/>
          <w:color w:val="auto"/>
        </w:rPr>
        <w:t xml:space="preserve">As of December 31, 2021, the Company had 304 employees, 62 of which are in Corporate and 242 of which are in the Thermal Business, which is the subject of a binding agreement to be sold to KKR. For further discussion of the Thermal Disposition, refer to Item 15 — Note 3, </w:t>
      </w:r>
      <w:r>
        <w:rPr>
          <w:rFonts w:ascii="Arial" w:cs="Arial" w:eastAsia="Arial" w:hAnsi="Arial"/>
          <w:sz w:val="17"/>
          <w:szCs w:val="17"/>
          <w:i w:val="1"/>
          <w:iCs w:val="1"/>
          <w:color w:val="auto"/>
        </w:rPr>
        <w:t>Acquisitions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Dispositions. </w:t>
      </w:r>
      <w:r>
        <w:rPr>
          <w:rFonts w:ascii="Arial" w:cs="Arial" w:eastAsia="Arial" w:hAnsi="Arial"/>
          <w:sz w:val="17"/>
          <w:szCs w:val="17"/>
          <w:color w:val="auto"/>
        </w:rPr>
        <w:t>The Company also depends upon personnel of CEG for the provision of asset management, administration and O&amp;M services.</w:t>
      </w:r>
    </w:p>
    <w:p>
      <w:pPr>
        <w:spacing w:after="0" w:line="118" w:lineRule="exact"/>
        <w:rPr>
          <w:sz w:val="20"/>
          <w:szCs w:val="20"/>
          <w:color w:val="auto"/>
        </w:rPr>
      </w:pPr>
    </w:p>
    <w:p>
      <w:pPr>
        <w:jc w:val="both"/>
        <w:ind w:firstLine="400"/>
        <w:spacing w:after="0" w:line="288" w:lineRule="auto"/>
        <w:rPr>
          <w:sz w:val="20"/>
          <w:szCs w:val="20"/>
          <w:color w:val="auto"/>
        </w:rPr>
      </w:pPr>
      <w:r>
        <w:rPr>
          <w:rFonts w:ascii="Arial" w:cs="Arial" w:eastAsia="Arial" w:hAnsi="Arial"/>
          <w:sz w:val="16"/>
          <w:szCs w:val="16"/>
          <w:color w:val="auto"/>
        </w:rPr>
        <w:t>The Company focuses on attracting, developing and retaining a team of highly talented and motivated employees. The Company regularly conducts assessments of its compensation and benefit practices and pay levels to help ensure that staff members are compensated fairly and competitively. The Company devotes extensive resources to staff development and training, including tuition assistance for career-enhancing academic and professional programs. Employee performance is measured in part based on goals that are aligned with the Company's annual objectives. The Company recognizes that its success is based on the talents and dedication of those it employs, and the Company is highly invested in their success. See "Environmental, Social and Governance (ESG)" below for a discussion of the Company's commitment to the health and safety of the Company's employees.</w:t>
      </w:r>
    </w:p>
    <w:p>
      <w:pPr>
        <w:spacing w:after="0" w:line="115"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The Company is committed to maintaining a workplace that acknowledges, encourages, and values diversity and inclusion. The Company believes that individual differences, experiences, and strengths enrich the culture and fabric of its organization. Having employees with backgrounds and orientations that reflect a variety of viewpoints and experiences also helps the Company to better understand the needs of its customers and the communities in which it operates.</w:t>
      </w:r>
    </w:p>
    <w:p>
      <w:pPr>
        <w:spacing w:after="0" w:line="140"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By leveraging the multitude of backgrounds and perspectives of its team and developing ongoing relationships with diverse vendors, the Company achieves a collective strength that enhances the workplace and makes the Company a better business partner for its customers and others with a stake in the Company’s success.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jc w:val="both"/>
        <w:ind w:firstLine="400"/>
        <w:spacing w:after="0" w:line="253" w:lineRule="auto"/>
        <w:rPr>
          <w:sz w:val="20"/>
          <w:szCs w:val="20"/>
          <w:color w:val="auto"/>
        </w:rPr>
      </w:pPr>
      <w:r>
        <w:rPr>
          <w:rFonts w:ascii="Arial" w:cs="Arial" w:eastAsia="Arial" w:hAnsi="Arial"/>
          <w:sz w:val="18"/>
          <w:szCs w:val="18"/>
          <w:color w:val="auto"/>
        </w:rPr>
        <w:t>In 2020, the Company launched its Equity, Partnership &amp; Inclusion Council, or EPIC. As part of its commitment, the Company provides education on topics related to diversity, inclusion, and anti-racism. The Company also identified three areas of focus: Our People, Our Product &amp; Customers and Our Purchasing. With the involvement of its employees, EPIC is advancing efforts in each of these areas to identify and implement opportunities for the Company to address equity, partnership and inclusion issues in its business activities.</w:t>
      </w:r>
    </w:p>
    <w:p>
      <w:pPr>
        <w:spacing w:after="0" w:line="87" w:lineRule="exact"/>
        <w:rPr>
          <w:sz w:val="20"/>
          <w:szCs w:val="20"/>
          <w:color w:val="auto"/>
        </w:rPr>
      </w:pPr>
    </w:p>
    <w:p>
      <w:pPr>
        <w:ind w:left="640" w:right="800"/>
        <w:spacing w:after="0" w:line="251" w:lineRule="auto"/>
        <w:rPr>
          <w:sz w:val="20"/>
          <w:szCs w:val="20"/>
          <w:color w:val="auto"/>
        </w:rPr>
      </w:pPr>
      <w:r>
        <w:rPr>
          <w:rFonts w:ascii="Arial" w:cs="Arial" w:eastAsia="Arial" w:hAnsi="Arial"/>
          <w:sz w:val="18"/>
          <w:szCs w:val="18"/>
          <w:i w:val="1"/>
          <w:iCs w:val="1"/>
          <w:color w:val="auto"/>
        </w:rPr>
        <w:t xml:space="preserve">Our People </w:t>
      </w:r>
      <w:r>
        <w:rPr>
          <w:rFonts w:ascii="Arial" w:cs="Arial" w:eastAsia="Arial" w:hAnsi="Arial"/>
          <w:sz w:val="18"/>
          <w:szCs w:val="18"/>
          <w:color w:val="auto"/>
        </w:rPr>
        <w:t>focuses on education and training; diversity, equity and inclusion policies and recruitment strategies; community and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and maintaining high employee engagement and retention.</w:t>
      </w:r>
    </w:p>
    <w:p>
      <w:pPr>
        <w:spacing w:after="0" w:line="207" w:lineRule="exact"/>
        <w:rPr>
          <w:sz w:val="20"/>
          <w:szCs w:val="20"/>
          <w:color w:val="auto"/>
        </w:rPr>
      </w:pPr>
    </w:p>
    <w:p>
      <w:pPr>
        <w:jc w:val="both"/>
        <w:ind w:left="640" w:right="140"/>
        <w:spacing w:after="0" w:line="241" w:lineRule="auto"/>
        <w:rPr>
          <w:sz w:val="20"/>
          <w:szCs w:val="20"/>
          <w:color w:val="auto"/>
        </w:rPr>
      </w:pPr>
      <w:r>
        <w:rPr>
          <w:rFonts w:ascii="Arial" w:cs="Arial" w:eastAsia="Arial" w:hAnsi="Arial"/>
          <w:sz w:val="18"/>
          <w:szCs w:val="18"/>
          <w:i w:val="1"/>
          <w:iCs w:val="1"/>
          <w:color w:val="auto"/>
        </w:rPr>
        <w:t xml:space="preserve">Our Product &amp; Customers </w:t>
      </w:r>
      <w:r>
        <w:rPr>
          <w:rFonts w:ascii="Arial" w:cs="Arial" w:eastAsia="Arial" w:hAnsi="Arial"/>
          <w:sz w:val="18"/>
          <w:szCs w:val="18"/>
          <w:color w:val="auto"/>
        </w:rPr>
        <w:t>focuses on pursuing opportunities that provide more equitable access to renewable energy for low-to-moderate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supporting the diversity, equity and inclusion goals of the Company's offtakers; and meaningfully representing that work in the external market.</w:t>
      </w:r>
    </w:p>
    <w:p>
      <w:pPr>
        <w:spacing w:after="0" w:line="216" w:lineRule="exact"/>
        <w:rPr>
          <w:sz w:val="20"/>
          <w:szCs w:val="20"/>
          <w:color w:val="auto"/>
        </w:rPr>
      </w:pPr>
    </w:p>
    <w:p>
      <w:pPr>
        <w:ind w:left="640" w:right="760"/>
        <w:spacing w:after="0" w:line="251" w:lineRule="auto"/>
        <w:rPr>
          <w:sz w:val="20"/>
          <w:szCs w:val="20"/>
          <w:color w:val="auto"/>
        </w:rPr>
      </w:pPr>
      <w:r>
        <w:rPr>
          <w:rFonts w:ascii="Arial" w:cs="Arial" w:eastAsia="Arial" w:hAnsi="Arial"/>
          <w:sz w:val="18"/>
          <w:szCs w:val="18"/>
          <w:i w:val="1"/>
          <w:iCs w:val="1"/>
          <w:color w:val="auto"/>
        </w:rPr>
        <w:t xml:space="preserve">Our Purchasing </w:t>
      </w:r>
      <w:r>
        <w:rPr>
          <w:rFonts w:ascii="Arial" w:cs="Arial" w:eastAsia="Arial" w:hAnsi="Arial"/>
          <w:sz w:val="18"/>
          <w:szCs w:val="18"/>
          <w:color w:val="auto"/>
        </w:rPr>
        <w:t>focuses on establishing a non-discriminatory practices standard for the Company’s suppliers, diverse vendor sourcing and</w:t>
      </w:r>
      <w:r>
        <w:rPr>
          <w:rFonts w:ascii="Arial" w:cs="Arial" w:eastAsia="Arial" w:hAnsi="Arial"/>
          <w:sz w:val="18"/>
          <w:szCs w:val="18"/>
          <w:i w:val="1"/>
          <w:iCs w:val="1"/>
          <w:color w:val="auto"/>
        </w:rPr>
        <w:t xml:space="preserve"> </w:t>
      </w:r>
      <w:r>
        <w:rPr>
          <w:rFonts w:ascii="Arial" w:cs="Arial" w:eastAsia="Arial" w:hAnsi="Arial"/>
          <w:sz w:val="18"/>
          <w:szCs w:val="18"/>
          <w:color w:val="auto"/>
        </w:rPr>
        <w:t>benchmarking.</w:t>
      </w:r>
    </w:p>
    <w:p>
      <w:pPr>
        <w:spacing w:after="0" w:line="207"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In addition to the personnel of CEG, the Company relies on other third-party service providers in the daily operations of its conventional facilities and certain renewable facilities.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172"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auto"/>
        </w:rPr>
        <w:t>The Company is committed to engaging with its stakeholders on environmental, social and governance, or ESG, matters in a proactive, holistic and integrated manner. The Company strives to provide recent, credible and comparable data to ESG agencies while engaging institutional investors and investor advocacy organizations around ESG issues. The Company's Corporate Governance, Conflicts and Nominating Committee reviews developing trends and emerging ESG matters as well as the Company’s strategies, activities policies and communications regarding ESG matters, and makes recommendations to the Company's Board of Directors regarding potential actions by the Company.</w:t>
      </w:r>
    </w:p>
    <w:p>
      <w:pPr>
        <w:spacing w:after="0" w:line="127"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Since December 2019, the Company has issued $2.1 billion of corporate green bonds under a green bond framework that applies the net proceeds to finance or refinance, in part or in full, new and existing projects and assets meeting certain criteria focused on the supply of energy from renewable resources, including solar energy and wind energy. The Company's projects and alignment of its Green Bond Principles (2018) are reviewed by Sustainalytics, an outside consultant with recognized expertise in ESG research and analysis.</w:t>
      </w:r>
    </w:p>
    <w:p>
      <w:pPr>
        <w:spacing w:after="0" w:line="140"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color w:val="auto"/>
        </w:rPr>
        <w:t>The Company includes safety performance goals in the annual incentive plan for its management and the Company had zero fatalities in 2021. 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limiting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its variants and to conform to government restrictions and best practices encouraged by governmental and regulatory authorities. The Company continues to evaluate these measures, response plans and business practices in light of the evolving effects of COVID-19 and its variants.</w:t>
      </w:r>
    </w:p>
    <w:p>
      <w:pPr>
        <w:spacing w:after="0" w:line="129" w:lineRule="exact"/>
        <w:rPr>
          <w:sz w:val="20"/>
          <w:szCs w:val="20"/>
          <w:color w:val="auto"/>
        </w:rPr>
      </w:pPr>
    </w:p>
    <w:p>
      <w:pPr>
        <w:jc w:val="both"/>
        <w:ind w:firstLine="400"/>
        <w:spacing w:after="0" w:line="304" w:lineRule="auto"/>
        <w:rPr>
          <w:sz w:val="20"/>
          <w:szCs w:val="20"/>
          <w:color w:val="auto"/>
        </w:rPr>
      </w:pPr>
      <w:r>
        <w:rPr>
          <w:rFonts w:ascii="Arial" w:cs="Arial" w:eastAsia="Arial" w:hAnsi="Arial"/>
          <w:sz w:val="16"/>
          <w:szCs w:val="16"/>
          <w:color w:val="auto"/>
        </w:rPr>
        <w:t>As discussed in greater detail above, the Company has focused its diversity, equity and inclusion efforts in three areas: Our People, Our Product &amp; Customers and Our Purchasing – through its launch of EPIC. With the involvement of the Company’s employees, EPIC is advancing efforts in each of these areas to identify and implement opportunities for the Company to address equity, partnership and inclusion issues in its business activities.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2"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SEC's website, www.sec.gov, and through the "Investor Relations" section of the Company's website, </w:t>
      </w:r>
      <w:r>
        <w:rPr>
          <w:rFonts w:ascii="Arial" w:cs="Arial" w:eastAsia="Arial" w:hAnsi="Arial"/>
          <w:sz w:val="17"/>
          <w:szCs w:val="17"/>
          <w:i w:val="1"/>
          <w:iCs w:val="1"/>
          <w:color w:val="auto"/>
        </w:rPr>
        <w:t>www.clearwayenergy.com</w:t>
      </w:r>
      <w:r>
        <w:rPr>
          <w:rFonts w:ascii="Arial" w:cs="Arial" w:eastAsia="Arial" w:hAnsi="Arial"/>
          <w:sz w:val="17"/>
          <w:szCs w:val="17"/>
          <w:color w:val="auto"/>
        </w:rPr>
        <w:t>, as soon as reasonably practicable after they are electronically filed with, or furnished to, the SEC. The Company also routinely posts press releases, presentations, webcasts, and other information regarding the Company on its website. The information posted on the Company's website is not a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1A — Risk Factors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172"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The Company’s business is subject to numerous risks and uncertainties, discussed in more detail in the following section. These risks include among others, the following key risks: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w:t>
      </w:r>
    </w:p>
    <w:p>
      <w:pPr>
        <w:spacing w:after="0" w:line="132" w:lineRule="exact"/>
        <w:rPr>
          <w:sz w:val="20"/>
          <w:szCs w:val="20"/>
          <w:color w:val="auto"/>
        </w:rPr>
      </w:pPr>
    </w:p>
    <w:p>
      <w:pPr>
        <w:ind w:left="640" w:right="380" w:hanging="314"/>
        <w:spacing w:after="0"/>
        <w:tabs>
          <w:tab w:leader="none" w:pos="628" w:val="left"/>
        </w:tabs>
        <w:numPr>
          <w:ilvl w:val="0"/>
          <w:numId w:val="5"/>
        </w:numPr>
        <w:rPr>
          <w:rFonts w:ascii="Arial" w:cs="Arial" w:eastAsia="Arial" w:hAnsi="Arial"/>
          <w:sz w:val="20"/>
          <w:szCs w:val="20"/>
          <w:color w:val="auto"/>
        </w:rPr>
      </w:pPr>
      <w:r>
        <w:rPr>
          <w:rFonts w:ascii="Arial" w:cs="Arial" w:eastAsia="Arial" w:hAnsi="Arial"/>
          <w:sz w:val="18"/>
          <w:szCs w:val="18"/>
          <w:color w:val="auto"/>
        </w:rPr>
        <w:t>The ongoing coronavirus (COVID-19) pandemic or any other pandemic could adversely affect the Company’s business, financial condition and results of operations.</w:t>
      </w:r>
    </w:p>
    <w:p>
      <w:pPr>
        <w:ind w:left="640" w:hanging="314"/>
        <w:spacing w:after="0" w:line="236" w:lineRule="auto"/>
        <w:tabs>
          <w:tab w:leader="none" w:pos="640" w:val="left"/>
        </w:tabs>
        <w:numPr>
          <w:ilvl w:val="0"/>
          <w:numId w:val="5"/>
        </w:numPr>
        <w:rPr>
          <w:rFonts w:ascii="Arial" w:cs="Arial" w:eastAsia="Arial" w:hAnsi="Arial"/>
          <w:sz w:val="20"/>
          <w:szCs w:val="20"/>
          <w:color w:val="auto"/>
        </w:rPr>
      </w:pPr>
      <w:r>
        <w:rPr>
          <w:rFonts w:ascii="Arial" w:cs="Arial" w:eastAsia="Arial" w:hAnsi="Arial"/>
          <w:sz w:val="18"/>
          <w:szCs w:val="18"/>
          <w:color w:val="auto"/>
        </w:rPr>
        <w:t>Certain facilities are newly constructed and may not perform as expected.</w:t>
      </w:r>
    </w:p>
    <w:p>
      <w:pPr>
        <w:spacing w:after="0" w:line="6" w:lineRule="exact"/>
        <w:rPr>
          <w:rFonts w:ascii="Arial" w:cs="Arial" w:eastAsia="Arial" w:hAnsi="Arial"/>
          <w:sz w:val="20"/>
          <w:szCs w:val="20"/>
          <w:color w:val="auto"/>
        </w:rPr>
      </w:pPr>
    </w:p>
    <w:p>
      <w:pPr>
        <w:ind w:left="640" w:hanging="314"/>
        <w:spacing w:after="0" w:line="230" w:lineRule="auto"/>
        <w:tabs>
          <w:tab w:leader="none" w:pos="640" w:val="left"/>
        </w:tabs>
        <w:numPr>
          <w:ilvl w:val="0"/>
          <w:numId w:val="5"/>
        </w:numPr>
        <w:rPr>
          <w:rFonts w:ascii="Arial" w:cs="Arial" w:eastAsia="Arial" w:hAnsi="Arial"/>
          <w:sz w:val="20"/>
          <w:szCs w:val="20"/>
          <w:color w:val="auto"/>
        </w:rPr>
      </w:pPr>
      <w:r>
        <w:rPr>
          <w:rFonts w:ascii="Arial" w:cs="Arial" w:eastAsia="Arial" w:hAnsi="Arial"/>
          <w:sz w:val="18"/>
          <w:szCs w:val="18"/>
          <w:color w:val="auto"/>
        </w:rPr>
        <w:t>The Company's ability to grow and make acquisitions through cash on hand is limited.</w:t>
      </w:r>
    </w:p>
    <w:p>
      <w:pPr>
        <w:spacing w:after="0" w:line="3" w:lineRule="exact"/>
        <w:rPr>
          <w:rFonts w:ascii="Arial" w:cs="Arial" w:eastAsia="Arial" w:hAnsi="Arial"/>
          <w:sz w:val="20"/>
          <w:szCs w:val="20"/>
          <w:color w:val="auto"/>
        </w:rPr>
      </w:pPr>
    </w:p>
    <w:p>
      <w:pPr>
        <w:ind w:left="640" w:hanging="31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212121"/>
        </w:rPr>
        <w:t>The Company may be unable to close the Thermal Disposition.</w:t>
      </w:r>
    </w:p>
    <w:p>
      <w:pPr>
        <w:spacing w:after="0" w:line="3" w:lineRule="exact"/>
        <w:rPr>
          <w:rFonts w:ascii="Arial" w:cs="Arial" w:eastAsia="Arial" w:hAnsi="Arial"/>
          <w:sz w:val="18"/>
          <w:szCs w:val="18"/>
          <w:color w:val="auto"/>
        </w:rPr>
      </w:pPr>
    </w:p>
    <w:p>
      <w:pPr>
        <w:ind w:left="640" w:right="320" w:hanging="314"/>
        <w:spacing w:after="0" w:line="24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be able to effectively identify or consummate any future acquisitions on favorable terms, or at all, and future acquisitions may not be accretive as a result of incorrect assumptions in the Company’s evaluation of such acquisitions, unforeseen consequences or other external events beyond the Company’s control.</w:t>
      </w:r>
    </w:p>
    <w:p>
      <w:pPr>
        <w:spacing w:after="0" w:line="2" w:lineRule="exact"/>
        <w:rPr>
          <w:rFonts w:ascii="Arial" w:cs="Arial" w:eastAsia="Arial" w:hAnsi="Arial"/>
          <w:sz w:val="18"/>
          <w:szCs w:val="18"/>
          <w:color w:val="auto"/>
        </w:rPr>
      </w:pPr>
    </w:p>
    <w:p>
      <w:pPr>
        <w:ind w:left="640" w:right="240" w:hanging="314"/>
        <w:spacing w:after="0" w:line="276" w:lineRule="auto"/>
        <w:tabs>
          <w:tab w:leader="none" w:pos="628" w:val="left"/>
        </w:tabs>
        <w:numPr>
          <w:ilvl w:val="0"/>
          <w:numId w:val="5"/>
        </w:numPr>
        <w:rPr>
          <w:rFonts w:ascii="Arial" w:cs="Arial" w:eastAsia="Arial" w:hAnsi="Arial"/>
          <w:sz w:val="17"/>
          <w:szCs w:val="17"/>
          <w:color w:val="auto"/>
        </w:rPr>
      </w:pPr>
      <w:r>
        <w:rPr>
          <w:rFonts w:ascii="Arial" w:cs="Arial" w:eastAsia="Arial" w:hAnsi="Arial"/>
          <w:sz w:val="16"/>
          <w:szCs w:val="16"/>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3" w:lineRule="exact"/>
        <w:rPr>
          <w:rFonts w:ascii="Arial" w:cs="Arial" w:eastAsia="Arial" w:hAnsi="Arial"/>
          <w:sz w:val="17"/>
          <w:szCs w:val="17"/>
          <w:color w:val="auto"/>
        </w:rPr>
      </w:pPr>
    </w:p>
    <w:p>
      <w:pPr>
        <w:ind w:left="640" w:right="240" w:hanging="314"/>
        <w:spacing w:after="0"/>
        <w:tabs>
          <w:tab w:leader="none" w:pos="628" w:val="left"/>
        </w:tabs>
        <w:numPr>
          <w:ilvl w:val="0"/>
          <w:numId w:val="5"/>
        </w:numPr>
        <w:rPr>
          <w:rFonts w:ascii="Arial" w:cs="Arial" w:eastAsia="Arial" w:hAnsi="Arial"/>
          <w:sz w:val="20"/>
          <w:szCs w:val="20"/>
          <w:color w:val="auto"/>
        </w:rPr>
      </w:pPr>
      <w:r>
        <w:rPr>
          <w:rFonts w:ascii="Arial" w:cs="Arial" w:eastAsia="Arial" w:hAnsi="Arial"/>
          <w:sz w:val="18"/>
          <w:szCs w:val="18"/>
          <w:color w:val="auto"/>
        </w:rPr>
        <w:t>The Company’s ability to effectively consummate future acquisitions will also depend on the Company’s ability to arrange the required or desired financing for acquisitions.</w:t>
      </w:r>
    </w:p>
    <w:p>
      <w:pPr>
        <w:spacing w:after="0" w:line="2" w:lineRule="exact"/>
        <w:rPr>
          <w:rFonts w:ascii="Arial" w:cs="Arial" w:eastAsia="Arial" w:hAnsi="Arial"/>
          <w:sz w:val="20"/>
          <w:szCs w:val="20"/>
          <w:color w:val="auto"/>
        </w:rPr>
      </w:pPr>
    </w:p>
    <w:p>
      <w:pPr>
        <w:ind w:left="640" w:right="120" w:hanging="314"/>
        <w:spacing w:after="0"/>
        <w:tabs>
          <w:tab w:leader="none" w:pos="628" w:val="left"/>
        </w:tabs>
        <w:numPr>
          <w:ilvl w:val="0"/>
          <w:numId w:val="5"/>
        </w:numPr>
        <w:rPr>
          <w:rFonts w:ascii="Arial" w:cs="Arial" w:eastAsia="Arial" w:hAnsi="Arial"/>
          <w:sz w:val="20"/>
          <w:szCs w:val="20"/>
          <w:color w:val="auto"/>
        </w:rPr>
      </w:pPr>
      <w:r>
        <w:rPr>
          <w:rFonts w:ascii="Arial" w:cs="Arial" w:eastAsia="Arial" w:hAnsi="Arial"/>
          <w:sz w:val="18"/>
          <w:szCs w:val="18"/>
          <w:color w:val="auto"/>
        </w:rPr>
        <w:t>The Company’s indebtedness could adversely affect its ability to raise additional capital to fund the Company’s operations or pay dividends, and its debt may be adversely affected by changes to, or replacement of, the London Interbank Offered Rate, or LIBOR.</w:t>
      </w:r>
    </w:p>
    <w:p>
      <w:pPr>
        <w:spacing w:after="0" w:line="2" w:lineRule="exact"/>
        <w:rPr>
          <w:rFonts w:ascii="Arial" w:cs="Arial" w:eastAsia="Arial" w:hAnsi="Arial"/>
          <w:sz w:val="20"/>
          <w:szCs w:val="20"/>
          <w:color w:val="auto"/>
        </w:rPr>
      </w:pPr>
    </w:p>
    <w:p>
      <w:pPr>
        <w:ind w:left="640" w:right="80" w:hanging="314"/>
        <w:spacing w:after="0" w:line="242" w:lineRule="auto"/>
        <w:tabs>
          <w:tab w:leader="none" w:pos="628" w:val="left"/>
        </w:tabs>
        <w:numPr>
          <w:ilvl w:val="0"/>
          <w:numId w:val="5"/>
        </w:numPr>
        <w:rPr>
          <w:rFonts w:ascii="Arial" w:cs="Arial" w:eastAsia="Arial" w:hAnsi="Arial"/>
          <w:sz w:val="20"/>
          <w:szCs w:val="20"/>
          <w:color w:val="auto"/>
        </w:rPr>
      </w:pPr>
      <w:r>
        <w:rPr>
          <w:rFonts w:ascii="Arial" w:cs="Arial" w:eastAsia="Arial" w:hAnsi="Arial"/>
          <w:sz w:val="18"/>
          <w:szCs w:val="18"/>
          <w:color w:val="auto"/>
        </w:rPr>
        <w:t>The operation of electric generation facilities depends on suitable meteorological conditions and involves significant risks and hazards customary to the power industry that could have a material adverse effect on the Company's business, financial condition, results of operations and cash flows. These facilities may operate without long-term power sales agreements.</w:t>
      </w:r>
    </w:p>
    <w:p>
      <w:pPr>
        <w:spacing w:after="0" w:line="3" w:lineRule="exact"/>
        <w:rPr>
          <w:rFonts w:ascii="Arial" w:cs="Arial" w:eastAsia="Arial" w:hAnsi="Arial"/>
          <w:sz w:val="20"/>
          <w:szCs w:val="20"/>
          <w:color w:val="auto"/>
        </w:rPr>
      </w:pPr>
    </w:p>
    <w:p>
      <w:pPr>
        <w:ind w:left="640" w:right="160" w:hanging="314"/>
        <w:spacing w:after="0"/>
        <w:tabs>
          <w:tab w:leader="none" w:pos="628" w:val="left"/>
        </w:tabs>
        <w:numPr>
          <w:ilvl w:val="0"/>
          <w:numId w:val="5"/>
        </w:numPr>
        <w:rPr>
          <w:rFonts w:ascii="Arial" w:cs="Arial" w:eastAsia="Arial" w:hAnsi="Arial"/>
          <w:sz w:val="20"/>
          <w:szCs w:val="20"/>
          <w:color w:val="auto"/>
        </w:rPr>
      </w:pPr>
      <w:r>
        <w:rPr>
          <w:rFonts w:ascii="Arial" w:cs="Arial" w:eastAsia="Arial" w:hAnsi="Arial"/>
          <w:sz w:val="18"/>
          <w:szCs w:val="18"/>
          <w:color w:val="auto"/>
        </w:rPr>
        <w:t>Maintenance, expansion and refurbishment of electric generation facilities involve significant risks that could result in unplanned power outages or reduced output.</w:t>
      </w:r>
    </w:p>
    <w:p>
      <w:pPr>
        <w:spacing w:after="0" w:line="2" w:lineRule="exact"/>
        <w:rPr>
          <w:rFonts w:ascii="Arial" w:cs="Arial" w:eastAsia="Arial" w:hAnsi="Arial"/>
          <w:sz w:val="20"/>
          <w:szCs w:val="20"/>
          <w:color w:val="auto"/>
        </w:rPr>
      </w:pPr>
    </w:p>
    <w:p>
      <w:pPr>
        <w:ind w:left="640" w:right="40" w:hanging="314"/>
        <w:spacing w:after="0"/>
        <w:tabs>
          <w:tab w:leader="none" w:pos="628" w:val="left"/>
        </w:tabs>
        <w:numPr>
          <w:ilvl w:val="0"/>
          <w:numId w:val="5"/>
        </w:numPr>
        <w:rPr>
          <w:rFonts w:ascii="Arial" w:cs="Arial" w:eastAsia="Arial" w:hAnsi="Arial"/>
          <w:sz w:val="20"/>
          <w:szCs w:val="20"/>
          <w:color w:val="auto"/>
        </w:rPr>
      </w:pPr>
      <w:r>
        <w:rPr>
          <w:rFonts w:ascii="Arial" w:cs="Arial" w:eastAsia="Arial" w:hAnsi="Arial"/>
          <w:sz w:val="18"/>
          <w:szCs w:val="18"/>
          <w:color w:val="auto"/>
        </w:rPr>
        <w:t>Supplier and/or customer concentration at certain of the Company's facilities may expose the Company to significant financial credit or performance risks.</w:t>
      </w:r>
    </w:p>
    <w:p>
      <w:pPr>
        <w:spacing w:after="0" w:line="2" w:lineRule="exact"/>
        <w:rPr>
          <w:rFonts w:ascii="Arial" w:cs="Arial" w:eastAsia="Arial" w:hAnsi="Arial"/>
          <w:sz w:val="20"/>
          <w:szCs w:val="20"/>
          <w:color w:val="auto"/>
        </w:rPr>
      </w:pPr>
    </w:p>
    <w:p>
      <w:pPr>
        <w:ind w:left="640" w:right="240" w:hanging="314"/>
        <w:spacing w:after="0"/>
        <w:tabs>
          <w:tab w:leader="none" w:pos="628" w:val="left"/>
        </w:tabs>
        <w:numPr>
          <w:ilvl w:val="0"/>
          <w:numId w:val="5"/>
        </w:numPr>
        <w:rPr>
          <w:rFonts w:ascii="Arial" w:cs="Arial" w:eastAsia="Arial" w:hAnsi="Arial"/>
          <w:sz w:val="20"/>
          <w:szCs w:val="20"/>
          <w:color w:val="auto"/>
        </w:rPr>
      </w:pPr>
      <w:r>
        <w:rPr>
          <w:rFonts w:ascii="Arial" w:cs="Arial" w:eastAsia="Arial" w:hAnsi="Arial"/>
          <w:sz w:val="18"/>
          <w:szCs w:val="18"/>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2" w:lineRule="exact"/>
        <w:rPr>
          <w:rFonts w:ascii="Arial" w:cs="Arial" w:eastAsia="Arial" w:hAnsi="Arial"/>
          <w:sz w:val="20"/>
          <w:szCs w:val="20"/>
          <w:color w:val="auto"/>
        </w:rPr>
      </w:pPr>
    </w:p>
    <w:p>
      <w:pPr>
        <w:ind w:left="640" w:right="260" w:hanging="314"/>
        <w:spacing w:after="0"/>
        <w:tabs>
          <w:tab w:leader="none" w:pos="628" w:val="left"/>
        </w:tabs>
        <w:numPr>
          <w:ilvl w:val="0"/>
          <w:numId w:val="5"/>
        </w:numPr>
        <w:rPr>
          <w:rFonts w:ascii="Arial" w:cs="Arial" w:eastAsia="Arial" w:hAnsi="Arial"/>
          <w:sz w:val="20"/>
          <w:szCs w:val="20"/>
          <w:color w:val="auto"/>
        </w:rPr>
      </w:pPr>
      <w:r>
        <w:rPr>
          <w:rFonts w:ascii="Arial" w:cs="Arial" w:eastAsia="Arial" w:hAnsi="Arial"/>
          <w:sz w:val="18"/>
          <w:szCs w:val="18"/>
          <w:color w:val="auto"/>
        </w:rPr>
        <w:t>The Company's assets are exposed to risks inherent in the use of interest rate swaps and forward commodity purchase contracts and the Company may be exposed to additional risks in the future if it utilizes other derivative instruments.</w:t>
      </w:r>
    </w:p>
    <w:p>
      <w:pPr>
        <w:spacing w:after="0" w:line="2" w:lineRule="exact"/>
        <w:rPr>
          <w:rFonts w:ascii="Arial" w:cs="Arial" w:eastAsia="Arial" w:hAnsi="Arial"/>
          <w:sz w:val="20"/>
          <w:szCs w:val="20"/>
          <w:color w:val="auto"/>
        </w:rPr>
      </w:pPr>
    </w:p>
    <w:p>
      <w:pPr>
        <w:ind w:left="640" w:right="580" w:hanging="314"/>
        <w:spacing w:after="0"/>
        <w:tabs>
          <w:tab w:leader="none" w:pos="628" w:val="left"/>
        </w:tabs>
        <w:numPr>
          <w:ilvl w:val="0"/>
          <w:numId w:val="5"/>
        </w:numPr>
        <w:rPr>
          <w:rFonts w:ascii="Arial" w:cs="Arial" w:eastAsia="Arial" w:hAnsi="Arial"/>
          <w:sz w:val="20"/>
          <w:szCs w:val="20"/>
          <w:color w:val="auto"/>
        </w:rPr>
      </w:pPr>
      <w:r>
        <w:rPr>
          <w:rFonts w:ascii="Arial" w:cs="Arial" w:eastAsia="Arial" w:hAnsi="Arial"/>
          <w:sz w:val="18"/>
          <w:szCs w:val="18"/>
          <w:color w:val="auto"/>
        </w:rPr>
        <w:t>The Company does not own all of the land on which its power generation or thermal assets are located, which could result in disruption to its operations.</w:t>
      </w:r>
    </w:p>
    <w:p>
      <w:pPr>
        <w:spacing w:after="0" w:line="2" w:lineRule="exact"/>
        <w:rPr>
          <w:rFonts w:ascii="Arial" w:cs="Arial" w:eastAsia="Arial" w:hAnsi="Arial"/>
          <w:sz w:val="20"/>
          <w:szCs w:val="20"/>
          <w:color w:val="auto"/>
        </w:rPr>
      </w:pPr>
    </w:p>
    <w:p>
      <w:pPr>
        <w:ind w:left="640" w:right="720" w:hanging="314"/>
        <w:spacing w:after="0"/>
        <w:tabs>
          <w:tab w:leader="none" w:pos="628" w:val="left"/>
        </w:tabs>
        <w:numPr>
          <w:ilvl w:val="0"/>
          <w:numId w:val="5"/>
        </w:numPr>
        <w:rPr>
          <w:rFonts w:ascii="Arial" w:cs="Arial" w:eastAsia="Arial" w:hAnsi="Arial"/>
          <w:sz w:val="20"/>
          <w:szCs w:val="20"/>
          <w:color w:val="auto"/>
        </w:rPr>
      </w:pPr>
      <w:r>
        <w:rPr>
          <w:rFonts w:ascii="Arial" w:cs="Arial" w:eastAsia="Arial" w:hAnsi="Arial"/>
          <w:sz w:val="18"/>
          <w:szCs w:val="18"/>
          <w:color w:val="auto"/>
        </w:rPr>
        <w:t>The Company's businesses are subject to physical, market and economic risks relating to potential effects of climate change and public and governmental initiatives to address climate change.</w:t>
      </w:r>
    </w:p>
    <w:p>
      <w:pPr>
        <w:spacing w:after="0" w:line="2" w:lineRule="exact"/>
        <w:rPr>
          <w:rFonts w:ascii="Arial" w:cs="Arial" w:eastAsia="Arial" w:hAnsi="Arial"/>
          <w:sz w:val="20"/>
          <w:szCs w:val="20"/>
          <w:color w:val="auto"/>
        </w:rPr>
      </w:pPr>
    </w:p>
    <w:p>
      <w:pPr>
        <w:ind w:left="640" w:right="240" w:hanging="314"/>
        <w:spacing w:after="0" w:line="242" w:lineRule="auto"/>
        <w:tabs>
          <w:tab w:leader="none" w:pos="628" w:val="left"/>
        </w:tabs>
        <w:numPr>
          <w:ilvl w:val="0"/>
          <w:numId w:val="5"/>
        </w:numPr>
        <w:rPr>
          <w:rFonts w:ascii="Arial" w:cs="Arial" w:eastAsia="Arial" w:hAnsi="Arial"/>
          <w:sz w:val="20"/>
          <w:szCs w:val="20"/>
          <w:color w:val="auto"/>
        </w:rPr>
      </w:pPr>
      <w:r>
        <w:rPr>
          <w:rFonts w:ascii="Arial" w:cs="Arial" w:eastAsia="Arial" w:hAnsi="Arial"/>
          <w:sz w:val="18"/>
          <w:szCs w:val="18"/>
          <w:color w:val="auto"/>
        </w:rPr>
        <w:t>Risks that are beyond the Company's control, including but not limited to acts of terrorism or related acts of war, natural disaster, inflation, supply chain disruptions, hostile cyber intrusions or other catastrophic events, could have a material adverse effect on the business, financial condition, results of operations and cash flows.</w:t>
      </w:r>
    </w:p>
    <w:p>
      <w:pPr>
        <w:spacing w:after="0" w:line="1" w:lineRule="exact"/>
        <w:rPr>
          <w:rFonts w:ascii="Arial" w:cs="Arial" w:eastAsia="Arial" w:hAnsi="Arial"/>
          <w:sz w:val="20"/>
          <w:szCs w:val="20"/>
          <w:color w:val="auto"/>
        </w:rPr>
      </w:pPr>
    </w:p>
    <w:p>
      <w:pPr>
        <w:ind w:left="640" w:hanging="314"/>
        <w:spacing w:after="0" w:line="236" w:lineRule="auto"/>
        <w:tabs>
          <w:tab w:leader="none" w:pos="640" w:val="left"/>
        </w:tabs>
        <w:numPr>
          <w:ilvl w:val="0"/>
          <w:numId w:val="5"/>
        </w:numPr>
        <w:rPr>
          <w:rFonts w:ascii="Arial" w:cs="Arial" w:eastAsia="Arial" w:hAnsi="Arial"/>
          <w:sz w:val="20"/>
          <w:szCs w:val="20"/>
          <w:color w:val="auto"/>
        </w:rPr>
      </w:pPr>
      <w:r>
        <w:rPr>
          <w:rFonts w:ascii="Arial" w:cs="Arial" w:eastAsia="Arial" w:hAnsi="Arial"/>
          <w:sz w:val="18"/>
          <w:szCs w:val="18"/>
          <w:color w:val="auto"/>
        </w:rPr>
        <w:t>The operation of the Company’s businesses is subject to cyber-based security and integrity risk.</w:t>
      </w:r>
    </w:p>
    <w:p>
      <w:pPr>
        <w:spacing w:after="0" w:line="6" w:lineRule="exact"/>
        <w:rPr>
          <w:rFonts w:ascii="Arial" w:cs="Arial" w:eastAsia="Arial" w:hAnsi="Arial"/>
          <w:sz w:val="20"/>
          <w:szCs w:val="20"/>
          <w:color w:val="auto"/>
        </w:rPr>
      </w:pPr>
    </w:p>
    <w:p>
      <w:pPr>
        <w:ind w:left="640" w:hanging="314"/>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6"/>
          <w:szCs w:val="16"/>
          <w:color w:val="auto"/>
        </w:rPr>
        <w:t>The Company relies on electric distribution and transmission facilities that it does not own or control and that are subject to transmission constraints</w:t>
      </w:r>
    </w:p>
    <w:p>
      <w:pPr>
        <w:spacing w:after="0" w:line="54" w:lineRule="exact"/>
        <w:rPr>
          <w:rFonts w:ascii="Arial" w:cs="Arial" w:eastAsia="Arial" w:hAnsi="Arial"/>
          <w:sz w:val="17"/>
          <w:szCs w:val="17"/>
          <w:color w:val="auto"/>
        </w:rPr>
      </w:pPr>
    </w:p>
    <w:p>
      <w:pPr>
        <w:ind w:left="640"/>
        <w:spacing w:after="0" w:line="253" w:lineRule="auto"/>
        <w:rPr>
          <w:rFonts w:ascii="Arial" w:cs="Arial" w:eastAsia="Arial" w:hAnsi="Arial"/>
          <w:sz w:val="17"/>
          <w:szCs w:val="17"/>
          <w:color w:val="auto"/>
        </w:rPr>
      </w:pPr>
      <w:r>
        <w:rPr>
          <w:rFonts w:ascii="Arial" w:cs="Arial" w:eastAsia="Arial" w:hAnsi="Arial"/>
          <w:sz w:val="18"/>
          <w:szCs w:val="18"/>
          <w:color w:val="auto"/>
        </w:rPr>
        <w:t>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3" w:lineRule="exact"/>
        <w:rPr>
          <w:rFonts w:ascii="Arial" w:cs="Arial" w:eastAsia="Arial" w:hAnsi="Arial"/>
          <w:sz w:val="17"/>
          <w:szCs w:val="17"/>
          <w:color w:val="auto"/>
        </w:rPr>
      </w:pPr>
    </w:p>
    <w:p>
      <w:pPr>
        <w:ind w:left="640" w:right="320" w:hanging="314"/>
        <w:spacing w:after="0"/>
        <w:tabs>
          <w:tab w:leader="none" w:pos="628" w:val="left"/>
        </w:tabs>
        <w:numPr>
          <w:ilvl w:val="0"/>
          <w:numId w:val="5"/>
        </w:numPr>
        <w:rPr>
          <w:rFonts w:ascii="Arial" w:cs="Arial" w:eastAsia="Arial" w:hAnsi="Arial"/>
          <w:sz w:val="20"/>
          <w:szCs w:val="20"/>
          <w:color w:val="auto"/>
        </w:rPr>
      </w:pPr>
      <w:r>
        <w:rPr>
          <w:rFonts w:ascii="Arial" w:cs="Arial" w:eastAsia="Arial" w:hAnsi="Arial"/>
          <w:sz w:val="18"/>
          <w:szCs w:val="18"/>
          <w:color w:val="auto"/>
        </w:rPr>
        <w:t>The Company's costs, results of operations, financial condition and cash flows could be adversely impacted by the disruption of the fuel supplies necessary to generate power at its conventional and thermal power generation facilities.</w:t>
      </w:r>
    </w:p>
    <w:p>
      <w:pPr>
        <w:spacing w:after="0" w:line="2" w:lineRule="exact"/>
        <w:rPr>
          <w:rFonts w:ascii="Arial" w:cs="Arial" w:eastAsia="Arial" w:hAnsi="Arial"/>
          <w:sz w:val="20"/>
          <w:szCs w:val="20"/>
          <w:color w:val="auto"/>
        </w:rPr>
      </w:pPr>
    </w:p>
    <w:p>
      <w:pPr>
        <w:ind w:left="640" w:right="300" w:hanging="314"/>
        <w:spacing w:after="0"/>
        <w:tabs>
          <w:tab w:leader="none" w:pos="628" w:val="left"/>
        </w:tabs>
        <w:numPr>
          <w:ilvl w:val="0"/>
          <w:numId w:val="5"/>
        </w:numPr>
        <w:rPr>
          <w:rFonts w:ascii="Arial" w:cs="Arial" w:eastAsia="Arial" w:hAnsi="Arial"/>
          <w:sz w:val="20"/>
          <w:szCs w:val="20"/>
          <w:color w:val="auto"/>
        </w:rPr>
      </w:pPr>
      <w:r>
        <w:rPr>
          <w:rFonts w:ascii="Arial" w:cs="Arial" w:eastAsia="Arial" w:hAnsi="Arial"/>
          <w:sz w:val="18"/>
          <w:szCs w:val="18"/>
          <w:color w:val="auto"/>
        </w:rPr>
        <w:t>The Company depends on key personnel and its ability to attract and retain additional skilled management and other personnel, the loss of any of which could have a material adverse effect on the Company's financial condition and results of operations.</w:t>
      </w:r>
    </w:p>
    <w:p>
      <w:pPr>
        <w:ind w:left="640" w:right="140" w:hanging="314"/>
        <w:spacing w:after="0" w:line="25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potentially be adversely affected by emerging technologies that may over time impact capacity markets and the energy industry overall.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Risks Related to the Company’s Relationship with GIP and CEG</w:t>
      </w:r>
    </w:p>
    <w:p>
      <w:pPr>
        <w:spacing w:after="0" w:line="119" w:lineRule="exact"/>
        <w:rPr>
          <w:sz w:val="20"/>
          <w:szCs w:val="20"/>
          <w:color w:val="auto"/>
        </w:rPr>
      </w:pPr>
    </w:p>
    <w:p>
      <w:pPr>
        <w:ind w:left="640" w:right="100" w:hanging="314"/>
        <w:spacing w:after="0" w:line="253"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GIP, through its ownership of CEG, is the Company's controlling stockholder and exercises substantial influence over the Company. The Company is highly dependent on GIP and CEG.</w:t>
      </w:r>
    </w:p>
    <w:p>
      <w:pPr>
        <w:spacing w:after="0" w:line="1"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may not be able to consummate future acquisitions from CEG.</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may be unable to terminate the CEG Master Services Agreement, in certain circumstances.</w:t>
      </w:r>
    </w:p>
    <w:p>
      <w:pPr>
        <w:spacing w:after="0" w:line="6" w:lineRule="exact"/>
        <w:rPr>
          <w:rFonts w:ascii="Arial" w:cs="Arial" w:eastAsia="Arial" w:hAnsi="Arial"/>
          <w:sz w:val="18"/>
          <w:szCs w:val="18"/>
          <w:color w:val="auto"/>
        </w:rPr>
      </w:pPr>
    </w:p>
    <w:p>
      <w:pPr>
        <w:ind w:left="640" w:right="60" w:hanging="314"/>
        <w:spacing w:after="0" w:line="247"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CEG terminates the CEG Master Services Agreement or defaults in the performance of its obligations under the agreement, the Company may be unable to contract with a substitute service provider on similar terms, or at all.</w:t>
      </w:r>
    </w:p>
    <w:p>
      <w:pPr>
        <w:ind w:left="640" w:right="400" w:hanging="314"/>
        <w:spacing w:after="0" w:line="25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a "controlled company", controlled by GIP, and as a result, is exempt from certain corporate governance requirements that are designed to provide protection to stockholders of companies that are not controlled companies.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19" w:lineRule="exact"/>
        <w:rPr>
          <w:sz w:val="20"/>
          <w:szCs w:val="20"/>
          <w:color w:val="auto"/>
        </w:rPr>
      </w:pPr>
    </w:p>
    <w:p>
      <w:pPr>
        <w:ind w:left="640" w:hanging="314"/>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Company's business is subject to restrictions resulting from environmental, health and safety laws and regulations.</w:t>
      </w:r>
    </w:p>
    <w:p>
      <w:pPr>
        <w:spacing w:after="0" w:line="19" w:lineRule="exact"/>
        <w:rPr>
          <w:rFonts w:ascii="Arial" w:cs="Arial" w:eastAsia="Arial" w:hAnsi="Arial"/>
          <w:sz w:val="18"/>
          <w:szCs w:val="18"/>
          <w:b w:val="1"/>
          <w:bCs w:val="1"/>
          <w:color w:val="auto"/>
        </w:rPr>
      </w:pPr>
    </w:p>
    <w:p>
      <w:pPr>
        <w:ind w:left="640" w:right="140" w:hanging="314"/>
        <w:spacing w:after="0" w:line="242" w:lineRule="auto"/>
        <w:tabs>
          <w:tab w:leader="none" w:pos="628" w:val="left"/>
        </w:tabs>
        <w:numPr>
          <w:ilvl w:val="0"/>
          <w:numId w:val="7"/>
        </w:numPr>
        <w:rPr>
          <w:rFonts w:ascii="Arial" w:cs="Arial" w:eastAsia="Arial" w:hAnsi="Arial"/>
          <w:sz w:val="20"/>
          <w:szCs w:val="20"/>
          <w:color w:val="auto"/>
        </w:rPr>
      </w:pPr>
      <w:r>
        <w:rPr>
          <w:rFonts w:ascii="Arial" w:cs="Arial" w:eastAsia="Arial" w:hAnsi="Arial"/>
          <w:sz w:val="18"/>
          <w:szCs w:val="18"/>
          <w:color w:val="auto"/>
        </w:rPr>
        <w:t>The electric generation business is subject to substantial governmental regulation, including environmental laws, and may be adversely affected by changes in laws or regulations, as well as liability under, or any future inability to comply with, existing or future regulations or other legal requirements.</w:t>
      </w:r>
    </w:p>
    <w:p>
      <w:pPr>
        <w:spacing w:after="0" w:line="1" w:lineRule="exact"/>
        <w:rPr>
          <w:rFonts w:ascii="Arial" w:cs="Arial" w:eastAsia="Arial" w:hAnsi="Arial"/>
          <w:sz w:val="20"/>
          <w:szCs w:val="20"/>
          <w:color w:val="auto"/>
        </w:rPr>
      </w:pPr>
    </w:p>
    <w:p>
      <w:pPr>
        <w:ind w:left="640" w:hanging="31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business is subject to complex and evolving U.S. laws and regulations regarding privacy and data protection.</w:t>
      </w:r>
    </w:p>
    <w:p>
      <w:pPr>
        <w:spacing w:after="0" w:line="6" w:lineRule="exact"/>
        <w:rPr>
          <w:rFonts w:ascii="Arial" w:cs="Arial" w:eastAsia="Arial" w:hAnsi="Arial"/>
          <w:sz w:val="18"/>
          <w:szCs w:val="18"/>
          <w:color w:val="auto"/>
        </w:rPr>
      </w:pPr>
    </w:p>
    <w:p>
      <w:pPr>
        <w:ind w:left="640" w:hanging="314"/>
        <w:spacing w:after="0" w:line="24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regulations providing incentives for renewable power generation could change at any time and such changes may negatively impact the Company's growth strategy.</w:t>
      </w:r>
    </w:p>
    <w:p>
      <w:pPr>
        <w:ind w:left="640" w:hanging="31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profitability of certain of the Company's Thermal assets is dependent on regulatory approval.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Common Stock</w:t>
      </w:r>
    </w:p>
    <w:p>
      <w:pPr>
        <w:spacing w:after="0" w:line="119" w:lineRule="exact"/>
        <w:rPr>
          <w:sz w:val="20"/>
          <w:szCs w:val="20"/>
          <w:color w:val="auto"/>
        </w:rPr>
      </w:pPr>
    </w:p>
    <w:p>
      <w:pPr>
        <w:ind w:left="640" w:hanging="314"/>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may not be able to continue paying comparable or growing cash dividends to holders of its common stock in the future.</w:t>
      </w:r>
    </w:p>
    <w:p>
      <w:pPr>
        <w:spacing w:after="0" w:line="28" w:lineRule="exact"/>
        <w:rPr>
          <w:rFonts w:ascii="Arial" w:cs="Arial" w:eastAsia="Arial" w:hAnsi="Arial"/>
          <w:sz w:val="17"/>
          <w:szCs w:val="17"/>
          <w:color w:val="auto"/>
        </w:rPr>
      </w:pPr>
    </w:p>
    <w:p>
      <w:pPr>
        <w:ind w:left="640" w:hanging="31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interest rates may have an effect on the value of the Company's Class A and Class C common stock.</w:t>
      </w:r>
    </w:p>
    <w:p>
      <w:pPr>
        <w:spacing w:after="0" w:line="6" w:lineRule="exact"/>
        <w:rPr>
          <w:rFonts w:ascii="Arial" w:cs="Arial" w:eastAsia="Arial" w:hAnsi="Arial"/>
          <w:sz w:val="18"/>
          <w:szCs w:val="18"/>
          <w:color w:val="auto"/>
        </w:rPr>
      </w:pPr>
    </w:p>
    <w:p>
      <w:pPr>
        <w:ind w:left="640" w:right="100" w:hanging="314"/>
        <w:spacing w:after="0" w:line="24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volatility and reports by securities and industry analysts may affect the price of the Company's Class A and Class C common stock, and the future issuance of additional shares of common stock may cause dilution of investors' ownership interest.</w:t>
      </w:r>
    </w:p>
    <w:p>
      <w:pPr>
        <w:jc w:val="both"/>
        <w:ind w:left="640" w:right="420" w:hanging="314"/>
        <w:spacing w:after="0" w:line="316" w:lineRule="auto"/>
        <w:tabs>
          <w:tab w:leader="none" w:pos="635"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119" w:lineRule="exact"/>
        <w:rPr>
          <w:sz w:val="20"/>
          <w:szCs w:val="20"/>
          <w:color w:val="auto"/>
        </w:rPr>
      </w:pPr>
    </w:p>
    <w:p>
      <w:pPr>
        <w:ind w:left="640" w:right="180" w:hanging="314"/>
        <w:spacing w:after="0" w:line="25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w:t>
      </w:r>
    </w:p>
    <w:p>
      <w:pPr>
        <w:spacing w:after="0" w:line="1"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ability to use NOLs to offset future income may be limited.</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valuation allowance may be required for the Company's deferred tax assets.</w:t>
      </w:r>
    </w:p>
    <w:p>
      <w:pPr>
        <w:spacing w:after="0" w:line="6" w:lineRule="exact"/>
        <w:rPr>
          <w:rFonts w:ascii="Arial" w:cs="Arial" w:eastAsia="Arial" w:hAnsi="Arial"/>
          <w:sz w:val="18"/>
          <w:szCs w:val="18"/>
          <w:color w:val="auto"/>
        </w:rPr>
      </w:pPr>
    </w:p>
    <w:p>
      <w:pPr>
        <w:ind w:left="640" w:hanging="31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Distributions to holders of the Company's Class A and Class C common stock may be taxable.</w:t>
      </w:r>
    </w:p>
    <w:p>
      <w:pPr>
        <w:spacing w:after="0" w:line="6" w:lineRule="exact"/>
        <w:rPr>
          <w:rFonts w:ascii="Arial" w:cs="Arial" w:eastAsia="Arial" w:hAnsi="Arial"/>
          <w:sz w:val="18"/>
          <w:szCs w:val="18"/>
          <w:color w:val="auto"/>
        </w:rPr>
      </w:pPr>
    </w:p>
    <w:p>
      <w:pPr>
        <w:ind w:left="640" w:right="200" w:hanging="314"/>
        <w:spacing w:after="0" w:line="250"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laws or policies, including but not limited to changes in corporate income tax rates, as well as judgments and estimates used in the determination of tax-related asset and liability amounts, could materially adversely affect the Company’s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Risks Related to the Company's Business</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The ongoing coronavirus (COVID-19) pandemic or any other pandemic could adversely affect the Company’s business, financial condition and results of operations.</w:t>
      </w:r>
    </w:p>
    <w:p>
      <w:pPr>
        <w:spacing w:after="0" w:line="126" w:lineRule="exact"/>
        <w:rPr>
          <w:sz w:val="20"/>
          <w:szCs w:val="20"/>
          <w:color w:val="auto"/>
        </w:rPr>
      </w:pPr>
    </w:p>
    <w:p>
      <w:pPr>
        <w:jc w:val="both"/>
        <w:ind w:firstLine="400"/>
        <w:spacing w:after="0" w:line="283" w:lineRule="auto"/>
        <w:rPr>
          <w:sz w:val="20"/>
          <w:szCs w:val="20"/>
          <w:color w:val="auto"/>
        </w:rPr>
      </w:pPr>
      <w:r>
        <w:rPr>
          <w:rFonts w:ascii="Arial" w:cs="Arial" w:eastAsia="Arial" w:hAnsi="Arial"/>
          <w:sz w:val="16"/>
          <w:szCs w:val="16"/>
          <w:color w:val="auto"/>
        </w:rPr>
        <w:t>The ongoing coronavirus (COVID-19) outbreak, which the World Health Organization declared as a pandemic on March 11, 2020, has reached every region of the world and has resulted in widespread adverse impacts on the global economy. In response, the Company has modified certain business and workforce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conform to government restrictions and best practices encouraged by governmental and regulatory authorities. However, the quarantine of personnel or the inability to access the Company’s facilities or customer sites could adversely affect the Company’s operations. Also, the Company has a limited number of highly skilled employees for some of its operations and relies on certain independent contractors and other service providers. If a large proportion of the Company’s employees in those critical positions, or independent contractors or other service providers to the Company or its customers were to contract COVID-19 at the same time, the Company would rely upon its business continuity plans in an effort to continue operations at its facilities, but there is no certainty that such measures will be sufficient to mitigate the adverse impact to its operations that could result from shortages of highly skilled employees, independent contractors or service providers.</w:t>
      </w:r>
    </w:p>
    <w:p>
      <w:pPr>
        <w:spacing w:after="0" w:line="119"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There is considerable uncertainty regarding how long the COVID-19 pandemic will persist and affect economic conditions, as well as whether governmental and other measures implemented to try to slow the spread of the virus, such as large-scale travel bans and restrictions, border closures, quarantines, shelter-in-place orders and business and government shutdowns that exist as of the date of this report will be effective or whether new measures will be implemented or reinstated. Restrictions of this nature may cause the Company, its suppliers and other business counterparties to experience operational delays and delays in the delivery of materials and supplies and may cause milestones or deadlines relating to various projects to be missed. As a result, the Company could experience reductions in its sales and corresponding revenues in future periods. In addition, worsening economic conditions could result in the Company’s customers being unable or unwilling to fulfill their contractual obligations over time, or as contracts expire, to replace them with agreements on similar terms, which would impact the Company’s future financial performance. A significant decline in sales for the output the Company generates, whether due to decreases in consumer demand or disruption to its facilities or otherwise, would have a material adverse effect on the Company’s financial expectations, its financial condition, results of operations and cash flows, its ability to make distributions to its stockholders, the market prices of its common stock and its ability to satisfy its debt service obligations.</w:t>
      </w:r>
    </w:p>
    <w:p>
      <w:pPr>
        <w:spacing w:after="0" w:line="131"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As of the date of this report, the Company's efforts to respond to the challenges presented by the conditions described above have allowed the Company to minimize the impacts to its business.</w:t>
      </w:r>
    </w:p>
    <w:p>
      <w:pPr>
        <w:spacing w:after="0" w:line="126"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Additionally, the effects of COVID-19 (and its variants) or any other pandemic on the global economy could adversely affect the Company’s ability to access the capital and other financial markets, and if so, the Company may need to consider alternative sources of funding for some of its operations and for working capital, which may increase its cost of, as well as adversely impact its access to, capital. These uncertain economic conditions may also result in the inability of the Company’s customers and other counterparties to make payments to the Company, on a timely basis or at all, which could adversely affect the Company’s financial expectations, its financial condition, results of operations and cash flows, its ability to make distributions to its stockholders, the market prices of its common stock and its ability to satisfy its debt service obligations.</w:t>
      </w:r>
    </w:p>
    <w:p>
      <w:pPr>
        <w:spacing w:after="0" w:line="130"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The Company cannot predict the full impact that COVID-19 and its variants will have on the Company’s financial expectations, its financial condition, results of operations and cash flows, its ability to make distributions to its stockholders, the market prices of its common stock and its ability to satisfy its debt service obligations at this time, due to numerous uncertainties. The ultimate impacts will depend on future developments, including, among others, the ultimate duration and persistence of the pandemic, the consequences of governmental and other measures designed to prevent the spread of the virus, the ability of governments and health care providers to timely distribute available vaccines and the efficacy of such vaccines, the duration of the outbreak, actions taken by governmental actions taken by authorities, customers, suppliers and other third parties, workforce availability and the timing and extent to which normal economic and operating conditions resume.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Certain facilities are newly constructed and may not perform as expected.</w:t>
      </w:r>
    </w:p>
    <w:p>
      <w:pPr>
        <w:spacing w:after="0" w:line="166"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Certain of the Company's conventional and renewable assets are newly constructed. The ability of these facilities to meet the Company's performance expectations is subject to the risks inherent in newly constructed power generation facilities and the construction of such facilities, including, but not limited to, degradation of equipment in excess of the Company's expectations, system failures, and outages. The failure of these facilities to perform as the Company expects could have a material adverse effect on the Company's business, financial condition, results of operations, cash flows and its ability to pay dividends to holders of the Company's common stock.</w:t>
      </w:r>
    </w:p>
    <w:p>
      <w:pPr>
        <w:spacing w:after="0" w:line="139" w:lineRule="exact"/>
        <w:rPr>
          <w:sz w:val="20"/>
          <w:szCs w:val="20"/>
          <w:color w:val="auto"/>
        </w:rPr>
      </w:pPr>
    </w:p>
    <w:p>
      <w:pPr>
        <w:jc w:val="both"/>
        <w:ind w:right="20"/>
        <w:spacing w:after="0" w:line="297" w:lineRule="auto"/>
        <w:rPr>
          <w:sz w:val="20"/>
          <w:szCs w:val="20"/>
          <w:color w:val="auto"/>
        </w:rPr>
      </w:pPr>
      <w:r>
        <w:rPr>
          <w:rFonts w:ascii="Arial" w:cs="Arial" w:eastAsia="Arial" w:hAnsi="Arial"/>
          <w:sz w:val="17"/>
          <w:szCs w:val="17"/>
          <w:b w:val="1"/>
          <w:bCs w:val="1"/>
          <w:i w:val="1"/>
          <w:iCs w:val="1"/>
          <w:color w:val="auto"/>
        </w:rPr>
        <w:t>Pursuant to the Company's cash dividend policy, the Company intends to distribute a significant amount of the CAFD through regular quarterly distributions and dividends, and the Company's ability to grow and make acquisitions through cash on hand is limited.</w:t>
      </w:r>
    </w:p>
    <w:p>
      <w:pPr>
        <w:spacing w:after="0" w:line="103" w:lineRule="exact"/>
        <w:rPr>
          <w:sz w:val="20"/>
          <w:szCs w:val="20"/>
          <w:color w:val="auto"/>
        </w:rPr>
      </w:pPr>
    </w:p>
    <w:p>
      <w:pPr>
        <w:jc w:val="both"/>
        <w:ind w:firstLine="400"/>
        <w:spacing w:after="0" w:line="284" w:lineRule="auto"/>
        <w:rPr>
          <w:sz w:val="20"/>
          <w:szCs w:val="20"/>
          <w:color w:val="auto"/>
        </w:rPr>
      </w:pPr>
      <w:r>
        <w:rPr>
          <w:rFonts w:ascii="Arial" w:cs="Arial" w:eastAsia="Arial" w:hAnsi="Arial"/>
          <w:sz w:val="16"/>
          <w:szCs w:val="16"/>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To the extent the Company issues additional equity securities in connection with any acquisitions or growth capital expenditures, the payment of dividends on these additional equity securities may increase the risk that the Company will be unable to maintain or increase its per share dividend. The incurrence of bank borrowings or other debt by Clearway Energy Operating LLC or by the Company's project-level subsidiaries to finance the Company’s growth strategy will result in increased interest expense and the imposition of additional or more restrictive covenants, which, in turn, may impact the cash distributions the Company receives to distribute to holders of the Company’s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to close the Thermal Disposition.</w:t>
      </w:r>
    </w:p>
    <w:p>
      <w:pPr>
        <w:spacing w:after="0" w:line="166" w:lineRule="exact"/>
        <w:rPr>
          <w:sz w:val="20"/>
          <w:szCs w:val="20"/>
          <w:color w:val="auto"/>
        </w:rPr>
      </w:pPr>
    </w:p>
    <w:p>
      <w:pPr>
        <w:jc w:val="both"/>
        <w:ind w:firstLine="400"/>
        <w:spacing w:after="0" w:line="283" w:lineRule="auto"/>
        <w:rPr>
          <w:sz w:val="20"/>
          <w:szCs w:val="20"/>
          <w:color w:val="auto"/>
        </w:rPr>
      </w:pPr>
      <w:r>
        <w:rPr>
          <w:rFonts w:ascii="Arial" w:cs="Arial" w:eastAsia="Arial" w:hAnsi="Arial"/>
          <w:sz w:val="16"/>
          <w:szCs w:val="16"/>
          <w:color w:val="auto"/>
        </w:rPr>
        <w:t>On October 22, 2021, Clearway Energy Operating LLC entered into a Membership Interest Purchase Agreement to sell the Company’s Thermal Business to KKR, or the Thermal Disposition. The Thermal Disposition is expected to close in the first half of 2022 and is subject to certain customary closing conditions that make its completion and timing uncertain. Accordingly, there can be no assurance that the Thermal Disposition will be consummated on the anticipated schedule or at all. If the Company is unable to complete the Thermal Disposition, the Company may need to seek a new buyer or reassess the decision to sell the Thermal Business, and any such new sale would also be subject to new regulatory approvals and other conditions. Such renegotiation and conditions and the process of obtaining regulatory approvals could have the effect of delaying or impeding consummation of the sale of the Thermal Business. In addition, if the Thermal Disposition is not completed, the Company may need to raise additional capital, including the issuance of additional shares of common stock to raise equity capital to repay existing indebtedness that has been incurred in anticipation of the Thermal Disposition and to fund the Company’s operations or future growth investments. The future issuance of additional shares of the Company’s common stock may cause dilution of investors' ownership interest and adversely impact the value of the Company’s common stock. As a result, a delay or failure to consummate the Thermal Disposition could have a material adverse effect on the Company’s business, financial position or results of operations.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The Company may not be able to effectively identify or consummate any future acquisitions on favorable terms, or at all, and future acquisitions may not be accretive as a result of incorrect assumptions in the Company's evaluation of such acquisitions, unforeseen consequences or other external events beyond the Company's control.</w:t>
      </w:r>
    </w:p>
    <w:p>
      <w:pPr>
        <w:spacing w:after="0" w:line="135" w:lineRule="exact"/>
        <w:rPr>
          <w:sz w:val="20"/>
          <w:szCs w:val="20"/>
          <w:color w:val="auto"/>
        </w:rPr>
      </w:pPr>
    </w:p>
    <w:p>
      <w:pPr>
        <w:jc w:val="both"/>
        <w:ind w:firstLine="400"/>
        <w:spacing w:after="0" w:line="285" w:lineRule="auto"/>
        <w:rPr>
          <w:sz w:val="20"/>
          <w:szCs w:val="20"/>
          <w:color w:val="auto"/>
        </w:rPr>
      </w:pPr>
      <w:r>
        <w:rPr>
          <w:rFonts w:ascii="Arial" w:cs="Arial" w:eastAsia="Arial" w:hAnsi="Arial"/>
          <w:sz w:val="16"/>
          <w:szCs w:val="16"/>
          <w:color w:val="auto"/>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dividends paid to holders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jc w:val="both"/>
        <w:ind w:firstLine="400"/>
        <w:spacing w:after="0" w:line="270" w:lineRule="auto"/>
        <w:rPr>
          <w:sz w:val="20"/>
          <w:szCs w:val="20"/>
          <w:color w:val="auto"/>
        </w:rPr>
      </w:pPr>
      <w:r>
        <w:rPr>
          <w:rFonts w:ascii="Arial" w:cs="Arial" w:eastAsia="Arial" w:hAnsi="Arial"/>
          <w:sz w:val="17"/>
          <w:szCs w:val="17"/>
          <w:color w:val="auto"/>
        </w:rPr>
        <w:t>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127" w:lineRule="exact"/>
        <w:rPr>
          <w:sz w:val="20"/>
          <w:szCs w:val="20"/>
          <w:color w:val="auto"/>
        </w:rPr>
      </w:pPr>
    </w:p>
    <w:p>
      <w:pPr>
        <w:jc w:val="both"/>
        <w:ind w:firstLine="400"/>
        <w:spacing w:after="0" w:line="283" w:lineRule="auto"/>
        <w:rPr>
          <w:sz w:val="20"/>
          <w:szCs w:val="20"/>
          <w:color w:val="auto"/>
        </w:rPr>
      </w:pPr>
      <w:r>
        <w:rPr>
          <w:rFonts w:ascii="Arial" w:cs="Arial" w:eastAsia="Arial" w:hAnsi="Arial"/>
          <w:sz w:val="16"/>
          <w:szCs w:val="16"/>
          <w:color w:val="auto"/>
        </w:rPr>
        <w:t>The acquisition of companies and assets are subject to substantial risks, including the failure to identify material problems during due diligence (for which the Company may not be indemnified post-closing) and the risk of overpaying for assets (or not making acquisitions on an accretive basis).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stockholders. Any failure of the Company’s acquired generation assets to be accretive or difficulty in integrating such acquisition into the Company’s business could have a material adverse effect on the Company’s ability to grow its business and make cash distributions to its stockholders. As a result, the consummation of acquisitions could have a material adverse effect on the Company's business, financial condition, results of operations, cash flows and ability to pay dividends to holders of the Company’s common stock.</w:t>
      </w:r>
    </w:p>
    <w:p>
      <w:pPr>
        <w:spacing w:after="0" w:line="123" w:lineRule="exact"/>
        <w:rPr>
          <w:sz w:val="20"/>
          <w:szCs w:val="20"/>
          <w:color w:val="auto"/>
        </w:rPr>
      </w:pPr>
    </w:p>
    <w:p>
      <w:pPr>
        <w:jc w:val="both"/>
        <w:spacing w:after="0" w:line="297" w:lineRule="auto"/>
        <w:rPr>
          <w:sz w:val="20"/>
          <w:szCs w:val="20"/>
          <w:color w:val="auto"/>
        </w:rPr>
      </w:pPr>
      <w:r>
        <w:rPr>
          <w:rFonts w:ascii="Arial" w:cs="Arial" w:eastAsia="Arial" w:hAnsi="Arial"/>
          <w:sz w:val="17"/>
          <w:szCs w:val="17"/>
          <w:b w:val="1"/>
          <w:bCs w:val="1"/>
          <w:i w:val="1"/>
          <w:iCs w:val="1"/>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103" w:lineRule="exact"/>
        <w:rPr>
          <w:sz w:val="20"/>
          <w:szCs w:val="20"/>
          <w:color w:val="auto"/>
        </w:rPr>
      </w:pPr>
    </w:p>
    <w:p>
      <w:pPr>
        <w:jc w:val="both"/>
        <w:ind w:firstLine="400"/>
        <w:spacing w:after="0" w:line="295" w:lineRule="auto"/>
        <w:rPr>
          <w:sz w:val="20"/>
          <w:szCs w:val="20"/>
          <w:color w:val="auto"/>
        </w:rPr>
      </w:pPr>
      <w:r>
        <w:rPr>
          <w:rFonts w:ascii="Arial" w:cs="Arial" w:eastAsia="Arial" w:hAnsi="Arial"/>
          <w:sz w:val="16"/>
          <w:szCs w:val="16"/>
          <w:color w:val="auto"/>
        </w:rPr>
        <w:t>A significant portion of the electric power the Company generates is sold under long-term offtake agreements with public utilities or industrial or commercial end-users, with a weighted average remaining duration, based on CAFD, of approximately 12 years. As of December 31, 2021, the largest customers of the Company's power generation assets, including assets in which the Company has less than a 100% membership interest, were SCE and PG&amp;E, which represented 33% and 23%, respectively, of total consolidated revenues generated by the Company during the year ended December 31, 2021.</w:t>
      </w:r>
    </w:p>
    <w:p>
      <w:pPr>
        <w:spacing w:after="0" w:line="108"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139"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6"/>
          <w:szCs w:val="16"/>
          <w:color w:val="auto"/>
        </w:rPr>
        <w:t>The power generation industry is characterized by intense competition and the Company's electric generation assets encounter competition from utilities, industrial companies and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and customers, and have extensive knowledge of its target markets. As a result, these competitors may be able to respond more quickly than the Company to evolving industry standards and changing customer requirements. The adoption of more advanced technology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spacing w:after="0" w:line="125"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jc w:val="both"/>
        <w:spacing w:after="0" w:line="267" w:lineRule="auto"/>
        <w:rPr>
          <w:sz w:val="20"/>
          <w:szCs w:val="20"/>
          <w:color w:val="auto"/>
        </w:rPr>
      </w:pPr>
      <w:r>
        <w:rPr>
          <w:rFonts w:ascii="Arial" w:cs="Arial" w:eastAsia="Arial" w:hAnsi="Arial"/>
          <w:sz w:val="18"/>
          <w:szCs w:val="18"/>
          <w:b w:val="1"/>
          <w:bCs w:val="1"/>
          <w:i w:val="1"/>
          <w:iCs w:val="1"/>
          <w:color w:val="auto"/>
        </w:rPr>
        <w:t>The Company’s ability to effectively consummate future acquisitions will also depend on the Company’s ability to arrange the required or desired financing for acquisitions.</w:t>
      </w:r>
    </w:p>
    <w:p>
      <w:pPr>
        <w:spacing w:after="0" w:line="126"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color w:val="auto"/>
        </w:rPr>
        <w:t>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Similarly, the issuance of additional equity securities as consideration for acquisitions could cause significant stockholder dilution and reduce the Company’s dividends if the acquisitions are not sufficiently accretive. The Company’s ability to consummate future acquisitions may also depend on the Company’s ability to obtain any required regulatory approvals for such acquisitions, including, but not limited to, approval by FERC under Section 203 of the FPA.</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Company’s indebtedness could adversely affect its ability to raise additional capital to fund the Company’s operations or pay dividends.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118"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color w:val="auto"/>
        </w:rPr>
        <w:t>As of December 31, 2021, the Company had approximately $7,778 million of total consolidated indebtedness, $5,073 million of which was incurred by the Company's non-guarantor subsidiaries. In addition, the Company’s share of its unconsolidated affiliates’ total indebtedness and letters of credit outstanding as of December 31, 2021, totaled approximately $345 million and $37 million, respectively (calculated as the Company’s unconsolidated affiliates’ total indebtedness as of such date multiplied by the Company’s percentage membership interest in such assets).</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substantial debt could have important negative consequences on the Company’s financial condition, including:</w:t>
      </w:r>
    </w:p>
    <w:p>
      <w:pPr>
        <w:spacing w:after="0" w:line="113" w:lineRule="exact"/>
        <w:rPr>
          <w:sz w:val="20"/>
          <w:szCs w:val="20"/>
          <w:color w:val="auto"/>
        </w:rPr>
      </w:pPr>
    </w:p>
    <w:p>
      <w:pPr>
        <w:ind w:left="640" w:hanging="314"/>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the Company’s vulnerability to general economic and industry conditions;</w:t>
      </w:r>
    </w:p>
    <w:p>
      <w:pPr>
        <w:spacing w:after="0" w:line="59" w:lineRule="exact"/>
        <w:rPr>
          <w:rFonts w:ascii="Arial" w:cs="Arial" w:eastAsia="Arial" w:hAnsi="Arial"/>
          <w:sz w:val="18"/>
          <w:szCs w:val="18"/>
          <w:color w:val="auto"/>
        </w:rPr>
      </w:pPr>
    </w:p>
    <w:p>
      <w:pPr>
        <w:jc w:val="both"/>
        <w:ind w:left="640" w:hanging="314"/>
        <w:spacing w:after="0" w:line="301" w:lineRule="auto"/>
        <w:tabs>
          <w:tab w:leader="none" w:pos="6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requiring a substantial portion of the Company’s cash flow from operations to be dedicated to the payment of principal and interest on the Company’s indebtedness, therefore reducing the Company’s ability to pay dividends to holders of the Company’s capital stock (including the Class A and Class C common stock) or to use the Company’s cash flow to fund its operations, capital expenditures and future business opportunities;</w:t>
      </w:r>
    </w:p>
    <w:p>
      <w:pPr>
        <w:ind w:left="640" w:hanging="314"/>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the Company’s ability to enter into long-term power sales or fuel purchases which require credit support;</w:t>
      </w:r>
    </w:p>
    <w:p>
      <w:pPr>
        <w:spacing w:after="0" w:line="59" w:lineRule="exact"/>
        <w:rPr>
          <w:rFonts w:ascii="Arial" w:cs="Arial" w:eastAsia="Arial" w:hAnsi="Arial"/>
          <w:sz w:val="18"/>
          <w:szCs w:val="18"/>
          <w:color w:val="auto"/>
        </w:rPr>
      </w:pPr>
    </w:p>
    <w:p>
      <w:pPr>
        <w:ind w:left="640" w:hanging="314"/>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the Company’s ability to fund operations or future acquisitions;</w:t>
      </w:r>
    </w:p>
    <w:p>
      <w:pPr>
        <w:spacing w:after="0" w:line="59" w:lineRule="exact"/>
        <w:rPr>
          <w:rFonts w:ascii="Arial" w:cs="Arial" w:eastAsia="Arial" w:hAnsi="Arial"/>
          <w:sz w:val="18"/>
          <w:szCs w:val="18"/>
          <w:color w:val="auto"/>
        </w:rPr>
      </w:pPr>
    </w:p>
    <w:p>
      <w:pPr>
        <w:jc w:val="both"/>
        <w:ind w:left="640" w:hanging="314"/>
        <w:spacing w:after="0" w:line="25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restricting the Company’s ability to make certain distributions with respect to the Company’s capital stock (including the Class A and Class C common stock) and the ability of the Company’s subsidiaries to make certain distributions to it, in light of restricted payment and other financial covenants in the Company’s credit facilities and other financing agreements;</w:t>
      </w:r>
    </w:p>
    <w:p>
      <w:pPr>
        <w:spacing w:after="0" w:line="28" w:lineRule="exact"/>
        <w:rPr>
          <w:rFonts w:ascii="Arial" w:cs="Arial" w:eastAsia="Arial" w:hAnsi="Arial"/>
          <w:sz w:val="18"/>
          <w:szCs w:val="18"/>
          <w:color w:val="auto"/>
        </w:rPr>
      </w:pPr>
    </w:p>
    <w:p>
      <w:pPr>
        <w:ind w:left="640" w:hanging="314"/>
        <w:spacing w:after="0" w:line="26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exposing the Company to the risk of increased interest rates because certain of the Company’s borrowings, which may include borrowings under the Company’s revolving credit facility, are at variable rates of interest;</w:t>
      </w:r>
    </w:p>
    <w:p>
      <w:pPr>
        <w:spacing w:after="0" w:line="19" w:lineRule="exact"/>
        <w:rPr>
          <w:rFonts w:ascii="Arial" w:cs="Arial" w:eastAsia="Arial" w:hAnsi="Arial"/>
          <w:sz w:val="18"/>
          <w:szCs w:val="18"/>
          <w:color w:val="auto"/>
        </w:rPr>
      </w:pPr>
    </w:p>
    <w:p>
      <w:pPr>
        <w:ind w:left="640" w:hanging="314"/>
        <w:spacing w:after="0" w:line="26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the Company’s ability to obtain additional financing for working capital including collateral postings, capital expenditures, debt service requirements, acquisitions and general corporate or other purposes; and</w:t>
      </w:r>
    </w:p>
    <w:p>
      <w:pPr>
        <w:spacing w:after="0" w:line="19" w:lineRule="exact"/>
        <w:rPr>
          <w:rFonts w:ascii="Arial" w:cs="Arial" w:eastAsia="Arial" w:hAnsi="Arial"/>
          <w:sz w:val="18"/>
          <w:szCs w:val="18"/>
          <w:color w:val="auto"/>
        </w:rPr>
      </w:pPr>
    </w:p>
    <w:p>
      <w:pPr>
        <w:ind w:left="640" w:hanging="314"/>
        <w:spacing w:after="0" w:line="267"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the Company’s ability to adjust to changing market conditions and placing it at a competitive disadvantage compared to the Company’s competitors who have less debt.</w:t>
      </w:r>
    </w:p>
    <w:p>
      <w:pPr>
        <w:spacing w:after="0" w:line="126"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dividends,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jc w:val="both"/>
        <w:ind w:firstLine="400"/>
        <w:spacing w:after="0" w:line="284" w:lineRule="auto"/>
        <w:rPr>
          <w:sz w:val="20"/>
          <w:szCs w:val="20"/>
          <w:color w:val="auto"/>
        </w:rPr>
      </w:pPr>
      <w:r>
        <w:rPr>
          <w:rFonts w:ascii="Arial" w:cs="Arial" w:eastAsia="Arial" w:hAnsi="Arial"/>
          <w:sz w:val="16"/>
          <w:szCs w:val="16"/>
          <w:color w:val="auto"/>
        </w:rPr>
        <w:t>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dividends to holders of the Company’s common stock.</w:t>
      </w:r>
    </w:p>
    <w:p>
      <w:pPr>
        <w:spacing w:after="0" w:line="120"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color w:val="auto"/>
        </w:rPr>
        <w:t>Letter of credit facilities to support project-level contractual obligations generally have a limited term that may require future renewal, at which time the Company or relevant project-level subsidiary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spacing w:after="0" w:line="141"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In addition, the Company’s ability to arrange financing, either at the corporate level or at a non-recourse project-level subsidiary, and the costs of such capital, are dependent on numerous factors, including:</w:t>
      </w:r>
    </w:p>
    <w:p>
      <w:pPr>
        <w:spacing w:after="0" w:line="73" w:lineRule="exact"/>
        <w:rPr>
          <w:sz w:val="20"/>
          <w:szCs w:val="20"/>
          <w:color w:val="auto"/>
        </w:rPr>
      </w:pP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capital market conditions;</w:t>
      </w:r>
    </w:p>
    <w:p>
      <w:pPr>
        <w:spacing w:after="0" w:line="59" w:lineRule="exact"/>
        <w:rPr>
          <w:rFonts w:ascii="Arial" w:cs="Arial" w:eastAsia="Arial" w:hAnsi="Arial"/>
          <w:sz w:val="18"/>
          <w:szCs w:val="18"/>
          <w:color w:val="auto"/>
        </w:rPr>
      </w:pP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credit availability from banks and other financial institutions;</w:t>
      </w:r>
    </w:p>
    <w:p>
      <w:pPr>
        <w:spacing w:after="0" w:line="59" w:lineRule="exact"/>
        <w:rPr>
          <w:rFonts w:ascii="Arial" w:cs="Arial" w:eastAsia="Arial" w:hAnsi="Arial"/>
          <w:sz w:val="18"/>
          <w:szCs w:val="18"/>
          <w:color w:val="auto"/>
        </w:rPr>
      </w:pPr>
    </w:p>
    <w:p>
      <w:pPr>
        <w:ind w:left="640" w:hanging="314"/>
        <w:spacing w:after="0" w:line="26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investor confidence in the Company, its partners, GIP, through CEG, as the Company’s principal stockholder (on a combined voting basis) and the regional wholesale power markets;</w:t>
      </w:r>
    </w:p>
    <w:p>
      <w:pPr>
        <w:spacing w:after="0" w:line="19" w:lineRule="exact"/>
        <w:rPr>
          <w:rFonts w:ascii="Arial" w:cs="Arial" w:eastAsia="Arial" w:hAnsi="Arial"/>
          <w:sz w:val="18"/>
          <w:szCs w:val="18"/>
          <w:color w:val="auto"/>
        </w:rPr>
      </w:pP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financial performance and the financial performance of the Company subsidiaries;</w:t>
      </w:r>
    </w:p>
    <w:p>
      <w:pPr>
        <w:spacing w:after="0" w:line="59" w:lineRule="exact"/>
        <w:rPr>
          <w:rFonts w:ascii="Arial" w:cs="Arial" w:eastAsia="Arial" w:hAnsi="Arial"/>
          <w:sz w:val="18"/>
          <w:szCs w:val="18"/>
          <w:color w:val="auto"/>
        </w:rPr>
      </w:pP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level of indebtedness and compliance with covenants in debt agreements;</w:t>
      </w:r>
    </w:p>
    <w:p>
      <w:pPr>
        <w:spacing w:after="0" w:line="59" w:lineRule="exact"/>
        <w:rPr>
          <w:rFonts w:ascii="Arial" w:cs="Arial" w:eastAsia="Arial" w:hAnsi="Arial"/>
          <w:sz w:val="18"/>
          <w:szCs w:val="18"/>
          <w:color w:val="auto"/>
        </w:rPr>
      </w:pP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maintenance of acceptable project credit ratings or credit quality;</w:t>
      </w:r>
    </w:p>
    <w:p>
      <w:pPr>
        <w:spacing w:after="0" w:line="59" w:lineRule="exact"/>
        <w:rPr>
          <w:rFonts w:ascii="Arial" w:cs="Arial" w:eastAsia="Arial" w:hAnsi="Arial"/>
          <w:sz w:val="18"/>
          <w:szCs w:val="18"/>
          <w:color w:val="auto"/>
        </w:rPr>
      </w:pP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flow; and</w:t>
      </w:r>
    </w:p>
    <w:p>
      <w:pPr>
        <w:spacing w:after="0" w:line="59" w:lineRule="exact"/>
        <w:rPr>
          <w:rFonts w:ascii="Arial" w:cs="Arial" w:eastAsia="Arial" w:hAnsi="Arial"/>
          <w:sz w:val="18"/>
          <w:szCs w:val="18"/>
          <w:color w:val="auto"/>
        </w:rPr>
      </w:pP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provisions of tax and securities laws that may impact raising capital.</w:t>
      </w:r>
    </w:p>
    <w:p>
      <w:pPr>
        <w:spacing w:after="0" w:line="166"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ind w:right="160"/>
        <w:spacing w:after="0" w:line="267" w:lineRule="auto"/>
        <w:rPr>
          <w:sz w:val="20"/>
          <w:szCs w:val="20"/>
          <w:color w:val="auto"/>
        </w:rPr>
      </w:pPr>
      <w:r>
        <w:rPr>
          <w:rFonts w:ascii="Arial" w:cs="Arial" w:eastAsia="Arial" w:hAnsi="Arial"/>
          <w:sz w:val="18"/>
          <w:szCs w:val="18"/>
          <w:b w:val="1"/>
          <w:bCs w:val="1"/>
          <w:i w:val="1"/>
          <w:iCs w:val="1"/>
          <w:color w:val="auto"/>
        </w:rPr>
        <w:t>Changes in the method of determining the London Interbank Offered Rate, or LIBOR, or the replacement of LIBOR with an alternative reference rate, may adversely affect interest expense related to outstanding debt.</w:t>
      </w:r>
    </w:p>
    <w:p>
      <w:pPr>
        <w:spacing w:after="0" w:line="126" w:lineRule="exact"/>
        <w:rPr>
          <w:sz w:val="20"/>
          <w:szCs w:val="20"/>
          <w:color w:val="auto"/>
        </w:rPr>
      </w:pPr>
    </w:p>
    <w:p>
      <w:pPr>
        <w:jc w:val="both"/>
        <w:ind w:firstLine="400"/>
        <w:spacing w:after="0" w:line="281" w:lineRule="auto"/>
        <w:rPr>
          <w:sz w:val="20"/>
          <w:szCs w:val="20"/>
          <w:color w:val="auto"/>
        </w:rPr>
      </w:pPr>
      <w:r>
        <w:rPr>
          <w:rFonts w:ascii="Arial" w:cs="Arial" w:eastAsia="Arial" w:hAnsi="Arial"/>
          <w:sz w:val="16"/>
          <w:szCs w:val="16"/>
          <w:color w:val="auto"/>
        </w:rPr>
        <w:t>Amounts drawn under the Company's revolving credit facility and certain of the Company's project-level debt facilities currently bear interest at rates based on LIBOR. On July 27, 2017, the Financial Conduct Authority in the United Kingdom announced that it would phase out LIBOR as a benchmark by the end of 2021. On November 30, 2020, ICE Benchmark Administration Limited, the administrator of LIBOR, with the support of the United States Federal Reserve and the United Kingdom’s Financial Conduct Authority, announced plans to consult on ceasing publication of USD LIBOR on December 31, 2021 for only the one week and two month USD LIBOR tenors, and on June 30, 2023 for all other USD LIBOR tenors. While this announcement extends the transition period to June 30, 2023, the United States Federal Reserve concurrently issued a statement advising banks to stop new LIBOR issuances by the end of 2021. In light of these recent announcements, the future of LIBOR at this time is uncertain and any changes in the methods by which LIBOR is determined or regulatory activity related to LIBOR’s phase-out could cause LIBOR to perform differently than in the past or cease to exist. While the Company's revolving credit facility includes a mechanism to amend the facilities to reflect the establishment of an alternative rate of interest upon the occurrence of certain events related to the phase-out of LIBOR, many of the Company's project-level debt facilities and swap arrangements do not. The Company has not yet pursued technical amendments or other contractual alternatives to address this matter with respect to all its existing debt facilities and swap arrangements and is continuing to evaluate the impact of LIBOR’s expected replacement. If no such amendments or other contractual alternatives are established on or prior to the phase-out of LIBOR, interest under the Company's revolving credit facility and other project-level debt facilities will bear interest at higher rates based on the prime rate until such amendments or other contractual amendments are established. Even if the Company has entered into interest rate swaps or other derivative instruments for purposes of managing its interest rate exposure or has otherwise amended its interest rate swaps or other derivative instruments to reflect an alternative reference rate, these hedging strategies may not be effective as a result of the replacement or phasing out of LIBOR, and the Company may incur losses as a result. The potential increase in the Company’s interest expense as a result of the phase-out of LIBOR and uncertainty as to the nature of the alternative reference rates could have an adverse effect on the Company's business, financial condition, results of operations and cash flows.</w:t>
      </w:r>
    </w:p>
    <w:p>
      <w:pPr>
        <w:spacing w:after="0" w:line="33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The Company’s proceeds from “Green Bonds” may not satisfy investor criteria and expectations regarding environmental impact and sustainability performance.</w:t>
      </w:r>
    </w:p>
    <w:p>
      <w:pPr>
        <w:spacing w:after="0" w:line="113" w:lineRule="exact"/>
        <w:rPr>
          <w:sz w:val="20"/>
          <w:szCs w:val="20"/>
          <w:color w:val="auto"/>
        </w:rPr>
      </w:pPr>
    </w:p>
    <w:p>
      <w:pPr>
        <w:jc w:val="both"/>
        <w:ind w:firstLine="400"/>
        <w:spacing w:after="0" w:line="250" w:lineRule="auto"/>
        <w:rPr>
          <w:sz w:val="20"/>
          <w:szCs w:val="20"/>
          <w:color w:val="auto"/>
        </w:rPr>
      </w:pPr>
      <w:r>
        <w:rPr>
          <w:rFonts w:ascii="Arial" w:cs="Arial" w:eastAsia="Arial" w:hAnsi="Arial"/>
          <w:sz w:val="16"/>
          <w:szCs w:val="16"/>
          <w:color w:val="auto"/>
        </w:rPr>
        <w:t>Certain of the Company’s Senior Notes are “Green Bonds,” which require that an amount equal to the net proceeds from the sale of such Senior Notes must be allocated to finance or refinance, in part or in full, new and existing projects and assets meeting certain eligibility criteria under the Company's green bond framework. There is no assurance that the eligible projects to which the Company allocates proceeds from such Senior Notes will satisfy, or continue to satisfy, investor criteria and expectations regarding environmental impact and sustainability performance, and no assurance is given that the use or allocation will satisfy present or future investor expectations or requirements, voluntary taxonomies or standards regarding any investment criteria or guidelines with which investors or their investments are required to comply, whether by any present or future applicable laws or regulations, by their own governing rules or investment portfolio mandates, ratings criteria, voluntary taxonomies or standards or other independent expectations. The market price of such Senior Notes may be impacted by any failure by the Company to satisfy these present or future investor expectations or requirements.</w:t>
      </w:r>
    </w:p>
    <w:p>
      <w:pPr>
        <w:spacing w:after="0" w:line="1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Certain of the Company's long-term bilateral contracts result from state-mandated procurements and could be declared invalid by a court of competent jurisdiction.</w:t>
      </w:r>
    </w:p>
    <w:p>
      <w:pPr>
        <w:spacing w:after="0" w:line="136" w:lineRule="exact"/>
        <w:rPr>
          <w:sz w:val="20"/>
          <w:szCs w:val="20"/>
          <w:color w:val="auto"/>
        </w:rPr>
      </w:pPr>
    </w:p>
    <w:p>
      <w:pPr>
        <w:jc w:val="both"/>
        <w:ind w:firstLine="400"/>
        <w:spacing w:after="0" w:line="336" w:lineRule="auto"/>
        <w:rPr>
          <w:sz w:val="20"/>
          <w:szCs w:val="20"/>
          <w:color w:val="auto"/>
        </w:rPr>
      </w:pPr>
      <w:r>
        <w:rPr>
          <w:rFonts w:ascii="Arial" w:cs="Arial" w:eastAsia="Arial" w:hAnsi="Arial"/>
          <w:sz w:val="14"/>
          <w:szCs w:val="14"/>
          <w:color w:val="auto"/>
        </w:rPr>
        <w:t>A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The generation of electric energy from solar and wind energy sources depends heavily on suitable meteorological conditions.</w:t>
      </w:r>
    </w:p>
    <w:p>
      <w:pPr>
        <w:spacing w:after="0" w:line="166" w:lineRule="exact"/>
        <w:rPr>
          <w:sz w:val="20"/>
          <w:szCs w:val="20"/>
          <w:color w:val="auto"/>
        </w:rPr>
      </w:pPr>
    </w:p>
    <w:p>
      <w:pPr>
        <w:jc w:val="both"/>
        <w:ind w:firstLine="400"/>
        <w:spacing w:after="0" w:line="309" w:lineRule="auto"/>
        <w:rPr>
          <w:sz w:val="20"/>
          <w:szCs w:val="20"/>
          <w:color w:val="auto"/>
        </w:rPr>
      </w:pPr>
      <w:r>
        <w:rPr>
          <w:rFonts w:ascii="Arial" w:cs="Arial" w:eastAsia="Arial" w:hAnsi="Arial"/>
          <w:sz w:val="14"/>
          <w:szCs w:val="14"/>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Furthermore, components of the Company's systems, such as solar panels and inverters, could be damaged by severe weather, such as wildfires, hailstorms, tornadoes or freezing temperatures and other winter weather conditions. In addition, replacement and spare parts for key components may be difficult or costly to acquire or may be unavailable. Unfavorable weather and atmospheric conditions could impair the effectiveness of the Company's assets or reduce their output beneath their rated capacity or require shutdown of key equipment, impeding operation of the Company's renewable assets. For example, in February 2021, the Company's wind projects in Texas were unable to operate and experienced outages for a few days as a result of the extreme winter weather conditions. In addition, climate change may have the long-term effect of changing wind patterns at the Company's projects. Changing wind patterns could cause changes in expected electricity generation. These events could also degrade equipment or components and the interconnection and transmission facilities’ lives or maintenance costs.</w:t>
      </w:r>
    </w:p>
    <w:p>
      <w:pPr>
        <w:spacing w:after="0" w:line="293"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Company's business, financial condition, results of operations and cash flows.</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126" w:lineRule="exact"/>
        <w:rPr>
          <w:sz w:val="20"/>
          <w:szCs w:val="20"/>
          <w:color w:val="auto"/>
        </w:rPr>
      </w:pPr>
    </w:p>
    <w:p>
      <w:pPr>
        <w:jc w:val="both"/>
        <w:ind w:firstLine="400"/>
        <w:spacing w:after="0" w:line="281" w:lineRule="auto"/>
        <w:rPr>
          <w:sz w:val="20"/>
          <w:szCs w:val="20"/>
          <w:color w:val="auto"/>
        </w:rPr>
      </w:pPr>
      <w:r>
        <w:rPr>
          <w:rFonts w:ascii="Arial" w:cs="Arial" w:eastAsia="Arial" w:hAnsi="Arial"/>
          <w:sz w:val="16"/>
          <w:szCs w:val="16"/>
          <w:color w:val="auto"/>
        </w:rPr>
        <w:t>The ongoing operation of the Company's facilities involves risks that include the breakdown or failure of equipment or processes or performance below expected levels of output or efficiency due to wear and tear, latent defect, design error or operator error or force majeure events, among other things.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121" w:lineRule="exact"/>
        <w:rPr>
          <w:sz w:val="20"/>
          <w:szCs w:val="20"/>
          <w:color w:val="auto"/>
        </w:rPr>
      </w:pPr>
    </w:p>
    <w:p>
      <w:pPr>
        <w:jc w:val="both"/>
        <w:ind w:firstLine="400"/>
        <w:spacing w:after="0" w:line="286" w:lineRule="auto"/>
        <w:rPr>
          <w:sz w:val="20"/>
          <w:szCs w:val="20"/>
          <w:color w:val="auto"/>
        </w:rPr>
      </w:pPr>
      <w:r>
        <w:rPr>
          <w:rFonts w:ascii="Arial" w:cs="Arial" w:eastAsia="Arial" w:hAnsi="Arial"/>
          <w:sz w:val="16"/>
          <w:szCs w:val="16"/>
          <w:color w:val="auto"/>
        </w:rPr>
        <w:t>Power generation involves hazardous activities, including acquiring, transporting and unloading fuel, operating large pieces of rotating equipment and delivering electricity to transmission and distribution systems. In addition to natural risks such as earthquake, flood, lightning,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To the extent an event was not covered by insurance policies, such incidents could subject the Company to substantial liabilities arising from emergency response, environmental cleanup and restoration costs, claims made by neighboring landowners and other third parties for personal injury and property damage, and fines or penalties for any related violations of environmental laws or regulations.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The Company’s facilities may operate, wholly or partially, without long-term power sales agreements.</w:t>
      </w:r>
    </w:p>
    <w:p>
      <w:pPr>
        <w:spacing w:after="0" w:line="166"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commercially attractive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Maintenance, expansion and refurbishment of electric generation facilities involve significant risks that could result in unplanned power outages or reduced output.</w:t>
      </w:r>
    </w:p>
    <w:p>
      <w:pPr>
        <w:spacing w:after="0" w:line="126"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dividends to holders of its common stock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111" w:lineRule="exact"/>
        <w:rPr>
          <w:sz w:val="20"/>
          <w:szCs w:val="20"/>
          <w:color w:val="auto"/>
        </w:rPr>
      </w:pPr>
    </w:p>
    <w:p>
      <w:pPr>
        <w:jc w:val="both"/>
        <w:ind w:firstLine="400"/>
        <w:spacing w:after="0" w:line="286" w:lineRule="auto"/>
        <w:rPr>
          <w:sz w:val="20"/>
          <w:szCs w:val="20"/>
          <w:color w:val="auto"/>
        </w:rPr>
      </w:pPr>
      <w:r>
        <w:rPr>
          <w:rFonts w:ascii="Arial" w:cs="Arial" w:eastAsia="Arial" w:hAnsi="Arial"/>
          <w:sz w:val="16"/>
          <w:szCs w:val="16"/>
          <w:color w:val="auto"/>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Clean Air Act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11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Supplier and/or customer concentration at certain of the Company's facilities may expose the Company to significant financial credit or performance risks.</w:t>
      </w:r>
    </w:p>
    <w:p>
      <w:pPr>
        <w:spacing w:after="0" w:line="126" w:lineRule="exact"/>
        <w:rPr>
          <w:sz w:val="20"/>
          <w:szCs w:val="20"/>
          <w:color w:val="auto"/>
        </w:rPr>
      </w:pPr>
    </w:p>
    <w:p>
      <w:pPr>
        <w:jc w:val="both"/>
        <w:ind w:firstLine="400"/>
        <w:spacing w:after="0" w:line="283" w:lineRule="auto"/>
        <w:rPr>
          <w:sz w:val="20"/>
          <w:szCs w:val="20"/>
          <w:color w:val="auto"/>
        </w:rPr>
      </w:pPr>
      <w:r>
        <w:rPr>
          <w:rFonts w:ascii="Arial" w:cs="Arial" w:eastAsia="Arial" w:hAnsi="Arial"/>
          <w:sz w:val="16"/>
          <w:szCs w:val="16"/>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123"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auto"/>
        </w:rPr>
        <w:t>In addition, potential or existing customers at the Company’s district energy centers and combined heat and power plants, or the Energy Centers, may opt for on-site systems in lieu of using the Company’s Energy Centers, either due to corporate policies regarding the allocation of capital, unique situations where an on-site system might in fact prove more efficient, because of previously committed capital in systems that are already on-site, or otherwise. At times, the Company relies on a single customer or a few customers to purchase all or a significant portion of a facility's output, in some cases under long-term agreements that account for a substantial percentage of the anticipated revenue from a given facility.</w:t>
      </w:r>
    </w:p>
    <w:p>
      <w:pPr>
        <w:spacing w:after="0" w:line="127" w:lineRule="exact"/>
        <w:rPr>
          <w:sz w:val="20"/>
          <w:szCs w:val="20"/>
          <w:color w:val="auto"/>
        </w:rPr>
      </w:pPr>
    </w:p>
    <w:p>
      <w:pPr>
        <w:jc w:val="both"/>
        <w:ind w:firstLine="400"/>
        <w:spacing w:after="0" w:line="279" w:lineRule="auto"/>
        <w:rPr>
          <w:sz w:val="20"/>
          <w:szCs w:val="20"/>
          <w:color w:val="auto"/>
        </w:rPr>
      </w:pPr>
      <w:r>
        <w:rPr>
          <w:rFonts w:ascii="Arial" w:cs="Arial" w:eastAsia="Arial" w:hAnsi="Arial"/>
          <w:sz w:val="17"/>
          <w:szCs w:val="17"/>
          <w:color w:val="auto"/>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4" w:name="page25"/>
    <w:bookmarkEnd w:id="24"/>
    <w:p>
      <w:pPr>
        <w:jc w:val="both"/>
        <w:spacing w:after="0" w:line="267" w:lineRule="auto"/>
        <w:rPr>
          <w:sz w:val="20"/>
          <w:szCs w:val="20"/>
          <w:color w:val="auto"/>
        </w:rPr>
      </w:pPr>
      <w:r>
        <w:rPr>
          <w:rFonts w:ascii="Arial" w:cs="Arial" w:eastAsia="Arial" w:hAnsi="Arial"/>
          <w:sz w:val="18"/>
          <w:szCs w:val="18"/>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26" w:lineRule="exact"/>
        <w:rPr>
          <w:sz w:val="20"/>
          <w:szCs w:val="20"/>
          <w:color w:val="auto"/>
        </w:rPr>
      </w:pPr>
    </w:p>
    <w:p>
      <w:pPr>
        <w:jc w:val="both"/>
        <w:ind w:firstLine="400"/>
        <w:spacing w:after="0" w:line="283" w:lineRule="auto"/>
        <w:rPr>
          <w:sz w:val="20"/>
          <w:szCs w:val="20"/>
          <w:color w:val="auto"/>
        </w:rPr>
      </w:pPr>
      <w:r>
        <w:rPr>
          <w:rFonts w:ascii="Arial" w:cs="Arial" w:eastAsia="Arial" w:hAnsi="Arial"/>
          <w:sz w:val="16"/>
          <w:szCs w:val="16"/>
          <w:color w:val="auto"/>
        </w:rPr>
        <w:t xml:space="preserve">As described in Item 15 —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the Company has limited control over the operation of certain of its assets, because the Company beneficially owns less than a majority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119" w:lineRule="exact"/>
        <w:rPr>
          <w:sz w:val="20"/>
          <w:szCs w:val="20"/>
          <w:color w:val="auto"/>
        </w:rPr>
      </w:pPr>
    </w:p>
    <w:p>
      <w:pPr>
        <w:jc w:val="both"/>
        <w:ind w:firstLine="400"/>
        <w:spacing w:after="0" w:line="295" w:lineRule="auto"/>
        <w:rPr>
          <w:sz w:val="20"/>
          <w:szCs w:val="20"/>
          <w:color w:val="auto"/>
        </w:rPr>
      </w:pPr>
      <w:r>
        <w:rPr>
          <w:rFonts w:ascii="Arial" w:cs="Arial" w:eastAsia="Arial" w:hAnsi="Arial"/>
          <w:sz w:val="16"/>
          <w:szCs w:val="16"/>
          <w:color w:val="auto"/>
        </w:rPr>
        <w:t>The approval of co-venturers may also be required for the Company to receive distributions of funds from assets or to sell, pledge, transfer, assign or otherwise convey its interest in such assets, or for the Company to acquire GIP's or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108"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Furthermore, certain of the Company's facilities are operated by third-party operators. To the extent that third-party operators do not fulfill their obligations to manage operations of the facilities or are not effective in doing so, the amount of CAFD may be adversely affected.</w:t>
      </w:r>
    </w:p>
    <w:p>
      <w:pPr>
        <w:spacing w:after="0" w:line="12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The Company's assets are exposed to risks inherent in the use of interest rate swaps and forward commodity purchase contracts and the Company may be exposed to additional risks in the future if it utilizes other derivative instruments.</w:t>
      </w:r>
    </w:p>
    <w:p>
      <w:pPr>
        <w:spacing w:after="0" w:line="126" w:lineRule="exact"/>
        <w:rPr>
          <w:sz w:val="20"/>
          <w:szCs w:val="20"/>
          <w:color w:val="auto"/>
        </w:rPr>
      </w:pPr>
    </w:p>
    <w:p>
      <w:pPr>
        <w:jc w:val="both"/>
        <w:ind w:firstLine="400"/>
        <w:spacing w:after="0" w:line="286" w:lineRule="auto"/>
        <w:rPr>
          <w:sz w:val="20"/>
          <w:szCs w:val="20"/>
          <w:color w:val="auto"/>
        </w:rPr>
      </w:pPr>
      <w:r>
        <w:rPr>
          <w:rFonts w:ascii="Arial" w:cs="Arial" w:eastAsia="Arial" w:hAnsi="Arial"/>
          <w:sz w:val="16"/>
          <w:szCs w:val="16"/>
          <w:color w:val="auto"/>
        </w:rPr>
        <w:t>The Company uses interest rate swaps to manage interest rate risk. In addition, the Company uses forward commodity purchase contracts to hedge its limited commodity exposure with respect to the Company's district energy assets. If the Company elects to enter into such commodity hedges, the related asset could recognize financial losses on these arrangements as a result of volatility in the market values of the underlying commodities or if a counterparty fails to perform under a contract. If actively quoted market prices and pricing information from external sources are not available, the valuation of these contracts would involve judgment or the use of estimates.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Company does not own all of the land on which its power generation or thermal assets are located, which could result in disruption to its operations.</w:t>
      </w:r>
    </w:p>
    <w:p>
      <w:pPr>
        <w:spacing w:after="0" w:line="212"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The Company does not own all of the land on which its power generation or thermal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generation and thermal infrastructure assets.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5" w:name="page26"/>
    <w:bookmarkEnd w:id="25"/>
    <w:p>
      <w:pPr>
        <w:jc w:val="both"/>
        <w:spacing w:after="0" w:line="267" w:lineRule="auto"/>
        <w:rPr>
          <w:sz w:val="20"/>
          <w:szCs w:val="20"/>
          <w:color w:val="auto"/>
        </w:rPr>
      </w:pPr>
      <w:r>
        <w:rPr>
          <w:rFonts w:ascii="Arial" w:cs="Arial" w:eastAsia="Arial" w:hAnsi="Arial"/>
          <w:sz w:val="18"/>
          <w:szCs w:val="18"/>
          <w:b w:val="1"/>
          <w:bCs w:val="1"/>
          <w:i w:val="1"/>
          <w:iCs w:val="1"/>
          <w:color w:val="auto"/>
        </w:rPr>
        <w:t>The Company’s use and enjoyment of real property rights for its projects may be adversely affected by the rights of lienholders and leaseholders that are superior to those of the grantors of those real property rights to the Company.</w:t>
      </w:r>
    </w:p>
    <w:p>
      <w:pPr>
        <w:spacing w:after="0" w:line="126" w:lineRule="exact"/>
        <w:rPr>
          <w:sz w:val="20"/>
          <w:szCs w:val="20"/>
          <w:color w:val="auto"/>
        </w:rPr>
      </w:pPr>
    </w:p>
    <w:p>
      <w:pPr>
        <w:jc w:val="both"/>
        <w:ind w:firstLine="400"/>
        <w:spacing w:after="0" w:line="250" w:lineRule="auto"/>
        <w:rPr>
          <w:sz w:val="20"/>
          <w:szCs w:val="20"/>
          <w:color w:val="auto"/>
        </w:rPr>
      </w:pPr>
      <w:r>
        <w:rPr>
          <w:rFonts w:ascii="Arial" w:cs="Arial" w:eastAsia="Arial" w:hAnsi="Arial"/>
          <w:sz w:val="18"/>
          <w:szCs w:val="18"/>
          <w:color w:val="auto"/>
        </w:rPr>
        <w:t>Solar and wind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spacing w:after="0" w:line="14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The Company's businesses are subject to physical, market and economic risks relating to potential effects of climate change and public and governmental initiatives to address climate change.</w:t>
      </w:r>
    </w:p>
    <w:p>
      <w:pPr>
        <w:spacing w:after="0" w:line="126"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color w:val="auto"/>
        </w:rPr>
        <w:t>Climate change creates uncertainty in weather and other environmental conditions, including temperature and precipitation levels, and thus may affect consumer demand for electricity. For example, milder than normal weather can reduce demand for electricity and gas distribution services. In addition, the potential physical effects of climate change, such as increased frequency and severity of storms, cloud coverage, precipitation, floods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spacing w:after="0" w:line="111" w:lineRule="exact"/>
        <w:rPr>
          <w:sz w:val="20"/>
          <w:szCs w:val="20"/>
          <w:color w:val="auto"/>
        </w:rPr>
      </w:pPr>
    </w:p>
    <w:p>
      <w:pPr>
        <w:jc w:val="both"/>
        <w:ind w:firstLine="400"/>
        <w:spacing w:after="0" w:line="283" w:lineRule="auto"/>
        <w:rPr>
          <w:sz w:val="20"/>
          <w:szCs w:val="20"/>
          <w:color w:val="auto"/>
        </w:rPr>
      </w:pPr>
      <w:r>
        <w:rPr>
          <w:rFonts w:ascii="Arial" w:cs="Arial" w:eastAsia="Arial" w:hAnsi="Arial"/>
          <w:sz w:val="16"/>
          <w:szCs w:val="16"/>
          <w:color w:val="auto"/>
        </w:rPr>
        <w:t>Furthermore, governmental, scientific and public concern over the threat of climate change arising from GHG emissions may limit the Company's access to natural gas or decrease demand for energy generated by the Company’s conventional assets. State, national and foreign governments and agencies continue to evaluate, and in some instances adopt, climate-related legislation and other regulatory initiatives that would restrict GHG emissions. Changes in environmental requirements related to GHG, climate change and alternative energy sources may impact demand for the Company's services. For example, the Build Back Better Act, passed by the U.S. House of Representatives and supported by President Biden, includes incentives to increase wind and solar electric generation and encourage consumers to use these alternative energy sources. While this could benefit the Company by increasing the demand for the Company's solar or wind energy, the Company could experience delayed or cancelled projects and/or reduced production and demand for energy generated by the Company’s conventional assets. At this time, it is uncertain whether, and in what form, the Build Back Better Act may become law. However, the Build Back Better Act or similar state or federal initiatives to incentivize a shift away from fossil fuels could reduce demand for energy generated by fossil fuels, and therefore have an adverse effect on the Company’s business, financial condition and results of operations.</w:t>
      </w:r>
    </w:p>
    <w:p>
      <w:pPr>
        <w:spacing w:after="0" w:line="123"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Lastly, companies across all industries are facing increased scrutiny from the public, stakeholders and government agencies related to their environmental, social, and governance (ESG) practices and commitments to address climate change. In recent years, investor advocacy groups, institutional investors, investment funds, and other influential investors have placed increasing importance on ESG practices. Increased focus and activism related to ESG and similar matters may hinder access to capital, as investors may decide to reallocate capital or to not commit capital as a result of their assessment of a company’s ESG practices. While the Company is committed to engaging with its stakeholders on ESG practices in a proactive, holistic and integrated manner, changes in the public or stakeholder sentiment could impact the Company's ability to fund its conventional assets, or decrease the demand for the energy generated by these assets.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Risks that are beyond the Company's control, including but not limited to acts of terrorism or related acts of war, natural disaster, inflation, supply chain disruptions, hostile cyber intrusions or other catastrophic events, could have a material adverse effect on the business, financial condition, results of operations and cash flows.</w:t>
      </w:r>
    </w:p>
    <w:p>
      <w:pPr>
        <w:spacing w:after="0" w:line="135"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Inflation, disruption in global and domestic supply chains, and other economic conditions could negatively impact the Company’s business in a manner that could adversely affect the Company's results of operations and financial condition.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6" w:name="page27"/>
    <w:bookmarkEnd w:id="26"/>
    <w:p>
      <w:pPr>
        <w:jc w:val="both"/>
        <w:ind w:firstLine="400"/>
        <w:spacing w:after="0" w:line="266" w:lineRule="auto"/>
        <w:rPr>
          <w:sz w:val="20"/>
          <w:szCs w:val="20"/>
          <w:color w:val="auto"/>
        </w:rPr>
      </w:pPr>
      <w:r>
        <w:rPr>
          <w:rFonts w:ascii="Arial" w:cs="Arial" w:eastAsia="Arial" w:hAnsi="Arial"/>
          <w:sz w:val="17"/>
          <w:szCs w:val="17"/>
          <w:color w:val="auto"/>
        </w:rPr>
        <w:t>Furthermore, certain of the Company's power generation and thermal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The occurrence of a natural disaster, such as an earthquake, wildfire, drought, flood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 of the Company’s businesses is subject to cyber-based security and integrity risk.</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relies on cyber-based technologies and has been the target of disruptive actions. Potential disruptive actions could result from cyber-attack or cyber intrusion, including by computer hackers, foreign governments and cyber terrorists, or otherwise be compromised by unintentional events with respect to the Company or any of its contractors or customers. As a result, operations could be interrupted, property could be damaged and sensitive customer information could be lost or stolen, causing the Company to incur significant losses of revenues, other substantial liabilities and damages, costs to replace or repair damaged equipment and damage to the Company's reputation. In addition, the Company may experience increased capital and operating costs to implement increased security for its cyber systems and generating assets.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118"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6"/>
          <w:szCs w:val="16"/>
          <w:color w:val="auto"/>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and other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1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The Company's costs, results of operations, financial condition and cash flows could be adversely impacted by the disruption of the fuel supplies necessary to generate power at its conventional and thermal power generation facilities.</w:t>
      </w:r>
    </w:p>
    <w:p>
      <w:pPr>
        <w:spacing w:after="0" w:line="12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Delivery of fossil fuels to fuel the Company's conventional and thermal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7" w:name="page28"/>
    <w:bookmarkEnd w:id="27"/>
    <w:p>
      <w:pPr>
        <w:jc w:val="both"/>
        <w:spacing w:after="0" w:line="267" w:lineRule="auto"/>
        <w:rPr>
          <w:sz w:val="20"/>
          <w:szCs w:val="20"/>
          <w:color w:val="auto"/>
        </w:rPr>
      </w:pPr>
      <w:r>
        <w:rPr>
          <w:rFonts w:ascii="Arial" w:cs="Arial" w:eastAsia="Arial" w:hAnsi="Arial"/>
          <w:sz w:val="18"/>
          <w:szCs w:val="18"/>
          <w:b w:val="1"/>
          <w:bCs w:val="1"/>
          <w:i w:val="1"/>
          <w:iCs w:val="1"/>
          <w:color w:val="auto"/>
        </w:rPr>
        <w:t>The Company depends on key personnel and its ability to attract and retain additional skilled management and other personnel, the loss of any of which could have a material adverse effect on the Company's financial condition and results of operations.</w:t>
      </w:r>
    </w:p>
    <w:p>
      <w:pPr>
        <w:spacing w:after="0" w:line="12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The Company believes its current operations and future success depend largely on the continued services of key personnel that it employs. Although the Company currently has access to the resources of CEG, the loss of key personnel employed by the Company or CEG could have a material adverse effect on the Company’s financial condition and results of operations.</w:t>
      </w:r>
    </w:p>
    <w:p>
      <w:pPr>
        <w:spacing w:after="0" w:line="13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The Company may potentially be adversely affected by emerging technologies that may over time impact capacity markets and the energy industry overall.</w:t>
      </w:r>
    </w:p>
    <w:p>
      <w:pPr>
        <w:spacing w:after="0" w:line="126"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color w:val="auto"/>
        </w:rPr>
        <w:t>Research and development activities are ongoing in the Company's industry to provide alternative and more efficient technologies to produce power, including wind, photovoltaic (solar) cells, hydrogen, energy storage, and improvements in traditional technologies and equipment, such as more efficient gas turbines. Advances in these or other technologies could reduce the costs of power production to a level below what the Company has currently forecasted, which could adversely affect its cash flows, results of operations or competitive position.</w:t>
      </w:r>
    </w:p>
    <w:p>
      <w:pPr>
        <w:spacing w:after="0" w:line="123" w:lineRule="exact"/>
        <w:rPr>
          <w:sz w:val="20"/>
          <w:szCs w:val="20"/>
          <w:color w:val="auto"/>
        </w:rPr>
      </w:pPr>
    </w:p>
    <w:p>
      <w:pPr>
        <w:jc w:val="both"/>
        <w:ind w:firstLine="400"/>
        <w:spacing w:after="0" w:line="304" w:lineRule="auto"/>
        <w:rPr>
          <w:sz w:val="20"/>
          <w:szCs w:val="20"/>
          <w:color w:val="auto"/>
        </w:rPr>
      </w:pPr>
      <w:r>
        <w:rPr>
          <w:rFonts w:ascii="Arial" w:cs="Arial" w:eastAsia="Arial" w:hAnsi="Arial"/>
          <w:sz w:val="16"/>
          <w:szCs w:val="16"/>
          <w:color w:val="auto"/>
        </w:rPr>
        <w:t>Some emerging technologies, such as distributed renewable energy technologies, broad consumer adoption of electric vehicles and energy storage devices, could affect the price of energy. These emerging technologies may affect the financial viability of utility counterparties and could have significant impacts on market prices, which could ultimately have a material adverse effect on the Company’s financial condition, results of operations and cash flows.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Relationships with GIP and CEG</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GIP, through its ownership of CEG, is the Company's controlling stockholder and exercises substantial influence over the Company. The Company is highly dependent on GIP and CEG.</w:t>
      </w:r>
    </w:p>
    <w:p>
      <w:pPr>
        <w:spacing w:after="0" w:line="126"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GIP, through its ownership of CEG, owns all of the Company's outstanding Class B and Class D common stock. The Company's outstanding Class B and Class D common stock is entitled to one vote per share and 1/100th of a vote per share, respectively. As a result of its ownership of the Class B and Class D common stock, GIP indirectly owns 54.93% of the combined voting power of the Company's common stock as of December 31, 2021. As a result of this ownership, GIP has a substantial influence on the Company's affairs and its voting power will constitute a large percentage of any quorum of the Company's stockholders voting on any matter requiring the approval of the Company's stockholders. Such matters include the election of directors, the adoption of amendments to the Company's amended and restated certificate of incorporation and fourth amended and restated bylaws and approval of mergers or sale of all or substantially all of its assets. This concentration of ownership may also have the effect of delaying or preventing a change in control of the Company or discouraging others from making tender offers for the Company's shares. In addition, GIP has the right to elect all of the Company's directors. GIP may cause corporate actions to be taken even if their interests conflict with the interests of the Company's other stockholders (including holders of the Company's Class A and Class C common stock).</w:t>
      </w:r>
    </w:p>
    <w:p>
      <w:pPr>
        <w:spacing w:after="0" w:line="134" w:lineRule="exact"/>
        <w:rPr>
          <w:sz w:val="20"/>
          <w:szCs w:val="20"/>
          <w:color w:val="auto"/>
        </w:rPr>
      </w:pPr>
    </w:p>
    <w:p>
      <w:pPr>
        <w:jc w:val="both"/>
        <w:ind w:firstLine="400"/>
        <w:spacing w:after="0" w:line="285" w:lineRule="auto"/>
        <w:rPr>
          <w:sz w:val="20"/>
          <w:szCs w:val="20"/>
          <w:color w:val="auto"/>
        </w:rPr>
      </w:pPr>
      <w:r>
        <w:rPr>
          <w:rFonts w:ascii="Arial" w:cs="Arial" w:eastAsia="Arial" w:hAnsi="Arial"/>
          <w:sz w:val="16"/>
          <w:szCs w:val="16"/>
          <w:color w:val="auto"/>
        </w:rPr>
        <w:t>Furthermore, the Company depends on certain services provided by or under the direction of CEG under the CEG Master Services Agreement, including numerous processes related to the Company's internal control over financial reporting. CEG personnel and support staff that provide services to the Company under the CEG Master Services Agreement are not required to, and the Company does not expect that they will, have as their primary responsibility the management and administration of the Company or to act exclusively for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processes related to internal controls over financial reporting, operations or to implement its strategy could have a material adverse effect on the business, financial condition, results of operations and cash flows. The CEG Master Services Agreement will continue in perpetuity, until terminated in accordance with its terms.</w:t>
      </w:r>
    </w:p>
    <w:p>
      <w:pPr>
        <w:spacing w:after="0" w:line="118"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The Company also depends upon CEG and third parties for the provision of management, administration, O&amp;M and certain other services at certain of the Company's facilities. Any failure by CEG or third parties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GIP and its affiliates control the Company and have the ability to designate a majority of the members of the Company’s Board.</w:t>
      </w:r>
    </w:p>
    <w:p>
      <w:pPr>
        <w:spacing w:after="0" w:line="166"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Due to GIP's approximate 54.93% combined voting power in the Company, the ability of other holders of the Company’s Class A and Class C common stock to exercise control over the corporate governance of the Company is limited. GIP and its affiliates have a substantial influence on the Company’s affairs and its voting power constitutes a large percentage of any quorum of the Company’s stockholders voting on any matter requiring the approval of the Company’s stockholders. GIP and its affiliates may hold certain interests that are different from those of the Company or other holders of the Company’s Class A and Class C common stock and there is no assurance that GIP and its affiliates will exercise its control over the Company in a manner that is consistent with the Company’s interests or those of the holders of the Company’s Class A and Class C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consummate future acquisitions from CEG.</w:t>
      </w:r>
    </w:p>
    <w:p>
      <w:pPr>
        <w:spacing w:after="0" w:line="166" w:lineRule="exact"/>
        <w:rPr>
          <w:sz w:val="20"/>
          <w:szCs w:val="20"/>
          <w:color w:val="auto"/>
        </w:rPr>
      </w:pPr>
    </w:p>
    <w:p>
      <w:pPr>
        <w:jc w:val="both"/>
        <w:ind w:firstLine="400"/>
        <w:spacing w:after="0" w:line="284" w:lineRule="auto"/>
        <w:rPr>
          <w:sz w:val="20"/>
          <w:szCs w:val="20"/>
          <w:color w:val="auto"/>
        </w:rPr>
      </w:pPr>
      <w:r>
        <w:rPr>
          <w:rFonts w:ascii="Arial" w:cs="Arial" w:eastAsia="Arial" w:hAnsi="Arial"/>
          <w:sz w:val="16"/>
          <w:szCs w:val="16"/>
          <w:color w:val="auto"/>
        </w:rPr>
        <w:t>The Company's ability to grow through acquisitions depends, in part, on CEG's ability to identify and present the Company with acquisition opportunities. Although CEG has agreed, pursuant to the CEG ROFO Agreement, to grant the Company a right of first offer with respect to certain power generation assets that CEG may elect to sell in the future, CEG is under no obligation to sell any such power generation assets or to accept any related offers from the Company. In addition, CEG has not agreed to commit any minimum level of dedicated resources for the pursuit of renewable power-related acquisitions. There are a number of factors which could materially and adversely impact the extent to which suitable acquisition opportunities are made available from CEG, including that the same professionals within CEG's organization that are involved in acquisitions that are suitable for the Company have responsibilities within CEG's broader asset management business, which may include sourcing acquisition opportunities for CEG. Limits on the availability of such individuals will likewise result in a limitation on the availability of acquisition opportunities for the Company. In making these determinations, CEG may be influenced by factors that result in a misalignment with the Company's interests or conflict of interest.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to terminate the CEG Master Services Agreement, in certain circumstances.</w:t>
      </w:r>
    </w:p>
    <w:p>
      <w:pPr>
        <w:spacing w:after="0" w:line="166" w:lineRule="exact"/>
        <w:rPr>
          <w:sz w:val="20"/>
          <w:szCs w:val="20"/>
          <w:color w:val="auto"/>
        </w:rPr>
      </w:pPr>
    </w:p>
    <w:p>
      <w:pPr>
        <w:jc w:val="both"/>
        <w:ind w:firstLine="400"/>
        <w:spacing w:after="0" w:line="283" w:lineRule="auto"/>
        <w:rPr>
          <w:sz w:val="20"/>
          <w:szCs w:val="20"/>
          <w:color w:val="auto"/>
        </w:rPr>
      </w:pPr>
      <w:r>
        <w:rPr>
          <w:rFonts w:ascii="Arial" w:cs="Arial" w:eastAsia="Arial" w:hAnsi="Arial"/>
          <w:sz w:val="16"/>
          <w:szCs w:val="16"/>
          <w:color w:val="auto"/>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 (ii) CEG engages in any act of fraud, misappropriation of funds or embezzlement that results in material harm to the Company; (iii) CEG is grossly negligent in the performance of its duties under the agreement and such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180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12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The Company relies on CEG to provide certain services under the CEG Master Services Agreement. The CEG Master Services Agreement provides that CEG may terminate the agreement upon 180 days prior written notice of termination to the Company if the Company defaults in the performance or observance of any material term, condition or covenant contained in the agreement in a manner that results in material harm and the default continues unremedied for a period of 30 days after written notice of the breach is given. If CEG terminates the Management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b w:val="1"/>
          <w:bCs w:val="1"/>
          <w:i w:val="1"/>
          <w:iCs w:val="1"/>
          <w:color w:val="auto"/>
        </w:rPr>
        <w:t>The liability of CEG is limited under the Company's arrangements with it and the Company has agreed to indemnify CEG against claims that it may face in connection with such arrangements, which may lead CEG to assume greater risks when making decisions relating to the Company than it otherwise might if acting solely for its own account.</w:t>
      </w:r>
    </w:p>
    <w:p>
      <w:pPr>
        <w:spacing w:after="0" w:line="135" w:lineRule="exact"/>
        <w:rPr>
          <w:sz w:val="20"/>
          <w:szCs w:val="20"/>
          <w:color w:val="auto"/>
        </w:rPr>
      </w:pPr>
    </w:p>
    <w:p>
      <w:pPr>
        <w:jc w:val="both"/>
        <w:ind w:firstLine="400"/>
        <w:spacing w:after="0" w:line="283" w:lineRule="auto"/>
        <w:rPr>
          <w:sz w:val="20"/>
          <w:szCs w:val="20"/>
          <w:color w:val="auto"/>
        </w:rPr>
      </w:pPr>
      <w:r>
        <w:rPr>
          <w:rFonts w:ascii="Arial" w:cs="Arial" w:eastAsia="Arial" w:hAnsi="Arial"/>
          <w:sz w:val="16"/>
          <w:szCs w:val="16"/>
          <w:color w:val="auto"/>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CEG tolerating greater risks when making decisions than otherwise might be the case, including when determining whether to use leverage in connection with acquisitions. The indemnification arrangements to which CEG is a party may also give rise to legal claims for indemnification that are adverse to the Company and holders of its common stock.</w:t>
      </w:r>
    </w:p>
    <w:p>
      <w:pPr>
        <w:spacing w:after="0" w:line="123" w:lineRule="exact"/>
        <w:rPr>
          <w:sz w:val="20"/>
          <w:szCs w:val="20"/>
          <w:color w:val="auto"/>
        </w:rPr>
      </w:pPr>
    </w:p>
    <w:p>
      <w:pPr>
        <w:jc w:val="both"/>
        <w:ind w:right="20"/>
        <w:spacing w:after="0" w:line="412" w:lineRule="auto"/>
        <w:rPr>
          <w:sz w:val="20"/>
          <w:szCs w:val="20"/>
          <w:color w:val="auto"/>
        </w:rPr>
      </w:pPr>
      <w:r>
        <w:rPr>
          <w:rFonts w:ascii="Arial" w:cs="Arial" w:eastAsia="Arial" w:hAnsi="Arial"/>
          <w:sz w:val="14"/>
          <w:szCs w:val="14"/>
          <w:b w:val="1"/>
          <w:bCs w:val="1"/>
          <w:i w:val="1"/>
          <w:iCs w:val="1"/>
          <w:color w:val="auto"/>
        </w:rPr>
        <w:t>Certain of the Company’s PPAs and project-level financing arrangements include provisions that would permit the counterparty to terminate the contract or accelerate maturity in the event GIP or its affiliates ceases to control or own, directly or indirectly, a majority of the voting power of the Company.</w:t>
      </w:r>
    </w:p>
    <w:p>
      <w:pPr>
        <w:spacing w:after="0" w:line="34"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color w:val="auto"/>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GIP or its affiliates ceases to own, directly or indirectly, capital stock representing more than 50% of the voting power of the Company’s capital stock outstanding on such date, or, in some cases, if GIP or its affiliates ceases to be the majority owner, directly or indirectly, of the applicable project subsidiary. As a result, if GIP or its affiliates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project-level financing could have a material adverse effect on the Company’s business, financial condition, results of operations and cash flow.</w:t>
      </w:r>
    </w:p>
    <w:p>
      <w:pPr>
        <w:spacing w:after="0" w:line="13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The Company is a "controlled company", controlled by GIP, and as a result, is exempt from certain corporate governance requirements that are designed to provide protection to stockholders of companies that are not controlled companies.</w:t>
      </w:r>
    </w:p>
    <w:p>
      <w:pPr>
        <w:spacing w:after="0" w:line="126"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As of December 31, 2021, GIP indirectly controls 54.93% of the Company's combined voting power and is able to elect all of the Company's board of directors. As a result, the Company is considered a "controlled company" for the purposes of the NYSE listing requirements. As a "controlled company," the Company is permitted to, and the Company may, opt out of the NYSE listing requirements that would require (i) a majority of the members of the Company's board of directors to be independent, (ii) that the Company establish a compensation committee and a nominating and governance committee, each comprised entirely of independent directors, or (iii) an annual performance evaluation of the nominating and governance and compensation committees. The NYSE listing requirements are intended to ensure that directors who meet the independence standards are free of any conflicting interest that could influence their actions as directors. While the Company has elected to have a Corporate Governance, Conflicts and Nominating Committee consisting entirely of independent directors and to conduct an annual performance evaluation of this committee, the majority of the members of the Company’s board of directors are not considered independent and the Company's compensation committee is not comprised entirely of independent directors. Therefore, the Company’s stockholders may not have the same protections afforded to stockholders of companies that are subject to all of the applicable NYSE listing requirements. It is also possible that the interests of GIP may in some circumstances conflict with the Company's interests and the interests of the holders of the Company's Class A and Class C common stock.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Risks Related to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 is subject to restrictions resulting from environmental, health and safety laws and regulations.</w:t>
      </w:r>
    </w:p>
    <w:p>
      <w:pPr>
        <w:spacing w:after="0" w:line="166" w:lineRule="exact"/>
        <w:rPr>
          <w:sz w:val="20"/>
          <w:szCs w:val="20"/>
          <w:color w:val="auto"/>
        </w:rPr>
      </w:pPr>
    </w:p>
    <w:p>
      <w:pPr>
        <w:jc w:val="both"/>
        <w:ind w:firstLine="400"/>
        <w:spacing w:after="0" w:line="284" w:lineRule="auto"/>
        <w:rPr>
          <w:sz w:val="20"/>
          <w:szCs w:val="20"/>
          <w:color w:val="auto"/>
        </w:rPr>
      </w:pPr>
      <w:r>
        <w:rPr>
          <w:rFonts w:ascii="Arial" w:cs="Arial" w:eastAsia="Arial" w:hAnsi="Arial"/>
          <w:sz w:val="16"/>
          <w:szCs w:val="16"/>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undertake to indemnify it for environmental liabilities they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20"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Greenhouse gas (GHG) regulation could also increase the cost of electricity generated by fossil fuels, and such increases could reduce demand for the power the Company's conventional assets generate and market. Legislative and regulatory measures to address climate change and GHG emissions are in various phases of discussion or implementation. The EPA regulates GHG emissions from new and modified facilities that are potential major sources of criteria pollutants under the Clean Air Act's Prevention of Significant Deterioration and Title V programs and has adopted regulations that require, among other things, preconstruction and operating permits for certain large stationary sources and the monitoring and reporting of GHGs from certain onshore oil and natural gas production sources on an annual basis.</w:t>
      </w:r>
    </w:p>
    <w:p>
      <w:pPr>
        <w:spacing w:after="0" w:line="130" w:lineRule="exact"/>
        <w:rPr>
          <w:sz w:val="20"/>
          <w:szCs w:val="20"/>
          <w:color w:val="auto"/>
        </w:rPr>
      </w:pPr>
    </w:p>
    <w:p>
      <w:pPr>
        <w:jc w:val="both"/>
        <w:ind w:firstLine="400"/>
        <w:spacing w:after="0" w:line="288" w:lineRule="auto"/>
        <w:rPr>
          <w:sz w:val="20"/>
          <w:szCs w:val="20"/>
          <w:color w:val="auto"/>
        </w:rPr>
      </w:pPr>
      <w:r>
        <w:rPr>
          <w:rFonts w:ascii="Arial" w:cs="Arial" w:eastAsia="Arial" w:hAnsi="Arial"/>
          <w:sz w:val="16"/>
          <w:szCs w:val="16"/>
          <w:color w:val="auto"/>
        </w:rPr>
        <w:t>In addition, in 2015, the U.S., Canada and the U.K. participated in the United Nations Conference on Climate Change, which led to the creation of the Paris Agreement. The Paris Agreement, which was signed by the U.S. in April 2016, requires countries to review and “represent a progression” in their intended nationally determined contributions (which set GHG emission reduction goals) every five years beginning in 2020. In November 2020, the U.S. officially withdrew from the Paris Agreement in November 2020. However, on January 20, 2021, President Biden signed an “Acceptance on Behalf of the United States of America” that will allow the U.S. to rejoin the Paris Agreement. The newly signed acceptance, deposited with the United Nations on January 20, reverses the prior withdrawal. The U.S. officially rejoined the Paris Agreement on February 19, 2021.</w:t>
      </w:r>
    </w:p>
    <w:p>
      <w:pPr>
        <w:spacing w:after="0" w:line="115"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6"/>
          <w:szCs w:val="16"/>
          <w:color w:val="auto"/>
        </w:rPr>
        <w:t>The U.S. Congress, along with federal and state agencies, has also considered measures to reduce the emissions of GHGs. Legislation or regulation that restricts carbon emissions could increase the cost of environmental compliance for the Company’s conventional assets by requiring the Company to install new equipment to reduce emissions from larger facilities and/or purchase emission allowances. Climate change and GHG legislation or regulation could also delay or otherwise negatively affect efforts to obtain and maintain permits and other regulatory approvals for the Company’s conventional assets’ existing and new facilities, impose additional monitoring and reporting requirements or adversely affect demand for the natural gas the Company gathers, transports and stores. Conversely, legislation or regulation that sets a price on or otherwise restricts carbon emissions could also benefit the Company by increasing demand for solar or wind energy sources. In addition, governmental, scientific and public concern over the threat of climate change arising from GHG emissions has resulted in increasing political risks in the U.S, including climate change related pledges made by the Biden Administration. Shortly after taking office in January 2021, President Biden issued a series of executive orders designed to address climate change and suspend, revise, or rescind, prior agency actions that are identified as conflicting with the Biden Administration’s climate policies. Furthermore, as part of rejoining the Paris Agreement, President Biden announced that the United States would commit to a 50 to 52 percent reduction from 2005 levels of GHG emissions by 2030, and set the goal of reaching net-zero GHG emissions by 2050. Reentry into the Paris Agreement and President Biden's executive orders may result in the development of additional regulations or changes to existing regulations. The effect on the Company of any new legislative or regulatory measures will depend on the particular provisions that are ultimately adopted.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1" w:name="page32"/>
    <w:bookmarkEnd w:id="31"/>
    <w:p>
      <w:pPr>
        <w:jc w:val="both"/>
        <w:spacing w:after="0" w:line="297" w:lineRule="auto"/>
        <w:rPr>
          <w:sz w:val="20"/>
          <w:szCs w:val="20"/>
          <w:color w:val="auto"/>
        </w:rPr>
      </w:pPr>
      <w:r>
        <w:rPr>
          <w:rFonts w:ascii="Arial" w:cs="Arial" w:eastAsia="Arial" w:hAnsi="Arial"/>
          <w:sz w:val="17"/>
          <w:szCs w:val="17"/>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103" w:lineRule="exact"/>
        <w:rPr>
          <w:sz w:val="20"/>
          <w:szCs w:val="20"/>
          <w:color w:val="auto"/>
        </w:rPr>
      </w:pPr>
    </w:p>
    <w:p>
      <w:pPr>
        <w:jc w:val="both"/>
        <w:ind w:firstLine="400"/>
        <w:spacing w:after="0" w:line="284" w:lineRule="auto"/>
        <w:rPr>
          <w:sz w:val="20"/>
          <w:szCs w:val="20"/>
          <w:color w:val="auto"/>
        </w:rPr>
      </w:pPr>
      <w:r>
        <w:rPr>
          <w:rFonts w:ascii="Arial" w:cs="Arial" w:eastAsia="Arial" w:hAnsi="Arial"/>
          <w:sz w:val="16"/>
          <w:szCs w:val="16"/>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in Texas within the footprint of ERCOT, or in Puerto Rico,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20"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 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30"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All of the Company's generating assets are operating either as EWGs or FUCOs as defined under the PUHCA, or as QFs as defined under the PURPA, as amended, and therefore are exempt from certain regulation under the PUHCA and the FPA. If a facility fails to maintain its status as an EWG, FUCO,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139" w:lineRule="exact"/>
        <w:rPr>
          <w:sz w:val="20"/>
          <w:szCs w:val="20"/>
          <w:color w:val="auto"/>
        </w:rPr>
      </w:pPr>
    </w:p>
    <w:p>
      <w:pPr>
        <w:jc w:val="both"/>
        <w:ind w:firstLine="400"/>
        <w:spacing w:after="0" w:line="281" w:lineRule="auto"/>
        <w:rPr>
          <w:sz w:val="20"/>
          <w:szCs w:val="20"/>
          <w:color w:val="auto"/>
        </w:rPr>
      </w:pPr>
      <w:r>
        <w:rPr>
          <w:rFonts w:ascii="Arial" w:cs="Arial" w:eastAsia="Arial" w:hAnsi="Arial"/>
          <w:sz w:val="16"/>
          <w:szCs w:val="16"/>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jc w:val="both"/>
        <w:spacing w:after="0" w:line="267" w:lineRule="auto"/>
        <w:rPr>
          <w:sz w:val="20"/>
          <w:szCs w:val="20"/>
          <w:color w:val="auto"/>
        </w:rPr>
      </w:pPr>
      <w:r>
        <w:rPr>
          <w:rFonts w:ascii="Arial" w:cs="Arial" w:eastAsia="Arial" w:hAnsi="Arial"/>
          <w:sz w:val="18"/>
          <w:szCs w:val="18"/>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126" w:lineRule="exact"/>
        <w:rPr>
          <w:sz w:val="20"/>
          <w:szCs w:val="20"/>
          <w:color w:val="auto"/>
        </w:rPr>
      </w:pPr>
    </w:p>
    <w:p>
      <w:pPr>
        <w:jc w:val="both"/>
        <w:ind w:firstLine="400"/>
        <w:spacing w:after="0" w:line="281" w:lineRule="auto"/>
        <w:rPr>
          <w:sz w:val="20"/>
          <w:szCs w:val="20"/>
          <w:color w:val="auto"/>
        </w:rPr>
      </w:pPr>
      <w:r>
        <w:rPr>
          <w:rFonts w:ascii="Arial" w:cs="Arial" w:eastAsia="Arial" w:hAnsi="Arial"/>
          <w:sz w:val="16"/>
          <w:szCs w:val="16"/>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Any failure to comply with applicable environmental laws and regulations, including those relating to equipment failures, or obtain required governmental approvals and permits, may result in the assessment of administrative, civil or criminal penalties, imposition of investigatory or remedial activities and, in certain, less common circumstances, issuance of temporary or permanent injunctions, or construction or operation bans or delays.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The Company's business is subject to complex and evolving U.S. laws and regulations regarding privacy and data protection (“data protection laws”). Many of these laws and regulations are subject to change and uncertain interpretation, and could result in claims, increased cost of operations, or otherwise harm the Company's business.</w:t>
      </w:r>
    </w:p>
    <w:p>
      <w:pPr>
        <w:spacing w:after="0" w:line="135" w:lineRule="exact"/>
        <w:rPr>
          <w:sz w:val="20"/>
          <w:szCs w:val="20"/>
          <w:color w:val="auto"/>
        </w:rPr>
      </w:pPr>
    </w:p>
    <w:p>
      <w:pPr>
        <w:jc w:val="both"/>
        <w:ind w:firstLine="400"/>
        <w:spacing w:after="0" w:line="285" w:lineRule="auto"/>
        <w:rPr>
          <w:sz w:val="20"/>
          <w:szCs w:val="20"/>
          <w:color w:val="auto"/>
        </w:rPr>
      </w:pPr>
      <w:r>
        <w:rPr>
          <w:rFonts w:ascii="Arial" w:cs="Arial" w:eastAsia="Arial" w:hAnsi="Arial"/>
          <w:sz w:val="16"/>
          <w:szCs w:val="16"/>
          <w:color w:val="auto"/>
        </w:rPr>
        <w:t>The regulatory environment surrounding data privacy and protection is constantly evolving and can be subject to significant change. New data protection laws pose increasingly complex compliance challenges and potentially elevate the Company's costs. Complying with varying jurisdictional requirements could increase the costs and complexity of compliance, and violations of applicable data protection laws can result in significant penalties. Any failure, or perceived failure, by the Company to comply with applicable data protection laws could result in proceedings or actions against the Company by governmental entities or others, subject the Company to significant fines, penalties, judgments, and negative publicity, require the Company to change its business practices, increase the costs and complexity of compliance, and adversely affect the Company's business. As noted above, the Company is also subject to the possibility of cyberattacks, which themselves may result in a violation of these laws. Additionally, if the Company acquires a company that has violated or is not in compliance with applicable data protection laws, the Company may incur significant liabilities and penalties as a result.</w:t>
      </w:r>
    </w:p>
    <w:p>
      <w:pPr>
        <w:spacing w:after="0" w:line="11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Government regulations providing incentives for renewable power generation could change at any time and such changes may negatively impact the Company's growth strategy.</w:t>
      </w:r>
    </w:p>
    <w:p>
      <w:pPr>
        <w:spacing w:after="0" w:line="126"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The Company's growth strategy depends in part on government policies that support renewable generation and enhance the economic viability of owning electric generation assets. Renewable generation assets currently benefit from various federal, state and local governmental incentives such as ITCs, cash grants in lieu of ITCs, PTCs, loan guarantees, RPS, programs, modified accelerated cost-recovery system of depreciation and bonus depreciation. These laws, regulations and policies have had a significant impact on the development of renewable energy generation projects and they could be changed, reduced or eliminated at any time. These incentives make the development of renewable generation projects more competitive by providing tax credits or grants and accelerated depreciation for a portion of the development costs, decreasing the costs and risks associated with developing such projects or creating demand for renewable energy assets through RPS programs. The elimination of, loss of or reduction in such incentives could decrease the attractiveness of renewable generation projects to developers, including, but not limited to, CEG, which could reduce the Company's acquisition opportunities. Such an elimination, loss or reduction could also reduce the Company's willingness to pursue or develop certain renewable energy projects due to higher operating costs or decreased revenues under its PPAs.</w:t>
      </w:r>
    </w:p>
    <w:p>
      <w:pPr>
        <w:spacing w:after="0" w:line="134" w:lineRule="exact"/>
        <w:rPr>
          <w:sz w:val="20"/>
          <w:szCs w:val="20"/>
          <w:color w:val="auto"/>
        </w:rPr>
      </w:pPr>
    </w:p>
    <w:p>
      <w:pPr>
        <w:jc w:val="both"/>
        <w:ind w:firstLine="400"/>
        <w:spacing w:after="0" w:line="304" w:lineRule="auto"/>
        <w:rPr>
          <w:sz w:val="20"/>
          <w:szCs w:val="20"/>
          <w:color w:val="auto"/>
        </w:rPr>
      </w:pPr>
      <w:r>
        <w:rPr>
          <w:rFonts w:ascii="Arial" w:cs="Arial" w:eastAsia="Arial" w:hAnsi="Arial"/>
          <w:sz w:val="16"/>
          <w:szCs w:val="16"/>
          <w:color w:val="auto"/>
        </w:rPr>
        <w:t>If these laws, regulations and policies are not continued or renewed, the market for future renewable energy PPAs may be smaller and the prices for future renewable energy PPAs may be lower. If the IRS issues guidance that limits the availability of the PTC or the ITC, the projects could generate reduced revenues and reduced economic returns, experience increased financing costs and encounter difficulty obtaining financing on acceptable terms.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jc w:val="both"/>
        <w:ind w:firstLine="400"/>
        <w:spacing w:after="0" w:line="257" w:lineRule="auto"/>
        <w:rPr>
          <w:sz w:val="20"/>
          <w:szCs w:val="20"/>
          <w:color w:val="auto"/>
        </w:rPr>
      </w:pPr>
      <w:r>
        <w:rPr>
          <w:rFonts w:ascii="Arial" w:cs="Arial" w:eastAsia="Arial" w:hAnsi="Arial"/>
          <w:sz w:val="18"/>
          <w:szCs w:val="18"/>
          <w:color w:val="auto"/>
        </w:rPr>
        <w:t>If the Company is unable to utilize various federal, state and local government incentives to acquire additional renewable assets in the future, or the terms of such incentives are revised in a manner that is less favorable to the Company, it may suffer a material adverse effect on the business, financial condition, results of operations and cash flows.</w:t>
      </w:r>
    </w:p>
    <w:p>
      <w:pPr>
        <w:spacing w:after="0" w:line="135"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commodity contracts or lead to lower prices for the sale of power in future commodity contracts, which could have a material adverse effect on the Company's future growth prospects. Such material adverse effects may result from decreased revenues, reduced economic returns on certain project company investments, increased financing costs, and/or difficulty obtaining financing. Furthermore, the American Recovery and Reinvestment Act of 2009 included incentives to encourage investment in the renewable energy sector, such as cash grants in lieu of ITCs, bonus depreciation and expansion of the U.S. DOE loan guarantee program. It is uncertain what loan guarantees may be made by the U.S. DOE loan guarantee program in the future.</w:t>
      </w:r>
    </w:p>
    <w:p>
      <w:pPr>
        <w:spacing w:after="0" w:line="129"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Any of the foregoing could have a material adverse effect on the Company's business, financial condition, results of operations and ability to grow its business and make cash distributions.</w:t>
      </w:r>
    </w:p>
    <w:p>
      <w:pPr>
        <w:spacing w:after="0" w:line="126" w:lineRule="exact"/>
        <w:rPr>
          <w:sz w:val="20"/>
          <w:szCs w:val="20"/>
          <w:color w:val="auto"/>
        </w:rPr>
      </w:pPr>
    </w:p>
    <w:p>
      <w:pPr>
        <w:jc w:val="both"/>
        <w:spacing w:after="0" w:line="412" w:lineRule="auto"/>
        <w:rPr>
          <w:sz w:val="20"/>
          <w:szCs w:val="20"/>
          <w:color w:val="auto"/>
        </w:rPr>
      </w:pPr>
      <w:r>
        <w:rPr>
          <w:rFonts w:ascii="Arial" w:cs="Arial" w:eastAsia="Arial" w:hAnsi="Arial"/>
          <w:sz w:val="14"/>
          <w:szCs w:val="14"/>
          <w:b w:val="1"/>
          <w:bCs w:val="1"/>
          <w:i w:val="1"/>
          <w:iCs w:val="1"/>
          <w:color w:val="auto"/>
        </w:rPr>
        <w:t>A portion of the steam and chilled water produced by the Company's thermal assets is sold at regulated rates, and the revenue earned by the Company's GenConn assets is established each year in a rate case; accordingly, the profitability of these assets is dependent on regulatory approval.</w:t>
      </w:r>
    </w:p>
    <w:p>
      <w:pPr>
        <w:spacing w:after="0" w:line="34"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Approximately 433 net MWt of capacity from certain of the Company's thermal assets are sold at rates approved by one or more federal or state regulatory commissions, including the Pennsylvania Public Utility Commission and the California Public Utilities Commission for the thermal assets. Similarly, the revenues related to the GenConn assets are established each year by the Connecticut Public Utilities Regulatory Authority. While such regulatory oversight is generally premised on the recovery of prudently incurred costs and a reasonable rate of return on invested capital, the rates that the Company may charge, or the revenue that the Company may earn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the Company's rates and revenues are generally established based on an analysis of costs incurred in a base year, the rates the Company is allowed to charge, and the revenues the Company is authorized to earn, may or may not match the costs at any given time. If the Company's costs are not adequately recovered through these regulatory processes, it could have a material adverse effect on the business, financial condition, results of operations and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may not be able to continue paying comparable or growing cash dividends to holders of its common stock in the future.</w:t>
      </w:r>
    </w:p>
    <w:p>
      <w:pPr>
        <w:spacing w:after="0" w:line="178"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The amount of CAFD principally depends upon the amount of cash the Company generates from its operations, which will fluctuate from quarter to quarter based on, among other things:</w:t>
      </w:r>
    </w:p>
    <w:p>
      <w:pPr>
        <w:spacing w:after="0" w:line="19" w:lineRule="exact"/>
        <w:rPr>
          <w:sz w:val="20"/>
          <w:szCs w:val="20"/>
          <w:color w:val="auto"/>
        </w:rPr>
      </w:pPr>
    </w:p>
    <w:p>
      <w:pPr>
        <w:ind w:left="640" w:hanging="31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and timing of capital expenditures the Company makes;</w:t>
      </w:r>
    </w:p>
    <w:p>
      <w:pPr>
        <w:spacing w:after="0" w:line="112" w:lineRule="exact"/>
        <w:rPr>
          <w:rFonts w:ascii="Arial" w:cs="Arial" w:eastAsia="Arial" w:hAnsi="Arial"/>
          <w:sz w:val="18"/>
          <w:szCs w:val="18"/>
          <w:color w:val="auto"/>
        </w:rPr>
      </w:pPr>
    </w:p>
    <w:p>
      <w:pPr>
        <w:ind w:left="640" w:hanging="314"/>
        <w:spacing w:after="0" w:line="26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operating and general and administrative expenses, including reimbursements to CEG for services provided to the Company in accordance with the CEG Master Services Agreement;</w:t>
      </w:r>
    </w:p>
    <w:p>
      <w:pPr>
        <w:spacing w:after="0" w:line="72" w:lineRule="exact"/>
        <w:rPr>
          <w:rFonts w:ascii="Arial" w:cs="Arial" w:eastAsia="Arial" w:hAnsi="Arial"/>
          <w:sz w:val="18"/>
          <w:szCs w:val="18"/>
          <w:color w:val="auto"/>
        </w:rPr>
      </w:pPr>
    </w:p>
    <w:p>
      <w:pPr>
        <w:ind w:left="640" w:hanging="31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revenues generated by the business, due to seasonality, weather, or otherwise;</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debt service requirements and other liabilities;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working capital needs;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ability to borrow funds and access capital markets;</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contained in the Company's debt agreements (including project-level financing and, if applicable, corporate debt); and</w:t>
      </w:r>
    </w:p>
    <w:p>
      <w:pPr>
        <w:spacing w:after="0" w:line="112" w:lineRule="exact"/>
        <w:rPr>
          <w:rFonts w:ascii="Arial" w:cs="Arial" w:eastAsia="Arial" w:hAnsi="Arial"/>
          <w:sz w:val="18"/>
          <w:szCs w:val="18"/>
          <w:color w:val="auto"/>
        </w:rPr>
      </w:pPr>
    </w:p>
    <w:p>
      <w:pPr>
        <w:ind w:left="640" w:hanging="314"/>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business risks affecting cash levels.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jc w:val="both"/>
        <w:ind w:firstLine="400"/>
        <w:spacing w:after="0" w:line="304" w:lineRule="auto"/>
        <w:rPr>
          <w:sz w:val="20"/>
          <w:szCs w:val="20"/>
          <w:color w:val="auto"/>
        </w:rPr>
      </w:pPr>
      <w:r>
        <w:rPr>
          <w:rFonts w:ascii="Arial" w:cs="Arial" w:eastAsia="Arial" w:hAnsi="Arial"/>
          <w:sz w:val="16"/>
          <w:szCs w:val="16"/>
          <w:color w:val="auto"/>
        </w:rPr>
        <w:t>As a result of all these factors, the Company cannot guarantee that it will have sufficient cash generated from operations to pay a specific level of cash dividends to holders of its Class A or Class C common stock. Furthermore, holders of the Company's Class A or Class C common stock should be aware that the amount of CAFD depends primarily on operating cash flow, and is not solely a function of profitability, which can be affected by non-cash items.</w:t>
      </w:r>
    </w:p>
    <w:p>
      <w:pPr>
        <w:spacing w:after="0" w:line="100"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color w:val="auto"/>
        </w:rPr>
        <w:t>The Company may incur other expenses or liabilities during a period that could significantly reduce or eliminate its CAFD and, in turn, impair its ability to pay dividends to holders of the Company's Class A or Class C common stock during the period. Because the Company is a holding company, its ability to pay dividends on the Company's Class A or Class C common stock is restricted and further limited by the ability of the Company's subsidiaries to make distributions to the Company, including restrictions under the terms of the agreements governing the Company's corporate debt and project-level financing. For example, as a result of the PG&amp;E Bankruptcy, between early 2019 and mid-2020, certain of the Company's unconsolidated investments were unable to distribute project dividends to the Company. The project-level financing agreements generally prohibit distributions from the project entities prior to COD and thereafter prohibit distributions to the Company unless certain specific conditions are met, including the satisfaction of financial ratios. The Company's revolving credit facility also restricts the Company's ability to declare and pay dividends if an event of default has occurred and is continuing or if the payment of the dividend would result in an event of default.</w:t>
      </w:r>
    </w:p>
    <w:p>
      <w:pPr>
        <w:spacing w:after="0" w:line="129"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auto"/>
        </w:rPr>
        <w:t>Clearway Energy LLC's CAFD will likely fluctuate from quarter to quarter, in some cases significantly, due to seasonality. As a result, the Company may cause Clearway Energy LLC to reduce the amount of cash it distributes to its members in a particular quarter to establish reserves to fund distributions to its members in future periods for which the cash distributions the Company would otherwise receive from Clearway Energy LLC would be insufficient to fund its quarterly dividend. If the Company fails to cause Clearway Energy LLC to establish sufficient reserves, the Company may not be able to maintain its quarterly dividend with respect to a quarter adversely affected by seasonality.</w:t>
      </w:r>
    </w:p>
    <w:p>
      <w:pPr>
        <w:spacing w:after="0" w:line="127"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Finally, dividends to holders of the Company's Class A or Class C common stock will be paid at the discretion of the Company's board of directors. The Company's board of directors may decrease the level, or entirely discontinue payment, of dividends.</w:t>
      </w:r>
    </w:p>
    <w:p>
      <w:pPr>
        <w:spacing w:after="0" w:line="126" w:lineRule="exact"/>
        <w:rPr>
          <w:sz w:val="20"/>
          <w:szCs w:val="20"/>
          <w:color w:val="auto"/>
        </w:rPr>
      </w:pPr>
    </w:p>
    <w:p>
      <w:pPr>
        <w:jc w:val="both"/>
        <w:spacing w:after="0" w:line="297" w:lineRule="auto"/>
        <w:rPr>
          <w:sz w:val="20"/>
          <w:szCs w:val="20"/>
          <w:color w:val="auto"/>
        </w:rPr>
      </w:pPr>
      <w:r>
        <w:rPr>
          <w:rFonts w:ascii="Arial" w:cs="Arial" w:eastAsia="Arial" w:hAnsi="Arial"/>
          <w:sz w:val="17"/>
          <w:szCs w:val="17"/>
          <w:b w:val="1"/>
          <w:bCs w:val="1"/>
          <w:i w:val="1"/>
          <w:iCs w:val="1"/>
          <w:color w:val="auto"/>
        </w:rPr>
        <w:t>The Company is a holding company and its only material asset is its interest in Clearway Energy LLC, and the Company is accordingly dependent upon distributions from Clearway Energy LLC and its subsidiaries to pay dividends and taxes and other expenses.</w:t>
      </w:r>
    </w:p>
    <w:p>
      <w:pPr>
        <w:spacing w:after="0" w:line="103"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The Company is a holding company and has no material assets other than its ownership of membership interests in Clearway Energy LLC, a holding company that has no material assets other than its interest in Clearway Energy Operating LLC, whose sole material assets are the project companies. None of the Company, Clearway Energy LLC or Clearway Energy Operating LLC has any independent means of generating revenue. The Company intends to continue to cause Clearway Energy Operating LLC's subsidiaries to make distributions to Clearway Energy Operating LLC and, in turn, make distributions to Clearway Energy LLC, and, in turn, to make distributions to the Company in an amount sufficient to cover all applicable taxes payable and dividends, if any, declared by the Company. To the extent that the Company needs funds for a quarterly cash dividend to holders of the Company's Class A and Class C common stock or otherwise, and Clearway Energy Operating LLC or Clearway Energy LLC is restricted from making such distributions under applicable law or regulation or is otherwise unable to provide such funds (including as a result of Clearway Energy Operating LLC's operating subsidiaries being unable to make distributions), it could materially adversely affect the Company's liquidity and financial condition and limit the Company's ability to pay dividends to holders of the Company's Class A and Class C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interest rates may have an effect on the value of the Company's Class A and Class C common stock.</w:t>
      </w:r>
    </w:p>
    <w:p>
      <w:pPr>
        <w:spacing w:after="0" w:line="166"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color w:val="auto"/>
        </w:rPr>
        <w:t>One of the factors that influences the price of shares of the Company's Class A and Class C common stock is the effective dividend yield of such shares (i.e., the yield as a percentage of the then market price of the Company's shares) relative to market interest rates. An increase in market interest rates, which are currently at low levels relative to historical rates, may lead investors of shares of the Company's Class A and Class C common stock to expect a higher dividend yield and the Company's inability to increase its dividend as a result of an increase in borrowing costs, insufficient CAFD or otherwise, could result in selling pressure on, and a decrease in the market prices of the Company's Class A and Class C common stock as investors seek alternative investments with higher yield.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Market volatility and reports by securities or industry analysts may affect the price of the Company's Class A and Class C common stock.</w:t>
      </w:r>
    </w:p>
    <w:p>
      <w:pPr>
        <w:spacing w:after="0" w:line="178" w:lineRule="exact"/>
        <w:rPr>
          <w:sz w:val="20"/>
          <w:szCs w:val="20"/>
          <w:color w:val="auto"/>
        </w:rPr>
      </w:pPr>
    </w:p>
    <w:p>
      <w:pPr>
        <w:jc w:val="both"/>
        <w:ind w:firstLine="400"/>
        <w:spacing w:after="0" w:line="250" w:lineRule="auto"/>
        <w:rPr>
          <w:sz w:val="20"/>
          <w:szCs w:val="20"/>
          <w:color w:val="auto"/>
        </w:rPr>
      </w:pPr>
      <w:r>
        <w:rPr>
          <w:rFonts w:ascii="Arial" w:cs="Arial" w:eastAsia="Arial" w:hAnsi="Arial"/>
          <w:sz w:val="18"/>
          <w:szCs w:val="18"/>
          <w:color w:val="auto"/>
        </w:rPr>
        <w:t>The market price of the Company's Class A and Class C common stock may fluctuate significantly in response to a number of factors, most of which the Company cannot predict or control, including general market and economic conditions, disruptions, downgrades, credit events and perceived problems in the credit markets; actual or anticipated variations in its quarterly operating results or dividends; natural disasters, wildfires and other weather-related events; changes in the Company's investments or asset composition; write-downs or perceived credit or liquidity issues affecting the Company's assets; market perception of GIP or CEG, the Company's business and the Company's assets; the Company's level of indebtedness and/or adverse market reaction to any indebtedness that the Company may incur in the future; the Company's ability to raise capital on favorable terms or at all; loss of any major funding source; changes in market valuations of similar power generation companies; and speculation in the press or investment community regarding the Company, GIP or CEG.</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Securities markets in general have experienced extreme volatility that has often been unrelated to the operating performance of particular companies.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Any broad market fluctuations may adversely affect the trading price of the Company's Class A and Class C common stock.</w:t>
      </w:r>
    </w:p>
    <w:p>
      <w:pPr>
        <w:spacing w:after="0" w:line="155"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Furthermore, any significant disruption to the Company’s ability to access the capital markets, or a significant increase in interest rates, could make it difficult for the Company to successfully acquire attractive projects from third parties and may also limit the Company’s ability to obtain debt or equity financing to complete such acquisitions. If the Company is unable to raise adequate proceeds when needed to fund such acquisitions, the ability to grow the Company’s project portfolio may be limited, which could have a material adverse effect on the Company’s ability to implement its growth strategy and, ultimately, its business, financial condition, results of operations and cash flows.</w:t>
      </w:r>
    </w:p>
    <w:p>
      <w:pPr>
        <w:spacing w:after="0" w:line="139" w:lineRule="exact"/>
        <w:rPr>
          <w:sz w:val="20"/>
          <w:szCs w:val="20"/>
          <w:color w:val="auto"/>
        </w:rPr>
      </w:pPr>
    </w:p>
    <w:p>
      <w:pPr>
        <w:ind w:right="160" w:firstLine="400"/>
        <w:spacing w:after="0" w:line="288" w:lineRule="auto"/>
        <w:rPr>
          <w:sz w:val="20"/>
          <w:szCs w:val="20"/>
          <w:color w:val="auto"/>
        </w:rPr>
      </w:pPr>
      <w:r>
        <w:rPr>
          <w:rFonts w:ascii="Arial" w:cs="Arial" w:eastAsia="Arial" w:hAnsi="Arial"/>
          <w:sz w:val="16"/>
          <w:szCs w:val="16"/>
          <w:color w:val="auto"/>
        </w:rPr>
        <w:t>The trading market for the Company's Class A and Class C common stock is influenced by the research and reports that industry or securities analysts may publish about the Company, the Company's business, the Company's market or the Company's competitors. If any of the analysts who may cover the Company change their recommendation regarding the Company's Class A and/or Class C common stock adversely, or provide more favorable relative recommendations about the Company's competitors, the price of the Company's Class A and/or Class C common stock could decline. If any analyst who covers the Company were to cease coverage of the Company or fail to regularly publish reports on the Company, the Company could lose visibility in the financial markets, which in turn could cause the stock price or trading volume of the Company's Class A and/or Class C common stock to decline.</w:t>
      </w:r>
    </w:p>
    <w:p>
      <w:pPr>
        <w:spacing w:after="0" w:line="115"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b w:val="1"/>
          <w:bCs w:val="1"/>
          <w:i w:val="1"/>
          <w:iCs w:val="1"/>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80"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color w:val="auto"/>
        </w:rPr>
        <w:t>Provisions of the Company's amended and restated certificate of incorporation and fourth amended and restated bylaws may discourage, delay or prevent a merger, acquisition or other change in control that holders of the Company's Class A and Class C common stock may consider favorable, including transactions in which such stockholders might otherwise receive a premium for their shares. This is because these provisions may prevent or frustrate attempts by stockholders to replace or remove members of the Company's management. These provisions include:</w:t>
      </w:r>
    </w:p>
    <w:p>
      <w:pPr>
        <w:spacing w:after="0" w:line="70" w:lineRule="exact"/>
        <w:rPr>
          <w:sz w:val="20"/>
          <w:szCs w:val="20"/>
          <w:color w:val="auto"/>
        </w:rPr>
      </w:pPr>
    </w:p>
    <w:p>
      <w:pPr>
        <w:ind w:left="640" w:hanging="31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59" w:lineRule="exact"/>
        <w:rPr>
          <w:rFonts w:ascii="Arial" w:cs="Arial" w:eastAsia="Arial" w:hAnsi="Arial"/>
          <w:sz w:val="18"/>
          <w:szCs w:val="18"/>
          <w:color w:val="auto"/>
        </w:rPr>
      </w:pPr>
    </w:p>
    <w:p>
      <w:pPr>
        <w:ind w:left="640" w:hanging="314"/>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requirement that special meetings of stockholders be called upon a resolution approved by a majority of the Company's directors then in office;</w:t>
      </w:r>
    </w:p>
    <w:p>
      <w:pPr>
        <w:spacing w:after="0" w:line="82" w:lineRule="exact"/>
        <w:rPr>
          <w:rFonts w:ascii="Arial" w:cs="Arial" w:eastAsia="Arial" w:hAnsi="Arial"/>
          <w:sz w:val="16"/>
          <w:szCs w:val="16"/>
          <w:color w:val="auto"/>
        </w:rPr>
      </w:pPr>
    </w:p>
    <w:p>
      <w:pPr>
        <w:ind w:left="640" w:hanging="31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and</w:t>
      </w:r>
    </w:p>
    <w:p>
      <w:pPr>
        <w:spacing w:after="0" w:line="59" w:lineRule="exact"/>
        <w:rPr>
          <w:rFonts w:ascii="Arial" w:cs="Arial" w:eastAsia="Arial" w:hAnsi="Arial"/>
          <w:sz w:val="18"/>
          <w:szCs w:val="18"/>
          <w:color w:val="auto"/>
        </w:rPr>
      </w:pPr>
    </w:p>
    <w:p>
      <w:pPr>
        <w:ind w:left="640" w:hanging="314"/>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jc w:val="both"/>
        <w:ind w:firstLine="400"/>
        <w:spacing w:after="0" w:line="283" w:lineRule="auto"/>
        <w:rPr>
          <w:sz w:val="20"/>
          <w:szCs w:val="20"/>
          <w:color w:val="auto"/>
        </w:rPr>
      </w:pPr>
      <w:r>
        <w:rPr>
          <w:rFonts w:ascii="Arial" w:cs="Arial" w:eastAsia="Arial" w:hAnsi="Arial"/>
          <w:sz w:val="16"/>
          <w:szCs w:val="16"/>
          <w:color w:val="auto"/>
        </w:rPr>
        <w:t>Section 203 of the Delaware General Corporation Law prohibits a publicly 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Additionally, the Company's restated certificate of incorporation prohibits any person and any of its associate or affiliate companies in the aggregate, public utility or holding company from acquiring, other than secondary market transactions, an amount of the Company's Class A or Class C common stock sufficient to result in a transfer of control without the prior written consent of the Company's board of directors. Any such change of control, in addition to prior approval from the Company's board of directors, would require prior authorization from FERC. Similar restrictions may apply to certain purchasers of the Company's securities which are holding companies regardless of whether the Company's securities are purchased in offerings by the Company or NRG, in open market transactions or otherwise. A purchaser of the Company's securities which is a holding company will need to determine whether a given purchase of the Company's securities may require prior FERC approval.</w:t>
      </w:r>
    </w:p>
    <w:p>
      <w:pPr>
        <w:spacing w:after="0" w:line="12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Investors may experience dilution of ownership interest due to the future issuance of additional shares of the Company's Class A or Class C common stock.</w:t>
      </w:r>
    </w:p>
    <w:p>
      <w:pPr>
        <w:spacing w:after="0" w:line="126"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The Company is in a capital intensive business, and may not have sufficient funds to finance the growth of the Company's business, future acquisitions or to support the Company's projected capital expenditures. As a result, the Company may require additional funds from further equity or debt financings, including tax equity financing transactions, sales under the ATM Program or sales of preferred shares or convertible debt to complete future acquisitions, expansions and capital expenditures and pay the general and administrative costs of the Company's business. In the future, the Company may issue shares under its ATM Program and the Company's previously authorized and unissued securities, resulting in the dilution of the ownership interests of purchasers of the Company's Class A and Class C common stock. Under the Company's restated certificate of incorporation, the Company is authorized to issue 500,000,000 shares of Class A common stock, 500,000,000 shares of Class B common stock, 1,000,000,000 shares of Class C common stock, 1,000,000,000 shares of Class D common stock and 10,000,000 shares of preferred stock with preferences and rights as determined by the Company's board of directors. The potential issuance of additional shares of common stock or preferred stock or convertible debt may create downward pressure on the trading price of the Company's Class A and Class C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the Company's Class A or Class C common stock by GIP may cause the price of the Company's Class A or Class C common stock to fall.</w:t>
      </w:r>
    </w:p>
    <w:p>
      <w:pPr>
        <w:spacing w:after="0" w:line="212" w:lineRule="exact"/>
        <w:rPr>
          <w:sz w:val="20"/>
          <w:szCs w:val="20"/>
          <w:color w:val="auto"/>
        </w:rPr>
      </w:pPr>
    </w:p>
    <w:p>
      <w:pPr>
        <w:jc w:val="both"/>
        <w:ind w:firstLine="400"/>
        <w:spacing w:after="0" w:line="330" w:lineRule="auto"/>
        <w:rPr>
          <w:sz w:val="20"/>
          <w:szCs w:val="20"/>
          <w:color w:val="auto"/>
        </w:rPr>
      </w:pPr>
      <w:r>
        <w:rPr>
          <w:rFonts w:ascii="Arial" w:cs="Arial" w:eastAsia="Arial" w:hAnsi="Arial"/>
          <w:sz w:val="16"/>
          <w:szCs w:val="16"/>
          <w:color w:val="auto"/>
        </w:rPr>
        <w:t>The market price of the Company's Class A or Class C common stock could decline as a result of sales by GIP of such shares (issuable to GIP upon the exchange of some or all of its Clearway Energy LLC Class B or Class D units, respectively) in the market, or the perception that these sales could occur.</w:t>
      </w:r>
    </w:p>
    <w:p>
      <w:pPr>
        <w:spacing w:after="0" w:line="80" w:lineRule="exact"/>
        <w:rPr>
          <w:sz w:val="20"/>
          <w:szCs w:val="20"/>
          <w:color w:val="auto"/>
        </w:rPr>
      </w:pPr>
    </w:p>
    <w:p>
      <w:pPr>
        <w:jc w:val="both"/>
        <w:ind w:firstLine="400"/>
        <w:spacing w:after="0" w:line="286" w:lineRule="auto"/>
        <w:rPr>
          <w:sz w:val="20"/>
          <w:szCs w:val="20"/>
          <w:color w:val="auto"/>
        </w:rPr>
      </w:pPr>
      <w:r>
        <w:rPr>
          <w:rFonts w:ascii="Arial" w:cs="Arial" w:eastAsia="Arial" w:hAnsi="Arial"/>
          <w:sz w:val="16"/>
          <w:szCs w:val="16"/>
          <w:color w:val="auto"/>
        </w:rPr>
        <w:t>The market price of the Company's Class A or Class C common stock may also decline as a result of GIP disposing or transferring some or all of the Company's outstanding Class B or Class D common stock, which disposals or transfers would reduce GIP's ownership interest in, and voting control over, the Company. These sales might also make it more difficult for the Company to sell equity securities at a time and price that the Company deems appropriate. GIP and certain of its affiliates have certain demand and piggyback registration rights with respect to shares of the Company's Class A common stock issuable upon the exchange of Clearway Energy LLC's Class B units and/or Class C common stock issuable upon the exchange of Clearway Energy LLC's Class D units. The presence of additional shares of the Company's Class A and/or Class C common stock trading in the public market, as a result of the exercise of such registration rights, could have a material adverse effect on the market price of the Company's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172" w:lineRule="exact"/>
        <w:rPr>
          <w:sz w:val="20"/>
          <w:szCs w:val="20"/>
          <w:color w:val="auto"/>
        </w:rPr>
      </w:pPr>
    </w:p>
    <w:p>
      <w:pPr>
        <w:jc w:val="both"/>
        <w:spacing w:after="0" w:line="412" w:lineRule="auto"/>
        <w:rPr>
          <w:sz w:val="20"/>
          <w:szCs w:val="20"/>
          <w:color w:val="auto"/>
        </w:rPr>
      </w:pPr>
      <w:r>
        <w:rPr>
          <w:rFonts w:ascii="Arial" w:cs="Arial" w:eastAsia="Arial" w:hAnsi="Arial"/>
          <w:sz w:val="14"/>
          <w:szCs w:val="14"/>
          <w:b w:val="1"/>
          <w:bCs w:val="1"/>
          <w:i w:val="1"/>
          <w:iCs w:val="1"/>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w:t>
      </w:r>
    </w:p>
    <w:p>
      <w:pPr>
        <w:spacing w:after="0" w:line="34"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The Company expects to generate (i) NOLs and carryforward prior year NOL balances to offset future taxable income and (ii) generate tax credits and carryforward prior year tax credits to offset future income tax liabilities. Based on the Company's current portfolio of assets, which include renewable assets that benefit from accelerated tax depreciation deductions and federal tax credits, and taking into account the projected taxable gain on the Thermal Disposition anticipated to close in the first half of 2022, the Company estimates it will not pay material federal income tax through 2027, but does expect to pay material state income tax across certain jurisdictions beginning in 2023. If the anticipated Thermal Disposition is not completed, then the Company expects that it would not pay significant federal income tax for a period of approximately 10 years.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jc w:val="both"/>
        <w:ind w:firstLine="400"/>
        <w:spacing w:after="0" w:line="250" w:lineRule="auto"/>
        <w:rPr>
          <w:sz w:val="20"/>
          <w:szCs w:val="20"/>
          <w:color w:val="auto"/>
        </w:rPr>
      </w:pPr>
      <w:r>
        <w:rPr>
          <w:rFonts w:ascii="Arial" w:cs="Arial" w:eastAsia="Arial" w:hAnsi="Arial"/>
          <w:sz w:val="18"/>
          <w:szCs w:val="18"/>
          <w:color w:val="auto"/>
        </w:rPr>
        <w:t>While the Company expects its NOLs and tax credits will be available as a future benefit, in the event that they are not generated as expected, successfully challenged by the IRS or state and local jurisdictions (in a tax audit or otherwise) or subject to future limitations from a potential change in ownership, as discussed below, the Company's ability to realize these benefits may be limited. In addition, the Company’s ability to realize state and local tax exemptions, including property or sales and use tax exemptions, is subject to various tax laws. If these exemptions are successfully challenged by state and local jurisdictions or if a change in tax law occurs, the Company’s ability to realize these exemptions could be affected. A reduction in the Company's expected NOLs, a limitation on the Company's ability to use such losses or tax credits, and challenges by tax authorities to the Company’s tax positions may result in a material increase in the Company's estimated future income, sales/use and property tax liability and may negatively impact the Company's liquidity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ability to use NOLs to offset future income may be limited.</w:t>
      </w:r>
    </w:p>
    <w:p>
      <w:pPr>
        <w:spacing w:after="0" w:line="16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The Company's ability to use NOLs could be substantially limited if the Company is unable to generate future taxable income or were to experience an "ownership change" as defined under Section 382 of the Code. In general, an "ownership change" would occur if the Company's "5-percent shareholders," as defined under Section 382 of the Code, collectively increased their ownership in the Company by more than 50 percentage points over a rolling three-year period. A corporation that experiences an ownership change will generally be subject to an annual limitation on the use of its pre-ownership change deferred tax assets equal to the equity value of the corporation immediately before the ownership change, multiplied by the long-term tax-exempt rate for the month in which the ownership change occurs. Future sales of any class of the Company's common stock by GIP, as well as future issuances by the Company, could contribute to a potential ownership change.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valuation allowance may be required for the Company's deferred tax assets.</w:t>
      </w:r>
    </w:p>
    <w:p>
      <w:pPr>
        <w:spacing w:after="0" w:line="166"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The Company's expected NOLs and tax credits will be reflected as a deferred tax asset as they are generated until utilized to offset income. Valuation allowances may need to be maintained for deferred tax assets that the Company estimates are more likely than not to be unrealizable, based on available evidence at the time the estimate is made. Valuation allowances related to deferred tax assets can be affected by changes to tax laws, statutory tax rates and future taxable income levels. In the event that the Company was to determine that it would not be able to realize all or a portion of the net deferred tax assets in the future, the Company would reduce such amounts through a charge to income tax expense in the period in which that determination was made, which could have a material adverse impact on the Company's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holders of the Company's Class A and Class C common stock may be taxable.</w:t>
      </w:r>
    </w:p>
    <w:p>
      <w:pPr>
        <w:spacing w:after="0" w:line="16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The amount of distributions that will be treated as taxable for U.S. federal income tax purposes will depend on the amount of the Company's current and accumulated earnings and profits. It is difficult to predict whether the Company will generate earnings or profits as computed for federal income tax purposes in any given tax year. Generally, a corporation's earnings and profits are computed based upon taxable income, with certain specified adjustments. Distributions will constitute ordinary dividend income to the extent paid from the Company's current or accumulated earnings and profits. Distributions in excess of the Company’s current and accumulated earnings and profits will constitute a nontaxable return of capital to the extent of a stockholder's basis in his or her Class A or Class C common stock. Distributions in excess of the Company's current and accumulated earnings and profits and in excess of a stockholder's basis will be treated as gain from the sale of the common stock.</w:t>
      </w:r>
    </w:p>
    <w:p>
      <w:pPr>
        <w:spacing w:after="0" w:line="130"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For U.S. tax purposes, the Company's distributions to its stockholders in 2021 and 2020 are classified for U.S. federal income tax purposes as a nontaxable return of capital and reduction of a U.S. stockholder's tax basis, to the extent of a U.S. stockholder's tax basis in each of the Company's common shares, with any remaining amount being taxed as a capital gain.</w:t>
      </w:r>
    </w:p>
    <w:p>
      <w:pPr>
        <w:spacing w:after="0" w:line="135"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The Company anticipates that, due to the Thermal Disposition anticipated to close in the first half of 2022, it may have positive current year earnings and profits for 2022. As a result, a portion of any distributions made to holders of the Company’s Class A and Class C Common stock in 2022 would be treated as taxable dividends for U.S. federal income tax purposes. Such portion of distributions that will be treated as taxable dividends will depend upon a number of factors, including, but not limited to, the Company’s overall performance, the actual amount of gain from the Thermal Disposition and the gross amount of any distributions made to stockholders in 2022.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jc w:val="both"/>
        <w:spacing w:after="0" w:line="257" w:lineRule="auto"/>
        <w:rPr>
          <w:sz w:val="20"/>
          <w:szCs w:val="20"/>
          <w:color w:val="auto"/>
        </w:rPr>
      </w:pPr>
      <w:r>
        <w:rPr>
          <w:rFonts w:ascii="Arial" w:cs="Arial" w:eastAsia="Arial" w:hAnsi="Arial"/>
          <w:sz w:val="18"/>
          <w:szCs w:val="18"/>
          <w:b w:val="1"/>
          <w:bCs w:val="1"/>
          <w:i w:val="1"/>
          <w:iCs w:val="1"/>
          <w:color w:val="auto"/>
        </w:rPr>
        <w:t>Changes in tax laws or policies, including but not limited to changes in corporate income tax rates, as well as judgments and estimates used in the determination of tax-related asset and liability amounts, could materially adversely affect the Company’s business, financial condition, results of operations and prospects.</w:t>
      </w:r>
    </w:p>
    <w:p>
      <w:pPr>
        <w:spacing w:after="0" w:line="135"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color w:val="auto"/>
        </w:rPr>
        <w:t>The Company’s provision for income taxes and reporting of tax-related assets and liabilities require significant judgments and the use of estimates. Amounts of tax-related assets and liabilities involve judgments and estimates of the timing and probability of recognition of income, deductions and tax credits, including, but not limited to, estimates for potential adverse outcomes regarding tax positions that have been taken and the ability to utilize tax benefit carryforwards, such as net operating loss and tax credit carryforwards. Actual income taxes could vary significantly from estimated amounts due to the future impacts of, among other things, changes in tax laws, guidance or policies, including changes in corporate income tax rates, the financial conditions and results of operations of the Company, and the resolution of audit issues raised by taxing authorities. These factors, including the ultimate resolution of income tax matters, may result in material adjustments to tax-related assets and liabilities, which could materially adversely affect the Company’s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2"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 xml:space="preserve">This Annual Report on Form 10-K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and the following:</w:t>
      </w:r>
    </w:p>
    <w:p>
      <w:pPr>
        <w:spacing w:after="0" w:line="130" w:lineRule="exact"/>
        <w:rPr>
          <w:sz w:val="20"/>
          <w:szCs w:val="20"/>
          <w:color w:val="auto"/>
        </w:rPr>
      </w:pPr>
    </w:p>
    <w:p>
      <w:pPr>
        <w:ind w:left="640" w:hanging="31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dividend;</w:t>
      </w:r>
    </w:p>
    <w:p>
      <w:pPr>
        <w:spacing w:after="0" w:line="59" w:lineRule="exact"/>
        <w:rPr>
          <w:rFonts w:ascii="Arial" w:cs="Arial" w:eastAsia="Arial" w:hAnsi="Arial"/>
          <w:sz w:val="18"/>
          <w:szCs w:val="18"/>
          <w:color w:val="auto"/>
        </w:rPr>
      </w:pPr>
    </w:p>
    <w:p>
      <w:pPr>
        <w:ind w:left="640" w:hanging="31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risks related to COVID-19 (including any variant of the virus) or any other pandemic;</w:t>
      </w:r>
    </w:p>
    <w:p>
      <w:pPr>
        <w:spacing w:after="0" w:line="59" w:lineRule="exact"/>
        <w:rPr>
          <w:rFonts w:ascii="Arial" w:cs="Arial" w:eastAsia="Arial" w:hAnsi="Arial"/>
          <w:sz w:val="18"/>
          <w:szCs w:val="18"/>
          <w:color w:val="auto"/>
        </w:rPr>
      </w:pPr>
    </w:p>
    <w:p>
      <w:pPr>
        <w:ind w:left="640" w:hanging="31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and CEG;</w:t>
      </w:r>
    </w:p>
    <w:p>
      <w:pPr>
        <w:spacing w:after="0" w:line="59" w:lineRule="exact"/>
        <w:rPr>
          <w:rFonts w:ascii="Arial" w:cs="Arial" w:eastAsia="Arial" w:hAnsi="Arial"/>
          <w:sz w:val="18"/>
          <w:szCs w:val="18"/>
          <w:color w:val="auto"/>
        </w:rPr>
      </w:pPr>
    </w:p>
    <w:p>
      <w:pPr>
        <w:ind w:left="640" w:hanging="31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and dispositions to, third parties;</w:t>
      </w:r>
    </w:p>
    <w:p>
      <w:pPr>
        <w:spacing w:after="0" w:line="59" w:lineRule="exact"/>
        <w:rPr>
          <w:rFonts w:ascii="Arial" w:cs="Arial" w:eastAsia="Arial" w:hAnsi="Arial"/>
          <w:sz w:val="18"/>
          <w:szCs w:val="18"/>
          <w:color w:val="auto"/>
        </w:rPr>
      </w:pPr>
    </w:p>
    <w:p>
      <w:pPr>
        <w:ind w:left="640" w:hanging="31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close the Thermal Disposition;</w:t>
      </w:r>
    </w:p>
    <w:p>
      <w:pPr>
        <w:spacing w:after="0" w:line="59" w:lineRule="exact"/>
        <w:rPr>
          <w:rFonts w:ascii="Arial" w:cs="Arial" w:eastAsia="Arial" w:hAnsi="Arial"/>
          <w:sz w:val="18"/>
          <w:szCs w:val="18"/>
          <w:color w:val="auto"/>
        </w:rPr>
      </w:pPr>
    </w:p>
    <w:p>
      <w:pPr>
        <w:ind w:left="640" w:hanging="31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acquire assets from GIP or CEG;</w:t>
      </w:r>
    </w:p>
    <w:p>
      <w:pPr>
        <w:spacing w:after="0" w:line="59" w:lineRule="exact"/>
        <w:rPr>
          <w:rFonts w:ascii="Arial" w:cs="Arial" w:eastAsia="Arial" w:hAnsi="Arial"/>
          <w:sz w:val="18"/>
          <w:szCs w:val="18"/>
          <w:color w:val="auto"/>
        </w:rPr>
      </w:pPr>
    </w:p>
    <w:p>
      <w:pPr>
        <w:ind w:left="640" w:hanging="31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59" w:lineRule="exact"/>
        <w:rPr>
          <w:rFonts w:ascii="Arial" w:cs="Arial" w:eastAsia="Arial" w:hAnsi="Arial"/>
          <w:sz w:val="18"/>
          <w:szCs w:val="18"/>
          <w:color w:val="auto"/>
        </w:rPr>
      </w:pPr>
    </w:p>
    <w:p>
      <w:pPr>
        <w:ind w:left="640" w:hanging="31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59" w:lineRule="exact"/>
        <w:rPr>
          <w:rFonts w:ascii="Arial" w:cs="Arial" w:eastAsia="Arial" w:hAnsi="Arial"/>
          <w:sz w:val="18"/>
          <w:szCs w:val="18"/>
          <w:color w:val="auto"/>
        </w:rPr>
      </w:pPr>
    </w:p>
    <w:p>
      <w:pPr>
        <w:jc w:val="both"/>
        <w:ind w:left="640" w:hanging="314"/>
        <w:spacing w:after="0" w:line="270"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9" w:lineRule="exact"/>
        <w:rPr>
          <w:rFonts w:ascii="Arial" w:cs="Arial" w:eastAsia="Arial" w:hAnsi="Arial"/>
          <w:sz w:val="17"/>
          <w:szCs w:val="17"/>
          <w:color w:val="auto"/>
        </w:rPr>
      </w:pPr>
    </w:p>
    <w:p>
      <w:pPr>
        <w:ind w:left="640" w:hanging="314"/>
        <w:spacing w:after="0" w:line="267"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9" w:lineRule="exact"/>
        <w:rPr>
          <w:rFonts w:ascii="Arial" w:cs="Arial" w:eastAsia="Arial" w:hAnsi="Arial"/>
          <w:sz w:val="18"/>
          <w:szCs w:val="18"/>
          <w:color w:val="auto"/>
        </w:rPr>
      </w:pPr>
    </w:p>
    <w:p>
      <w:pPr>
        <w:ind w:left="640" w:hanging="31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59" w:lineRule="exact"/>
        <w:rPr>
          <w:rFonts w:ascii="Arial" w:cs="Arial" w:eastAsia="Arial" w:hAnsi="Arial"/>
          <w:sz w:val="18"/>
          <w:szCs w:val="18"/>
          <w:color w:val="auto"/>
        </w:rPr>
      </w:pPr>
    </w:p>
    <w:p>
      <w:pPr>
        <w:ind w:left="640" w:hanging="314"/>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2" w:lineRule="exact"/>
        <w:rPr>
          <w:rFonts w:ascii="Arial" w:cs="Arial" w:eastAsia="Arial" w:hAnsi="Arial"/>
          <w:sz w:val="16"/>
          <w:szCs w:val="16"/>
          <w:color w:val="auto"/>
        </w:rPr>
      </w:pPr>
    </w:p>
    <w:p>
      <w:pPr>
        <w:ind w:left="640" w:hanging="314"/>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82" w:lineRule="exact"/>
        <w:rPr>
          <w:rFonts w:ascii="Arial" w:cs="Arial" w:eastAsia="Arial" w:hAnsi="Arial"/>
          <w:sz w:val="16"/>
          <w:szCs w:val="16"/>
          <w:color w:val="auto"/>
        </w:rPr>
      </w:pPr>
    </w:p>
    <w:p>
      <w:pPr>
        <w:jc w:val="both"/>
        <w:ind w:left="640" w:hanging="314"/>
        <w:spacing w:after="0" w:line="257"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28" w:lineRule="exact"/>
        <w:rPr>
          <w:rFonts w:ascii="Arial" w:cs="Arial" w:eastAsia="Arial" w:hAnsi="Arial"/>
          <w:sz w:val="18"/>
          <w:szCs w:val="18"/>
          <w:color w:val="auto"/>
        </w:rPr>
      </w:pPr>
    </w:p>
    <w:p>
      <w:pPr>
        <w:ind w:left="640" w:hanging="314"/>
        <w:spacing w:after="0" w:line="294"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 and</w:t>
      </w:r>
    </w:p>
    <w:p>
      <w:pPr>
        <w:ind w:left="640" w:hanging="314"/>
        <w:spacing w:after="0" w:line="267"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26" w:lineRule="exact"/>
        <w:rPr>
          <w:sz w:val="20"/>
          <w:szCs w:val="20"/>
          <w:color w:val="auto"/>
        </w:rPr>
      </w:pPr>
    </w:p>
    <w:p>
      <w:pPr>
        <w:jc w:val="both"/>
        <w:ind w:firstLine="280"/>
        <w:spacing w:after="0" w:line="253"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2 — Properties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descriptions of the Company's interests in facilities, operations and/or projects owned or leased as of December 31, 2021.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gridSpan w:val="3"/>
          </w:tcPr>
          <w:p>
            <w:pPr>
              <w:jc w:val="right"/>
              <w:ind w:right="36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Rated</w:t>
            </w:r>
          </w:p>
        </w:tc>
        <w:tc>
          <w:tcPr>
            <w:tcW w:w="720" w:type="dxa"/>
            <w:vAlign w:val="bottom"/>
            <w:vMerge w:val="restart"/>
          </w:tcPr>
          <w:p>
            <w:pPr>
              <w:jc w:val="right"/>
              <w:ind w:right="169"/>
              <w:spacing w:after="0"/>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Borders>
              <w:bottom w:val="single" w:sz="8" w:color="auto"/>
            </w:tcBorders>
            <w:gridSpan w:val="2"/>
          </w:tcPr>
          <w:p>
            <w:pPr>
              <w:ind w:left="1080"/>
              <w:spacing w:after="0"/>
              <w:rPr>
                <w:sz w:val="20"/>
                <w:szCs w:val="20"/>
                <w:color w:val="auto"/>
              </w:rPr>
            </w:pPr>
            <w:r>
              <w:rPr>
                <w:rFonts w:ascii="Arial" w:cs="Arial" w:eastAsia="Arial" w:hAnsi="Arial"/>
                <w:sz w:val="16"/>
                <w:szCs w:val="16"/>
                <w:b w:val="1"/>
                <w:bCs w:val="1"/>
                <w:color w:val="auto"/>
                <w:w w:val="88"/>
              </w:rPr>
              <w:t>PPA Terms</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vMerge w:val="restart"/>
          </w:tcPr>
          <w:p>
            <w:pPr>
              <w:spacing w:after="0" w:line="20" w:lineRule="exact"/>
              <w:rPr>
                <w:sz w:val="1"/>
                <w:szCs w:val="1"/>
                <w:color w:val="auto"/>
              </w:rPr>
            </w:pPr>
          </w:p>
        </w:tc>
        <w:tc>
          <w:tcPr>
            <w:tcW w:w="136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Location</w:t>
            </w:r>
          </w:p>
        </w:tc>
        <w:tc>
          <w:tcPr>
            <w:tcW w:w="100" w:type="dxa"/>
            <w:vAlign w:val="bottom"/>
            <w:vMerge w:val="restart"/>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5"/>
              </w:rPr>
              <w:t>Owner-ship</w:t>
            </w:r>
          </w:p>
        </w:tc>
        <w:tc>
          <w:tcPr>
            <w:tcW w:w="100" w:type="dxa"/>
            <w:vAlign w:val="bottom"/>
            <w:vMerge w:val="restart"/>
          </w:tcPr>
          <w:p>
            <w:pPr>
              <w:spacing w:after="0" w:line="20" w:lineRule="exact"/>
              <w:rPr>
                <w:sz w:val="1"/>
                <w:szCs w:val="1"/>
                <w:color w:val="auto"/>
              </w:rPr>
            </w:pPr>
          </w:p>
        </w:tc>
        <w:tc>
          <w:tcPr>
            <w:tcW w:w="100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Fuel</w:t>
            </w:r>
          </w:p>
        </w:tc>
        <w:tc>
          <w:tcPr>
            <w:tcW w:w="100" w:type="dxa"/>
            <w:vAlign w:val="bottom"/>
            <w:vMerge w:val="restart"/>
          </w:tcPr>
          <w:p>
            <w:pPr>
              <w:spacing w:after="0" w:line="20" w:lineRule="exact"/>
              <w:rPr>
                <w:sz w:val="1"/>
                <w:szCs w:val="1"/>
                <w:color w:val="auto"/>
              </w:rPr>
            </w:pPr>
          </w:p>
        </w:tc>
        <w:tc>
          <w:tcPr>
            <w:tcW w:w="128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COD</w:t>
            </w:r>
          </w:p>
        </w:tc>
        <w:tc>
          <w:tcPr>
            <w:tcW w:w="100" w:type="dxa"/>
            <w:vAlign w:val="bottom"/>
            <w:vMerge w:val="restart"/>
          </w:tcPr>
          <w:p>
            <w:pPr>
              <w:spacing w:after="0" w:line="20" w:lineRule="exact"/>
              <w:rPr>
                <w:sz w:val="1"/>
                <w:szCs w:val="1"/>
                <w:color w:val="auto"/>
              </w:rPr>
            </w:pPr>
          </w:p>
        </w:tc>
        <w:tc>
          <w:tcPr>
            <w:tcW w:w="176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Counterparty</w:t>
            </w:r>
          </w:p>
        </w:tc>
        <w:tc>
          <w:tcPr>
            <w:tcW w:w="100" w:type="dxa"/>
            <w:vAlign w:val="bottom"/>
            <w:vMerge w:val="restart"/>
          </w:tcPr>
          <w:p>
            <w:pPr>
              <w:spacing w:after="0" w:line="20" w:lineRule="exact"/>
              <w:rPr>
                <w:sz w:val="1"/>
                <w:szCs w:val="1"/>
                <w:color w:val="auto"/>
              </w:rPr>
            </w:pPr>
          </w:p>
        </w:tc>
        <w:tc>
          <w:tcPr>
            <w:tcW w:w="1040" w:type="dxa"/>
            <w:vAlign w:val="bottom"/>
            <w:vMerge w:val="restart"/>
          </w:tcPr>
          <w:p>
            <w:pPr>
              <w:jc w:val="right"/>
              <w:ind w:right="69"/>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line="20" w:lineRule="exact"/>
              <w:rPr>
                <w:sz w:val="1"/>
                <w:szCs w:val="1"/>
                <w:color w:val="auto"/>
              </w:rPr>
            </w:pPr>
          </w:p>
        </w:tc>
      </w:tr>
      <w:tr>
        <w:trPr>
          <w:trHeight w:val="213"/>
        </w:trPr>
        <w:tc>
          <w:tcPr>
            <w:tcW w:w="16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b w:val="1"/>
                <w:bCs w:val="1"/>
                <w:color w:val="auto"/>
              </w:rPr>
              <w:t>MW</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69"/>
              <w:spacing w:after="0" w:line="213" w:lineRule="exact"/>
              <w:rPr>
                <w:sz w:val="20"/>
                <w:szCs w:val="20"/>
                <w:color w:val="auto"/>
              </w:rPr>
            </w:pPr>
            <w:r>
              <w:rPr>
                <w:rFonts w:ascii="Arial" w:cs="Arial" w:eastAsia="Arial" w:hAnsi="Arial"/>
                <w:sz w:val="24"/>
                <w:szCs w:val="24"/>
                <w:b w:val="1"/>
                <w:bCs w:val="1"/>
                <w:color w:val="auto"/>
                <w:vertAlign w:val="subscript"/>
              </w:rPr>
              <w:t>MW</w:t>
            </w:r>
            <w:r>
              <w:rPr>
                <w:rFonts w:ascii="Arial" w:cs="Arial" w:eastAsia="Arial" w:hAnsi="Arial"/>
                <w:sz w:val="9"/>
                <w:szCs w:val="9"/>
                <w:b w:val="1"/>
                <w:bCs w:val="1"/>
                <w:color w:val="auto"/>
              </w:rPr>
              <w:t>(a)</w:t>
            </w:r>
          </w:p>
        </w:tc>
        <w:tc>
          <w:tcPr>
            <w:tcW w:w="12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Conventional</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Carlsbad</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Carlsbad,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2018</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 Diego Gas &amp;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El Segundo</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El Segundo, CA</w:t>
            </w:r>
          </w:p>
        </w:tc>
        <w:tc>
          <w:tcPr>
            <w:tcW w:w="660" w:type="dxa"/>
            <w:vAlign w:val="bottom"/>
          </w:tcPr>
          <w:p>
            <w:pPr>
              <w:jc w:val="right"/>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August 2013</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40" w:type="dxa"/>
            <w:vAlign w:val="bottom"/>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GenConn Devon</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Milford, CT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Gas/Oil</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2010</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Connecticut Light &amp; Power</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18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GenConn Middletown</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Middletown, CT</w:t>
            </w:r>
          </w:p>
        </w:tc>
        <w:tc>
          <w:tcPr>
            <w:tcW w:w="66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Natural Gas/Oil</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June 2011</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Connecticut Light &amp; Power</w:t>
            </w:r>
          </w:p>
        </w:tc>
        <w:tc>
          <w:tcPr>
            <w:tcW w:w="1040" w:type="dxa"/>
            <w:vAlign w:val="bottom"/>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Marsh Landing</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Antioch,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2013</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2023 - 2030</w:t>
            </w:r>
          </w:p>
        </w:tc>
        <w:tc>
          <w:tcPr>
            <w:tcW w:w="0" w:type="dxa"/>
            <w:vAlign w:val="bottom"/>
          </w:tcPr>
          <w:p>
            <w:pPr>
              <w:spacing w:after="0"/>
              <w:rPr>
                <w:sz w:val="1"/>
                <w:szCs w:val="1"/>
                <w:color w:val="auto"/>
              </w:rPr>
            </w:pPr>
          </w:p>
        </w:tc>
      </w:tr>
      <w:tr>
        <w:trPr>
          <w:trHeight w:val="184"/>
        </w:trPr>
        <w:tc>
          <w:tcPr>
            <w:tcW w:w="17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Walnut Creek</w:t>
            </w:r>
          </w:p>
        </w:tc>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City of Industry, CA</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Natural Gas</w:t>
            </w: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May 2013</w:t>
            </w:r>
          </w:p>
        </w:tc>
        <w:tc>
          <w:tcPr>
            <w:tcW w:w="1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SCE</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2023 - 2026</w:t>
            </w:r>
          </w:p>
        </w:tc>
        <w:tc>
          <w:tcPr>
            <w:tcW w:w="0" w:type="dxa"/>
            <w:vAlign w:val="bottom"/>
          </w:tcPr>
          <w:p>
            <w:pPr>
              <w:spacing w:after="0"/>
              <w:rPr>
                <w:sz w:val="1"/>
                <w:szCs w:val="1"/>
                <w:color w:val="auto"/>
              </w:rPr>
            </w:pPr>
          </w:p>
        </w:tc>
      </w:tr>
      <w:tr>
        <w:trPr>
          <w:trHeight w:val="196"/>
        </w:trPr>
        <w:tc>
          <w:tcPr>
            <w:tcW w:w="176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i w:val="1"/>
                <w:iCs w:val="1"/>
                <w:color w:val="auto"/>
                <w:w w:val="97"/>
              </w:rPr>
              <w:t>Total Conventional</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2,662</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2,472</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Utility Scale Solar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Agua Caliente</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Dateland, AZ</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2014</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8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Alpine</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Lancaster, CA</w:t>
            </w:r>
          </w:p>
        </w:tc>
        <w:tc>
          <w:tcPr>
            <w:tcW w:w="66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January 2013</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40" w:type="dxa"/>
            <w:vAlign w:val="bottom"/>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Avenal</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Avenal,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2011</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8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Avra Valley</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Pima County, AZ</w:t>
            </w: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December 2012</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Tucson Electric Power</w:t>
            </w:r>
          </w:p>
        </w:tc>
        <w:tc>
          <w:tcPr>
            <w:tcW w:w="1040" w:type="dxa"/>
            <w:vAlign w:val="bottom"/>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Blythe</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Blythe,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2009</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8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Borrego</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Borrego Springs, CA</w:t>
            </w: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February 2013</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San Diego Gas and Electric</w:t>
            </w:r>
          </w:p>
        </w:tc>
        <w:tc>
          <w:tcPr>
            <w:tcW w:w="1040" w:type="dxa"/>
            <w:vAlign w:val="bottom"/>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Buckthorn Solar </w:t>
            </w:r>
            <w:r>
              <w:rPr>
                <w:rFonts w:ascii="Arial" w:cs="Arial" w:eastAsia="Arial" w:hAnsi="Arial"/>
                <w:sz w:val="18"/>
                <w:szCs w:val="18"/>
                <w:color w:val="auto"/>
                <w:vertAlign w:val="superscript"/>
              </w:rPr>
              <w:t>(b)</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Fort Stockton, TX</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July 2018</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City of Georgetown, TX</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w:t>
            </w:r>
          </w:p>
        </w:tc>
        <w:tc>
          <w:tcPr>
            <w:tcW w:w="0" w:type="dxa"/>
            <w:vAlign w:val="bottom"/>
          </w:tcPr>
          <w:p>
            <w:pPr>
              <w:spacing w:after="0"/>
              <w:rPr>
                <w:sz w:val="1"/>
                <w:szCs w:val="1"/>
                <w:color w:val="auto"/>
              </w:rPr>
            </w:pPr>
          </w:p>
        </w:tc>
      </w:tr>
      <w:tr>
        <w:trPr>
          <w:trHeight w:val="18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CVSR</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San Luis Obispo, CA</w:t>
            </w:r>
          </w:p>
        </w:tc>
        <w:tc>
          <w:tcPr>
            <w:tcW w:w="66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October 2013</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40" w:type="dxa"/>
            <w:vAlign w:val="bottom"/>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Desert Sunlight 250</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Desert Center,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2014</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18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Desert Sunlight 300</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Desert Center, CA</w:t>
            </w:r>
          </w:p>
        </w:tc>
        <w:tc>
          <w:tcPr>
            <w:tcW w:w="66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December 2014</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PG&amp;E</w:t>
            </w:r>
          </w:p>
        </w:tc>
        <w:tc>
          <w:tcPr>
            <w:tcW w:w="1040" w:type="dxa"/>
            <w:vAlign w:val="bottom"/>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Kansas South</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Lemoore,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2013</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PG&amp;E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87"/>
        </w:trPr>
        <w:tc>
          <w:tcPr>
            <w:tcW w:w="1760" w:type="dxa"/>
            <w:vAlign w:val="bottom"/>
            <w:gridSpan w:val="2"/>
          </w:tcPr>
          <w:p>
            <w:pPr>
              <w:ind w:left="20"/>
              <w:spacing w:after="0" w:line="187" w:lineRule="exact"/>
              <w:rPr>
                <w:sz w:val="20"/>
                <w:szCs w:val="20"/>
                <w:color w:val="auto"/>
              </w:rPr>
            </w:pPr>
            <w:r>
              <w:rPr>
                <w:rFonts w:ascii="Arial" w:cs="Arial" w:eastAsia="Arial" w:hAnsi="Arial"/>
                <w:sz w:val="14"/>
                <w:szCs w:val="14"/>
                <w:color w:val="auto"/>
              </w:rPr>
              <w:t xml:space="preserve">Kawailoa </w:t>
            </w:r>
            <w:r>
              <w:rPr>
                <w:rFonts w:ascii="Arial" w:cs="Arial" w:eastAsia="Arial" w:hAnsi="Arial"/>
                <w:sz w:val="18"/>
                <w:szCs w:val="18"/>
                <w:color w:val="auto"/>
                <w:vertAlign w:val="superscript"/>
              </w:rPr>
              <w:t>(b)</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Oahu, HI</w:t>
            </w:r>
          </w:p>
        </w:tc>
        <w:tc>
          <w:tcPr>
            <w:tcW w:w="66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November 2019</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Hawaiian Electric Company</w:t>
            </w:r>
          </w:p>
        </w:tc>
        <w:tc>
          <w:tcPr>
            <w:tcW w:w="1040" w:type="dxa"/>
            <w:vAlign w:val="bottom"/>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87"/>
        </w:trPr>
        <w:tc>
          <w:tcPr>
            <w:tcW w:w="176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18"/>
                <w:szCs w:val="18"/>
                <w:color w:val="auto"/>
                <w:vertAlign w:val="superscript"/>
              </w:rPr>
              <w:t>(b)</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Oahu, HI</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2019</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Hawaiian Electric Company</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8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Roadrunner</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Santa Teresa, NM</w:t>
            </w: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August 2011</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El Paso Electric</w:t>
            </w:r>
          </w:p>
        </w:tc>
        <w:tc>
          <w:tcPr>
            <w:tcW w:w="1040" w:type="dxa"/>
            <w:vAlign w:val="bottom"/>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Rosamond Central </w:t>
            </w:r>
            <w:r>
              <w:rPr>
                <w:rFonts w:ascii="Arial" w:cs="Arial" w:eastAsia="Arial" w:hAnsi="Arial"/>
                <w:sz w:val="18"/>
                <w:szCs w:val="18"/>
                <w:color w:val="auto"/>
                <w:vertAlign w:val="superscript"/>
              </w:rPr>
              <w:t>(b)</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Rosamond,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2020</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2035 - 2047</w:t>
            </w:r>
          </w:p>
        </w:tc>
        <w:tc>
          <w:tcPr>
            <w:tcW w:w="0" w:type="dxa"/>
            <w:vAlign w:val="bottom"/>
          </w:tcPr>
          <w:p>
            <w:pPr>
              <w:spacing w:after="0"/>
              <w:rPr>
                <w:sz w:val="1"/>
                <w:szCs w:val="1"/>
                <w:color w:val="auto"/>
              </w:rPr>
            </w:pPr>
          </w:p>
        </w:tc>
      </w:tr>
      <w:tr>
        <w:trPr>
          <w:trHeight w:val="18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TA High Desert</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Lancaster, CA</w:t>
            </w: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March 2013</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40" w:type="dxa"/>
            <w:vAlign w:val="bottom"/>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36"/>
        </w:trPr>
        <w:tc>
          <w:tcPr>
            <w:tcW w:w="17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Utah Solar Portfolio</w:t>
            </w:r>
          </w:p>
        </w:tc>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July - September</w:t>
            </w:r>
          </w:p>
        </w:tc>
        <w:tc>
          <w:tcPr>
            <w:tcW w:w="18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PacifiCorp</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r>
        <w:trPr>
          <w:trHeight w:val="192"/>
        </w:trPr>
        <w:tc>
          <w:tcPr>
            <w:tcW w:w="1760" w:type="dxa"/>
            <w:vAlign w:val="bottom"/>
            <w:gridSpan w:val="2"/>
            <w:vMerge w:val="continue"/>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CCEEFF"/>
          </w:tcPr>
          <w:p>
            <w:pPr>
              <w:spacing w:after="0"/>
              <w:rPr>
                <w:sz w:val="16"/>
                <w:szCs w:val="16"/>
                <w:color w:val="auto"/>
              </w:rPr>
            </w:pPr>
          </w:p>
        </w:tc>
        <w:tc>
          <w:tcPr>
            <w:tcW w:w="186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gridSpan w:val="4"/>
          </w:tcPr>
          <w:p>
            <w:pPr>
              <w:ind w:left="340"/>
              <w:spacing w:after="0"/>
              <w:rPr>
                <w:sz w:val="20"/>
                <w:szCs w:val="20"/>
                <w:color w:val="auto"/>
              </w:rPr>
            </w:pPr>
            <w:r>
              <w:rPr>
                <w:rFonts w:ascii="Arial" w:cs="Arial" w:eastAsia="Arial" w:hAnsi="Arial"/>
                <w:sz w:val="16"/>
                <w:szCs w:val="16"/>
                <w:b w:val="1"/>
                <w:bCs w:val="1"/>
                <w:i w:val="1"/>
                <w:iCs w:val="1"/>
                <w:color w:val="auto"/>
              </w:rPr>
              <w:t>Total Utility Scale Solar</w:t>
            </w:r>
          </w:p>
        </w:tc>
        <w:tc>
          <w:tcPr>
            <w:tcW w:w="660" w:type="dxa"/>
            <w:vAlign w:val="bottom"/>
          </w:tcPr>
          <w:p>
            <w:pPr>
              <w:jc w:val="right"/>
              <w:spacing w:after="0"/>
              <w:rPr>
                <w:sz w:val="20"/>
                <w:szCs w:val="20"/>
                <w:color w:val="auto"/>
              </w:rPr>
            </w:pPr>
            <w:r>
              <w:rPr>
                <w:rFonts w:ascii="Arial" w:cs="Arial" w:eastAsia="Arial" w:hAnsi="Arial"/>
                <w:sz w:val="14"/>
                <w:szCs w:val="14"/>
                <w:color w:val="auto"/>
              </w:rPr>
              <w:t>2,321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1,621</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Distributed Solar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76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DGPV Fund Projects </w:t>
            </w:r>
            <w:r>
              <w:rPr>
                <w:rFonts w:ascii="Arial" w:cs="Arial" w:eastAsia="Arial" w:hAnsi="Arial"/>
                <w:sz w:val="18"/>
                <w:szCs w:val="18"/>
                <w:color w:val="auto"/>
                <w:vertAlign w:val="superscript"/>
              </w:rPr>
              <w:t>(b)</w:t>
            </w: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Various</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286</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September 2015 -</w:t>
            </w:r>
          </w:p>
        </w:tc>
        <w:tc>
          <w:tcPr>
            <w:tcW w:w="1860" w:type="dxa"/>
            <w:vAlign w:val="bottom"/>
            <w:gridSpan w:val="2"/>
            <w:vMerge w:val="restart"/>
          </w:tcPr>
          <w:p>
            <w:pPr>
              <w:ind w:left="20"/>
              <w:spacing w:after="0"/>
              <w:rPr>
                <w:sz w:val="20"/>
                <w:szCs w:val="20"/>
                <w:color w:val="auto"/>
              </w:rPr>
            </w:pPr>
            <w:r>
              <w:rPr>
                <w:rFonts w:ascii="Arial" w:cs="Arial" w:eastAsia="Arial" w:hAnsi="Arial"/>
                <w:sz w:val="14"/>
                <w:szCs w:val="14"/>
                <w:color w:val="auto"/>
              </w:rPr>
              <w:t>Various</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2030 - 2044</w:t>
            </w:r>
          </w:p>
        </w:tc>
        <w:tc>
          <w:tcPr>
            <w:tcW w:w="0" w:type="dxa"/>
            <w:vAlign w:val="bottom"/>
          </w:tcPr>
          <w:p>
            <w:pPr>
              <w:spacing w:after="0"/>
              <w:rPr>
                <w:sz w:val="1"/>
                <w:szCs w:val="1"/>
                <w:color w:val="auto"/>
              </w:rPr>
            </w:pPr>
          </w:p>
        </w:tc>
      </w:tr>
      <w:tr>
        <w:trPr>
          <w:trHeight w:val="187"/>
        </w:trPr>
        <w:tc>
          <w:tcPr>
            <w:tcW w:w="176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March 2019</w:t>
            </w:r>
          </w:p>
        </w:tc>
        <w:tc>
          <w:tcPr>
            <w:tcW w:w="18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7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w w:val="98"/>
              </w:rPr>
              <w:t>Solar Power Partners (SPP)</w:t>
            </w:r>
          </w:p>
        </w:tc>
        <w:tc>
          <w:tcPr>
            <w:tcW w:w="14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June 2008 - June</w:t>
            </w:r>
          </w:p>
        </w:tc>
        <w:tc>
          <w:tcPr>
            <w:tcW w:w="18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2026 - 2037</w:t>
            </w:r>
          </w:p>
        </w:tc>
        <w:tc>
          <w:tcPr>
            <w:tcW w:w="0" w:type="dxa"/>
            <w:vAlign w:val="bottom"/>
          </w:tcPr>
          <w:p>
            <w:pPr>
              <w:spacing w:after="0"/>
              <w:rPr>
                <w:sz w:val="1"/>
                <w:szCs w:val="1"/>
                <w:color w:val="auto"/>
              </w:rPr>
            </w:pPr>
          </w:p>
        </w:tc>
      </w:tr>
      <w:tr>
        <w:trPr>
          <w:trHeight w:val="187"/>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Projects</w:t>
            </w:r>
          </w:p>
        </w:tc>
        <w:tc>
          <w:tcPr>
            <w:tcW w:w="146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w:t>
            </w:r>
          </w:p>
        </w:tc>
        <w:tc>
          <w:tcPr>
            <w:tcW w:w="100" w:type="dxa"/>
            <w:vAlign w:val="bottom"/>
            <w:shd w:val="clear" w:color="auto" w:fill="CCEEFF"/>
          </w:tcPr>
          <w:p>
            <w:pPr>
              <w:spacing w:after="0"/>
              <w:rPr>
                <w:sz w:val="16"/>
                <w:szCs w:val="16"/>
                <w:color w:val="auto"/>
              </w:rPr>
            </w:pPr>
          </w:p>
        </w:tc>
        <w:tc>
          <w:tcPr>
            <w:tcW w:w="186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76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DG Projects</w:t>
            </w: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Various</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color w:val="auto"/>
              </w:rPr>
              <w:t>Solar</w:t>
            </w:r>
          </w:p>
        </w:tc>
        <w:tc>
          <w:tcPr>
            <w:tcW w:w="138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December 2010 -</w:t>
            </w:r>
          </w:p>
        </w:tc>
        <w:tc>
          <w:tcPr>
            <w:tcW w:w="1860" w:type="dxa"/>
            <w:vAlign w:val="bottom"/>
            <w:gridSpan w:val="2"/>
            <w:vMerge w:val="restart"/>
          </w:tcPr>
          <w:p>
            <w:pPr>
              <w:ind w:left="20"/>
              <w:spacing w:after="0"/>
              <w:rPr>
                <w:sz w:val="20"/>
                <w:szCs w:val="20"/>
                <w:color w:val="auto"/>
              </w:rPr>
            </w:pPr>
            <w:r>
              <w:rPr>
                <w:rFonts w:ascii="Arial" w:cs="Arial" w:eastAsia="Arial" w:hAnsi="Arial"/>
                <w:sz w:val="14"/>
                <w:szCs w:val="14"/>
                <w:color w:val="auto"/>
              </w:rPr>
              <w:t>Various</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2023 - 2039</w:t>
            </w:r>
          </w:p>
        </w:tc>
        <w:tc>
          <w:tcPr>
            <w:tcW w:w="0" w:type="dxa"/>
            <w:vAlign w:val="bottom"/>
          </w:tcPr>
          <w:p>
            <w:pPr>
              <w:spacing w:after="0"/>
              <w:rPr>
                <w:sz w:val="1"/>
                <w:szCs w:val="1"/>
                <w:color w:val="auto"/>
              </w:rPr>
            </w:pPr>
          </w:p>
        </w:tc>
      </w:tr>
      <w:tr>
        <w:trPr>
          <w:trHeight w:val="184"/>
        </w:trPr>
        <w:tc>
          <w:tcPr>
            <w:tcW w:w="1760" w:type="dxa"/>
            <w:vAlign w:val="bottom"/>
            <w:tcBorders>
              <w:bottom w:val="single" w:sz="8" w:color="CCEEFF"/>
            </w:tcBorders>
            <w:gridSpan w:val="2"/>
            <w:vMerge w:val="continue"/>
          </w:tcPr>
          <w:p>
            <w:pPr>
              <w:spacing w:after="0"/>
              <w:rPr>
                <w:sz w:val="15"/>
                <w:szCs w:val="15"/>
                <w:color w:val="auto"/>
              </w:rPr>
            </w:pPr>
          </w:p>
        </w:tc>
        <w:tc>
          <w:tcPr>
            <w:tcW w:w="1460" w:type="dxa"/>
            <w:vAlign w:val="bottom"/>
            <w:tcBorders>
              <w:bottom w:val="single" w:sz="8" w:color="CCEEFF"/>
            </w:tcBorders>
            <w:gridSpan w:val="2"/>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CCEEFF"/>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gridSpan w:val="2"/>
            <w:vMerge w:val="continue"/>
          </w:tcPr>
          <w:p>
            <w:pPr>
              <w:spacing w:after="0"/>
              <w:rPr>
                <w:sz w:val="15"/>
                <w:szCs w:val="15"/>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October 2015</w:t>
            </w:r>
          </w:p>
        </w:tc>
        <w:tc>
          <w:tcPr>
            <w:tcW w:w="1860" w:type="dxa"/>
            <w:vAlign w:val="bottom"/>
            <w:tcBorders>
              <w:bottom w:val="single" w:sz="8" w:color="CCEEFF"/>
            </w:tcBorders>
            <w:gridSpan w:val="2"/>
            <w:vMerge w:val="continue"/>
          </w:tcPr>
          <w:p>
            <w:pPr>
              <w:spacing w:after="0"/>
              <w:rPr>
                <w:sz w:val="15"/>
                <w:szCs w:val="15"/>
                <w:color w:val="auto"/>
              </w:rPr>
            </w:pPr>
          </w:p>
        </w:tc>
        <w:tc>
          <w:tcPr>
            <w:tcW w:w="104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20" w:type="dxa"/>
            <w:vAlign w:val="bottom"/>
            <w:gridSpan w:val="4"/>
            <w:shd w:val="clear" w:color="auto" w:fill="CCEEFF"/>
          </w:tcPr>
          <w:p>
            <w:pPr>
              <w:ind w:left="340"/>
              <w:spacing w:after="0"/>
              <w:rPr>
                <w:sz w:val="20"/>
                <w:szCs w:val="20"/>
                <w:color w:val="auto"/>
              </w:rPr>
            </w:pPr>
            <w:r>
              <w:rPr>
                <w:rFonts w:ascii="Arial" w:cs="Arial" w:eastAsia="Arial" w:hAnsi="Arial"/>
                <w:sz w:val="16"/>
                <w:szCs w:val="16"/>
                <w:b w:val="1"/>
                <w:bCs w:val="1"/>
                <w:i w:val="1"/>
                <w:iCs w:val="1"/>
                <w:color w:val="auto"/>
              </w:rPr>
              <w:t>Total Distributed Solar</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Wind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Alta I</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Tehachapi,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2010</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8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Alta II</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Tehachapi, CA</w:t>
            </w:r>
          </w:p>
        </w:tc>
        <w:tc>
          <w:tcPr>
            <w:tcW w:w="66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December 2010</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40" w:type="dxa"/>
            <w:vAlign w:val="bottom"/>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Alta III</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Tehachapi, 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2011</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81"/>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Alta IV</w:t>
            </w: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Tehachapi, CA</w:t>
            </w:r>
          </w:p>
        </w:tc>
        <w:tc>
          <w:tcPr>
            <w:tcW w:w="66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March 2011</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40" w:type="dxa"/>
            <w:vAlign w:val="bottom"/>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1"/>
        </w:trPr>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369"/>
              <w:spacing w:after="0"/>
              <w:rPr>
                <w:sz w:val="20"/>
                <w:szCs w:val="20"/>
                <w:color w:val="auto"/>
              </w:rPr>
            </w:pPr>
            <w:r>
              <w:rPr>
                <w:rFonts w:ascii="Arial" w:cs="Arial" w:eastAsia="Arial" w:hAnsi="Arial"/>
                <w:sz w:val="16"/>
                <w:szCs w:val="16"/>
                <w:b w:val="1"/>
                <w:bCs w:val="1"/>
                <w:color w:val="auto"/>
              </w:rPr>
              <w:t>Capacity</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Rated</w:t>
            </w:r>
          </w:p>
        </w:tc>
        <w:tc>
          <w:tcPr>
            <w:tcW w:w="720" w:type="dxa"/>
            <w:vAlign w:val="bottom"/>
            <w:vMerge w:val="restart"/>
          </w:tcPr>
          <w:p>
            <w:pPr>
              <w:jc w:val="right"/>
              <w:ind w:right="169"/>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bottom w:val="single" w:sz="8" w:color="auto"/>
            </w:tcBorders>
            <w:gridSpan w:val="2"/>
          </w:tcPr>
          <w:p>
            <w:pPr>
              <w:ind w:left="1040"/>
              <w:spacing w:after="0"/>
              <w:rPr>
                <w:sz w:val="20"/>
                <w:szCs w:val="20"/>
                <w:color w:val="auto"/>
              </w:rPr>
            </w:pPr>
            <w:r>
              <w:rPr>
                <w:rFonts w:ascii="Arial" w:cs="Arial" w:eastAsia="Arial" w:hAnsi="Arial"/>
                <w:sz w:val="16"/>
                <w:szCs w:val="16"/>
                <w:b w:val="1"/>
                <w:bCs w:val="1"/>
                <w:color w:val="auto"/>
                <w:w w:val="88"/>
              </w:rPr>
              <w:t>PPA Terms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4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Location</w:t>
            </w:r>
          </w:p>
        </w:tc>
        <w:tc>
          <w:tcPr>
            <w:tcW w:w="760" w:type="dxa"/>
            <w:vAlign w:val="bottom"/>
            <w:gridSpan w:val="2"/>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Owner-ship</w:t>
            </w:r>
          </w:p>
        </w:tc>
        <w:tc>
          <w:tcPr>
            <w:tcW w:w="108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Fuel</w:t>
            </w:r>
          </w:p>
        </w:tc>
        <w:tc>
          <w:tcPr>
            <w:tcW w:w="138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COD</w:t>
            </w:r>
          </w:p>
        </w:tc>
        <w:tc>
          <w:tcPr>
            <w:tcW w:w="182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Counterparty</w:t>
            </w:r>
          </w:p>
        </w:tc>
        <w:tc>
          <w:tcPr>
            <w:tcW w:w="1020" w:type="dxa"/>
            <w:vAlign w:val="bottom"/>
            <w:vMerge w:val="restart"/>
          </w:tcPr>
          <w:p>
            <w:pPr>
              <w:jc w:val="right"/>
              <w:ind w:right="69"/>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line="20" w:lineRule="exact"/>
              <w:rPr>
                <w:sz w:val="1"/>
                <w:szCs w:val="1"/>
                <w:color w:val="auto"/>
              </w:rPr>
            </w:pPr>
          </w:p>
        </w:tc>
      </w:tr>
      <w:tr>
        <w:trPr>
          <w:trHeight w:val="213"/>
        </w:trPr>
        <w:tc>
          <w:tcPr>
            <w:tcW w:w="192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MW</w:t>
            </w:r>
          </w:p>
        </w:tc>
        <w:tc>
          <w:tcPr>
            <w:tcW w:w="720" w:type="dxa"/>
            <w:vAlign w:val="bottom"/>
          </w:tcPr>
          <w:p>
            <w:pPr>
              <w:jc w:val="right"/>
              <w:ind w:right="69"/>
              <w:spacing w:after="0" w:line="213" w:lineRule="exact"/>
              <w:rPr>
                <w:sz w:val="20"/>
                <w:szCs w:val="20"/>
                <w:color w:val="auto"/>
              </w:rPr>
            </w:pPr>
            <w:r>
              <w:rPr>
                <w:rFonts w:ascii="Arial" w:cs="Arial" w:eastAsia="Arial" w:hAnsi="Arial"/>
                <w:sz w:val="24"/>
                <w:szCs w:val="24"/>
                <w:b w:val="1"/>
                <w:bCs w:val="1"/>
                <w:color w:val="auto"/>
                <w:vertAlign w:val="subscript"/>
              </w:rPr>
              <w:t>MW</w:t>
            </w:r>
            <w:r>
              <w:rPr>
                <w:rFonts w:ascii="Arial" w:cs="Arial" w:eastAsia="Arial" w:hAnsi="Arial"/>
                <w:sz w:val="9"/>
                <w:szCs w:val="9"/>
                <w:b w:val="1"/>
                <w:bCs w:val="1"/>
                <w:color w:val="auto"/>
              </w:rPr>
              <w:t>(a)</w:t>
            </w: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Alta V</w:t>
            </w:r>
          </w:p>
        </w:tc>
        <w:tc>
          <w:tcPr>
            <w:tcW w:w="34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Tehachapi, CA</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April 2011</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87"/>
        </w:trPr>
        <w:tc>
          <w:tcPr>
            <w:tcW w:w="1920" w:type="dxa"/>
            <w:vAlign w:val="bottom"/>
            <w:gridSpan w:val="2"/>
          </w:tcPr>
          <w:p>
            <w:pPr>
              <w:ind w:left="20"/>
              <w:spacing w:after="0" w:line="187" w:lineRule="exact"/>
              <w:rPr>
                <w:sz w:val="20"/>
                <w:szCs w:val="20"/>
                <w:color w:val="auto"/>
              </w:rPr>
            </w:pPr>
            <w:r>
              <w:rPr>
                <w:rFonts w:ascii="Arial" w:cs="Arial" w:eastAsia="Arial" w:hAnsi="Arial"/>
                <w:sz w:val="14"/>
                <w:szCs w:val="14"/>
                <w:color w:val="auto"/>
              </w:rPr>
              <w:t xml:space="preserve">Alta X </w:t>
            </w:r>
            <w:r>
              <w:rPr>
                <w:rFonts w:ascii="Arial" w:cs="Arial" w:eastAsia="Arial" w:hAnsi="Arial"/>
                <w:sz w:val="18"/>
                <w:szCs w:val="18"/>
                <w:color w:val="auto"/>
                <w:vertAlign w:val="superscript"/>
              </w:rPr>
              <w:t>(b)</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Tehachapi, CA</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February 2014</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20" w:type="dxa"/>
            <w:vAlign w:val="bottom"/>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7"/>
        </w:trPr>
        <w:tc>
          <w:tcPr>
            <w:tcW w:w="192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4"/>
                <w:szCs w:val="14"/>
                <w:color w:val="auto"/>
              </w:rPr>
              <w:t xml:space="preserve">Alta XI </w:t>
            </w:r>
            <w:r>
              <w:rPr>
                <w:rFonts w:ascii="Arial" w:cs="Arial" w:eastAsia="Arial" w:hAnsi="Arial"/>
                <w:sz w:val="18"/>
                <w:szCs w:val="18"/>
                <w:color w:val="auto"/>
                <w:vertAlign w:val="superscript"/>
              </w:rPr>
              <w:t>(b)</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Tehachapi, CA</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2014</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33"/>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Black Rock </w:t>
            </w:r>
            <w:r>
              <w:rPr>
                <w:rFonts w:ascii="Arial" w:cs="Arial" w:eastAsia="Arial" w:hAnsi="Arial"/>
                <w:sz w:val="18"/>
                <w:szCs w:val="18"/>
                <w:color w:val="auto"/>
                <w:vertAlign w:val="superscript"/>
              </w:rPr>
              <w:t>(b)(d)</w:t>
            </w:r>
          </w:p>
        </w:tc>
        <w:tc>
          <w:tcPr>
            <w:tcW w:w="14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Mineral and Grant</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color w:val="auto"/>
              </w:rPr>
              <w:t>December 2021</w:t>
            </w:r>
          </w:p>
        </w:tc>
        <w:tc>
          <w:tcPr>
            <w:tcW w:w="1820" w:type="dxa"/>
            <w:vAlign w:val="bottom"/>
            <w:gridSpan w:val="2"/>
            <w:vMerge w:val="restart"/>
          </w:tcPr>
          <w:p>
            <w:pPr>
              <w:ind w:left="20"/>
              <w:spacing w:after="0"/>
              <w:rPr>
                <w:sz w:val="20"/>
                <w:szCs w:val="20"/>
                <w:color w:val="auto"/>
              </w:rPr>
            </w:pPr>
            <w:r>
              <w:rPr>
                <w:rFonts w:ascii="Arial" w:cs="Arial" w:eastAsia="Arial" w:hAnsi="Arial"/>
                <w:sz w:val="14"/>
                <w:szCs w:val="14"/>
                <w:color w:val="auto"/>
              </w:rPr>
              <w:t>Toyoya and AEP</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r>
        <w:trPr>
          <w:trHeight w:val="187"/>
        </w:trPr>
        <w:tc>
          <w:tcPr>
            <w:tcW w:w="1920" w:type="dxa"/>
            <w:vAlign w:val="bottom"/>
            <w:gridSpan w:val="2"/>
            <w:vMerge w:val="continue"/>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Counties, WV</w:t>
            </w: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Buffalo Bear</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Buffalo, OK</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December 2008</w:t>
            </w:r>
          </w:p>
        </w:tc>
        <w:tc>
          <w:tcPr>
            <w:tcW w:w="182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Western Farmers Electric</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87"/>
        </w:trPr>
        <w:tc>
          <w:tcPr>
            <w:tcW w:w="19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Co-operative</w:t>
            </w: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Crosswinds</w:t>
            </w: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Ruthven, IA</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99 %</w:t>
            </w:r>
          </w:p>
        </w:tc>
        <w:tc>
          <w:tcPr>
            <w:tcW w:w="10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color w:val="auto"/>
              </w:rPr>
              <w:t>June 2007</w:t>
            </w:r>
          </w:p>
        </w:tc>
        <w:tc>
          <w:tcPr>
            <w:tcW w:w="18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Corn Belt Power</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84"/>
        </w:trPr>
        <w:tc>
          <w:tcPr>
            <w:tcW w:w="192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Cooperative</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Elbow Creek </w:t>
            </w:r>
            <w:r>
              <w:rPr>
                <w:rFonts w:ascii="Arial" w:cs="Arial" w:eastAsia="Arial" w:hAnsi="Arial"/>
                <w:sz w:val="18"/>
                <w:szCs w:val="18"/>
                <w:color w:val="auto"/>
                <w:vertAlign w:val="superscript"/>
              </w:rPr>
              <w:t>(b)</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Howard County, TX</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2008</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33"/>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Elkhorn Ridge</w:t>
            </w: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Bloomfield, NE</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66.7 %</w:t>
            </w:r>
          </w:p>
        </w:tc>
        <w:tc>
          <w:tcPr>
            <w:tcW w:w="10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color w:val="auto"/>
              </w:rPr>
              <w:t>March 2009</w:t>
            </w:r>
          </w:p>
        </w:tc>
        <w:tc>
          <w:tcPr>
            <w:tcW w:w="18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Nebraska Public Power</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84"/>
        </w:trPr>
        <w:tc>
          <w:tcPr>
            <w:tcW w:w="192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District</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Forward</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Berlin, PA</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April 2008</w:t>
            </w:r>
          </w:p>
        </w:tc>
        <w:tc>
          <w:tcPr>
            <w:tcW w:w="182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Constellation NewEnergy,</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87"/>
        </w:trPr>
        <w:tc>
          <w:tcPr>
            <w:tcW w:w="19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w:t>
            </w: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Goat Wind</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Sterling City, TX</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April 2008/June 2009</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Dow Pipeline Company</w:t>
            </w:r>
          </w:p>
        </w:tc>
        <w:tc>
          <w:tcPr>
            <w:tcW w:w="1020" w:type="dxa"/>
            <w:vAlign w:val="bottom"/>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36"/>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Hardin</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Jefferson, IA</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May 2007</w:t>
            </w:r>
          </w:p>
        </w:tc>
        <w:tc>
          <w:tcPr>
            <w:tcW w:w="182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Interstate Power and Light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87"/>
        </w:trPr>
        <w:tc>
          <w:tcPr>
            <w:tcW w:w="19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Company</w:t>
            </w: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Langford </w:t>
            </w:r>
            <w:r>
              <w:rPr>
                <w:rFonts w:ascii="Arial" w:cs="Arial" w:eastAsia="Arial" w:hAnsi="Arial"/>
                <w:sz w:val="18"/>
                <w:szCs w:val="18"/>
                <w:color w:val="auto"/>
                <w:vertAlign w:val="superscript"/>
              </w:rPr>
              <w:t>(b)</w:t>
            </w: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Christoval, TX</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December</w:t>
            </w:r>
          </w:p>
        </w:tc>
        <w:tc>
          <w:tcPr>
            <w:tcW w:w="1820" w:type="dxa"/>
            <w:vAlign w:val="bottom"/>
            <w:gridSpan w:val="2"/>
            <w:vMerge w:val="restart"/>
          </w:tcPr>
          <w:p>
            <w:pPr>
              <w:ind w:left="20"/>
              <w:spacing w:after="0"/>
              <w:rPr>
                <w:sz w:val="20"/>
                <w:szCs w:val="20"/>
                <w:color w:val="auto"/>
              </w:rPr>
            </w:pPr>
            <w:r>
              <w:rPr>
                <w:rFonts w:ascii="Arial" w:cs="Arial" w:eastAsia="Arial" w:hAnsi="Arial"/>
                <w:sz w:val="14"/>
                <w:szCs w:val="14"/>
                <w:color w:val="auto"/>
              </w:rPr>
              <w:t>Goldman Sachs</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87"/>
        </w:trPr>
        <w:tc>
          <w:tcPr>
            <w:tcW w:w="19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color w:val="auto"/>
                <w:w w:val="99"/>
              </w:rPr>
              <w:t>2009/November 2020</w:t>
            </w:r>
          </w:p>
        </w:tc>
        <w:tc>
          <w:tcPr>
            <w:tcW w:w="18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Laredo Ridge</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Petersburg, NE</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2011</w:t>
            </w:r>
          </w:p>
        </w:tc>
        <w:tc>
          <w:tcPr>
            <w:tcW w:w="182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Nebraska Public Power</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87"/>
        </w:trPr>
        <w:tc>
          <w:tcPr>
            <w:tcW w:w="19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District</w:t>
            </w: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Lookout </w:t>
            </w:r>
            <w:r>
              <w:rPr>
                <w:rFonts w:ascii="Arial" w:cs="Arial" w:eastAsia="Arial" w:hAnsi="Arial"/>
                <w:sz w:val="18"/>
                <w:szCs w:val="18"/>
                <w:color w:val="auto"/>
                <w:vertAlign w:val="superscript"/>
              </w:rPr>
              <w:t>(b)</w:t>
            </w: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Berlin, PA</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color w:val="auto"/>
              </w:rPr>
              <w:t>October 2008</w:t>
            </w:r>
          </w:p>
        </w:tc>
        <w:tc>
          <w:tcPr>
            <w:tcW w:w="18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Southern Maryland Electric</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2030</w:t>
            </w:r>
          </w:p>
        </w:tc>
        <w:tc>
          <w:tcPr>
            <w:tcW w:w="0" w:type="dxa"/>
            <w:vAlign w:val="bottom"/>
          </w:tcPr>
          <w:p>
            <w:pPr>
              <w:spacing w:after="0"/>
              <w:rPr>
                <w:sz w:val="1"/>
                <w:szCs w:val="1"/>
                <w:color w:val="auto"/>
              </w:rPr>
            </w:pPr>
          </w:p>
        </w:tc>
      </w:tr>
      <w:tr>
        <w:trPr>
          <w:trHeight w:val="187"/>
        </w:trPr>
        <w:tc>
          <w:tcPr>
            <w:tcW w:w="19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Cooperative</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2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4"/>
                <w:szCs w:val="14"/>
                <w:color w:val="auto"/>
              </w:rPr>
              <w:t xml:space="preserve">Mesquite Sky </w:t>
            </w:r>
            <w:r>
              <w:rPr>
                <w:rFonts w:ascii="Arial" w:cs="Arial" w:eastAsia="Arial" w:hAnsi="Arial"/>
                <w:sz w:val="18"/>
                <w:szCs w:val="18"/>
                <w:color w:val="auto"/>
                <w:vertAlign w:val="superscript"/>
              </w:rPr>
              <w:t>(b)</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Callahan County, TX</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2021</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2033 - 2036</w:t>
            </w:r>
          </w:p>
        </w:tc>
        <w:tc>
          <w:tcPr>
            <w:tcW w:w="0" w:type="dxa"/>
            <w:vAlign w:val="bottom"/>
          </w:tcPr>
          <w:p>
            <w:pPr>
              <w:spacing w:after="0"/>
              <w:rPr>
                <w:sz w:val="1"/>
                <w:szCs w:val="1"/>
                <w:color w:val="auto"/>
              </w:rPr>
            </w:pPr>
          </w:p>
        </w:tc>
      </w:tr>
      <w:tr>
        <w:trPr>
          <w:trHeight w:val="187"/>
        </w:trPr>
        <w:tc>
          <w:tcPr>
            <w:tcW w:w="1920" w:type="dxa"/>
            <w:vAlign w:val="bottom"/>
            <w:gridSpan w:val="2"/>
          </w:tcPr>
          <w:p>
            <w:pPr>
              <w:ind w:left="20"/>
              <w:spacing w:after="0" w:line="187" w:lineRule="exact"/>
              <w:rPr>
                <w:sz w:val="20"/>
                <w:szCs w:val="20"/>
                <w:color w:val="auto"/>
              </w:rPr>
            </w:pPr>
            <w:r>
              <w:rPr>
                <w:rFonts w:ascii="Arial" w:cs="Arial" w:eastAsia="Arial" w:hAnsi="Arial"/>
                <w:sz w:val="14"/>
                <w:szCs w:val="14"/>
                <w:color w:val="auto"/>
              </w:rPr>
              <w:t xml:space="preserve">Mesquite Star </w:t>
            </w:r>
            <w:r>
              <w:rPr>
                <w:rFonts w:ascii="Arial" w:cs="Arial" w:eastAsia="Arial" w:hAnsi="Arial"/>
                <w:sz w:val="18"/>
                <w:szCs w:val="18"/>
                <w:color w:val="auto"/>
                <w:vertAlign w:val="superscript"/>
              </w:rPr>
              <w:t>(b)</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Fisher County, TX</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June 2020</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20" w:type="dxa"/>
            <w:vAlign w:val="bottom"/>
          </w:tcPr>
          <w:p>
            <w:pPr>
              <w:jc w:val="right"/>
              <w:spacing w:after="0"/>
              <w:rPr>
                <w:sz w:val="20"/>
                <w:szCs w:val="20"/>
                <w:color w:val="auto"/>
              </w:rPr>
            </w:pPr>
            <w:r>
              <w:rPr>
                <w:rFonts w:ascii="Arial" w:cs="Arial" w:eastAsia="Arial" w:hAnsi="Arial"/>
                <w:sz w:val="14"/>
                <w:szCs w:val="14"/>
                <w:color w:val="auto"/>
              </w:rPr>
              <w:t>2032 - 2035</w:t>
            </w:r>
          </w:p>
        </w:tc>
        <w:tc>
          <w:tcPr>
            <w:tcW w:w="0" w:type="dxa"/>
            <w:vAlign w:val="bottom"/>
          </w:tcPr>
          <w:p>
            <w:pPr>
              <w:spacing w:after="0"/>
              <w:rPr>
                <w:sz w:val="1"/>
                <w:szCs w:val="1"/>
                <w:color w:val="auto"/>
              </w:rPr>
            </w:pPr>
          </w:p>
        </w:tc>
      </w:tr>
      <w:tr>
        <w:trPr>
          <w:trHeight w:val="18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Mt Storm</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Mt Storm, WV</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October 2008</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Citigroup</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84"/>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Ocotillo</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Forsan, TX</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November 2008</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N/A</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Odin</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Mountain Lake, MN</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June 2008</w:t>
            </w:r>
          </w:p>
        </w:tc>
        <w:tc>
          <w:tcPr>
            <w:tcW w:w="182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Missouri River Energy</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87"/>
        </w:trPr>
        <w:tc>
          <w:tcPr>
            <w:tcW w:w="19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Maryland Department of</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color w:val="auto"/>
              </w:rPr>
              <w:t>December</w:t>
            </w:r>
          </w:p>
        </w:tc>
        <w:tc>
          <w:tcPr>
            <w:tcW w:w="18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General Services and</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Pinnacle </w:t>
            </w:r>
            <w:r>
              <w:rPr>
                <w:rFonts w:ascii="Arial" w:cs="Arial" w:eastAsia="Arial" w:hAnsi="Arial"/>
                <w:sz w:val="18"/>
                <w:szCs w:val="18"/>
                <w:color w:val="auto"/>
                <w:vertAlign w:val="superscript"/>
              </w:rPr>
              <w:t>(b)</w:t>
            </w: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Keyser, WV</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vMerge w:val="continue"/>
          </w:tcPr>
          <w:p>
            <w:pPr>
              <w:spacing w:after="0"/>
              <w:rPr>
                <w:sz w:val="11"/>
                <w:szCs w:val="11"/>
                <w:color w:val="auto"/>
              </w:rPr>
            </w:pPr>
          </w:p>
        </w:tc>
        <w:tc>
          <w:tcPr>
            <w:tcW w:w="18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University System of</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87"/>
        </w:trPr>
        <w:tc>
          <w:tcPr>
            <w:tcW w:w="19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color w:val="auto"/>
                <w:w w:val="99"/>
              </w:rPr>
              <w:t>2011/December 2021</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Maryland</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2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4"/>
                <w:szCs w:val="14"/>
                <w:color w:val="auto"/>
              </w:rPr>
              <w:t xml:space="preserve">Rattlesnake </w:t>
            </w:r>
            <w:r>
              <w:rPr>
                <w:rFonts w:ascii="Arial" w:cs="Arial" w:eastAsia="Arial" w:hAnsi="Arial"/>
                <w:sz w:val="18"/>
                <w:szCs w:val="18"/>
                <w:color w:val="auto"/>
                <w:vertAlign w:val="superscript"/>
              </w:rPr>
              <w:t>(b) (c)</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Ritzville, WA</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2020</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Avista Corporation</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133"/>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San Juan Mesa</w:t>
            </w: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Elida, NM</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color w:val="auto"/>
              </w:rPr>
              <w:t>December 2005</w:t>
            </w:r>
          </w:p>
        </w:tc>
        <w:tc>
          <w:tcPr>
            <w:tcW w:w="1820" w:type="dxa"/>
            <w:vAlign w:val="bottom"/>
            <w:gridSpan w:val="2"/>
          </w:tcPr>
          <w:p>
            <w:pPr>
              <w:ind w:left="20"/>
              <w:spacing w:after="0" w:line="133" w:lineRule="exact"/>
              <w:rPr>
                <w:sz w:val="20"/>
                <w:szCs w:val="20"/>
                <w:color w:val="auto"/>
              </w:rPr>
            </w:pPr>
            <w:r>
              <w:rPr>
                <w:rFonts w:ascii="Arial" w:cs="Arial" w:eastAsia="Arial" w:hAnsi="Arial"/>
                <w:sz w:val="14"/>
                <w:szCs w:val="14"/>
                <w:color w:val="auto"/>
                <w:w w:val="99"/>
              </w:rPr>
              <w:t>Southwestern Public Service</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84"/>
        </w:trPr>
        <w:tc>
          <w:tcPr>
            <w:tcW w:w="192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Company</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Sleeping Bear</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Woodward, OK</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October 2007</w:t>
            </w:r>
          </w:p>
        </w:tc>
        <w:tc>
          <w:tcPr>
            <w:tcW w:w="182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rPr>
              <w:t>Public Service Company of</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187"/>
        </w:trPr>
        <w:tc>
          <w:tcPr>
            <w:tcW w:w="19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Oklahoma</w:t>
            </w: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South Trent</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Sweetwater, TX</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January 2009</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AEP Energy Partners</w:t>
            </w:r>
          </w:p>
        </w:tc>
        <w:tc>
          <w:tcPr>
            <w:tcW w:w="1020" w:type="dxa"/>
            <w:vAlign w:val="bottom"/>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90"/>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Spanish Fork</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Spanish Fork, UT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July 2008</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PacifiCorp</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87"/>
        </w:trPr>
        <w:tc>
          <w:tcPr>
            <w:tcW w:w="1920" w:type="dxa"/>
            <w:vAlign w:val="bottom"/>
            <w:gridSpan w:val="2"/>
          </w:tcPr>
          <w:p>
            <w:pPr>
              <w:ind w:left="20"/>
              <w:spacing w:after="0" w:line="187" w:lineRule="exact"/>
              <w:rPr>
                <w:sz w:val="20"/>
                <w:szCs w:val="20"/>
                <w:color w:val="auto"/>
              </w:rPr>
            </w:pPr>
            <w:r>
              <w:rPr>
                <w:rFonts w:ascii="Arial" w:cs="Arial" w:eastAsia="Arial" w:hAnsi="Arial"/>
                <w:sz w:val="14"/>
                <w:szCs w:val="14"/>
                <w:color w:val="auto"/>
              </w:rPr>
              <w:t xml:space="preserve">Spring Canyon II </w:t>
            </w:r>
            <w:r>
              <w:rPr>
                <w:rFonts w:ascii="Arial" w:cs="Arial" w:eastAsia="Arial" w:hAnsi="Arial"/>
                <w:sz w:val="18"/>
                <w:szCs w:val="18"/>
                <w:color w:val="auto"/>
                <w:vertAlign w:val="superscript"/>
              </w:rPr>
              <w:t>(b)</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Logan County, CO</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90.1 %</w:t>
            </w:r>
          </w:p>
        </w:tc>
        <w:tc>
          <w:tcPr>
            <w:tcW w:w="10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October 2014</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Platte River Power Authority</w:t>
            </w:r>
          </w:p>
        </w:tc>
        <w:tc>
          <w:tcPr>
            <w:tcW w:w="1020" w:type="dxa"/>
            <w:vAlign w:val="bottom"/>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87"/>
        </w:trPr>
        <w:tc>
          <w:tcPr>
            <w:tcW w:w="192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18"/>
                <w:szCs w:val="18"/>
                <w:color w:val="auto"/>
                <w:vertAlign w:val="superscript"/>
              </w:rPr>
              <w:t>(b)</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Logan County, CO</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90.1 %</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2014</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Platte River Power Authority</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84"/>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Taloga</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Putnam, OK</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July 2011</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Oklahoma Gas &amp; Electric</w:t>
            </w:r>
          </w:p>
        </w:tc>
        <w:tc>
          <w:tcPr>
            <w:tcW w:w="1020" w:type="dxa"/>
            <w:vAlign w:val="bottom"/>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36"/>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18"/>
                <w:szCs w:val="18"/>
                <w:color w:val="auto"/>
                <w:vertAlign w:val="superscript"/>
              </w:rPr>
              <w:t>(b)</w:t>
            </w:r>
          </w:p>
        </w:tc>
        <w:tc>
          <w:tcPr>
            <w:tcW w:w="14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Vega, TX</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Wind</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April 2007</w:t>
            </w:r>
          </w:p>
        </w:tc>
        <w:tc>
          <w:tcPr>
            <w:tcW w:w="182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4"/>
                <w:szCs w:val="14"/>
                <w:color w:val="auto"/>
                <w:w w:val="99"/>
              </w:rPr>
              <w:t>Southwestern Public Service</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92"/>
        </w:trPr>
        <w:tc>
          <w:tcPr>
            <w:tcW w:w="19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Company</w:t>
            </w: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20" w:type="dxa"/>
            <w:vAlign w:val="bottom"/>
            <w:gridSpan w:val="2"/>
          </w:tcPr>
          <w:p>
            <w:pPr>
              <w:ind w:left="340"/>
              <w:spacing w:after="0" w:line="180" w:lineRule="exact"/>
              <w:rPr>
                <w:sz w:val="20"/>
                <w:szCs w:val="20"/>
                <w:color w:val="auto"/>
              </w:rPr>
            </w:pPr>
            <w:r>
              <w:rPr>
                <w:rFonts w:ascii="Arial" w:cs="Arial" w:eastAsia="Arial" w:hAnsi="Arial"/>
                <w:sz w:val="16"/>
                <w:szCs w:val="16"/>
                <w:b w:val="1"/>
                <w:bCs w:val="1"/>
                <w:i w:val="1"/>
                <w:iCs w:val="1"/>
                <w:color w:val="auto"/>
              </w:rPr>
              <w:t>Total Wind</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3,739</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3,262</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92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6"/>
                <w:szCs w:val="16"/>
                <w:b w:val="1"/>
                <w:bCs w:val="1"/>
                <w:i w:val="1"/>
                <w:iCs w:val="1"/>
                <w:color w:val="auto"/>
              </w:rPr>
              <w:t>Thermal Generation</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CA Fuel Cell</w:t>
            </w: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Tulare, CA</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May 2018</w:t>
            </w: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City of Tulare</w:t>
            </w:r>
          </w:p>
        </w:tc>
        <w:tc>
          <w:tcPr>
            <w:tcW w:w="1020" w:type="dxa"/>
            <w:vAlign w:val="bottom"/>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90"/>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ECP Uptown Campus</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Pittsburgh, PA</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2019</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Duquesne University</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133"/>
        </w:trPr>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Energy Center - Pittsburgh</w:t>
            </w: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color w:val="auto"/>
              </w:rPr>
              <w:t>Pittsburgh, PA</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Diesel</w:t>
            </w: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color w:val="auto"/>
              </w:rPr>
              <w:t>January 2019</w:t>
            </w:r>
          </w:p>
        </w:tc>
        <w:tc>
          <w:tcPr>
            <w:tcW w:w="18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University of Pittsburgh</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184"/>
        </w:trPr>
        <w:tc>
          <w:tcPr>
            <w:tcW w:w="192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Medical Center</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Energy Center Caguas</w:t>
            </w: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Caguas, PR</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2020</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Viatris Pharmaceuticals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1"/>
        </w:trPr>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Rated</w:t>
            </w:r>
          </w:p>
        </w:tc>
        <w:tc>
          <w:tcPr>
            <w:tcW w:w="72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w w:val="96"/>
              </w:rPr>
              <w:t>PPA Terms</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460" w:type="dxa"/>
            <w:vAlign w:val="bottom"/>
            <w:gridSpan w:val="3"/>
            <w:vMerge w:val="restart"/>
          </w:tcPr>
          <w:p>
            <w:pPr>
              <w:ind w:left="380"/>
              <w:spacing w:after="0"/>
              <w:rPr>
                <w:sz w:val="20"/>
                <w:szCs w:val="20"/>
                <w:color w:val="auto"/>
              </w:rPr>
            </w:pPr>
            <w:r>
              <w:rPr>
                <w:rFonts w:ascii="Arial" w:cs="Arial" w:eastAsia="Arial" w:hAnsi="Arial"/>
                <w:sz w:val="16"/>
                <w:szCs w:val="16"/>
                <w:b w:val="1"/>
                <w:bCs w:val="1"/>
                <w:color w:val="auto"/>
              </w:rPr>
              <w:t>Location</w:t>
            </w:r>
          </w:p>
        </w:tc>
        <w:tc>
          <w:tcPr>
            <w:tcW w:w="780" w:type="dxa"/>
            <w:vAlign w:val="bottom"/>
            <w:gridSpan w:val="2"/>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Owner-ship</w:t>
            </w:r>
          </w:p>
        </w:tc>
        <w:tc>
          <w:tcPr>
            <w:tcW w:w="110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Fuel</w:t>
            </w:r>
          </w:p>
        </w:tc>
        <w:tc>
          <w:tcPr>
            <w:tcW w:w="138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COD</w:t>
            </w:r>
          </w:p>
        </w:tc>
        <w:tc>
          <w:tcPr>
            <w:tcW w:w="192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Counterparty</w:t>
            </w:r>
          </w:p>
        </w:tc>
        <w:tc>
          <w:tcPr>
            <w:tcW w:w="980" w:type="dxa"/>
            <w:vAlign w:val="bottom"/>
            <w:vMerge w:val="restart"/>
          </w:tcPr>
          <w:p>
            <w:pPr>
              <w:jc w:val="right"/>
              <w:ind w:right="67"/>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line="20" w:lineRule="exact"/>
              <w:rPr>
                <w:sz w:val="1"/>
                <w:szCs w:val="1"/>
                <w:color w:val="auto"/>
              </w:rPr>
            </w:pPr>
          </w:p>
        </w:tc>
      </w:tr>
      <w:tr>
        <w:trPr>
          <w:trHeight w:val="213"/>
        </w:trPr>
        <w:tc>
          <w:tcPr>
            <w:tcW w:w="1760" w:type="dxa"/>
            <w:vAlign w:val="bottom"/>
            <w:gridSpan w:val="2"/>
            <w:vMerge w:val="continue"/>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MW</w:t>
            </w:r>
          </w:p>
        </w:tc>
        <w:tc>
          <w:tcPr>
            <w:tcW w:w="720" w:type="dxa"/>
            <w:vAlign w:val="bottom"/>
          </w:tcPr>
          <w:p>
            <w:pPr>
              <w:jc w:val="right"/>
              <w:ind w:right="71"/>
              <w:spacing w:after="0" w:line="213" w:lineRule="exact"/>
              <w:rPr>
                <w:sz w:val="20"/>
                <w:szCs w:val="20"/>
                <w:color w:val="auto"/>
              </w:rPr>
            </w:pPr>
            <w:r>
              <w:rPr>
                <w:rFonts w:ascii="Arial" w:cs="Arial" w:eastAsia="Arial" w:hAnsi="Arial"/>
                <w:sz w:val="24"/>
                <w:szCs w:val="24"/>
                <w:b w:val="1"/>
                <w:bCs w:val="1"/>
                <w:color w:val="auto"/>
                <w:vertAlign w:val="subscript"/>
              </w:rPr>
              <w:t>MW</w:t>
            </w:r>
            <w:r>
              <w:rPr>
                <w:rFonts w:ascii="Arial" w:cs="Arial" w:eastAsia="Arial" w:hAnsi="Arial"/>
                <w:sz w:val="9"/>
                <w:szCs w:val="9"/>
                <w:b w:val="1"/>
                <w:bCs w:val="1"/>
                <w:color w:val="auto"/>
              </w:rPr>
              <w:t>(a)</w:t>
            </w: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Paxton Creek Cogen</w:t>
            </w:r>
          </w:p>
        </w:tc>
        <w:tc>
          <w:tcPr>
            <w:tcW w:w="120" w:type="dxa"/>
            <w:vAlign w:val="bottom"/>
          </w:tcPr>
          <w:p>
            <w:pPr>
              <w:spacing w:after="0"/>
              <w:rPr>
                <w:sz w:val="15"/>
                <w:szCs w:val="15"/>
                <w:color w:val="auto"/>
              </w:rPr>
            </w:pPr>
          </w:p>
        </w:tc>
        <w:tc>
          <w:tcPr>
            <w:tcW w:w="13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Harrisburg, PA</w:t>
            </w:r>
          </w:p>
        </w:tc>
        <w:tc>
          <w:tcPr>
            <w:tcW w:w="10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0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Natural Gas</w:t>
            </w:r>
          </w:p>
        </w:tc>
        <w:tc>
          <w:tcPr>
            <w:tcW w:w="100" w:type="dxa"/>
            <w:vAlign w:val="bottom"/>
          </w:tcPr>
          <w:p>
            <w:pPr>
              <w:spacing w:after="0"/>
              <w:rPr>
                <w:sz w:val="15"/>
                <w:szCs w:val="15"/>
                <w:color w:val="auto"/>
              </w:rPr>
            </w:pPr>
          </w:p>
        </w:tc>
        <w:tc>
          <w:tcPr>
            <w:tcW w:w="1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November 1986</w:t>
            </w:r>
          </w:p>
        </w:tc>
        <w:tc>
          <w:tcPr>
            <w:tcW w:w="100" w:type="dxa"/>
            <w:vAlign w:val="bottom"/>
          </w:tcPr>
          <w:p>
            <w:pPr>
              <w:spacing w:after="0"/>
              <w:rPr>
                <w:sz w:val="15"/>
                <w:szCs w:val="15"/>
                <w:color w:val="auto"/>
              </w:rPr>
            </w:pPr>
          </w:p>
        </w:tc>
        <w:tc>
          <w:tcPr>
            <w:tcW w:w="19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Power sold into PJM markets</w:t>
            </w: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Hospital</w:t>
            </w:r>
          </w:p>
        </w:tc>
        <w:tc>
          <w:tcPr>
            <w:tcW w:w="14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Princeton, NJ</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2012</w:t>
            </w:r>
          </w:p>
        </w:tc>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Princeton Hospital</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8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Tucson Convention Center</w:t>
            </w:r>
          </w:p>
        </w:tc>
        <w:tc>
          <w:tcPr>
            <w:tcW w:w="1460" w:type="dxa"/>
            <w:vAlign w:val="bottom"/>
            <w:gridSpan w:val="3"/>
          </w:tcPr>
          <w:p>
            <w:pPr>
              <w:ind w:left="20"/>
              <w:spacing w:after="0"/>
              <w:rPr>
                <w:sz w:val="20"/>
                <w:szCs w:val="20"/>
                <w:color w:val="auto"/>
              </w:rPr>
            </w:pPr>
            <w:r>
              <w:rPr>
                <w:rFonts w:ascii="Arial" w:cs="Arial" w:eastAsia="Arial" w:hAnsi="Arial"/>
                <w:sz w:val="14"/>
                <w:szCs w:val="14"/>
                <w:color w:val="auto"/>
              </w:rPr>
              <w:t>Tucson, AZ</w:t>
            </w: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January 2003</w:t>
            </w:r>
          </w:p>
        </w:tc>
        <w:tc>
          <w:tcPr>
            <w:tcW w:w="1920" w:type="dxa"/>
            <w:vAlign w:val="bottom"/>
          </w:tcPr>
          <w:p>
            <w:pPr>
              <w:ind w:left="20"/>
              <w:spacing w:after="0"/>
              <w:rPr>
                <w:sz w:val="20"/>
                <w:szCs w:val="20"/>
                <w:color w:val="auto"/>
              </w:rPr>
            </w:pPr>
            <w:r>
              <w:rPr>
                <w:rFonts w:ascii="Arial" w:cs="Arial" w:eastAsia="Arial" w:hAnsi="Arial"/>
                <w:sz w:val="14"/>
                <w:szCs w:val="14"/>
                <w:color w:val="auto"/>
              </w:rPr>
              <w:t>City of Tucson</w:t>
            </w:r>
          </w:p>
        </w:tc>
        <w:tc>
          <w:tcPr>
            <w:tcW w:w="980" w:type="dxa"/>
            <w:vAlign w:val="bottom"/>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University of Bridgeport</w:t>
            </w:r>
          </w:p>
        </w:tc>
        <w:tc>
          <w:tcPr>
            <w:tcW w:w="14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Bridgeport, CT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April 2015</w:t>
            </w:r>
          </w:p>
        </w:tc>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University of Bridgeport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193"/>
        </w:trPr>
        <w:tc>
          <w:tcPr>
            <w:tcW w:w="3220" w:type="dxa"/>
            <w:vAlign w:val="bottom"/>
            <w:tcBorders>
              <w:bottom w:val="single" w:sz="8" w:color="CCEEFF"/>
            </w:tcBorders>
            <w:gridSpan w:val="5"/>
          </w:tcPr>
          <w:p>
            <w:pPr>
              <w:ind w:left="340"/>
              <w:spacing w:after="0" w:line="193" w:lineRule="exact"/>
              <w:rPr>
                <w:sz w:val="20"/>
                <w:szCs w:val="20"/>
                <w:color w:val="auto"/>
              </w:rPr>
            </w:pPr>
            <w:r>
              <w:rPr>
                <w:rFonts w:ascii="Arial" w:cs="Arial" w:eastAsia="Arial" w:hAnsi="Arial"/>
                <w:sz w:val="16"/>
                <w:szCs w:val="16"/>
                <w:b w:val="1"/>
                <w:bCs w:val="1"/>
                <w:i w:val="1"/>
                <w:iCs w:val="1"/>
                <w:color w:val="auto"/>
              </w:rPr>
              <w:t xml:space="preserve">Total Thermal Generation </w:t>
            </w:r>
            <w:r>
              <w:rPr>
                <w:rFonts w:ascii="Arial" w:cs="Arial" w:eastAsia="Arial" w:hAnsi="Arial"/>
                <w:sz w:val="20"/>
                <w:szCs w:val="20"/>
                <w:b w:val="1"/>
                <w:bCs w:val="1"/>
                <w:i w:val="1"/>
                <w:iCs w:val="1"/>
                <w:color w:val="auto"/>
                <w:vertAlign w:val="superscript"/>
              </w:rPr>
              <w:t>(e)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20" w:type="dxa"/>
            <w:vAlign w:val="bottom"/>
            <w:tcBorders>
              <w:bottom w:val="single" w:sz="8" w:color="CCEEFF"/>
            </w:tcBorders>
            <w:gridSpan w:val="5"/>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rPr>
              <w:t>Total Clearway Energy, Inc.</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9,093</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7,726</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40" w:hanging="133"/>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Net capacity represents the maximum, or rated, generating capacity of the facility multiplied by the Company's percentage ownership in the facility as of December 31, 2021.</w:t>
      </w:r>
    </w:p>
    <w:p>
      <w:pPr>
        <w:spacing w:after="0" w:line="45" w:lineRule="exact"/>
        <w:rPr>
          <w:rFonts w:ascii="Arial" w:cs="Arial" w:eastAsia="Arial" w:hAnsi="Arial"/>
          <w:sz w:val="9"/>
          <w:szCs w:val="9"/>
          <w:color w:val="auto"/>
        </w:rPr>
      </w:pPr>
    </w:p>
    <w:p>
      <w:pPr>
        <w:ind w:left="140" w:hanging="133"/>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 xml:space="preserve">Projects are part of tax equity arrangements, as further described in Item 15 </w:t>
      </w:r>
      <w:r>
        <w:rPr>
          <w:rFonts w:ascii="Arial" w:cs="Arial" w:eastAsia="Arial" w:hAnsi="Arial"/>
          <w:sz w:val="15"/>
          <w:szCs w:val="15"/>
          <w:color w:val="auto"/>
        </w:rPr>
        <w:t>—</w:t>
      </w:r>
      <w:r>
        <w:rPr>
          <w:rFonts w:ascii="Arial" w:cs="Arial" w:eastAsia="Arial" w:hAnsi="Arial"/>
          <w:sz w:val="13"/>
          <w:szCs w:val="13"/>
          <w:color w:val="auto"/>
        </w:rPr>
        <w:t xml:space="preserve"> Note 2, </w:t>
      </w:r>
      <w:r>
        <w:rPr>
          <w:rFonts w:ascii="Arial" w:cs="Arial" w:eastAsia="Arial" w:hAnsi="Arial"/>
          <w:sz w:val="13"/>
          <w:szCs w:val="13"/>
          <w:i w:val="1"/>
          <w:iCs w:val="1"/>
          <w:color w:val="auto"/>
        </w:rPr>
        <w:t>Summary of Significant Accounting Policies.</w:t>
      </w:r>
    </w:p>
    <w:p>
      <w:pPr>
        <w:spacing w:after="0" w:line="74" w:lineRule="exact"/>
        <w:rPr>
          <w:rFonts w:ascii="Arial" w:cs="Arial" w:eastAsia="Arial" w:hAnsi="Arial"/>
          <w:sz w:val="16"/>
          <w:szCs w:val="16"/>
          <w:color w:val="auto"/>
          <w:vertAlign w:val="superscript"/>
        </w:rPr>
      </w:pPr>
    </w:p>
    <w:p>
      <w:pPr>
        <w:ind w:left="140" w:hanging="133"/>
        <w:spacing w:after="0" w:line="206" w:lineRule="auto"/>
        <w:tabs>
          <w:tab w:leader="none" w:pos="14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Rattlesnake has a deliverable capacity of 144 MW.</w:t>
      </w:r>
    </w:p>
    <w:p>
      <w:pPr>
        <w:spacing w:after="0" w:line="18" w:lineRule="exact"/>
        <w:rPr>
          <w:rFonts w:ascii="Arial" w:cs="Arial" w:eastAsia="Arial" w:hAnsi="Arial"/>
          <w:sz w:val="17"/>
          <w:szCs w:val="17"/>
          <w:color w:val="auto"/>
          <w:vertAlign w:val="superscript"/>
        </w:rPr>
      </w:pPr>
    </w:p>
    <w:p>
      <w:pPr>
        <w:ind w:firstLine="7"/>
        <w:spacing w:after="0" w:line="249" w:lineRule="auto"/>
        <w:tabs>
          <w:tab w:leader="none" w:pos="147" w:val="left"/>
        </w:tabs>
        <w:numPr>
          <w:ilvl w:val="0"/>
          <w:numId w:val="15"/>
        </w:numPr>
        <w:rPr>
          <w:rFonts w:ascii="Arial" w:cs="Arial" w:eastAsia="Arial" w:hAnsi="Arial"/>
          <w:sz w:val="9"/>
          <w:szCs w:val="9"/>
          <w:color w:val="auto"/>
        </w:rPr>
      </w:pPr>
      <w:r>
        <w:rPr>
          <w:rFonts w:ascii="Arial" w:cs="Arial" w:eastAsia="Arial" w:hAnsi="Arial"/>
          <w:sz w:val="14"/>
          <w:szCs w:val="14"/>
          <w:color w:val="auto"/>
        </w:rPr>
        <w:t>Black Rock's rated capacity is 115 MW, of which 70 MW, representing fourteen of the twenty-three wind turbines, became operational as of December 31, 2021. The remaining 45 MW of rated capacity became operational in January 2022.</w:t>
      </w:r>
    </w:p>
    <w:p>
      <w:pPr>
        <w:spacing w:after="0" w:line="20" w:lineRule="exact"/>
        <w:rPr>
          <w:rFonts w:ascii="Arial" w:cs="Arial" w:eastAsia="Arial" w:hAnsi="Arial"/>
          <w:sz w:val="9"/>
          <w:szCs w:val="9"/>
          <w:color w:val="auto"/>
        </w:rPr>
      </w:pPr>
    </w:p>
    <w:p>
      <w:pPr>
        <w:ind w:left="140" w:hanging="133"/>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 xml:space="preserve">Includes thermal assets held for sale as of December 31, 2021, as further described in Item 15 </w:t>
      </w:r>
      <w:r>
        <w:rPr>
          <w:rFonts w:ascii="Arial" w:cs="Arial" w:eastAsia="Arial" w:hAnsi="Arial"/>
          <w:sz w:val="15"/>
          <w:szCs w:val="15"/>
          <w:color w:val="auto"/>
        </w:rPr>
        <w:t>—</w:t>
      </w:r>
      <w:r>
        <w:rPr>
          <w:rFonts w:ascii="Arial" w:cs="Arial" w:eastAsia="Arial" w:hAnsi="Arial"/>
          <w:sz w:val="13"/>
          <w:szCs w:val="13"/>
          <w:color w:val="auto"/>
        </w:rPr>
        <w:t xml:space="preserve"> Note 3</w:t>
      </w:r>
      <w:r>
        <w:rPr>
          <w:rFonts w:ascii="Arial" w:cs="Arial" w:eastAsia="Arial" w:hAnsi="Arial"/>
          <w:sz w:val="15"/>
          <w:szCs w:val="15"/>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Acquisitions and Dispositions</w:t>
      </w:r>
      <w:r>
        <w:rPr>
          <w:rFonts w:ascii="Arial" w:cs="Arial" w:eastAsia="Arial" w:hAnsi="Arial"/>
          <w:sz w:val="13"/>
          <w:szCs w:val="13"/>
          <w:color w:val="auto"/>
        </w:rPr>
        <w:t>.</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Company's thermal steam and chilled water facilities as of December 31,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Rated Megawatt</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Net Megawatt</w:t>
            </w: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Thermal Energy Customers</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9"/>
              </w:rPr>
              <w:t>Thermal</w:t>
            </w: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Thermal</w:t>
            </w:r>
          </w:p>
        </w:tc>
        <w:tc>
          <w:tcPr>
            <w:tcW w:w="100" w:type="dxa"/>
            <w:vAlign w:val="bottom"/>
          </w:tcPr>
          <w:p>
            <w:pPr>
              <w:spacing w:after="0"/>
              <w:rPr>
                <w:sz w:val="11"/>
                <w:szCs w:val="11"/>
                <w:color w:val="auto"/>
              </w:rPr>
            </w:pPr>
          </w:p>
        </w:tc>
        <w:tc>
          <w:tcPr>
            <w:tcW w:w="232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Generating</w:t>
            </w:r>
          </w:p>
        </w:tc>
        <w:tc>
          <w:tcPr>
            <w:tcW w:w="0" w:type="dxa"/>
            <w:vAlign w:val="bottom"/>
          </w:tcPr>
          <w:p>
            <w:pPr>
              <w:spacing w:after="0"/>
              <w:rPr>
                <w:sz w:val="1"/>
                <w:szCs w:val="1"/>
                <w:color w:val="auto"/>
              </w:rPr>
            </w:pPr>
          </w:p>
        </w:tc>
      </w:tr>
      <w:tr>
        <w:trPr>
          <w:trHeight w:val="133"/>
        </w:trPr>
        <w:tc>
          <w:tcPr>
            <w:tcW w:w="28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Name and Location of Facility</w:t>
            </w:r>
          </w:p>
        </w:tc>
        <w:tc>
          <w:tcPr>
            <w:tcW w:w="2620" w:type="dxa"/>
            <w:vAlign w:val="bottom"/>
            <w:gridSpan w:val="2"/>
            <w:vMerge w:val="continue"/>
          </w:tcPr>
          <w:p>
            <w:pPr>
              <w:spacing w:after="0"/>
              <w:rPr>
                <w:sz w:val="11"/>
                <w:szCs w:val="11"/>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Owned</w:t>
            </w: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Equivalent</w:t>
            </w: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Equivalent</w:t>
            </w:r>
          </w:p>
        </w:tc>
        <w:tc>
          <w:tcPr>
            <w:tcW w:w="100" w:type="dxa"/>
            <w:vAlign w:val="bottom"/>
          </w:tcPr>
          <w:p>
            <w:pPr>
              <w:spacing w:after="0"/>
              <w:rPr>
                <w:sz w:val="11"/>
                <w:szCs w:val="11"/>
                <w:color w:val="auto"/>
              </w:rPr>
            </w:pPr>
          </w:p>
        </w:tc>
        <w:tc>
          <w:tcPr>
            <w:tcW w:w="2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820" w:type="dxa"/>
            <w:vAlign w:val="bottom"/>
            <w:gridSpan w:val="3"/>
            <w:vMerge w:val="continue"/>
          </w:tcPr>
          <w:p>
            <w:pPr>
              <w:spacing w:after="0"/>
              <w:rPr>
                <w:sz w:val="16"/>
                <w:szCs w:val="16"/>
                <w:color w:val="auto"/>
              </w:rPr>
            </w:pPr>
          </w:p>
        </w:tc>
        <w:tc>
          <w:tcPr>
            <w:tcW w:w="2620" w:type="dxa"/>
            <w:vAlign w:val="bottom"/>
            <w:gridSpan w:val="2"/>
          </w:tcPr>
          <w:p>
            <w:pPr>
              <w:ind w:left="620"/>
              <w:spacing w:after="0"/>
              <w:rPr>
                <w:sz w:val="20"/>
                <w:szCs w:val="20"/>
                <w:color w:val="auto"/>
              </w:rPr>
            </w:pPr>
            <w:r>
              <w:rPr>
                <w:rFonts w:ascii="Arial" w:cs="Arial" w:eastAsia="Arial" w:hAnsi="Arial"/>
                <w:sz w:val="14"/>
                <w:szCs w:val="14"/>
                <w:b w:val="1"/>
                <w:bCs w:val="1"/>
                <w:color w:val="auto"/>
              </w:rPr>
              <w:t>(steam/chilled water)</w:t>
            </w:r>
          </w:p>
        </w:tc>
        <w:tc>
          <w:tcPr>
            <w:tcW w:w="980" w:type="dxa"/>
            <w:vAlign w:val="bottom"/>
            <w:gridSpan w:val="2"/>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Capacity (MWt)</w:t>
            </w:r>
          </w:p>
        </w:tc>
        <w:tc>
          <w:tcPr>
            <w:tcW w:w="1200" w:type="dxa"/>
            <w:vAlign w:val="bottom"/>
          </w:tcPr>
          <w:p>
            <w:pPr>
              <w:jc w:val="center"/>
              <w:spacing w:after="0" w:line="187" w:lineRule="exact"/>
              <w:rPr>
                <w:sz w:val="20"/>
                <w:szCs w:val="20"/>
                <w:color w:val="auto"/>
              </w:rPr>
            </w:pPr>
            <w:r>
              <w:rPr>
                <w:rFonts w:ascii="Arial" w:cs="Arial" w:eastAsia="Arial" w:hAnsi="Arial"/>
                <w:sz w:val="14"/>
                <w:szCs w:val="14"/>
                <w:b w:val="1"/>
                <w:bCs w:val="1"/>
                <w:color w:val="auto"/>
                <w:w w:val="95"/>
              </w:rPr>
              <w:t xml:space="preserve">Capacity (MWt) </w:t>
            </w:r>
            <w:r>
              <w:rPr>
                <w:rFonts w:ascii="Arial" w:cs="Arial" w:eastAsia="Arial" w:hAnsi="Arial"/>
                <w:sz w:val="18"/>
                <w:szCs w:val="18"/>
                <w:b w:val="1"/>
                <w:bCs w:val="1"/>
                <w:color w:val="auto"/>
                <w:w w:val="95"/>
                <w:vertAlign w:val="superscript"/>
              </w:rPr>
              <w:t>(a)</w:t>
            </w:r>
          </w:p>
        </w:tc>
        <w:tc>
          <w:tcPr>
            <w:tcW w:w="100" w:type="dxa"/>
            <w:vAlign w:val="bottom"/>
          </w:tcPr>
          <w:p>
            <w:pPr>
              <w:spacing w:after="0"/>
              <w:rPr>
                <w:sz w:val="16"/>
                <w:szCs w:val="16"/>
                <w:color w:val="auto"/>
              </w:rPr>
            </w:pPr>
          </w:p>
        </w:tc>
        <w:tc>
          <w:tcPr>
            <w:tcW w:w="2320" w:type="dxa"/>
            <w:vAlign w:val="bottom"/>
          </w:tcPr>
          <w:p>
            <w:pPr>
              <w:ind w:left="880"/>
              <w:spacing w:after="0"/>
              <w:rPr>
                <w:sz w:val="20"/>
                <w:szCs w:val="20"/>
                <w:color w:val="auto"/>
              </w:rPr>
            </w:pPr>
            <w:r>
              <w:rPr>
                <w:rFonts w:ascii="Arial" w:cs="Arial" w:eastAsia="Arial" w:hAnsi="Arial"/>
                <w:sz w:val="14"/>
                <w:szCs w:val="14"/>
                <w:b w:val="1"/>
                <w:bCs w:val="1"/>
                <w:color w:val="auto"/>
              </w:rPr>
              <w:t>Capacity</w:t>
            </w:r>
          </w:p>
        </w:tc>
        <w:tc>
          <w:tcPr>
            <w:tcW w:w="0" w:type="dxa"/>
            <w:vAlign w:val="bottom"/>
          </w:tcPr>
          <w:p>
            <w:pPr>
              <w:spacing w:after="0"/>
              <w:rPr>
                <w:sz w:val="1"/>
                <w:szCs w:val="1"/>
                <w:color w:val="auto"/>
              </w:rPr>
            </w:pPr>
          </w:p>
        </w:tc>
      </w:tr>
      <w:tr>
        <w:trPr>
          <w:trHeight w:val="177"/>
        </w:trPr>
        <w:tc>
          <w:tcPr>
            <w:tcW w:w="27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Energy Center Minneapolis, MN</w:t>
            </w:r>
          </w:p>
        </w:tc>
        <w:tc>
          <w:tcPr>
            <w:tcW w:w="100" w:type="dxa"/>
            <w:vAlign w:val="bottom"/>
          </w:tcPr>
          <w:p>
            <w:pPr>
              <w:spacing w:after="0"/>
              <w:rPr>
                <w:sz w:val="15"/>
                <w:szCs w:val="15"/>
                <w:color w:val="auto"/>
              </w:rPr>
            </w:pPr>
          </w:p>
        </w:tc>
        <w:tc>
          <w:tcPr>
            <w:tcW w:w="25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100 steam</w:t>
            </w:r>
          </w:p>
        </w:tc>
        <w:tc>
          <w:tcPr>
            <w:tcW w:w="10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5"/>
                <w:szCs w:val="15"/>
                <w:color w:val="auto"/>
              </w:rPr>
            </w:pPr>
          </w:p>
        </w:tc>
        <w:tc>
          <w:tcPr>
            <w:tcW w:w="2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Steam: 1,075 MMBtu/hr.</w:t>
            </w:r>
          </w:p>
        </w:tc>
        <w:tc>
          <w:tcPr>
            <w:tcW w:w="0" w:type="dxa"/>
            <w:vAlign w:val="bottom"/>
          </w:tcPr>
          <w:p>
            <w:pPr>
              <w:spacing w:after="0"/>
              <w:rPr>
                <w:sz w:val="1"/>
                <w:szCs w:val="1"/>
                <w:color w:val="auto"/>
              </w:rPr>
            </w:pPr>
          </w:p>
        </w:tc>
      </w:tr>
      <w:tr>
        <w:trPr>
          <w:trHeight w:val="190"/>
        </w:trPr>
        <w:tc>
          <w:tcPr>
            <w:tcW w:w="2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55 chilled water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Chilled water: 38,700 tons</w:t>
            </w:r>
          </w:p>
        </w:tc>
        <w:tc>
          <w:tcPr>
            <w:tcW w:w="0" w:type="dxa"/>
            <w:vAlign w:val="bottom"/>
          </w:tcPr>
          <w:p>
            <w:pPr>
              <w:spacing w:after="0"/>
              <w:rPr>
                <w:sz w:val="1"/>
                <w:szCs w:val="1"/>
                <w:color w:val="auto"/>
              </w:rPr>
            </w:pPr>
          </w:p>
        </w:tc>
      </w:tr>
      <w:tr>
        <w:trPr>
          <w:trHeight w:val="184"/>
        </w:trPr>
        <w:tc>
          <w:tcPr>
            <w:tcW w:w="2820" w:type="dxa"/>
            <w:vAlign w:val="bottom"/>
            <w:gridSpan w:val="3"/>
          </w:tcPr>
          <w:p>
            <w:pPr>
              <w:ind w:left="20"/>
              <w:spacing w:after="0"/>
              <w:rPr>
                <w:sz w:val="20"/>
                <w:szCs w:val="20"/>
                <w:color w:val="auto"/>
              </w:rPr>
            </w:pPr>
            <w:r>
              <w:rPr>
                <w:rFonts w:ascii="Arial" w:cs="Arial" w:eastAsia="Arial" w:hAnsi="Arial"/>
                <w:sz w:val="14"/>
                <w:szCs w:val="14"/>
                <w:color w:val="auto"/>
              </w:rPr>
              <w:t>ECP Uptown Campus, PA</w:t>
            </w: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Duquesne University</w:t>
            </w:r>
          </w:p>
        </w:tc>
        <w:tc>
          <w:tcPr>
            <w:tcW w:w="8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2320" w:type="dxa"/>
            <w:vAlign w:val="bottom"/>
          </w:tcPr>
          <w:p>
            <w:pPr>
              <w:ind w:left="20"/>
              <w:spacing w:after="0"/>
              <w:rPr>
                <w:sz w:val="20"/>
                <w:szCs w:val="20"/>
                <w:color w:val="auto"/>
              </w:rPr>
            </w:pPr>
            <w:r>
              <w:rPr>
                <w:rFonts w:ascii="Arial" w:cs="Arial" w:eastAsia="Arial" w:hAnsi="Arial"/>
                <w:sz w:val="14"/>
                <w:szCs w:val="14"/>
                <w:color w:val="auto"/>
              </w:rPr>
              <w:t>Steam: 181 MMBtu/hr.</w:t>
            </w:r>
          </w:p>
        </w:tc>
        <w:tc>
          <w:tcPr>
            <w:tcW w:w="0" w:type="dxa"/>
            <w:vAlign w:val="bottom"/>
          </w:tcPr>
          <w:p>
            <w:pPr>
              <w:spacing w:after="0"/>
              <w:rPr>
                <w:sz w:val="1"/>
                <w:szCs w:val="1"/>
                <w:color w:val="auto"/>
              </w:rPr>
            </w:pPr>
          </w:p>
        </w:tc>
      </w:tr>
      <w:tr>
        <w:trPr>
          <w:trHeight w:val="190"/>
        </w:trPr>
        <w:tc>
          <w:tcPr>
            <w:tcW w:w="2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Duquesne University</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Chilled water: 5,790 tons</w:t>
            </w:r>
          </w:p>
        </w:tc>
        <w:tc>
          <w:tcPr>
            <w:tcW w:w="0" w:type="dxa"/>
            <w:vAlign w:val="bottom"/>
          </w:tcPr>
          <w:p>
            <w:pPr>
              <w:spacing w:after="0"/>
              <w:rPr>
                <w:sz w:val="1"/>
                <w:szCs w:val="1"/>
                <w:color w:val="auto"/>
              </w:rPr>
            </w:pPr>
          </w:p>
        </w:tc>
      </w:tr>
      <w:tr>
        <w:trPr>
          <w:trHeight w:val="184"/>
        </w:trPr>
        <w:tc>
          <w:tcPr>
            <w:tcW w:w="2820" w:type="dxa"/>
            <w:vAlign w:val="bottom"/>
            <w:gridSpan w:val="3"/>
          </w:tcPr>
          <w:p>
            <w:pPr>
              <w:ind w:left="20"/>
              <w:spacing w:after="0"/>
              <w:rPr>
                <w:sz w:val="20"/>
                <w:szCs w:val="20"/>
                <w:color w:val="auto"/>
              </w:rPr>
            </w:pPr>
            <w:r>
              <w:rPr>
                <w:rFonts w:ascii="Arial" w:cs="Arial" w:eastAsia="Arial" w:hAnsi="Arial"/>
                <w:sz w:val="14"/>
                <w:szCs w:val="14"/>
                <w:color w:val="auto"/>
              </w:rPr>
              <w:t>Energy Center San Francisco, CA</w:t>
            </w: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180 steam</w:t>
            </w:r>
          </w:p>
        </w:tc>
        <w:tc>
          <w:tcPr>
            <w:tcW w:w="8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5"/>
                <w:szCs w:val="15"/>
                <w:color w:val="auto"/>
              </w:rPr>
            </w:pPr>
          </w:p>
        </w:tc>
        <w:tc>
          <w:tcPr>
            <w:tcW w:w="2320" w:type="dxa"/>
            <w:vAlign w:val="bottom"/>
          </w:tcPr>
          <w:p>
            <w:pPr>
              <w:ind w:left="20"/>
              <w:spacing w:after="0"/>
              <w:rPr>
                <w:sz w:val="20"/>
                <w:szCs w:val="20"/>
                <w:color w:val="auto"/>
              </w:rPr>
            </w:pPr>
            <w:r>
              <w:rPr>
                <w:rFonts w:ascii="Arial" w:cs="Arial" w:eastAsia="Arial" w:hAnsi="Arial"/>
                <w:sz w:val="14"/>
                <w:szCs w:val="14"/>
                <w:color w:val="auto"/>
              </w:rPr>
              <w:t>Steam: 454 MMBtu/hr.</w:t>
            </w:r>
          </w:p>
        </w:tc>
        <w:tc>
          <w:tcPr>
            <w:tcW w:w="0" w:type="dxa"/>
            <w:vAlign w:val="bottom"/>
          </w:tcPr>
          <w:p>
            <w:pPr>
              <w:spacing w:after="0"/>
              <w:rPr>
                <w:sz w:val="1"/>
                <w:szCs w:val="1"/>
                <w:color w:val="auto"/>
              </w:rPr>
            </w:pPr>
          </w:p>
        </w:tc>
      </w:tr>
      <w:tr>
        <w:trPr>
          <w:trHeight w:val="19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Energy Center Omaha, NE</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60 steam</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Steam: 675 MMBtu/hr.</w:t>
            </w:r>
          </w:p>
        </w:tc>
        <w:tc>
          <w:tcPr>
            <w:tcW w:w="0" w:type="dxa"/>
            <w:vAlign w:val="bottom"/>
          </w:tcPr>
          <w:p>
            <w:pPr>
              <w:spacing w:after="0"/>
              <w:rPr>
                <w:sz w:val="1"/>
                <w:szCs w:val="1"/>
                <w:color w:val="auto"/>
              </w:rPr>
            </w:pPr>
          </w:p>
        </w:tc>
      </w:tr>
      <w:tr>
        <w:trPr>
          <w:trHeight w:val="184"/>
        </w:trPr>
        <w:tc>
          <w:tcPr>
            <w:tcW w:w="2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65 chilled water</w:t>
            </w:r>
          </w:p>
        </w:tc>
        <w:tc>
          <w:tcPr>
            <w:tcW w:w="8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2320" w:type="dxa"/>
            <w:vAlign w:val="bottom"/>
          </w:tcPr>
          <w:p>
            <w:pPr>
              <w:ind w:left="20"/>
              <w:spacing w:after="0"/>
              <w:rPr>
                <w:sz w:val="20"/>
                <w:szCs w:val="20"/>
                <w:color w:val="auto"/>
              </w:rPr>
            </w:pPr>
            <w:r>
              <w:rPr>
                <w:rFonts w:ascii="Arial" w:cs="Arial" w:eastAsia="Arial" w:hAnsi="Arial"/>
                <w:sz w:val="14"/>
                <w:szCs w:val="14"/>
                <w:color w:val="auto"/>
              </w:rPr>
              <w:t>Chilled water: 28,000 tons</w:t>
            </w:r>
          </w:p>
        </w:tc>
        <w:tc>
          <w:tcPr>
            <w:tcW w:w="0" w:type="dxa"/>
            <w:vAlign w:val="bottom"/>
          </w:tcPr>
          <w:p>
            <w:pPr>
              <w:spacing w:after="0"/>
              <w:rPr>
                <w:sz w:val="1"/>
                <w:szCs w:val="1"/>
                <w:color w:val="auto"/>
              </w:rPr>
            </w:pPr>
          </w:p>
        </w:tc>
      </w:tr>
      <w:tr>
        <w:trPr>
          <w:trHeight w:val="19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Energy Center Harrisburg, PA</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115 steam</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Steam: 370 MMBtu/hr.</w:t>
            </w:r>
          </w:p>
        </w:tc>
        <w:tc>
          <w:tcPr>
            <w:tcW w:w="0" w:type="dxa"/>
            <w:vAlign w:val="bottom"/>
          </w:tcPr>
          <w:p>
            <w:pPr>
              <w:spacing w:after="0"/>
              <w:rPr>
                <w:sz w:val="1"/>
                <w:szCs w:val="1"/>
                <w:color w:val="auto"/>
              </w:rPr>
            </w:pPr>
          </w:p>
        </w:tc>
      </w:tr>
      <w:tr>
        <w:trPr>
          <w:trHeight w:val="184"/>
        </w:trPr>
        <w:tc>
          <w:tcPr>
            <w:tcW w:w="2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5 chilled water</w:t>
            </w:r>
          </w:p>
        </w:tc>
        <w:tc>
          <w:tcPr>
            <w:tcW w:w="8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2320" w:type="dxa"/>
            <w:vAlign w:val="bottom"/>
          </w:tcPr>
          <w:p>
            <w:pPr>
              <w:ind w:left="20"/>
              <w:spacing w:after="0"/>
              <w:rPr>
                <w:sz w:val="20"/>
                <w:szCs w:val="20"/>
                <w:color w:val="auto"/>
              </w:rPr>
            </w:pPr>
            <w:r>
              <w:rPr>
                <w:rFonts w:ascii="Arial" w:cs="Arial" w:eastAsia="Arial" w:hAnsi="Arial"/>
                <w:sz w:val="14"/>
                <w:szCs w:val="14"/>
                <w:color w:val="auto"/>
              </w:rPr>
              <w:t>Chilled water: 3,900 tons</w:t>
            </w:r>
          </w:p>
        </w:tc>
        <w:tc>
          <w:tcPr>
            <w:tcW w:w="0" w:type="dxa"/>
            <w:vAlign w:val="bottom"/>
          </w:tcPr>
          <w:p>
            <w:pPr>
              <w:spacing w:after="0"/>
              <w:rPr>
                <w:sz w:val="1"/>
                <w:szCs w:val="1"/>
                <w:color w:val="auto"/>
              </w:rPr>
            </w:pPr>
          </w:p>
        </w:tc>
      </w:tr>
      <w:tr>
        <w:trPr>
          <w:trHeight w:val="19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Energy Center Phoenix, AZ</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40 chilled water</w:t>
            </w:r>
          </w:p>
        </w:tc>
        <w:tc>
          <w:tcPr>
            <w:tcW w:w="980" w:type="dxa"/>
            <w:vAlign w:val="bottom"/>
            <w:gridSpan w:val="2"/>
            <w:shd w:val="clear" w:color="auto" w:fill="CCEEFF"/>
          </w:tcPr>
          <w:p>
            <w:pPr>
              <w:ind w:left="420"/>
              <w:spacing w:after="0" w:line="190" w:lineRule="exact"/>
              <w:rPr>
                <w:sz w:val="20"/>
                <w:szCs w:val="20"/>
                <w:color w:val="auto"/>
              </w:rPr>
            </w:pPr>
            <w:r>
              <w:rPr>
                <w:rFonts w:ascii="Arial" w:cs="Arial" w:eastAsia="Arial" w:hAnsi="Arial"/>
                <w:sz w:val="21"/>
                <w:szCs w:val="21"/>
                <w:color w:val="auto"/>
                <w:vertAlign w:val="subscript"/>
              </w:rPr>
              <w:t>73 %</w:t>
            </w:r>
            <w:r>
              <w:rPr>
                <w:rFonts w:ascii="Arial" w:cs="Arial" w:eastAsia="Arial" w:hAnsi="Arial"/>
                <w:sz w:val="8"/>
                <w:szCs w:val="8"/>
                <w:color w:val="auto"/>
              </w:rPr>
              <w:t xml:space="preserve"> (b)</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Chilled water 41,020 tons</w:t>
            </w:r>
          </w:p>
        </w:tc>
        <w:tc>
          <w:tcPr>
            <w:tcW w:w="0" w:type="dxa"/>
            <w:vAlign w:val="bottom"/>
          </w:tcPr>
          <w:p>
            <w:pPr>
              <w:spacing w:after="0"/>
              <w:rPr>
                <w:sz w:val="1"/>
                <w:szCs w:val="1"/>
                <w:color w:val="auto"/>
              </w:rPr>
            </w:pPr>
          </w:p>
        </w:tc>
      </w:tr>
      <w:tr>
        <w:trPr>
          <w:trHeight w:val="184"/>
        </w:trPr>
        <w:tc>
          <w:tcPr>
            <w:tcW w:w="2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320" w:type="dxa"/>
            <w:vAlign w:val="bottom"/>
          </w:tcPr>
          <w:p>
            <w:pPr>
              <w:ind w:left="20"/>
              <w:spacing w:after="0"/>
              <w:rPr>
                <w:sz w:val="20"/>
                <w:szCs w:val="20"/>
                <w:color w:val="auto"/>
              </w:rPr>
            </w:pPr>
            <w:r>
              <w:rPr>
                <w:rFonts w:ascii="Arial" w:cs="Arial" w:eastAsia="Arial" w:hAnsi="Arial"/>
                <w:sz w:val="14"/>
                <w:szCs w:val="14"/>
                <w:color w:val="auto"/>
              </w:rPr>
              <w:t>Steam: 17 MMBtu/hr.</w:t>
            </w:r>
          </w:p>
        </w:tc>
        <w:tc>
          <w:tcPr>
            <w:tcW w:w="0" w:type="dxa"/>
            <w:vAlign w:val="bottom"/>
          </w:tcPr>
          <w:p>
            <w:pPr>
              <w:spacing w:after="0"/>
              <w:rPr>
                <w:sz w:val="1"/>
                <w:szCs w:val="1"/>
                <w:color w:val="auto"/>
              </w:rPr>
            </w:pPr>
          </w:p>
        </w:tc>
      </w:tr>
      <w:tr>
        <w:trPr>
          <w:trHeight w:val="19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Energy Center Pittsburgh, PA</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steam</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Steam: 452 MMBtu/hr.</w:t>
            </w:r>
          </w:p>
        </w:tc>
        <w:tc>
          <w:tcPr>
            <w:tcW w:w="0" w:type="dxa"/>
            <w:vAlign w:val="bottom"/>
          </w:tcPr>
          <w:p>
            <w:pPr>
              <w:spacing w:after="0"/>
              <w:rPr>
                <w:sz w:val="1"/>
                <w:szCs w:val="1"/>
                <w:color w:val="auto"/>
              </w:rPr>
            </w:pPr>
          </w:p>
        </w:tc>
      </w:tr>
      <w:tr>
        <w:trPr>
          <w:trHeight w:val="184"/>
        </w:trPr>
        <w:tc>
          <w:tcPr>
            <w:tcW w:w="2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30 chilled water</w:t>
            </w:r>
          </w:p>
        </w:tc>
        <w:tc>
          <w:tcPr>
            <w:tcW w:w="8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2320" w:type="dxa"/>
            <w:vAlign w:val="bottom"/>
          </w:tcPr>
          <w:p>
            <w:pPr>
              <w:ind w:left="20"/>
              <w:spacing w:after="0"/>
              <w:rPr>
                <w:sz w:val="20"/>
                <w:szCs w:val="20"/>
                <w:color w:val="auto"/>
              </w:rPr>
            </w:pPr>
            <w:r>
              <w:rPr>
                <w:rFonts w:ascii="Arial" w:cs="Arial" w:eastAsia="Arial" w:hAnsi="Arial"/>
                <w:sz w:val="14"/>
                <w:szCs w:val="14"/>
                <w:color w:val="auto"/>
              </w:rPr>
              <w:t>Chilled water: 22,224 tons</w:t>
            </w:r>
          </w:p>
        </w:tc>
        <w:tc>
          <w:tcPr>
            <w:tcW w:w="0" w:type="dxa"/>
            <w:vAlign w:val="bottom"/>
          </w:tcPr>
          <w:p>
            <w:pPr>
              <w:spacing w:after="0"/>
              <w:rPr>
                <w:sz w:val="1"/>
                <w:szCs w:val="1"/>
                <w:color w:val="auto"/>
              </w:rPr>
            </w:pPr>
          </w:p>
        </w:tc>
      </w:tr>
      <w:tr>
        <w:trPr>
          <w:trHeight w:val="190"/>
        </w:trPr>
        <w:tc>
          <w:tcPr>
            <w:tcW w:w="28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Energy Center San Diego, CA</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 chilled water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Chilled water: 9,295 tons</w:t>
            </w:r>
          </w:p>
        </w:tc>
        <w:tc>
          <w:tcPr>
            <w:tcW w:w="0" w:type="dxa"/>
            <w:vAlign w:val="bottom"/>
          </w:tcPr>
          <w:p>
            <w:pPr>
              <w:spacing w:after="0"/>
              <w:rPr>
                <w:sz w:val="1"/>
                <w:szCs w:val="1"/>
                <w:color w:val="auto"/>
              </w:rPr>
            </w:pPr>
          </w:p>
        </w:tc>
      </w:tr>
      <w:tr>
        <w:trPr>
          <w:trHeight w:val="184"/>
        </w:trPr>
        <w:tc>
          <w:tcPr>
            <w:tcW w:w="2820" w:type="dxa"/>
            <w:vAlign w:val="bottom"/>
            <w:gridSpan w:val="3"/>
          </w:tcPr>
          <w:p>
            <w:pPr>
              <w:ind w:left="20"/>
              <w:spacing w:after="0"/>
              <w:rPr>
                <w:sz w:val="20"/>
                <w:szCs w:val="20"/>
                <w:color w:val="auto"/>
              </w:rPr>
            </w:pPr>
            <w:r>
              <w:rPr>
                <w:rFonts w:ascii="Arial" w:cs="Arial" w:eastAsia="Arial" w:hAnsi="Arial"/>
                <w:sz w:val="14"/>
                <w:szCs w:val="14"/>
                <w:color w:val="auto"/>
              </w:rPr>
              <w:t>Energy Center Princeton, NJ</w:t>
            </w: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Princeton HealthCare System</w:t>
            </w:r>
          </w:p>
        </w:tc>
        <w:tc>
          <w:tcPr>
            <w:tcW w:w="8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2320" w:type="dxa"/>
            <w:vAlign w:val="bottom"/>
          </w:tcPr>
          <w:p>
            <w:pPr>
              <w:ind w:left="20"/>
              <w:spacing w:after="0"/>
              <w:rPr>
                <w:sz w:val="20"/>
                <w:szCs w:val="20"/>
                <w:color w:val="auto"/>
              </w:rPr>
            </w:pPr>
            <w:r>
              <w:rPr>
                <w:rFonts w:ascii="Arial" w:cs="Arial" w:eastAsia="Arial" w:hAnsi="Arial"/>
                <w:sz w:val="14"/>
                <w:szCs w:val="14"/>
                <w:color w:val="auto"/>
              </w:rPr>
              <w:t>Steam: 72 MMBtu/hr.</w:t>
            </w:r>
          </w:p>
        </w:tc>
        <w:tc>
          <w:tcPr>
            <w:tcW w:w="0" w:type="dxa"/>
            <w:vAlign w:val="bottom"/>
          </w:tcPr>
          <w:p>
            <w:pPr>
              <w:spacing w:after="0"/>
              <w:rPr>
                <w:sz w:val="1"/>
                <w:szCs w:val="1"/>
                <w:color w:val="auto"/>
              </w:rPr>
            </w:pPr>
          </w:p>
        </w:tc>
      </w:tr>
      <w:tr>
        <w:trPr>
          <w:trHeight w:val="190"/>
        </w:trPr>
        <w:tc>
          <w:tcPr>
            <w:tcW w:w="2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Princeton HealthCare System</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Chilled water: 4,700 tons</w:t>
            </w:r>
          </w:p>
        </w:tc>
        <w:tc>
          <w:tcPr>
            <w:tcW w:w="0" w:type="dxa"/>
            <w:vAlign w:val="bottom"/>
          </w:tcPr>
          <w:p>
            <w:pPr>
              <w:spacing w:after="0"/>
              <w:rPr>
                <w:sz w:val="1"/>
                <w:szCs w:val="1"/>
                <w:color w:val="auto"/>
              </w:rPr>
            </w:pPr>
          </w:p>
        </w:tc>
      </w:tr>
      <w:tr>
        <w:trPr>
          <w:trHeight w:val="184"/>
        </w:trPr>
        <w:tc>
          <w:tcPr>
            <w:tcW w:w="2820" w:type="dxa"/>
            <w:vAlign w:val="bottom"/>
            <w:gridSpan w:val="3"/>
          </w:tcPr>
          <w:p>
            <w:pPr>
              <w:ind w:left="20"/>
              <w:spacing w:after="0"/>
              <w:rPr>
                <w:sz w:val="20"/>
                <w:szCs w:val="20"/>
                <w:color w:val="auto"/>
              </w:rPr>
            </w:pPr>
            <w:r>
              <w:rPr>
                <w:rFonts w:ascii="Arial" w:cs="Arial" w:eastAsia="Arial" w:hAnsi="Arial"/>
                <w:sz w:val="14"/>
                <w:szCs w:val="14"/>
                <w:color w:val="auto"/>
              </w:rPr>
              <w:t>Energy Center Caguas, PR</w:t>
            </w: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Viatris Pharmaceuticals</w:t>
            </w:r>
          </w:p>
        </w:tc>
        <w:tc>
          <w:tcPr>
            <w:tcW w:w="8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320" w:type="dxa"/>
            <w:vAlign w:val="bottom"/>
          </w:tcPr>
          <w:p>
            <w:pPr>
              <w:ind w:left="20"/>
              <w:spacing w:after="0"/>
              <w:rPr>
                <w:sz w:val="20"/>
                <w:szCs w:val="20"/>
                <w:color w:val="auto"/>
              </w:rPr>
            </w:pPr>
            <w:r>
              <w:rPr>
                <w:rFonts w:ascii="Arial" w:cs="Arial" w:eastAsia="Arial" w:hAnsi="Arial"/>
                <w:sz w:val="14"/>
                <w:szCs w:val="14"/>
                <w:color w:val="auto"/>
              </w:rPr>
              <w:t>Steam: 4 MMBtu/hr.</w:t>
            </w:r>
          </w:p>
        </w:tc>
        <w:tc>
          <w:tcPr>
            <w:tcW w:w="0" w:type="dxa"/>
            <w:vAlign w:val="bottom"/>
          </w:tcPr>
          <w:p>
            <w:pPr>
              <w:spacing w:after="0"/>
              <w:rPr>
                <w:sz w:val="1"/>
                <w:szCs w:val="1"/>
                <w:color w:val="auto"/>
              </w:rPr>
            </w:pPr>
          </w:p>
        </w:tc>
      </w:tr>
      <w:tr>
        <w:trPr>
          <w:trHeight w:val="187"/>
        </w:trPr>
        <w:tc>
          <w:tcPr>
            <w:tcW w:w="2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Viatris Pharmaceuticals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Chilled water: 800 tons</w:t>
            </w:r>
          </w:p>
        </w:tc>
        <w:tc>
          <w:tcPr>
            <w:tcW w:w="0" w:type="dxa"/>
            <w:vAlign w:val="bottom"/>
          </w:tcPr>
          <w:p>
            <w:pPr>
              <w:spacing w:after="0"/>
              <w:rPr>
                <w:sz w:val="1"/>
                <w:szCs w:val="1"/>
                <w:color w:val="auto"/>
              </w:rPr>
            </w:pPr>
          </w:p>
        </w:tc>
      </w:tr>
      <w:tr>
        <w:trPr>
          <w:trHeight w:val="183"/>
        </w:trPr>
        <w:tc>
          <w:tcPr>
            <w:tcW w:w="2820" w:type="dxa"/>
            <w:vAlign w:val="bottom"/>
            <w:gridSpan w:val="3"/>
          </w:tcPr>
          <w:p>
            <w:pPr>
              <w:ind w:left="1120"/>
              <w:spacing w:after="0" w:line="183" w:lineRule="exact"/>
              <w:rPr>
                <w:sz w:val="20"/>
                <w:szCs w:val="20"/>
                <w:color w:val="auto"/>
              </w:rPr>
            </w:pPr>
            <w:r>
              <w:rPr>
                <w:rFonts w:ascii="Arial" w:cs="Arial" w:eastAsia="Arial" w:hAnsi="Arial"/>
                <w:sz w:val="14"/>
                <w:szCs w:val="14"/>
                <w:color w:val="auto"/>
                <w:w w:val="96"/>
              </w:rPr>
              <w:t xml:space="preserve">Total generating capacity </w:t>
            </w:r>
            <w:r>
              <w:rPr>
                <w:rFonts w:ascii="Arial" w:cs="Arial" w:eastAsia="Arial" w:hAnsi="Arial"/>
                <w:sz w:val="18"/>
                <w:szCs w:val="18"/>
                <w:color w:val="auto"/>
                <w:w w:val="96"/>
                <w:vertAlign w:val="superscript"/>
              </w:rPr>
              <w:t>(c)</w:t>
            </w: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1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firstLine="7"/>
        <w:spacing w:after="0" w:line="236" w:lineRule="auto"/>
        <w:tabs>
          <w:tab w:leader="none" w:pos="152"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Net megawatt thermal equivalent capacity represents the maximum, or rated, generating capacity of the facility multiplied by the Company's percentage ownership in the facility as of December 31, 2021.</w:t>
      </w:r>
    </w:p>
    <w:p>
      <w:pPr>
        <w:spacing w:after="0" w:line="17" w:lineRule="exact"/>
        <w:rPr>
          <w:rFonts w:ascii="Arial" w:cs="Arial" w:eastAsia="Arial" w:hAnsi="Arial"/>
          <w:sz w:val="17"/>
          <w:szCs w:val="17"/>
          <w:color w:val="auto"/>
          <w:vertAlign w:val="superscript"/>
        </w:rPr>
      </w:pPr>
    </w:p>
    <w:p>
      <w:pPr>
        <w:ind w:left="140" w:hanging="133"/>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Net MWt capacity excludes 44 MWt available under the right-to-use provisions contained in agreements between one of the Company's thermal facilities and certain of its customers.</w:t>
      </w:r>
    </w:p>
    <w:p>
      <w:pPr>
        <w:spacing w:after="0" w:line="54" w:lineRule="exact"/>
        <w:rPr>
          <w:rFonts w:ascii="Arial" w:cs="Arial" w:eastAsia="Arial" w:hAnsi="Arial"/>
          <w:sz w:val="16"/>
          <w:szCs w:val="16"/>
          <w:color w:val="auto"/>
          <w:vertAlign w:val="superscript"/>
        </w:rPr>
      </w:pPr>
    </w:p>
    <w:p>
      <w:pPr>
        <w:ind w:left="140" w:hanging="133"/>
        <w:spacing w:after="0" w:line="223" w:lineRule="auto"/>
        <w:tabs>
          <w:tab w:leader="none" w:pos="140" w:val="left"/>
        </w:tabs>
        <w:numPr>
          <w:ilvl w:val="0"/>
          <w:numId w:val="16"/>
        </w:numPr>
        <w:rPr>
          <w:rFonts w:ascii="Arial" w:cs="Arial" w:eastAsia="Arial" w:hAnsi="Arial"/>
          <w:sz w:val="9"/>
          <w:szCs w:val="9"/>
          <w:color w:val="auto"/>
        </w:rPr>
      </w:pPr>
      <w:r>
        <w:rPr>
          <w:rFonts w:ascii="Arial" w:cs="Arial" w:eastAsia="Arial" w:hAnsi="Arial"/>
          <w:sz w:val="14"/>
          <w:szCs w:val="14"/>
          <w:color w:val="auto"/>
        </w:rPr>
        <w:t xml:space="preserve">Includes thermal assets held for sale as of December 31, 2021, as further described in Item 15 </w:t>
      </w:r>
      <w:r>
        <w:rPr>
          <w:rFonts w:ascii="Arial" w:cs="Arial" w:eastAsia="Arial" w:hAnsi="Arial"/>
          <w:sz w:val="17"/>
          <w:szCs w:val="17"/>
          <w:color w:val="auto"/>
        </w:rPr>
        <w:t>—</w:t>
      </w:r>
      <w:r>
        <w:rPr>
          <w:rFonts w:ascii="Arial" w:cs="Arial" w:eastAsia="Arial" w:hAnsi="Arial"/>
          <w:sz w:val="14"/>
          <w:szCs w:val="14"/>
          <w:color w:val="auto"/>
        </w:rPr>
        <w:t xml:space="preserve"> Note 3</w:t>
      </w:r>
      <w:r>
        <w:rPr>
          <w:rFonts w:ascii="Arial" w:cs="Arial" w:eastAsia="Arial" w:hAnsi="Arial"/>
          <w:sz w:val="17"/>
          <w:szCs w:val="17"/>
          <w:color w:val="auto"/>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Acquisitions and Dispositions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 Legal Proceedings</w:t>
      </w:r>
    </w:p>
    <w:p>
      <w:pPr>
        <w:spacing w:after="0" w:line="166" w:lineRule="exact"/>
        <w:rPr>
          <w:sz w:val="20"/>
          <w:szCs w:val="20"/>
          <w:color w:val="auto"/>
        </w:rPr>
      </w:pPr>
    </w:p>
    <w:p>
      <w:pPr>
        <w:ind w:firstLine="400"/>
        <w:spacing w:after="0" w:line="274" w:lineRule="auto"/>
        <w:rPr>
          <w:sz w:val="20"/>
          <w:szCs w:val="20"/>
          <w:color w:val="auto"/>
        </w:rPr>
      </w:pPr>
      <w:r>
        <w:rPr>
          <w:rFonts w:ascii="Arial" w:cs="Arial" w:eastAsia="Arial" w:hAnsi="Arial"/>
          <w:sz w:val="18"/>
          <w:szCs w:val="18"/>
          <w:color w:val="auto"/>
        </w:rPr>
        <w:t xml:space="preserve">See Item 15 </w:t>
      </w:r>
      <w:r>
        <w:rPr>
          <w:rFonts w:ascii="Arial" w:cs="Arial" w:eastAsia="Arial" w:hAnsi="Arial"/>
          <w:sz w:val="18"/>
          <w:szCs w:val="18"/>
          <w:b w:val="1"/>
          <w:bCs w:val="1"/>
          <w:color w:val="auto"/>
        </w:rPr>
        <w:t>—</w:t>
      </w:r>
      <w:r>
        <w:rPr>
          <w:rFonts w:ascii="Arial" w:cs="Arial" w:eastAsia="Arial" w:hAnsi="Arial"/>
          <w:sz w:val="18"/>
          <w:szCs w:val="18"/>
          <w:color w:val="auto"/>
        </w:rPr>
        <w:t xml:space="preserve">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for discussion of the material legal proceedings to which the Company is a party or of which any of its properties is subject.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4" w:name="page45"/>
    <w:bookmarkEnd w:id="44"/>
    <w:p>
      <w:pPr>
        <w:ind w:left="5300"/>
        <w:spacing w:after="0"/>
        <w:rPr>
          <w:sz w:val="20"/>
          <w:szCs w:val="20"/>
          <w:color w:val="auto"/>
        </w:rPr>
      </w:pPr>
      <w:r>
        <w:rPr>
          <w:rFonts w:ascii="Arial" w:cs="Arial" w:eastAsia="Arial" w:hAnsi="Arial"/>
          <w:sz w:val="18"/>
          <w:szCs w:val="18"/>
          <w:b w:val="1"/>
          <w:bCs w:val="1"/>
          <w:color w:val="auto"/>
        </w:rPr>
        <w:t>PART II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Equity Holders and Dividends</w:t>
      </w:r>
    </w:p>
    <w:p>
      <w:pPr>
        <w:spacing w:after="0" w:line="172" w:lineRule="exact"/>
        <w:rPr>
          <w:sz w:val="20"/>
          <w:szCs w:val="20"/>
          <w:color w:val="auto"/>
        </w:rPr>
      </w:pPr>
    </w:p>
    <w:p>
      <w:pPr>
        <w:jc w:val="both"/>
        <w:ind w:firstLine="400"/>
        <w:spacing w:after="0" w:line="297" w:lineRule="auto"/>
        <w:rPr>
          <w:sz w:val="20"/>
          <w:szCs w:val="20"/>
          <w:color w:val="auto"/>
        </w:rPr>
      </w:pPr>
      <w:r>
        <w:rPr>
          <w:rFonts w:ascii="Arial" w:cs="Arial" w:eastAsia="Arial" w:hAnsi="Arial"/>
          <w:sz w:val="17"/>
          <w:szCs w:val="17"/>
          <w:color w:val="auto"/>
        </w:rPr>
        <w:t>The Company's Class A common stock and Class C common stock are listed on the New York Stock Exchange and trade under the ticker symbols "CWEN.A" and "CWEN," respectively. The Company's Class B common stock and Class D common stock are not publicly traded.</w:t>
      </w:r>
    </w:p>
    <w:p>
      <w:pPr>
        <w:spacing w:after="0" w:line="103"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As of January 31, 2022, there were two holders of record of the Class A common stock, one holder of record of the Class B common stock, three holders of record of the Class C common stock and one holder of record of the Class D common stock.</w:t>
      </w:r>
    </w:p>
    <w:p>
      <w:pPr>
        <w:spacing w:after="0" w:line="12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On February 17, 2022, the Company declared a quarterly dividend on its Class A and Class C common stock of $0.3468 per share payable on March 15, 2022, to stockholders of record as of March 1, 2022.</w:t>
      </w:r>
    </w:p>
    <w:p>
      <w:pPr>
        <w:spacing w:after="0" w:line="126" w:lineRule="exact"/>
        <w:rPr>
          <w:sz w:val="20"/>
          <w:szCs w:val="20"/>
          <w:color w:val="auto"/>
        </w:rPr>
      </w:pPr>
    </w:p>
    <w:p>
      <w:pPr>
        <w:jc w:val="both"/>
        <w:ind w:firstLine="400"/>
        <w:spacing w:after="0" w:line="330" w:lineRule="auto"/>
        <w:rPr>
          <w:sz w:val="20"/>
          <w:szCs w:val="20"/>
          <w:color w:val="auto"/>
        </w:rPr>
      </w:pPr>
      <w:r>
        <w:rPr>
          <w:rFonts w:ascii="Arial" w:cs="Arial" w:eastAsia="Arial" w:hAnsi="Arial"/>
          <w:sz w:val="16"/>
          <w:szCs w:val="16"/>
          <w:color w:val="auto"/>
        </w:rPr>
        <w:t>The Company's Class A and Class C common stock dividends are subject to available capital, market conditions, and compliance with associated laws and regulations. The Company expects that, based on current circumstances, comparable cash dividends will continue to be paid in the foreseeable future.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19"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The performance graph below compares the Company's cumulative total stockholder return on the Company's Class A common stock and Class C common stock from December 31, 2016 through December 31, 2021, with the cumulative total return of the Standard &amp; Poor's 500 Composite Stock Price Index, or S&amp;P 500, and the Philadelphia Utility Sector Index, or UTY.</w:t>
      </w:r>
    </w:p>
    <w:p>
      <w:pPr>
        <w:spacing w:after="0" w:line="135"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The performance graph shown below is being furnished and compares each period assuming that $100 was invested on December 31, 2016 in each of the Class A common stock of the Company, the Class C common stock of the Company, the stocks included in the S&amp;P 500 and the stocks included in the UTY,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93345</wp:posOffset>
            </wp:positionV>
            <wp:extent cx="5788660" cy="25304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88660" cy="253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December 31,</w:t>
            </w:r>
          </w:p>
        </w:tc>
        <w:tc>
          <w:tcPr>
            <w:tcW w:w="100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December 31,</w:t>
            </w:r>
          </w:p>
        </w:tc>
        <w:tc>
          <w:tcPr>
            <w:tcW w:w="108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4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r>
      <w:tr>
        <w:trPr>
          <w:trHeight w:val="221"/>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Clearway Energy, Inc. Class A common stock</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125.62</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149.27</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241.36</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286.34</w:t>
            </w:r>
          </w:p>
        </w:tc>
      </w:tr>
      <w:tr>
        <w:trPr>
          <w:trHeight w:val="226"/>
        </w:trPr>
        <w:tc>
          <w:tcPr>
            <w:tcW w:w="4960" w:type="dxa"/>
            <w:vAlign w:val="bottom"/>
          </w:tcPr>
          <w:p>
            <w:pPr>
              <w:ind w:left="20"/>
              <w:spacing w:after="0"/>
              <w:rPr>
                <w:sz w:val="20"/>
                <w:szCs w:val="20"/>
                <w:color w:val="auto"/>
              </w:rPr>
            </w:pPr>
            <w:r>
              <w:rPr>
                <w:rFonts w:ascii="Arial" w:cs="Arial" w:eastAsia="Arial" w:hAnsi="Arial"/>
                <w:sz w:val="18"/>
                <w:szCs w:val="18"/>
                <w:color w:val="auto"/>
              </w:rPr>
              <w:t>Clearway Energy, Inc. Class C common stock</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124.24</w:t>
            </w:r>
          </w:p>
        </w:tc>
        <w:tc>
          <w:tcPr>
            <w:tcW w:w="30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150.80</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251.89</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296.80</w:t>
            </w:r>
          </w:p>
        </w:tc>
      </w:tr>
      <w:tr>
        <w:trPr>
          <w:trHeight w:val="227"/>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500</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116.49</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153.17</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181.35</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233.41</w:t>
            </w:r>
          </w:p>
        </w:tc>
      </w:tr>
      <w:tr>
        <w:trPr>
          <w:trHeight w:val="225"/>
        </w:trPr>
        <w:tc>
          <w:tcPr>
            <w:tcW w:w="4960" w:type="dxa"/>
            <w:vAlign w:val="bottom"/>
          </w:tcPr>
          <w:p>
            <w:pPr>
              <w:ind w:left="20"/>
              <w:spacing w:after="0"/>
              <w:rPr>
                <w:sz w:val="20"/>
                <w:szCs w:val="20"/>
                <w:color w:val="auto"/>
              </w:rPr>
            </w:pPr>
            <w:r>
              <w:rPr>
                <w:rFonts w:ascii="Arial" w:cs="Arial" w:eastAsia="Arial" w:hAnsi="Arial"/>
                <w:sz w:val="18"/>
                <w:szCs w:val="18"/>
                <w:color w:val="auto"/>
              </w:rPr>
              <w:t>UTY</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116.79</w:t>
            </w:r>
          </w:p>
        </w:tc>
        <w:tc>
          <w:tcPr>
            <w:tcW w:w="30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148.11</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152.14</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881" w:right="1440"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the Results of Operations</w:t>
      </w:r>
    </w:p>
    <w:p>
      <w:pPr>
        <w:spacing w:after="0" w:line="172"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color w:val="auto"/>
        </w:rPr>
        <w:t xml:space="preserve">As you read this discussion and analysis, refer to the Company's Consolidated Statements of Operations to this Form 10-K. Also refer to Item 1 — </w:t>
      </w:r>
      <w:r>
        <w:rPr>
          <w:rFonts w:ascii="Arial" w:cs="Arial" w:eastAsia="Arial" w:hAnsi="Arial"/>
          <w:sz w:val="16"/>
          <w:szCs w:val="16"/>
          <w:i w:val="1"/>
          <w:iCs w:val="1"/>
          <w:color w:val="auto"/>
        </w:rPr>
        <w:t xml:space="preserve">Business </w:t>
      </w:r>
      <w:r>
        <w:rPr>
          <w:rFonts w:ascii="Arial" w:cs="Arial" w:eastAsia="Arial" w:hAnsi="Arial"/>
          <w:sz w:val="16"/>
          <w:szCs w:val="16"/>
          <w:color w:val="auto"/>
        </w:rPr>
        <w:t>and Item 1A —</w:t>
      </w:r>
      <w:r>
        <w:rPr>
          <w:rFonts w:ascii="Arial" w:cs="Arial" w:eastAsia="Arial" w:hAnsi="Arial"/>
          <w:sz w:val="16"/>
          <w:szCs w:val="16"/>
          <w:i w:val="1"/>
          <w:iCs w:val="1"/>
          <w:color w:val="auto"/>
        </w:rPr>
        <w:t xml:space="preserve"> Risk Factors</w:t>
      </w:r>
      <w:r>
        <w:rPr>
          <w:rFonts w:ascii="Arial" w:cs="Arial" w:eastAsia="Arial" w:hAnsi="Arial"/>
          <w:sz w:val="16"/>
          <w:szCs w:val="16"/>
          <w:color w:val="auto"/>
        </w:rPr>
        <w:t>, which include detailed discussions of various items impacting the Company's business, results of operations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condition. Discussions of the year ended December 31, 2019 that are not included in this Annual Report on Form 10-K and year-to-year comparisons of the year ended December 31, 2020 and the year ended December 31, 2019 can be found in “Management’s Discussion and Analysis of Financial Condition and the Results of Operations” in Part II, Item 7 of the Company’s Annual Report on Form 10-K for the year ended December 31, 2020.</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13" w:lineRule="exact"/>
        <w:rPr>
          <w:sz w:val="20"/>
          <w:szCs w:val="20"/>
          <w:color w:val="auto"/>
        </w:rPr>
      </w:pPr>
    </w:p>
    <w:p>
      <w:pPr>
        <w:ind w:left="720" w:right="620" w:firstLine="166"/>
        <w:spacing w:after="0" w:line="267" w:lineRule="auto"/>
        <w:tabs>
          <w:tab w:leader="none" w:pos="1275"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19" w:lineRule="exact"/>
        <w:rPr>
          <w:rFonts w:ascii="Arial" w:cs="Arial" w:eastAsia="Arial" w:hAnsi="Arial"/>
          <w:sz w:val="18"/>
          <w:szCs w:val="18"/>
          <w:color w:val="231F20"/>
        </w:rPr>
      </w:pPr>
    </w:p>
    <w:p>
      <w:pPr>
        <w:ind w:left="720" w:right="160" w:firstLine="166"/>
        <w:spacing w:after="0" w:line="267" w:lineRule="auto"/>
        <w:tabs>
          <w:tab w:leader="none" w:pos="1275"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operations;</w:t>
      </w:r>
    </w:p>
    <w:p>
      <w:pPr>
        <w:spacing w:after="0" w:line="19" w:lineRule="exact"/>
        <w:rPr>
          <w:rFonts w:ascii="Arial" w:cs="Arial" w:eastAsia="Arial" w:hAnsi="Arial"/>
          <w:sz w:val="18"/>
          <w:szCs w:val="18"/>
          <w:color w:val="231F20"/>
        </w:rPr>
      </w:pPr>
    </w:p>
    <w:p>
      <w:pPr>
        <w:ind w:left="720" w:right="440" w:firstLine="166"/>
        <w:spacing w:after="0" w:line="267" w:lineRule="auto"/>
        <w:tabs>
          <w:tab w:leader="none" w:pos="1275"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19" w:lineRule="exact"/>
        <w:rPr>
          <w:rFonts w:ascii="Arial" w:cs="Arial" w:eastAsia="Arial" w:hAnsi="Arial"/>
          <w:sz w:val="18"/>
          <w:szCs w:val="18"/>
          <w:color w:val="231F20"/>
        </w:rPr>
      </w:pPr>
    </w:p>
    <w:p>
      <w:pPr>
        <w:ind w:left="1280" w:hanging="394"/>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Known trends that may affect the Company’s results of operations and financial condition in the future; and</w:t>
      </w:r>
    </w:p>
    <w:p>
      <w:pPr>
        <w:spacing w:after="0" w:line="59" w:lineRule="exact"/>
        <w:rPr>
          <w:rFonts w:ascii="Arial" w:cs="Arial" w:eastAsia="Arial" w:hAnsi="Arial"/>
          <w:sz w:val="18"/>
          <w:szCs w:val="18"/>
          <w:color w:val="auto"/>
        </w:rPr>
      </w:pPr>
    </w:p>
    <w:p>
      <w:pPr>
        <w:ind w:left="720" w:right="980" w:firstLine="166"/>
        <w:spacing w:after="0" w:line="267" w:lineRule="auto"/>
        <w:tabs>
          <w:tab w:leader="none" w:pos="12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Executive Summary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2"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or GIP. GIP is an independent infrastructure fund manager that makes equity and debt investments in infrastructure assets and businesses. The Company is sponsored by GIP through GIP's portfolio company, Clearway Energy Group LLC, or CEG.</w:t>
      </w:r>
    </w:p>
    <w:p>
      <w:pPr>
        <w:spacing w:after="0" w:line="140"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color w:val="auto"/>
        </w:rPr>
        <w:t xml:space="preserve">The Company is one of the largest renewable energy owners in the U.S. with over 5,000 net MW of installed wind and solar generation projects. The Company's over 9,000 net MW of assets also includes approximately 2,500 net MW of environmentally-sound, highly efficient natural gas-fired generation facilities as well as the Thermal Business.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12 years </w:t>
      </w:r>
      <w:r>
        <w:rPr>
          <w:rFonts w:ascii="Arial" w:cs="Arial" w:eastAsia="Arial" w:hAnsi="Arial"/>
          <w:sz w:val="18"/>
          <w:szCs w:val="18"/>
          <w:color w:val="231F20"/>
        </w:rPr>
        <w:t>as of</w:t>
      </w:r>
      <w:r>
        <w:rPr>
          <w:rFonts w:ascii="Arial" w:cs="Arial" w:eastAsia="Arial" w:hAnsi="Arial"/>
          <w:sz w:val="18"/>
          <w:szCs w:val="18"/>
          <w:color w:val="auto"/>
        </w:rPr>
        <w:t xml:space="preserve"> December 31, 2021 </w:t>
      </w:r>
      <w:r>
        <w:rPr>
          <w:rFonts w:ascii="Arial" w:cs="Arial" w:eastAsia="Arial" w:hAnsi="Arial"/>
          <w:sz w:val="18"/>
          <w:szCs w:val="18"/>
          <w:color w:val="231F20"/>
        </w:rPr>
        <w:t>based on CAFD.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Thermal Disposition</w:t>
      </w:r>
    </w:p>
    <w:p>
      <w:pPr>
        <w:spacing w:after="0" w:line="166" w:lineRule="exact"/>
        <w:rPr>
          <w:sz w:val="20"/>
          <w:szCs w:val="20"/>
          <w:color w:val="auto"/>
        </w:rPr>
      </w:pPr>
    </w:p>
    <w:p>
      <w:pPr>
        <w:jc w:val="both"/>
        <w:ind w:left="640" w:hanging="314"/>
        <w:spacing w:after="0" w:line="288" w:lineRule="auto"/>
        <w:tabs>
          <w:tab w:leader="none" w:pos="635" w:val="left"/>
        </w:tabs>
        <w:numPr>
          <w:ilvl w:val="0"/>
          <w:numId w:val="18"/>
        </w:numPr>
        <w:rPr>
          <w:rFonts w:ascii="Arial" w:cs="Arial" w:eastAsia="Arial" w:hAnsi="Arial"/>
          <w:sz w:val="16"/>
          <w:szCs w:val="16"/>
          <w:b w:val="1"/>
          <w:bCs w:val="1"/>
          <w:i w:val="1"/>
          <w:iCs w:val="1"/>
          <w:color w:val="231F20"/>
        </w:rPr>
      </w:pPr>
      <w:r>
        <w:rPr>
          <w:rFonts w:ascii="Arial" w:cs="Arial" w:eastAsia="Arial" w:hAnsi="Arial"/>
          <w:sz w:val="16"/>
          <w:szCs w:val="16"/>
          <w:color w:val="auto"/>
        </w:rPr>
        <w:t>On October 22, 2021, Clearway Energy Operating LLC entered into a binding agreement to sell the Thermal Business to KKR for total consideration of $1.9 billion, subject to customary closing adjustments, which is referred to herein as the Thermal Disposition. Based on current estimates, the Company expects total net cash proceeds of approximately $1.35 billion after the assumption of project level debt, estimated taxes and obligations owed, transaction expenses and capital expenditures required to be funded pursuant to the terms and conditions of the definitive agreement. The closing of the transaction is subject to various customary closing conditions, approvals and consents and is expected to close in the first half of 2022. The Company's Thermal segment is comprised solely of the Thermal Business's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Level Financing</w:t>
      </w:r>
    </w:p>
    <w:p>
      <w:pPr>
        <w:spacing w:after="0" w:line="166" w:lineRule="exact"/>
        <w:rPr>
          <w:sz w:val="20"/>
          <w:szCs w:val="20"/>
          <w:color w:val="auto"/>
        </w:rPr>
      </w:pPr>
    </w:p>
    <w:p>
      <w:pPr>
        <w:jc w:val="both"/>
        <w:ind w:left="640" w:hanging="314"/>
        <w:spacing w:after="0" w:line="252" w:lineRule="auto"/>
        <w:tabs>
          <w:tab w:leader="none" w:pos="635" w:val="left"/>
        </w:tabs>
        <w:numPr>
          <w:ilvl w:val="0"/>
          <w:numId w:val="19"/>
        </w:numPr>
        <w:rPr>
          <w:rFonts w:ascii="Arial" w:cs="Arial" w:eastAsia="Arial" w:hAnsi="Arial"/>
          <w:sz w:val="18"/>
          <w:szCs w:val="18"/>
          <w:b w:val="1"/>
          <w:bCs w:val="1"/>
          <w:i w:val="1"/>
          <w:iCs w:val="1"/>
          <w:color w:val="212529"/>
        </w:rPr>
      </w:pPr>
      <w:r>
        <w:rPr>
          <w:rFonts w:ascii="Arial" w:cs="Arial" w:eastAsia="Arial" w:hAnsi="Arial"/>
          <w:sz w:val="18"/>
          <w:szCs w:val="18"/>
          <w:color w:val="212529"/>
        </w:rPr>
        <w:t xml:space="preserve">On November 30, 2021, Clearway Energy Operating LLC entered into a senior secured bridge credit agreement, or the Bridge Loan Agreement, that provides for a term loan facility in an aggregate principal amount of $335 million. The Bridge Loan Agreement will mature no later than November 29, 2022. </w:t>
      </w:r>
      <w:r>
        <w:rPr>
          <w:rFonts w:ascii="Arial" w:cs="Arial" w:eastAsia="Arial" w:hAnsi="Arial"/>
          <w:sz w:val="18"/>
          <w:szCs w:val="18"/>
          <w:color w:val="000000"/>
        </w:rPr>
        <w:t>The Company intends to use proceeds from the Thermal Disposition to repay the outstanding principal balance of the term loans under the</w:t>
      </w:r>
      <w:r>
        <w:rPr>
          <w:rFonts w:ascii="Arial" w:cs="Arial" w:eastAsia="Arial" w:hAnsi="Arial"/>
          <w:sz w:val="18"/>
          <w:szCs w:val="18"/>
          <w:color w:val="212529"/>
        </w:rPr>
        <w:t xml:space="preserve"> </w:t>
      </w:r>
      <w:r>
        <w:rPr>
          <w:rFonts w:ascii="Arial" w:cs="Arial" w:eastAsia="Arial" w:hAnsi="Arial"/>
          <w:sz w:val="18"/>
          <w:szCs w:val="18"/>
          <w:color w:val="000000"/>
        </w:rPr>
        <w:t xml:space="preserve">Bridge Loan Agreement. </w:t>
      </w:r>
      <w:r>
        <w:rPr>
          <w:rFonts w:ascii="Arial" w:cs="Arial" w:eastAsia="Arial" w:hAnsi="Arial"/>
          <w:sz w:val="18"/>
          <w:szCs w:val="18"/>
          <w:color w:val="212529"/>
        </w:rPr>
        <w:t>The borrowings under the term loan facility were used to acquire the Utah Solar Portfolio on December 1, 2021, as</w:t>
      </w:r>
      <w:r>
        <w:rPr>
          <w:rFonts w:ascii="Arial" w:cs="Arial" w:eastAsia="Arial" w:hAnsi="Arial"/>
          <w:sz w:val="18"/>
          <w:szCs w:val="18"/>
          <w:color w:val="000000"/>
        </w:rPr>
        <w:t xml:space="preserve"> </w:t>
      </w:r>
      <w:r>
        <w:rPr>
          <w:rFonts w:ascii="Arial" w:cs="Arial" w:eastAsia="Arial" w:hAnsi="Arial"/>
          <w:sz w:val="18"/>
          <w:szCs w:val="18"/>
          <w:color w:val="212529"/>
        </w:rPr>
        <w:t>described below.</w:t>
      </w:r>
    </w:p>
    <w:p>
      <w:pPr>
        <w:spacing w:after="0" w:line="139" w:lineRule="exact"/>
        <w:rPr>
          <w:rFonts w:ascii="Arial" w:cs="Arial" w:eastAsia="Arial" w:hAnsi="Arial"/>
          <w:sz w:val="18"/>
          <w:szCs w:val="18"/>
          <w:b w:val="1"/>
          <w:bCs w:val="1"/>
          <w:i w:val="1"/>
          <w:iCs w:val="1"/>
          <w:color w:val="212529"/>
        </w:rPr>
      </w:pPr>
    </w:p>
    <w:p>
      <w:pPr>
        <w:jc w:val="both"/>
        <w:ind w:left="640" w:hanging="314"/>
        <w:spacing w:after="0" w:line="281" w:lineRule="auto"/>
        <w:tabs>
          <w:tab w:leader="none" w:pos="6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November 30, 2021, Clearway Energy Operating LLC entered into the Sixth Amendment to Amended and Restated Credit Agreement to provide for an increase of the maximum permitted Borrower Leverage Ratio to 6.00 to 1.00 during the period commencing on November 30, 2021 and ending on the leverage period termination date, which is the earliest of (i) two business days following the consummation of the Thermal Disposition, (ii) 120 days following the termination or expiration of the binding agreement entered into with KKR to sell the Thermal Business and</w:t>
      </w:r>
    </w:p>
    <w:p>
      <w:pPr>
        <w:spacing w:after="0" w:line="2" w:lineRule="exact"/>
        <w:rPr>
          <w:rFonts w:ascii="Arial" w:cs="Arial" w:eastAsia="Arial" w:hAnsi="Arial"/>
          <w:sz w:val="16"/>
          <w:szCs w:val="16"/>
          <w:color w:val="auto"/>
        </w:rPr>
      </w:pPr>
    </w:p>
    <w:p>
      <w:pPr>
        <w:jc w:val="both"/>
        <w:ind w:left="640" w:firstLine="6"/>
        <w:spacing w:after="0" w:line="250" w:lineRule="auto"/>
        <w:tabs>
          <w:tab w:leader="none" w:pos="961"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maturity date of the Bridge Loan Agreement. The Sixth Amendment also permits the incurrence of the term loan facility under the Bridge Loan Agreement, permits the incurrence of hedging obligations, permits the prepayment of indebtedness and implements certain other technical modifications.</w:t>
      </w:r>
    </w:p>
    <w:p>
      <w:pPr>
        <w:spacing w:after="0" w:line="141" w:lineRule="exact"/>
        <w:rPr>
          <w:rFonts w:ascii="Arial" w:cs="Arial" w:eastAsia="Arial" w:hAnsi="Arial"/>
          <w:sz w:val="18"/>
          <w:szCs w:val="18"/>
          <w:color w:val="auto"/>
        </w:rPr>
      </w:pPr>
    </w:p>
    <w:p>
      <w:pPr>
        <w:jc w:val="both"/>
        <w:ind w:left="640" w:hanging="314"/>
        <w:spacing w:after="0" w:line="25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October 1, 2021, Clearway Energy Operating LLC completed the sale of $350 million of senior unsecured notes due 2032, or the 2032 Senior Notes. The 2032 Senior Notes bear interest at 3.750% and mature on January 15, 2032. The net proceeds from the 2032 Senior Notes were used, together with existing corporate liquidity, to repurchase the 2026 Senior Notes, as described below.</w:t>
      </w:r>
    </w:p>
    <w:p>
      <w:pPr>
        <w:spacing w:after="0" w:line="134" w:lineRule="exact"/>
        <w:rPr>
          <w:rFonts w:ascii="Arial" w:cs="Arial" w:eastAsia="Arial" w:hAnsi="Arial"/>
          <w:sz w:val="18"/>
          <w:szCs w:val="18"/>
          <w:color w:val="auto"/>
        </w:rPr>
      </w:pPr>
    </w:p>
    <w:p>
      <w:pPr>
        <w:jc w:val="both"/>
        <w:ind w:left="640" w:hanging="314"/>
        <w:spacing w:after="0" w:line="257" w:lineRule="auto"/>
        <w:tabs>
          <w:tab w:leader="none" w:pos="635"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color w:val="auto"/>
        </w:rPr>
        <w:t>In October 2021, the Company repurchased and redeemed an aggregate principal amount of $350 million of the 2026 Senior Notes, through the cash tender offer announced on September 24, 2021 and the redemption of the remaining amount on October 25, 2021. The repurchases and redemption were effectuated at a premium of approximately 103% for total consideration of $359 million.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8" w:name="page49"/>
    <w:bookmarkEnd w:id="48"/>
    <w:p>
      <w:pPr>
        <w:jc w:val="both"/>
        <w:ind w:left="640" w:hanging="314"/>
        <w:spacing w:after="0" w:line="253"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March 9, 2021, Clearway Energy Operating LLC completed the sale of $925 million of senior unsecured notes due 2031, or the 2031 Senior Notes. The 2031 Senior Notes bear interest at 3.750% and mature on February 15, 2031. The net proceeds from the 2031 Senior Notes were used to repurchase the 2025 Senior Notes, as described below, as well as to repay amounts outstanding under the Company’s revolving credit facility and for general corporate purposes.</w:t>
      </w:r>
    </w:p>
    <w:p>
      <w:pPr>
        <w:spacing w:after="0" w:line="140" w:lineRule="exact"/>
        <w:rPr>
          <w:rFonts w:ascii="Arial" w:cs="Arial" w:eastAsia="Arial" w:hAnsi="Arial"/>
          <w:sz w:val="18"/>
          <w:szCs w:val="18"/>
          <w:color w:val="auto"/>
        </w:rPr>
      </w:pPr>
    </w:p>
    <w:p>
      <w:pPr>
        <w:jc w:val="both"/>
        <w:ind w:left="640" w:hanging="314"/>
        <w:spacing w:after="0" w:line="257" w:lineRule="auto"/>
        <w:tabs>
          <w:tab w:leader="none" w:pos="635" w:val="left"/>
        </w:tabs>
        <w:numPr>
          <w:ilvl w:val="0"/>
          <w:numId w:val="20"/>
        </w:numPr>
        <w:rPr>
          <w:rFonts w:ascii="Arial" w:cs="Arial" w:eastAsia="Arial" w:hAnsi="Arial"/>
          <w:sz w:val="18"/>
          <w:szCs w:val="18"/>
          <w:i w:val="1"/>
          <w:iCs w:val="1"/>
          <w:color w:val="auto"/>
        </w:rPr>
      </w:pPr>
      <w:r>
        <w:rPr>
          <w:rFonts w:ascii="Arial" w:cs="Arial" w:eastAsia="Arial" w:hAnsi="Arial"/>
          <w:sz w:val="18"/>
          <w:szCs w:val="18"/>
          <w:color w:val="auto"/>
        </w:rPr>
        <w:t>In March 2021, the Company repurchased and redeemed an aggregate principal amount of $600 million of the 2025 Senior Notes, through the cash tender offer announced on March 2, 2021 and the redemption of the remaining amount on March 17, 2021. The repurchases and redemption were effectuated at a premium of approximately 106% for total consideration of $636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Project-Level Financing Activities</w:t>
      </w:r>
    </w:p>
    <w:p>
      <w:pPr>
        <w:spacing w:after="0" w:line="166" w:lineRule="exact"/>
        <w:rPr>
          <w:sz w:val="20"/>
          <w:szCs w:val="20"/>
          <w:color w:val="auto"/>
        </w:rPr>
      </w:pPr>
    </w:p>
    <w:p>
      <w:pPr>
        <w:jc w:val="both"/>
        <w:ind w:left="640" w:hanging="314"/>
        <w:spacing w:after="0" w:line="251" w:lineRule="auto"/>
        <w:tabs>
          <w:tab w:leader="none" w:pos="635"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financing agreement, which related to the Pinnacle wind project, and to reimburse Clearway Renew LLC for previous contributions and pay vendor invoices and fees. On December 15, 2021, the Company repaid the outstanding principal amount of $117 million utilizing existing corporate liquidity, along with proceeds from tax equity.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Acquisitions</w:t>
      </w:r>
    </w:p>
    <w:p>
      <w:pPr>
        <w:spacing w:after="0" w:line="166" w:lineRule="exact"/>
        <w:rPr>
          <w:sz w:val="20"/>
          <w:szCs w:val="20"/>
          <w:color w:val="auto"/>
        </w:rPr>
      </w:pPr>
    </w:p>
    <w:p>
      <w:pPr>
        <w:jc w:val="both"/>
        <w:ind w:left="640" w:hanging="314"/>
        <w:spacing w:after="0" w:line="267" w:lineRule="auto"/>
        <w:tabs>
          <w:tab w:leader="none" w:pos="635" w:val="left"/>
        </w:tabs>
        <w:numPr>
          <w:ilvl w:val="0"/>
          <w:numId w:val="22"/>
        </w:numPr>
        <w:rPr>
          <w:rFonts w:ascii="Arial" w:cs="Arial" w:eastAsia="Arial" w:hAnsi="Arial"/>
          <w:sz w:val="17"/>
          <w:szCs w:val="17"/>
          <w:b w:val="1"/>
          <w:bCs w:val="1"/>
          <w:i w:val="1"/>
          <w:iCs w:val="1"/>
          <w:color w:val="auto"/>
        </w:rPr>
      </w:pPr>
      <w:r>
        <w:rPr>
          <w:rFonts w:ascii="Arial" w:cs="Arial" w:eastAsia="Arial" w:hAnsi="Arial"/>
          <w:sz w:val="17"/>
          <w:szCs w:val="17"/>
          <w:color w:val="auto"/>
        </w:rPr>
        <w:t>On December 1, 2021, the Company acquired the remaining 50% equity interest in the Utah Solar Portfolio from Dominion Solar Projects III, Inc., for approximately $335 million before working capital and purchase price adjustments in the net amount of $5 million, representing total net consideration of $330 million. Borrowings under the Bridge Loan Agreement were used to fund the acquisition. The Utah Solar Portfolio consists of seven utility-scale solar farms located in Utah representing 530 MW of capacity. The assets within the portfolio sell power subject to 20-year PPAs with PacifiCorp that have approximately 15 years remaining under the agreements. Following the close of the transaction, the Company owns 100% of the membership interests in the Utah Solar Portfolio. The Company removed its equity method investment and consolidates its interests in the Utah Solar Portfolio within the Renewables segment from the date of the acquisition.</w:t>
      </w:r>
    </w:p>
    <w:p>
      <w:pPr>
        <w:spacing w:after="0" w:line="130" w:lineRule="exact"/>
        <w:rPr>
          <w:rFonts w:ascii="Arial" w:cs="Arial" w:eastAsia="Arial" w:hAnsi="Arial"/>
          <w:sz w:val="17"/>
          <w:szCs w:val="17"/>
          <w:b w:val="1"/>
          <w:bCs w:val="1"/>
          <w:i w:val="1"/>
          <w:iCs w:val="1"/>
          <w:color w:val="auto"/>
        </w:rPr>
      </w:pPr>
    </w:p>
    <w:p>
      <w:pPr>
        <w:jc w:val="both"/>
        <w:ind w:left="640" w:hanging="314"/>
        <w:spacing w:after="0" w:line="253" w:lineRule="auto"/>
        <w:tabs>
          <w:tab w:leader="none" w:pos="635"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color w:val="auto"/>
        </w:rPr>
        <w:t>On April 23, 2021, the Company acquired 100% of the equity interests in NedPower Mount Storm LLC, or Mt. Storm, from Castleton Commodities International for approximately $96 million before working capital and purchase price adjustments in the net amount of $4 million, representing a total net consideration of $100 million. Mt. Storm is a 264 MW wind project located in Grant County, West Virginia. Mt. Storm has a 10-year energy hedge with an investment-grade counterparty.</w:t>
      </w:r>
    </w:p>
    <w:p>
      <w:pPr>
        <w:spacing w:after="0" w:line="140" w:lineRule="exact"/>
        <w:rPr>
          <w:rFonts w:ascii="Arial" w:cs="Arial" w:eastAsia="Arial" w:hAnsi="Arial"/>
          <w:sz w:val="18"/>
          <w:szCs w:val="18"/>
          <w:b w:val="1"/>
          <w:bCs w:val="1"/>
          <w:i w:val="1"/>
          <w:iCs w:val="1"/>
          <w:color w:val="auto"/>
        </w:rPr>
      </w:pPr>
    </w:p>
    <w:p>
      <w:pPr>
        <w:jc w:val="both"/>
        <w:ind w:left="640" w:hanging="314"/>
        <w:spacing w:after="0" w:line="252"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February 3, 2021, the Company acquired an additional 35% equity interest in the Agua Caliente solar project from NRG Energy, Inc. for $202 million. Agua Caliente is a 290 MW solar project located in Dateland, Arizona in which the Company previously owned a 16% equity interest. The project has a 25-year PPA with PG&amp;E, with approximately 17 years remaining under the agreement. Following the close of the transaction, the Company owns a 51% equity interest in Agua Caliente. The Company removed its equity method investment and consolidates its interest in Agua Caliente within the Renewables segment from the date of the acquisition.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Transactions</w:t>
      </w:r>
    </w:p>
    <w:p>
      <w:pPr>
        <w:spacing w:after="0" w:line="166" w:lineRule="exact"/>
        <w:rPr>
          <w:sz w:val="20"/>
          <w:szCs w:val="20"/>
          <w:color w:val="auto"/>
        </w:rPr>
      </w:pPr>
    </w:p>
    <w:p>
      <w:pPr>
        <w:jc w:val="both"/>
        <w:ind w:left="640" w:hanging="314"/>
        <w:spacing w:after="0" w:line="283" w:lineRule="auto"/>
        <w:tabs>
          <w:tab w:leader="none" w:pos="6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December 29, 2021, the Company, through its indirect subsidiary Lighthouse Renewable Holding Sub LLC, acquired the Class B membership interests in Black Rock Wind Holding LLC from Clearway Renew LLC, a subsidiary of CEG, for $60 million in cash consideration, $37 million of which was paid on December 29, 2021, with the remaining $23 million paid in February 2022 after all remaining turbines were operational. Lighthouse Renewable Holding Sub LLC is a wholly-owned subsidiary of Lighthouse Renewable Holdco LLC, which is a partnership between the Company and a third-party investor. The Class A membership interests of Black Rock Wind Holding LLC are owned by another third-party investor. Black Rock Wind Holding LLC, through its subsidiary, is the primary beneficiary and consolidates its interests in a tax equity fund, Black Rock TE Holdco LLC, that holds the Black Rock wind project, a 115 MW utility scale wind project located in Mineral County and Grant County, West Virginia. As of December 31, 2021, 70 MW of the 115 MW rated capacity were operational, representing fourteen of the twenty-three wind turbines, and the remaining 45 MW rated capacity became operational in January 2022. A majority of the project’s output is backed by contracts with investment-grade counterparties with a 15-year weighted average contract life.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9" w:name="page50"/>
    <w:bookmarkEnd w:id="49"/>
    <w:p>
      <w:pPr>
        <w:jc w:val="both"/>
        <w:ind w:left="640" w:hanging="314"/>
        <w:spacing w:after="0" w:line="267"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December 17, 2021, the Company through its indirect subsidiary Lighthouse Renewable Holdco 2 LLC, acquired the Class B membership interests in Mesquite Sky Holding LLC from Clearway Renew LLC, a subsidiary of CEG, for $61 million in cash consideration. Lighthouse Renewable Holdco 2 LLC is a partnership between the Company and a third-party investor. The Class A membership interests of Mesquite Sky Holding LLC are owned by another third-party investor. Mesquite Sky Holding LLC, through its subsidiary, is the primary beneficiary and consolidates its interests in a tax equity fund, Mesquite Sky TE Holdco LLC that holds the Mesquite Sky wind project, a 340 MW utility scale wind project located in Callahan County, Texas, which achieved commercial operations in December 2021. A majority of the project’s output is backed by contracts with investment-grade counterparties with a 12-year weighted average contract life.</w:t>
      </w:r>
    </w:p>
    <w:p>
      <w:pPr>
        <w:spacing w:after="0" w:line="130" w:lineRule="exact"/>
        <w:rPr>
          <w:rFonts w:ascii="Arial" w:cs="Arial" w:eastAsia="Arial" w:hAnsi="Arial"/>
          <w:sz w:val="17"/>
          <w:szCs w:val="17"/>
          <w:color w:val="auto"/>
        </w:rPr>
      </w:pPr>
    </w:p>
    <w:p>
      <w:pPr>
        <w:jc w:val="both"/>
        <w:ind w:left="640" w:hanging="314"/>
        <w:spacing w:after="0" w:line="252"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October 28, 2021, the Company, through an indirect subsidiary, entered into an agreement with CEG to acquire the Class A membership interests in the Daggett 3 solar project upon the project meeting certain milestones. Daggett 3 is a 300 MW solar generating facility under development with a combined 144 MW and 576 MWh battery energy storage system located in San Bernardino, California. The Company expects to invest approximately $21 million, subject to closing adjustments. Commercial operations of the facility and the Company's investment are expected to occur in 2022.</w:t>
      </w:r>
    </w:p>
    <w:p>
      <w:pPr>
        <w:spacing w:after="0" w:line="139" w:lineRule="exact"/>
        <w:rPr>
          <w:rFonts w:ascii="Arial" w:cs="Arial" w:eastAsia="Arial" w:hAnsi="Arial"/>
          <w:sz w:val="18"/>
          <w:szCs w:val="18"/>
          <w:color w:val="auto"/>
        </w:rPr>
      </w:pPr>
    </w:p>
    <w:p>
      <w:pPr>
        <w:ind w:left="640" w:hanging="314"/>
        <w:spacing w:after="0" w:line="26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August 2, 2021, the CEG ROFO Agreement was amended to remove the 100 MW Wildflower utility scale solar project from the ROFO pipeline.</w:t>
      </w:r>
    </w:p>
    <w:p>
      <w:pPr>
        <w:spacing w:after="0" w:line="125" w:lineRule="exact"/>
        <w:rPr>
          <w:rFonts w:ascii="Arial" w:cs="Arial" w:eastAsia="Arial" w:hAnsi="Arial"/>
          <w:sz w:val="18"/>
          <w:szCs w:val="18"/>
          <w:color w:val="auto"/>
        </w:rPr>
      </w:pPr>
    </w:p>
    <w:p>
      <w:pPr>
        <w:jc w:val="both"/>
        <w:ind w:left="640" w:hanging="314"/>
        <w:spacing w:after="0" w:line="251"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June 24, 2021, the Company, through an indirect subsidiary, entered into agreements with CEG to acquire the Class A membership interests in the Mililani I and Waiawa solar projects upon the projects reaching certain milestones. Mililani I is a 39 MW solar generating facility under development with a combined 39 MW and 156 MWh battery energy storage system located in Honolulu, Hawaii. Waiawa is a 36 MW solar generating facility under development with a combined 36 MW and 144 MWh battery energy storage system located in Honolulu, Hawaii. The Company expects to invest approximately $39 million, subject to closing adjustments. Commercial operations of the facilities and the Company's investment are expected to occur in 2022.</w:t>
      </w:r>
    </w:p>
    <w:p>
      <w:pPr>
        <w:spacing w:after="0" w:line="140" w:lineRule="exact"/>
        <w:rPr>
          <w:rFonts w:ascii="Arial" w:cs="Arial" w:eastAsia="Arial" w:hAnsi="Arial"/>
          <w:sz w:val="18"/>
          <w:szCs w:val="18"/>
          <w:color w:val="auto"/>
        </w:rPr>
      </w:pPr>
    </w:p>
    <w:p>
      <w:pPr>
        <w:jc w:val="both"/>
        <w:ind w:left="640" w:hanging="314"/>
        <w:spacing w:after="0" w:line="291" w:lineRule="auto"/>
        <w:tabs>
          <w:tab w:leader="none" w:pos="636" w:val="left"/>
        </w:tabs>
        <w:numPr>
          <w:ilvl w:val="0"/>
          <w:numId w:val="24"/>
        </w:numPr>
        <w:rPr>
          <w:rFonts w:ascii="Arial" w:cs="Arial" w:eastAsia="Arial" w:hAnsi="Arial"/>
          <w:sz w:val="12"/>
          <w:szCs w:val="12"/>
          <w:b w:val="1"/>
          <w:bCs w:val="1"/>
          <w:i w:val="1"/>
          <w:iCs w:val="1"/>
          <w:color w:val="auto"/>
        </w:rPr>
      </w:pPr>
      <w:r>
        <w:rPr>
          <w:rFonts w:ascii="Arial" w:cs="Arial" w:eastAsia="Arial" w:hAnsi="Arial"/>
          <w:sz w:val="16"/>
          <w:szCs w:val="16"/>
          <w:color w:val="auto"/>
        </w:rPr>
        <w:t>On February 26, 2021, the Company, through an indirect subsidiary, entered into an amended partnership agreement with CEG to repower the Pinnacle wind project, a 54 MW wind facility located in Mineral County, West Virginia. The existing Pinnacle wind power purchase agreements will continue to run through 2031. On March 10, 2021, the Pinnacle wind project acquired equipment from CEG for $21 million in cash consideration. On December 14, 2021, the repowering project reached COD and on December 15, 2021, the Company funded $64 million in corporate capital, which was utilized in part to repay the Pinnacle Repowering Partnership Holdco LLC construction loan, along with proceeds from tax equity.</w:t>
      </w:r>
    </w:p>
    <w:p>
      <w:pPr>
        <w:spacing w:after="0" w:line="110" w:lineRule="exact"/>
        <w:rPr>
          <w:rFonts w:ascii="Arial" w:cs="Arial" w:eastAsia="Arial" w:hAnsi="Arial"/>
          <w:sz w:val="12"/>
          <w:szCs w:val="12"/>
          <w:b w:val="1"/>
          <w:bCs w:val="1"/>
          <w:i w:val="1"/>
          <w:iCs w:val="1"/>
          <w:color w:val="auto"/>
        </w:rPr>
      </w:pPr>
    </w:p>
    <w:p>
      <w:pPr>
        <w:jc w:val="both"/>
        <w:ind w:left="640" w:hanging="314"/>
        <w:spacing w:after="0" w:line="281" w:lineRule="auto"/>
        <w:tabs>
          <w:tab w:leader="none" w:pos="635" w:val="left"/>
        </w:tabs>
        <w:numPr>
          <w:ilvl w:val="0"/>
          <w:numId w:val="24"/>
        </w:numPr>
        <w:rPr>
          <w:rFonts w:ascii="Arial" w:cs="Arial" w:eastAsia="Arial" w:hAnsi="Arial"/>
          <w:sz w:val="16"/>
          <w:szCs w:val="16"/>
          <w:b w:val="1"/>
          <w:bCs w:val="1"/>
          <w:i w:val="1"/>
          <w:iCs w:val="1"/>
          <w:color w:val="auto"/>
        </w:rPr>
      </w:pPr>
      <w:r>
        <w:rPr>
          <w:rFonts w:ascii="Arial" w:cs="Arial" w:eastAsia="Arial" w:hAnsi="Arial"/>
          <w:sz w:val="16"/>
          <w:szCs w:val="16"/>
          <w:color w:val="auto"/>
        </w:rPr>
        <w:t>On January 12, 2021, the Company acquired 100% of CEG's equity interest and a third-party investor's minority interest in CWSP Rattlesnake Holding LLC for $132 million in cash consideration. CWSP Rattlesnake Holding LLC indirectly consolidates the Rattlesnake wind project, a 160 MW wind facility with 144 MW deliverable capacity located in Adams County, Washington that achieved commercial operations in December 2020. The Company's net capital commitment was $119 million after proceeds from a state sales and use tax refund, which was received in May</w:t>
      </w:r>
    </w:p>
    <w:p>
      <w:pPr>
        <w:spacing w:after="0" w:line="2" w:lineRule="exact"/>
        <w:rPr>
          <w:rFonts w:ascii="Arial" w:cs="Arial" w:eastAsia="Arial" w:hAnsi="Arial"/>
          <w:sz w:val="16"/>
          <w:szCs w:val="16"/>
          <w:b w:val="1"/>
          <w:bCs w:val="1"/>
          <w:i w:val="1"/>
          <w:iCs w:val="1"/>
          <w:color w:val="auto"/>
        </w:rPr>
      </w:pPr>
    </w:p>
    <w:p>
      <w:pPr>
        <w:ind w:left="64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2021. The project has a 20-year PPA, which began when the facility reached commercial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Adequacy Agreements</w:t>
      </w:r>
    </w:p>
    <w:p>
      <w:pPr>
        <w:spacing w:after="0" w:line="166" w:lineRule="exact"/>
        <w:rPr>
          <w:sz w:val="20"/>
          <w:szCs w:val="20"/>
          <w:color w:val="auto"/>
        </w:rPr>
      </w:pPr>
    </w:p>
    <w:p>
      <w:pPr>
        <w:ind w:left="640" w:hanging="314"/>
        <w:spacing w:after="0" w:line="267"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September 28, 2021, Walnut Creek contracted with SCE to sell 483 MW of Resource Adequacy, which is the full net qualifying capacity of the plant, commencing in June 2023 and ending in December 2026.</w:t>
      </w:r>
    </w:p>
    <w:p>
      <w:pPr>
        <w:spacing w:after="0" w:line="125" w:lineRule="exact"/>
        <w:rPr>
          <w:rFonts w:ascii="Arial" w:cs="Arial" w:eastAsia="Arial" w:hAnsi="Arial"/>
          <w:sz w:val="18"/>
          <w:szCs w:val="18"/>
          <w:color w:val="auto"/>
        </w:rPr>
      </w:pPr>
    </w:p>
    <w:p>
      <w:pPr>
        <w:jc w:val="both"/>
        <w:ind w:left="640" w:hanging="314"/>
        <w:spacing w:after="0" w:line="253"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September 10, 2021, Marsh Landing contracted with PG&amp;E to sell approximately 500 MW of Resource Adequacy commencing in May 2023. The contract is for approximately three years. On May 3, 2021, Marsh Landing contracted with a California Load Serving Entity to sell 100 MW of Resource Adequacy commencing in May 2023. The contract is for approximately seven and a half years. Collectively, these contracts represent approximately 80% of the plant's net qualifying capacity.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February 2021 Winter Events in Texas</w:t>
      </w:r>
    </w:p>
    <w:p>
      <w:pPr>
        <w:spacing w:after="0" w:line="166" w:lineRule="exact"/>
        <w:rPr>
          <w:sz w:val="20"/>
          <w:szCs w:val="20"/>
          <w:color w:val="auto"/>
        </w:rPr>
      </w:pPr>
    </w:p>
    <w:p>
      <w:pPr>
        <w:jc w:val="both"/>
        <w:ind w:left="640" w:hanging="314"/>
        <w:spacing w:after="0" w:line="252"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February 2021, Texas experienced extreme winter weather conditions in which certain of the Company's wind projects were unable to operate and experienced outages due to the weather conditions at that time. Due to this event, and inclusive of amounts related to third-party equity investors, the Company recorded a reduction of approximately $50 million in revenue in the first quarter of 2021 to settle obligations for wind facilities during the extreme weather conditions. After factoring in third-party equity investor contributions, the cash impact to the Company during the first quarter of 2021 was approximately $25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Regulatory Matters</w:t>
      </w:r>
    </w:p>
    <w:p>
      <w:pPr>
        <w:spacing w:after="0" w:line="172"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 xml:space="preserve">Details of environmental matters and regulatory matters are presented in Item 1 — </w:t>
      </w:r>
      <w:r>
        <w:rPr>
          <w:rFonts w:ascii="Arial" w:cs="Arial" w:eastAsia="Arial" w:hAnsi="Arial"/>
          <w:sz w:val="18"/>
          <w:szCs w:val="18"/>
          <w:i w:val="1"/>
          <w:iCs w:val="1"/>
          <w:color w:val="auto"/>
        </w:rPr>
        <w:t>Business, Regulatory Matters</w:t>
      </w:r>
      <w:r>
        <w:rPr>
          <w:rFonts w:ascii="Arial" w:cs="Arial" w:eastAsia="Arial" w:hAnsi="Arial"/>
          <w:sz w:val="18"/>
          <w:szCs w:val="18"/>
          <w:color w:val="auto"/>
        </w:rPr>
        <w:t xml:space="preserve"> and Item 1A — </w:t>
      </w:r>
      <w:r>
        <w:rPr>
          <w:rFonts w:ascii="Arial" w:cs="Arial" w:eastAsia="Arial" w:hAnsi="Arial"/>
          <w:sz w:val="18"/>
          <w:szCs w:val="18"/>
          <w:i w:val="1"/>
          <w:iCs w:val="1"/>
          <w:color w:val="auto"/>
        </w:rPr>
        <w:t>Risk Factors</w:t>
      </w:r>
      <w:r>
        <w:rPr>
          <w:rFonts w:ascii="Arial" w:cs="Arial" w:eastAsia="Arial" w:hAnsi="Arial"/>
          <w:sz w:val="18"/>
          <w:szCs w:val="18"/>
          <w:color w:val="auto"/>
        </w:rPr>
        <w:t>. Details of some of this information relate to costs that may impact the Company's financial results.</w:t>
      </w:r>
    </w:p>
    <w:p>
      <w:pPr>
        <w:spacing w:after="0" w:line="120" w:lineRule="exact"/>
        <w:rPr>
          <w:sz w:val="20"/>
          <w:szCs w:val="20"/>
          <w:color w:val="auto"/>
        </w:rPr>
      </w:pPr>
    </w:p>
    <w:p>
      <w:pPr>
        <w:ind w:right="4800"/>
        <w:spacing w:after="0" w:line="436" w:lineRule="auto"/>
        <w:rPr>
          <w:sz w:val="20"/>
          <w:szCs w:val="20"/>
          <w:color w:val="auto"/>
        </w:rPr>
      </w:pPr>
      <w:r>
        <w:rPr>
          <w:rFonts w:ascii="Arial" w:cs="Arial" w:eastAsia="Arial" w:hAnsi="Arial"/>
          <w:sz w:val="18"/>
          <w:szCs w:val="18"/>
          <w:b w:val="1"/>
          <w:bCs w:val="1"/>
          <w:color w:val="auto"/>
        </w:rPr>
        <w:t xml:space="preserve">Trends or Matters Affecting Results of Operations and Future Business Performance </w:t>
      </w:r>
      <w:r>
        <w:rPr>
          <w:rFonts w:ascii="Arial" w:cs="Arial" w:eastAsia="Arial" w:hAnsi="Arial"/>
          <w:sz w:val="18"/>
          <w:szCs w:val="18"/>
          <w:i w:val="1"/>
          <w:iCs w:val="1"/>
          <w:color w:val="auto"/>
        </w:rPr>
        <w:t>Wind and Solar Resource Availability</w:t>
      </w:r>
    </w:p>
    <w:p>
      <w:pPr>
        <w:jc w:val="both"/>
        <w:ind w:firstLine="400"/>
        <w:spacing w:after="0" w:line="273" w:lineRule="auto"/>
        <w:rPr>
          <w:sz w:val="20"/>
          <w:szCs w:val="20"/>
          <w:color w:val="auto"/>
        </w:rPr>
      </w:pPr>
      <w:r>
        <w:rPr>
          <w:rFonts w:ascii="Arial" w:cs="Arial" w:eastAsia="Arial" w:hAnsi="Arial"/>
          <w:sz w:val="17"/>
          <w:szCs w:val="17"/>
          <w:color w:val="auto"/>
        </w:rPr>
        <w:t>The availability of the wind and solar resources affects the financial performance of the wind and solar facilities, which may impact the Company’s overall financial performance. Due to the variable nature of the wind and solar resources, the Company cannot predict the availability of the wind and solar resources and the potential variances from expected performance levels from quarter to quarter. To the extent the wind and solar resources are not available at expected levels, it could have a negative impact on the Company’s financial performance for such periods.</w:t>
      </w:r>
    </w:p>
    <w:p>
      <w:pPr>
        <w:spacing w:after="0" w:line="117" w:lineRule="exact"/>
        <w:rPr>
          <w:sz w:val="20"/>
          <w:szCs w:val="20"/>
          <w:color w:val="auto"/>
        </w:rPr>
      </w:pPr>
    </w:p>
    <w:p>
      <w:pPr>
        <w:ind w:right="5060"/>
        <w:spacing w:after="0" w:line="436" w:lineRule="auto"/>
        <w:rPr>
          <w:sz w:val="20"/>
          <w:szCs w:val="20"/>
          <w:color w:val="auto"/>
        </w:rPr>
      </w:pPr>
      <w:r>
        <w:rPr>
          <w:rFonts w:ascii="Arial" w:cs="Arial" w:eastAsia="Arial" w:hAnsi="Arial"/>
          <w:sz w:val="18"/>
          <w:szCs w:val="18"/>
          <w:b w:val="1"/>
          <w:bCs w:val="1"/>
          <w:color w:val="auto"/>
        </w:rPr>
        <w:t xml:space="preserve">Recent Developments Affecting Industry Conditions and the Company's Business </w:t>
      </w:r>
      <w:r>
        <w:rPr>
          <w:rFonts w:ascii="Arial" w:cs="Arial" w:eastAsia="Arial" w:hAnsi="Arial"/>
          <w:sz w:val="18"/>
          <w:szCs w:val="18"/>
          <w:i w:val="1"/>
          <w:iCs w:val="1"/>
          <w:color w:val="auto"/>
        </w:rPr>
        <w:t>COVID-19</w:t>
      </w:r>
    </w:p>
    <w:p>
      <w:pPr>
        <w:jc w:val="both"/>
        <w:ind w:firstLine="400"/>
        <w:spacing w:after="0" w:line="270" w:lineRule="auto"/>
        <w:rPr>
          <w:sz w:val="20"/>
          <w:szCs w:val="20"/>
          <w:color w:val="auto"/>
        </w:rPr>
      </w:pPr>
      <w:r>
        <w:rPr>
          <w:rFonts w:ascii="Arial" w:cs="Arial" w:eastAsia="Arial" w:hAnsi="Arial"/>
          <w:sz w:val="17"/>
          <w:szCs w:val="17"/>
          <w:color w:val="auto"/>
        </w:rPr>
        <w:t>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continues to promote heightened awareness and vigilance, hygiene, and implementation of more stringent cleaning protocols across its facilities and operations and continues to evaluate these measures, response plans and business practices in light of the evolving effects of COVID-19 and its variants.</w:t>
      </w:r>
    </w:p>
    <w:p>
      <w:pPr>
        <w:spacing w:after="0" w:line="127"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As of the date of this report, the Company has not experienced any material financial or operational impacts related to COVID-19, or variants thereof. All of the Company’s facilities have remained operational. The Company has experienced a decrease in volumetric sales on a weather normalized basis at certain Thermal locations in part due to COVID-19 related impacts, which has not resulted in any material financial impacts to the Company. The Company believes that all of its accounts receivable balances as of December 31, 2021 are collectible. The Company will continue to assess collectability based on any future developments.</w:t>
      </w:r>
    </w:p>
    <w:p>
      <w:pPr>
        <w:spacing w:after="0" w:line="139"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 xml:space="preserve">The Company cannot predict the full impact that COVID-19 and its variants will have on the Company’s financial expectations, its financial condition, results of operations and cash flows, its ability to make distributions to its stockholders, the market prices of its common stock and its ability to satisfy its debt service obligations at this time, due to numerous uncertainties. The ultimate impact will depend on future developments, including, among others, the ultimate geographic spread of the virus and related variants, the consequences of governmental and other measures designed to prevent the spread of the virus, the development of effective treatments, including vaccines, the duration of the pandemic, actions taken by governmental authorities, customers, suppliers and other third parties, workforce availability and the timing and extent to which normal economic and operating conditions resume For additional discussion regarding risks associated with the COVID-19 pandemic, see Part I, Item 1A, </w:t>
      </w:r>
      <w:r>
        <w:rPr>
          <w:rFonts w:ascii="Arial" w:cs="Arial" w:eastAsia="Arial" w:hAnsi="Arial"/>
          <w:sz w:val="17"/>
          <w:szCs w:val="17"/>
          <w:i w:val="1"/>
          <w:i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7"/>
          </w:tcPr>
          <w:p>
            <w:pPr>
              <w:jc w:val="right"/>
              <w:ind w:right="71"/>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18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r>
      <w:tr>
        <w:trPr>
          <w:trHeight w:val="208"/>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6"/>
        </w:trPr>
        <w:tc>
          <w:tcPr>
            <w:tcW w:w="7700" w:type="dxa"/>
            <w:vAlign w:val="bottom"/>
          </w:tcPr>
          <w:p>
            <w:pPr>
              <w:ind w:left="140"/>
              <w:spacing w:after="0"/>
              <w:rPr>
                <w:sz w:val="20"/>
                <w:szCs w:val="20"/>
                <w:color w:val="auto"/>
              </w:rPr>
            </w:pPr>
            <w:r>
              <w:rPr>
                <w:rFonts w:ascii="Arial" w:cs="Arial" w:eastAsia="Arial" w:hAnsi="Arial"/>
                <w:sz w:val="18"/>
                <w:szCs w:val="18"/>
                <w:color w:val="auto"/>
              </w:rPr>
              <w:t>Energy and capacity revenues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1,072</w:t>
            </w:r>
          </w:p>
        </w:tc>
      </w:tr>
      <w:tr>
        <w:trPr>
          <w:trHeight w:val="22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6"/>
        </w:trPr>
        <w:tc>
          <w:tcPr>
            <w:tcW w:w="7700" w:type="dxa"/>
            <w:vAlign w:val="bottom"/>
          </w:tcPr>
          <w:p>
            <w:pPr>
              <w:ind w:left="140"/>
              <w:spacing w:after="0"/>
              <w:rPr>
                <w:sz w:val="20"/>
                <w:szCs w:val="20"/>
                <w:color w:val="auto"/>
              </w:rPr>
            </w:pPr>
            <w:r>
              <w:rPr>
                <w:rFonts w:ascii="Arial" w:cs="Arial" w:eastAsia="Arial" w:hAnsi="Arial"/>
                <w:sz w:val="18"/>
                <w:szCs w:val="18"/>
                <w:color w:val="auto"/>
              </w:rPr>
              <w:t>Contract amortization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Mark-to-market for economic hedges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9"/>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revenues</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r>
      <w:tr>
        <w:trPr>
          <w:trHeight w:val="207"/>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6"/>
        </w:trPr>
        <w:tc>
          <w:tcPr>
            <w:tcW w:w="7700" w:type="dxa"/>
            <w:vAlign w:val="bottom"/>
          </w:tcPr>
          <w:p>
            <w:pPr>
              <w:ind w:left="140"/>
              <w:spacing w:after="0"/>
              <w:rPr>
                <w:sz w:val="20"/>
                <w:szCs w:val="20"/>
                <w:color w:val="auto"/>
              </w:rPr>
            </w:pPr>
            <w:r>
              <w:rPr>
                <w:rFonts w:ascii="Arial" w:cs="Arial" w:eastAsia="Arial" w:hAnsi="Arial"/>
                <w:sz w:val="18"/>
                <w:szCs w:val="18"/>
                <w:color w:val="auto"/>
              </w:rPr>
              <w:t>Cost of fuels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Operations and maintenance</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6"/>
        </w:trPr>
        <w:tc>
          <w:tcPr>
            <w:tcW w:w="7700" w:type="dxa"/>
            <w:vAlign w:val="bottom"/>
          </w:tcPr>
          <w:p>
            <w:pPr>
              <w:ind w:left="140"/>
              <w:spacing w:after="0"/>
              <w:rPr>
                <w:sz w:val="20"/>
                <w:szCs w:val="20"/>
                <w:color w:val="auto"/>
              </w:rPr>
            </w:pPr>
            <w:r>
              <w:rPr>
                <w:rFonts w:ascii="Arial" w:cs="Arial" w:eastAsia="Arial" w:hAnsi="Arial"/>
                <w:sz w:val="18"/>
                <w:szCs w:val="18"/>
                <w:color w:val="auto"/>
              </w:rPr>
              <w:t>Other costs of operations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26"/>
        </w:trPr>
        <w:tc>
          <w:tcPr>
            <w:tcW w:w="7700" w:type="dxa"/>
            <w:vAlign w:val="bottom"/>
          </w:tcPr>
          <w:p>
            <w:pPr>
              <w:ind w:left="140"/>
              <w:spacing w:after="0"/>
              <w:rPr>
                <w:sz w:val="20"/>
                <w:szCs w:val="20"/>
                <w:color w:val="auto"/>
              </w:rPr>
            </w:pPr>
            <w:r>
              <w:rPr>
                <w:rFonts w:ascii="Arial" w:cs="Arial" w:eastAsia="Arial" w:hAnsi="Arial"/>
                <w:sz w:val="18"/>
                <w:szCs w:val="18"/>
                <w:color w:val="auto"/>
              </w:rPr>
              <w:t>Impairment losses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6"/>
        </w:trPr>
        <w:tc>
          <w:tcPr>
            <w:tcW w:w="7700" w:type="dxa"/>
            <w:vAlign w:val="bottom"/>
          </w:tcPr>
          <w:p>
            <w:pPr>
              <w:ind w:left="140"/>
              <w:spacing w:after="0"/>
              <w:rPr>
                <w:sz w:val="20"/>
                <w:szCs w:val="20"/>
                <w:color w:val="auto"/>
              </w:rPr>
            </w:pPr>
            <w:r>
              <w:rPr>
                <w:rFonts w:ascii="Arial" w:cs="Arial" w:eastAsia="Arial" w:hAnsi="Arial"/>
                <w:sz w:val="18"/>
                <w:szCs w:val="18"/>
                <w:color w:val="auto"/>
              </w:rPr>
              <w:t>Transaction and integration costs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 costs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9"/>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costs and expenses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r>
      <w:tr>
        <w:trPr>
          <w:trHeight w:val="221"/>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7"/>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6"/>
        </w:trPr>
        <w:tc>
          <w:tcPr>
            <w:tcW w:w="7700" w:type="dxa"/>
            <w:vAlign w:val="bottom"/>
          </w:tcPr>
          <w:p>
            <w:pPr>
              <w:ind w:left="140"/>
              <w:spacing w:after="0"/>
              <w:rPr>
                <w:sz w:val="20"/>
                <w:szCs w:val="20"/>
                <w:color w:val="auto"/>
              </w:rPr>
            </w:pPr>
            <w:r>
              <w:rPr>
                <w:rFonts w:ascii="Arial" w:cs="Arial" w:eastAsia="Arial" w:hAnsi="Arial"/>
                <w:sz w:val="18"/>
                <w:szCs w:val="18"/>
                <w:color w:val="auto"/>
              </w:rPr>
              <w:t>Impairment loss on investment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unconsolidated affiliate</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70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6"/>
        </w:trPr>
        <w:tc>
          <w:tcPr>
            <w:tcW w:w="7700" w:type="dxa"/>
            <w:vAlign w:val="bottom"/>
          </w:tcPr>
          <w:p>
            <w:pPr>
              <w:ind w:left="140"/>
              <w:spacing w:after="0"/>
              <w:rPr>
                <w:sz w:val="20"/>
                <w:szCs w:val="20"/>
                <w:color w:val="auto"/>
              </w:rPr>
            </w:pPr>
            <w:r>
              <w:rPr>
                <w:rFonts w:ascii="Arial" w:cs="Arial" w:eastAsia="Arial" w:hAnsi="Arial"/>
                <w:sz w:val="18"/>
                <w:szCs w:val="18"/>
                <w:color w:val="auto"/>
              </w:rPr>
              <w:t>Derivative interest income (expense)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interest expense</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19"/>
        </w:trPr>
        <w:tc>
          <w:tcPr>
            <w:tcW w:w="7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expense, net</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21"/>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6"/>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 (benefit)</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1"/>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9"/>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46"/>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Clearway Energy, Inc.</w:t>
            </w: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gridSpan w:val="2"/>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620"/>
        </w:trPr>
        <w:tc>
          <w:tcPr>
            <w:tcW w:w="7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right"/>
              <w:ind w:right="51"/>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1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Business metrics:</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r>
      <w:tr>
        <w:trPr>
          <w:trHeight w:val="221"/>
        </w:trPr>
        <w:tc>
          <w:tcPr>
            <w:tcW w:w="7700" w:type="dxa"/>
            <w:vAlign w:val="bottom"/>
            <w:shd w:val="clear" w:color="auto" w:fill="CCEEFF"/>
          </w:tcPr>
          <w:p>
            <w:pPr>
              <w:ind w:left="20"/>
              <w:spacing w:after="0" w:line="221"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3"/>
                <w:szCs w:val="23"/>
                <w:color w:val="auto"/>
                <w:vertAlign w:val="superscript"/>
              </w:rPr>
              <w:t>(a)</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11,313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7,460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6,584</w:t>
            </w:r>
          </w:p>
        </w:tc>
      </w:tr>
      <w:tr>
        <w:trPr>
          <w:trHeight w:val="226"/>
        </w:trPr>
        <w:tc>
          <w:tcPr>
            <w:tcW w:w="7700" w:type="dxa"/>
            <w:vAlign w:val="bottom"/>
          </w:tcPr>
          <w:p>
            <w:pPr>
              <w:ind w:left="20"/>
              <w:spacing w:after="0"/>
              <w:rPr>
                <w:sz w:val="20"/>
                <w:szCs w:val="20"/>
                <w:color w:val="auto"/>
              </w:rPr>
            </w:pPr>
            <w:r>
              <w:rPr>
                <w:rFonts w:ascii="Arial" w:cs="Arial" w:eastAsia="Arial" w:hAnsi="Arial"/>
                <w:sz w:val="18"/>
                <w:szCs w:val="18"/>
                <w:color w:val="auto"/>
              </w:rPr>
              <w:t>Thermal MWt sold (in thousands)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2,153</w:t>
            </w:r>
          </w:p>
        </w:tc>
      </w:tr>
      <w:tr>
        <w:trPr>
          <w:trHeight w:val="227"/>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Thermal MWh sold (in thousands)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176</w:t>
            </w:r>
          </w:p>
        </w:tc>
      </w:tr>
      <w:tr>
        <w:trPr>
          <w:trHeight w:val="227"/>
        </w:trPr>
        <w:tc>
          <w:tcPr>
            <w:tcW w:w="770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3"/>
                <w:szCs w:val="23"/>
                <w:color w:val="auto"/>
                <w:vertAlign w:val="superscript"/>
              </w:rPr>
              <w:t>(a)(b)</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1,095</w:t>
            </w:r>
          </w:p>
        </w:tc>
      </w:tr>
      <w:tr>
        <w:trPr>
          <w:trHeight w:val="227"/>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Conventional equivalent availability factor</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13792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spacing w:after="0" w:line="278" w:lineRule="exact"/>
        <w:rPr>
          <w:sz w:val="20"/>
          <w:szCs w:val="20"/>
          <w:color w:val="auto"/>
        </w:rPr>
      </w:pPr>
    </w:p>
    <w:p>
      <w:pPr>
        <w:ind w:left="140" w:hanging="133"/>
        <w:spacing w:after="0"/>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3"/>
          <w:szCs w:val="13"/>
          <w:color w:val="auto"/>
        </w:rPr>
        <w:t>Volumes do not include the MWh generated/sold by the Company's equity method investments.</w:t>
      </w:r>
    </w:p>
    <w:p>
      <w:pPr>
        <w:spacing w:after="0" w:line="44" w:lineRule="exact"/>
        <w:rPr>
          <w:rFonts w:ascii="Arial" w:cs="Arial" w:eastAsia="Arial" w:hAnsi="Arial"/>
          <w:sz w:val="16"/>
          <w:szCs w:val="16"/>
          <w:color w:val="auto"/>
          <w:vertAlign w:val="superscript"/>
        </w:rPr>
      </w:pPr>
    </w:p>
    <w:p>
      <w:pPr>
        <w:ind w:left="140" w:hanging="133"/>
        <w:spacing w:after="0" w:line="219" w:lineRule="auto"/>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3"/>
          <w:szCs w:val="13"/>
          <w:color w:val="auto"/>
        </w:rPr>
        <w:t>Volumes generated are not sold as the Conventional facilities sell capacity rather than energy.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2" w:name="page53"/>
    <w:bookmarkEnd w:id="52"/>
    <w:p>
      <w:pPr>
        <w:ind w:right="3540"/>
        <w:spacing w:after="0" w:line="436" w:lineRule="auto"/>
        <w:rPr>
          <w:sz w:val="20"/>
          <w:szCs w:val="20"/>
          <w:color w:val="auto"/>
        </w:rPr>
      </w:pPr>
      <w:r>
        <w:rPr>
          <w:rFonts w:ascii="Arial" w:cs="Arial" w:eastAsia="Arial" w:hAnsi="Arial"/>
          <w:sz w:val="18"/>
          <w:szCs w:val="18"/>
          <w:b w:val="1"/>
          <w:bCs w:val="1"/>
          <w:color w:val="auto"/>
        </w:rPr>
        <w:t xml:space="preserve">Management's discussion of the results of operations for the years ended December 31, 2021 and 2020 </w:t>
      </w:r>
      <w:r>
        <w:rPr>
          <w:rFonts w:ascii="Arial" w:cs="Arial" w:eastAsia="Arial" w:hAnsi="Arial"/>
          <w:sz w:val="18"/>
          <w:szCs w:val="18"/>
          <w:b w:val="1"/>
          <w:bCs w:val="1"/>
          <w:i w:val="1"/>
          <w:iCs w:val="1"/>
          <w:color w:val="auto"/>
        </w:rPr>
        <w:t>Operating Revenues</w:t>
      </w:r>
    </w:p>
    <w:p>
      <w:pPr>
        <w:ind w:firstLine="400"/>
        <w:spacing w:after="0" w:line="267" w:lineRule="auto"/>
        <w:rPr>
          <w:sz w:val="20"/>
          <w:szCs w:val="20"/>
          <w:color w:val="auto"/>
        </w:rPr>
      </w:pPr>
      <w:r>
        <w:rPr>
          <w:rFonts w:ascii="Arial" w:cs="Arial" w:eastAsia="Arial" w:hAnsi="Arial"/>
          <w:sz w:val="18"/>
          <w:szCs w:val="18"/>
          <w:color w:val="auto"/>
        </w:rPr>
        <w:t>Operating revenues increased by $87 million for the year ended December 31, 2021, compared to the same period in 2020, due to a combination of the drivers summarized in the table below:</w:t>
      </w:r>
    </w:p>
    <w:p>
      <w:pPr>
        <w:sectPr>
          <w:pgSz w:w="11900" w:h="16838" w:orient="portrait"/>
          <w:cols w:equalWidth="0" w:num="1">
            <w:col w:w="11240"/>
          </w:cols>
          <w:pgMar w:left="320" w:top="921" w:right="339" w:bottom="1440" w:gutter="0" w:footer="0" w:header="0"/>
        </w:sect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rPr>
              <w:t>Renewables Segment</w:t>
            </w:r>
          </w:p>
        </w:tc>
        <w:tc>
          <w:tcPr>
            <w:tcW w:w="7500" w:type="dxa"/>
            <w:vAlign w:val="bottom"/>
          </w:tcPr>
          <w:p>
            <w:pPr>
              <w:ind w:left="300"/>
              <w:spacing w:after="0"/>
              <w:rPr>
                <w:sz w:val="20"/>
                <w:szCs w:val="20"/>
                <w:color w:val="auto"/>
              </w:rPr>
            </w:pPr>
            <w:r>
              <w:rPr>
                <w:rFonts w:ascii="Arial" w:cs="Arial" w:eastAsia="Arial" w:hAnsi="Arial"/>
                <w:sz w:val="18"/>
                <w:szCs w:val="18"/>
                <w:color w:val="auto"/>
                <w:w w:val="91"/>
              </w:rPr>
              <w:t>Increase due to the acquisitions of Agua Caliente, Mt. Storm, Mesquite Star, Rattlesnake, Langford</w:t>
            </w:r>
          </w:p>
        </w:tc>
        <w:tc>
          <w:tcPr>
            <w:tcW w:w="0" w:type="dxa"/>
            <w:vAlign w:val="bottom"/>
          </w:tcPr>
          <w:p>
            <w:pPr>
              <w:spacing w:after="0"/>
              <w:rPr>
                <w:sz w:val="1"/>
                <w:szCs w:val="1"/>
                <w:color w:val="auto"/>
              </w:rPr>
            </w:pPr>
          </w:p>
        </w:tc>
      </w:tr>
      <w:tr>
        <w:trPr>
          <w:trHeight w:val="173"/>
        </w:trPr>
        <w:tc>
          <w:tcPr>
            <w:tcW w:w="2320" w:type="dxa"/>
            <w:vAlign w:val="bottom"/>
          </w:tcPr>
          <w:p>
            <w:pPr>
              <w:spacing w:after="0"/>
              <w:rPr>
                <w:sz w:val="15"/>
                <w:szCs w:val="15"/>
                <w:color w:val="auto"/>
              </w:rPr>
            </w:pPr>
          </w:p>
        </w:tc>
        <w:tc>
          <w:tcPr>
            <w:tcW w:w="7500" w:type="dxa"/>
            <w:vAlign w:val="bottom"/>
          </w:tcPr>
          <w:p>
            <w:pPr>
              <w:ind w:left="300"/>
              <w:spacing w:after="0" w:line="173" w:lineRule="exact"/>
              <w:rPr>
                <w:sz w:val="20"/>
                <w:szCs w:val="20"/>
                <w:color w:val="auto"/>
              </w:rPr>
            </w:pPr>
            <w:r>
              <w:rPr>
                <w:rFonts w:ascii="Arial" w:cs="Arial" w:eastAsia="Arial" w:hAnsi="Arial"/>
                <w:sz w:val="18"/>
                <w:szCs w:val="18"/>
                <w:color w:val="auto"/>
                <w:w w:val="95"/>
              </w:rPr>
              <w:t>and Rosamond Central, and the consolidation of the DGPV investments as well as higher wind</w:t>
            </w:r>
          </w:p>
        </w:tc>
        <w:tc>
          <w:tcPr>
            <w:tcW w:w="0" w:type="dxa"/>
            <w:vAlign w:val="bottom"/>
          </w:tcPr>
          <w:p>
            <w:pPr>
              <w:spacing w:after="0"/>
              <w:rPr>
                <w:sz w:val="1"/>
                <w:szCs w:val="1"/>
                <w:color w:val="auto"/>
              </w:rPr>
            </w:pPr>
          </w:p>
        </w:tc>
      </w:tr>
      <w:tr>
        <w:trPr>
          <w:trHeight w:val="173"/>
        </w:trPr>
        <w:tc>
          <w:tcPr>
            <w:tcW w:w="2320" w:type="dxa"/>
            <w:vAlign w:val="bottom"/>
          </w:tcPr>
          <w:p>
            <w:pPr>
              <w:spacing w:after="0"/>
              <w:rPr>
                <w:sz w:val="15"/>
                <w:szCs w:val="15"/>
                <w:color w:val="auto"/>
              </w:rPr>
            </w:pPr>
          </w:p>
        </w:tc>
        <w:tc>
          <w:tcPr>
            <w:tcW w:w="7500" w:type="dxa"/>
            <w:vAlign w:val="bottom"/>
          </w:tcPr>
          <w:p>
            <w:pPr>
              <w:ind w:left="300"/>
              <w:spacing w:after="0" w:line="173" w:lineRule="exact"/>
              <w:rPr>
                <w:sz w:val="20"/>
                <w:szCs w:val="20"/>
                <w:color w:val="auto"/>
              </w:rPr>
            </w:pPr>
            <w:r>
              <w:rPr>
                <w:rFonts w:ascii="Arial" w:cs="Arial" w:eastAsia="Arial" w:hAnsi="Arial"/>
                <w:sz w:val="18"/>
                <w:szCs w:val="18"/>
                <w:color w:val="auto"/>
                <w:w w:val="93"/>
              </w:rPr>
              <w:t>production at Alta, partially offset by $50 million of net settlements of obligations for wind facilities</w:t>
            </w:r>
          </w:p>
        </w:tc>
        <w:tc>
          <w:tcPr>
            <w:tcW w:w="0" w:type="dxa"/>
            <w:vAlign w:val="bottom"/>
          </w:tcPr>
          <w:p>
            <w:pPr>
              <w:spacing w:after="0"/>
              <w:rPr>
                <w:sz w:val="1"/>
                <w:szCs w:val="1"/>
                <w:color w:val="auto"/>
              </w:rPr>
            </w:pPr>
          </w:p>
        </w:tc>
      </w:tr>
      <w:tr>
        <w:trPr>
          <w:trHeight w:val="173"/>
        </w:trPr>
        <w:tc>
          <w:tcPr>
            <w:tcW w:w="2320" w:type="dxa"/>
            <w:vAlign w:val="bottom"/>
          </w:tcPr>
          <w:p>
            <w:pPr>
              <w:spacing w:after="0"/>
              <w:rPr>
                <w:sz w:val="15"/>
                <w:szCs w:val="15"/>
                <w:color w:val="auto"/>
              </w:rPr>
            </w:pPr>
          </w:p>
        </w:tc>
        <w:tc>
          <w:tcPr>
            <w:tcW w:w="7500" w:type="dxa"/>
            <w:vAlign w:val="bottom"/>
          </w:tcPr>
          <w:p>
            <w:pPr>
              <w:ind w:left="300"/>
              <w:spacing w:after="0" w:line="173" w:lineRule="exact"/>
              <w:rPr>
                <w:sz w:val="20"/>
                <w:szCs w:val="20"/>
                <w:color w:val="auto"/>
              </w:rPr>
            </w:pPr>
            <w:r>
              <w:rPr>
                <w:rFonts w:ascii="Arial" w:cs="Arial" w:eastAsia="Arial" w:hAnsi="Arial"/>
                <w:sz w:val="18"/>
                <w:szCs w:val="18"/>
                <w:color w:val="auto"/>
                <w:w w:val="95"/>
              </w:rPr>
              <w:t>that were unable to produce the required output during extreme weather conditions in Texas in</w:t>
            </w:r>
          </w:p>
        </w:tc>
        <w:tc>
          <w:tcPr>
            <w:tcW w:w="0" w:type="dxa"/>
            <w:vAlign w:val="bottom"/>
          </w:tcPr>
          <w:p>
            <w:pPr>
              <w:spacing w:after="0"/>
              <w:rPr>
                <w:sz w:val="1"/>
                <w:szCs w:val="1"/>
                <w:color w:val="auto"/>
              </w:rPr>
            </w:pPr>
          </w:p>
        </w:tc>
      </w:tr>
      <w:tr>
        <w:trPr>
          <w:trHeight w:val="224"/>
        </w:trPr>
        <w:tc>
          <w:tcPr>
            <w:tcW w:w="2320" w:type="dxa"/>
            <w:vAlign w:val="bottom"/>
            <w:vMerge w:val="restart"/>
          </w:tcPr>
          <w:p>
            <w:pPr>
              <w:spacing w:after="0"/>
              <w:rPr>
                <w:sz w:val="20"/>
                <w:szCs w:val="20"/>
                <w:color w:val="auto"/>
              </w:rPr>
            </w:pPr>
            <w:r>
              <w:rPr>
                <w:rFonts w:ascii="Arial" w:cs="Arial" w:eastAsia="Arial" w:hAnsi="Arial"/>
                <w:sz w:val="18"/>
                <w:szCs w:val="18"/>
                <w:b w:val="1"/>
                <w:bCs w:val="1"/>
                <w:color w:val="auto"/>
              </w:rPr>
              <w:t>Thermal Segment</w:t>
            </w:r>
          </w:p>
        </w:tc>
        <w:tc>
          <w:tcPr>
            <w:tcW w:w="7500" w:type="dxa"/>
            <w:vAlign w:val="bottom"/>
          </w:tcPr>
          <w:p>
            <w:pPr>
              <w:ind w:left="300"/>
              <w:spacing w:after="0"/>
              <w:rPr>
                <w:sz w:val="20"/>
                <w:szCs w:val="20"/>
                <w:color w:val="auto"/>
              </w:rPr>
            </w:pPr>
            <w:r>
              <w:rPr>
                <w:rFonts w:ascii="Arial" w:cs="Arial" w:eastAsia="Arial" w:hAnsi="Arial"/>
                <w:sz w:val="18"/>
                <w:szCs w:val="18"/>
                <w:color w:val="auto"/>
              </w:rPr>
              <w:t>February 2021</w:t>
            </w:r>
          </w:p>
        </w:tc>
        <w:tc>
          <w:tcPr>
            <w:tcW w:w="0" w:type="dxa"/>
            <w:vAlign w:val="bottom"/>
          </w:tcPr>
          <w:p>
            <w:pPr>
              <w:spacing w:after="0"/>
              <w:rPr>
                <w:sz w:val="1"/>
                <w:szCs w:val="1"/>
                <w:color w:val="auto"/>
              </w:rPr>
            </w:pPr>
          </w:p>
        </w:tc>
      </w:tr>
      <w:tr>
        <w:trPr>
          <w:trHeight w:val="176"/>
        </w:trPr>
        <w:tc>
          <w:tcPr>
            <w:tcW w:w="2320" w:type="dxa"/>
            <w:vAlign w:val="bottom"/>
            <w:vMerge w:val="continue"/>
          </w:tcPr>
          <w:p>
            <w:pPr>
              <w:spacing w:after="0"/>
              <w:rPr>
                <w:sz w:val="15"/>
                <w:szCs w:val="15"/>
                <w:color w:val="auto"/>
              </w:rPr>
            </w:pPr>
          </w:p>
        </w:tc>
        <w:tc>
          <w:tcPr>
            <w:tcW w:w="7500" w:type="dxa"/>
            <w:vAlign w:val="bottom"/>
          </w:tcPr>
          <w:p>
            <w:pPr>
              <w:ind w:left="300"/>
              <w:spacing w:after="0" w:line="176" w:lineRule="exact"/>
              <w:rPr>
                <w:sz w:val="20"/>
                <w:szCs w:val="20"/>
                <w:color w:val="auto"/>
              </w:rPr>
            </w:pPr>
            <w:r>
              <w:rPr>
                <w:rFonts w:ascii="Arial" w:cs="Arial" w:eastAsia="Arial" w:hAnsi="Arial"/>
                <w:sz w:val="18"/>
                <w:szCs w:val="18"/>
                <w:color w:val="auto"/>
                <w:w w:val="93"/>
              </w:rPr>
              <w:t>Increase primarily driven by higher volumes and higher gas prices passed through to customers,</w:t>
            </w:r>
          </w:p>
        </w:tc>
        <w:tc>
          <w:tcPr>
            <w:tcW w:w="0" w:type="dxa"/>
            <w:vAlign w:val="bottom"/>
          </w:tcPr>
          <w:p>
            <w:pPr>
              <w:spacing w:after="0"/>
              <w:rPr>
                <w:sz w:val="1"/>
                <w:szCs w:val="1"/>
                <w:color w:val="auto"/>
              </w:rPr>
            </w:pPr>
          </w:p>
        </w:tc>
      </w:tr>
      <w:tr>
        <w:trPr>
          <w:trHeight w:val="224"/>
        </w:trPr>
        <w:tc>
          <w:tcPr>
            <w:tcW w:w="2320" w:type="dxa"/>
            <w:vAlign w:val="bottom"/>
            <w:vMerge w:val="restart"/>
          </w:tcPr>
          <w:p>
            <w:pPr>
              <w:spacing w:after="0"/>
              <w:rPr>
                <w:sz w:val="20"/>
                <w:szCs w:val="20"/>
                <w:color w:val="auto"/>
              </w:rPr>
            </w:pPr>
            <w:r>
              <w:rPr>
                <w:rFonts w:ascii="Arial" w:cs="Arial" w:eastAsia="Arial" w:hAnsi="Arial"/>
                <w:sz w:val="18"/>
                <w:szCs w:val="18"/>
                <w:b w:val="1"/>
                <w:bCs w:val="1"/>
                <w:color w:val="auto"/>
              </w:rPr>
              <w:t>Conventional Segment</w:t>
            </w:r>
          </w:p>
        </w:tc>
        <w:tc>
          <w:tcPr>
            <w:tcW w:w="7500" w:type="dxa"/>
            <w:vAlign w:val="bottom"/>
          </w:tcPr>
          <w:p>
            <w:pPr>
              <w:ind w:left="300"/>
              <w:spacing w:after="0"/>
              <w:rPr>
                <w:sz w:val="20"/>
                <w:szCs w:val="20"/>
                <w:color w:val="auto"/>
              </w:rPr>
            </w:pPr>
            <w:r>
              <w:rPr>
                <w:rFonts w:ascii="Arial" w:cs="Arial" w:eastAsia="Arial" w:hAnsi="Arial"/>
                <w:sz w:val="18"/>
                <w:szCs w:val="18"/>
                <w:color w:val="auto"/>
              </w:rPr>
              <w:t>partially offset by a sales-type lease recognized in September 2020</w:t>
            </w:r>
          </w:p>
        </w:tc>
        <w:tc>
          <w:tcPr>
            <w:tcW w:w="0" w:type="dxa"/>
            <w:vAlign w:val="bottom"/>
          </w:tcPr>
          <w:p>
            <w:pPr>
              <w:spacing w:after="0"/>
              <w:rPr>
                <w:sz w:val="1"/>
                <w:szCs w:val="1"/>
                <w:color w:val="auto"/>
              </w:rPr>
            </w:pPr>
          </w:p>
        </w:tc>
      </w:tr>
      <w:tr>
        <w:trPr>
          <w:trHeight w:val="223"/>
        </w:trPr>
        <w:tc>
          <w:tcPr>
            <w:tcW w:w="2320" w:type="dxa"/>
            <w:vAlign w:val="bottom"/>
            <w:vMerge w:val="continue"/>
          </w:tcPr>
          <w:p>
            <w:pPr>
              <w:spacing w:after="0"/>
              <w:rPr>
                <w:sz w:val="19"/>
                <w:szCs w:val="19"/>
                <w:color w:val="auto"/>
              </w:rPr>
            </w:pPr>
          </w:p>
        </w:tc>
        <w:tc>
          <w:tcPr>
            <w:tcW w:w="7500" w:type="dxa"/>
            <w:vAlign w:val="bottom"/>
          </w:tcPr>
          <w:p>
            <w:pPr>
              <w:ind w:left="300"/>
              <w:spacing w:after="0"/>
              <w:rPr>
                <w:sz w:val="20"/>
                <w:szCs w:val="20"/>
                <w:color w:val="auto"/>
              </w:rPr>
            </w:pPr>
            <w:r>
              <w:rPr>
                <w:rFonts w:ascii="Arial" w:cs="Arial" w:eastAsia="Arial" w:hAnsi="Arial"/>
                <w:sz w:val="18"/>
                <w:szCs w:val="18"/>
                <w:color w:val="auto"/>
              </w:rPr>
              <w:t>Increase primarily due to improved availability at the California natural gas portfolio</w:t>
            </w:r>
          </w:p>
        </w:tc>
        <w:tc>
          <w:tcPr>
            <w:tcW w:w="0" w:type="dxa"/>
            <w:vAlign w:val="bottom"/>
          </w:tcPr>
          <w:p>
            <w:pPr>
              <w:spacing w:after="0"/>
              <w:rPr>
                <w:sz w:val="1"/>
                <w:szCs w:val="1"/>
                <w:color w:val="auto"/>
              </w:rPr>
            </w:pPr>
          </w:p>
        </w:tc>
      </w:tr>
      <w:tr>
        <w:trPr>
          <w:trHeight w:val="178"/>
        </w:trPr>
        <w:tc>
          <w:tcPr>
            <w:tcW w:w="2320" w:type="dxa"/>
            <w:vAlign w:val="bottom"/>
          </w:tcPr>
          <w:p>
            <w:pPr>
              <w:spacing w:after="0" w:line="178" w:lineRule="exact"/>
              <w:rPr>
                <w:sz w:val="20"/>
                <w:szCs w:val="20"/>
                <w:color w:val="auto"/>
              </w:rPr>
            </w:pPr>
            <w:r>
              <w:rPr>
                <w:rFonts w:ascii="Arial" w:cs="Arial" w:eastAsia="Arial" w:hAnsi="Arial"/>
                <w:sz w:val="18"/>
                <w:szCs w:val="18"/>
                <w:b w:val="1"/>
                <w:bCs w:val="1"/>
                <w:color w:val="auto"/>
              </w:rPr>
              <w:t>Mark-to-market economic</w:t>
            </w:r>
          </w:p>
        </w:tc>
        <w:tc>
          <w:tcPr>
            <w:tcW w:w="7500" w:type="dxa"/>
            <w:vAlign w:val="bottom"/>
          </w:tcPr>
          <w:p>
            <w:pPr>
              <w:ind w:left="300"/>
              <w:spacing w:after="0" w:line="178" w:lineRule="exact"/>
              <w:rPr>
                <w:sz w:val="20"/>
                <w:szCs w:val="20"/>
                <w:color w:val="auto"/>
              </w:rPr>
            </w:pPr>
            <w:r>
              <w:rPr>
                <w:rFonts w:ascii="Arial" w:cs="Arial" w:eastAsia="Arial" w:hAnsi="Arial"/>
                <w:sz w:val="18"/>
                <w:szCs w:val="18"/>
                <w:color w:val="auto"/>
                <w:w w:val="90"/>
              </w:rPr>
              <w:t>Increase in unrealized losses from changes in the fair value of commodity contracts, primarily driven</w:t>
            </w:r>
          </w:p>
        </w:tc>
        <w:tc>
          <w:tcPr>
            <w:tcW w:w="0" w:type="dxa"/>
            <w:vAlign w:val="bottom"/>
          </w:tcPr>
          <w:p>
            <w:pPr>
              <w:spacing w:after="0"/>
              <w:rPr>
                <w:sz w:val="1"/>
                <w:szCs w:val="1"/>
                <w:color w:val="auto"/>
              </w:rPr>
            </w:pPr>
          </w:p>
        </w:tc>
      </w:tr>
      <w:tr>
        <w:trPr>
          <w:trHeight w:val="201"/>
        </w:trPr>
        <w:tc>
          <w:tcPr>
            <w:tcW w:w="2320" w:type="dxa"/>
            <w:vAlign w:val="bottom"/>
          </w:tcPr>
          <w:p>
            <w:pPr>
              <w:spacing w:after="0" w:line="201" w:lineRule="exact"/>
              <w:rPr>
                <w:sz w:val="20"/>
                <w:szCs w:val="20"/>
                <w:color w:val="auto"/>
              </w:rPr>
            </w:pPr>
            <w:r>
              <w:rPr>
                <w:rFonts w:ascii="Arial" w:cs="Arial" w:eastAsia="Arial" w:hAnsi="Arial"/>
                <w:sz w:val="18"/>
                <w:szCs w:val="18"/>
                <w:b w:val="1"/>
                <w:bCs w:val="1"/>
                <w:color w:val="auto"/>
              </w:rPr>
              <w:t>hedging activities</w:t>
            </w:r>
          </w:p>
        </w:tc>
        <w:tc>
          <w:tcPr>
            <w:tcW w:w="7500" w:type="dxa"/>
            <w:vAlign w:val="bottom"/>
          </w:tcPr>
          <w:p>
            <w:pPr>
              <w:ind w:left="300"/>
              <w:spacing w:after="0" w:line="201" w:lineRule="exact"/>
              <w:rPr>
                <w:sz w:val="20"/>
                <w:szCs w:val="20"/>
                <w:color w:val="auto"/>
              </w:rPr>
            </w:pPr>
            <w:r>
              <w:rPr>
                <w:rFonts w:ascii="Arial" w:cs="Arial" w:eastAsia="Arial" w:hAnsi="Arial"/>
                <w:sz w:val="18"/>
                <w:szCs w:val="18"/>
                <w:color w:val="auto"/>
                <w:w w:val="92"/>
              </w:rPr>
              <w:t>by the acquisitions of Mesquite Star and Mt. Storm, and increases in forward commodity prices in</w:t>
            </w:r>
          </w:p>
        </w:tc>
        <w:tc>
          <w:tcPr>
            <w:tcW w:w="0" w:type="dxa"/>
            <w:vAlign w:val="bottom"/>
          </w:tcPr>
          <w:p>
            <w:pPr>
              <w:spacing w:after="0"/>
              <w:rPr>
                <w:sz w:val="1"/>
                <w:szCs w:val="1"/>
                <w:color w:val="auto"/>
              </w:rPr>
            </w:pPr>
          </w:p>
        </w:tc>
      </w:tr>
      <w:tr>
        <w:trPr>
          <w:trHeight w:val="224"/>
        </w:trPr>
        <w:tc>
          <w:tcPr>
            <w:tcW w:w="2320" w:type="dxa"/>
            <w:vAlign w:val="bottom"/>
          </w:tcPr>
          <w:p>
            <w:pPr>
              <w:spacing w:after="0"/>
              <w:rPr>
                <w:sz w:val="19"/>
                <w:szCs w:val="19"/>
                <w:color w:val="auto"/>
              </w:rPr>
            </w:pPr>
          </w:p>
        </w:tc>
        <w:tc>
          <w:tcPr>
            <w:tcW w:w="7500" w:type="dxa"/>
            <w:vAlign w:val="bottom"/>
          </w:tcPr>
          <w:p>
            <w:pPr>
              <w:ind w:left="300"/>
              <w:spacing w:after="0"/>
              <w:rPr>
                <w:sz w:val="20"/>
                <w:szCs w:val="20"/>
                <w:color w:val="auto"/>
              </w:rPr>
            </w:pPr>
            <w:r>
              <w:rPr>
                <w:rFonts w:ascii="Arial" w:cs="Arial" w:eastAsia="Arial" w:hAnsi="Arial"/>
                <w:sz w:val="18"/>
                <w:szCs w:val="18"/>
                <w:color w:val="auto"/>
              </w:rPr>
              <w:t>ERCOT and PJM</w:t>
            </w:r>
          </w:p>
        </w:tc>
        <w:tc>
          <w:tcPr>
            <w:tcW w:w="0" w:type="dxa"/>
            <w:vAlign w:val="bottom"/>
          </w:tcPr>
          <w:p>
            <w:pPr>
              <w:spacing w:after="0"/>
              <w:rPr>
                <w:sz w:val="1"/>
                <w:szCs w:val="1"/>
                <w:color w:val="auto"/>
              </w:rPr>
            </w:pPr>
          </w:p>
        </w:tc>
      </w:tr>
      <w:tr>
        <w:trPr>
          <w:trHeight w:val="189"/>
        </w:trPr>
        <w:tc>
          <w:tcPr>
            <w:tcW w:w="2320" w:type="dxa"/>
            <w:vAlign w:val="bottom"/>
          </w:tcPr>
          <w:p>
            <w:pPr>
              <w:spacing w:after="0" w:line="189" w:lineRule="exact"/>
              <w:rPr>
                <w:sz w:val="20"/>
                <w:szCs w:val="20"/>
                <w:color w:val="auto"/>
              </w:rPr>
            </w:pPr>
            <w:r>
              <w:rPr>
                <w:rFonts w:ascii="Arial" w:cs="Arial" w:eastAsia="Arial" w:hAnsi="Arial"/>
                <w:sz w:val="18"/>
                <w:szCs w:val="18"/>
                <w:b w:val="1"/>
                <w:bCs w:val="1"/>
                <w:color w:val="auto"/>
              </w:rPr>
              <w:t>Contract amortization</w:t>
            </w:r>
          </w:p>
        </w:tc>
        <w:tc>
          <w:tcPr>
            <w:tcW w:w="7500" w:type="dxa"/>
            <w:vAlign w:val="bottom"/>
          </w:tcPr>
          <w:p>
            <w:pPr>
              <w:ind w:left="300"/>
              <w:spacing w:after="0" w:line="189" w:lineRule="exact"/>
              <w:rPr>
                <w:sz w:val="20"/>
                <w:szCs w:val="20"/>
                <w:color w:val="auto"/>
              </w:rPr>
            </w:pPr>
            <w:r>
              <w:rPr>
                <w:rFonts w:ascii="Arial" w:cs="Arial" w:eastAsia="Arial" w:hAnsi="Arial"/>
                <w:sz w:val="18"/>
                <w:szCs w:val="18"/>
                <w:color w:val="auto"/>
                <w:w w:val="92"/>
              </w:rPr>
              <w:t>Increase primarily driven by amortization of the intangible asset for power purchase agreement in</w:t>
            </w:r>
          </w:p>
        </w:tc>
        <w:tc>
          <w:tcPr>
            <w:tcW w:w="0" w:type="dxa"/>
            <w:vAlign w:val="bottom"/>
          </w:tcPr>
          <w:p>
            <w:pPr>
              <w:spacing w:after="0"/>
              <w:rPr>
                <w:sz w:val="1"/>
                <w:szCs w:val="1"/>
                <w:color w:val="auto"/>
              </w:rPr>
            </w:pPr>
          </w:p>
        </w:tc>
      </w:tr>
      <w:tr>
        <w:trPr>
          <w:trHeight w:val="224"/>
        </w:trPr>
        <w:tc>
          <w:tcPr>
            <w:tcW w:w="2320" w:type="dxa"/>
            <w:vAlign w:val="bottom"/>
          </w:tcPr>
          <w:p>
            <w:pPr>
              <w:spacing w:after="0"/>
              <w:rPr>
                <w:sz w:val="19"/>
                <w:szCs w:val="19"/>
                <w:color w:val="auto"/>
              </w:rPr>
            </w:pPr>
          </w:p>
        </w:tc>
        <w:tc>
          <w:tcPr>
            <w:tcW w:w="7500" w:type="dxa"/>
            <w:vAlign w:val="bottom"/>
          </w:tcPr>
          <w:p>
            <w:pPr>
              <w:ind w:left="300"/>
              <w:spacing w:after="0"/>
              <w:rPr>
                <w:sz w:val="20"/>
                <w:szCs w:val="20"/>
                <w:color w:val="auto"/>
              </w:rPr>
            </w:pPr>
            <w:r>
              <w:rPr>
                <w:rFonts w:ascii="Arial" w:cs="Arial" w:eastAsia="Arial" w:hAnsi="Arial"/>
                <w:sz w:val="18"/>
                <w:szCs w:val="18"/>
                <w:color w:val="auto"/>
              </w:rPr>
              <w:t>connection with the acquisition of Agua Caliente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-785495</wp:posOffset>
            </wp:positionV>
            <wp:extent cx="7134225" cy="144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-252730</wp:posOffset>
            </wp:positionV>
            <wp:extent cx="7134225" cy="2540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2540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-1623060</wp:posOffset>
            </wp:positionV>
            <wp:extent cx="7134225" cy="5842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584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20" w:hanging="101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217</w:t>
      </w:r>
    </w:p>
    <w:p>
      <w:pPr>
        <w:spacing w:after="0" w:line="19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(87)</w:t>
      </w:r>
    </w:p>
    <w:p>
      <w:pPr>
        <w:spacing w:after="0" w:line="19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8718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13" w:lineRule="exact"/>
        <w:rPr>
          <w:sz w:val="20"/>
          <w:szCs w:val="20"/>
          <w:color w:val="auto"/>
        </w:rPr>
      </w:pPr>
    </w:p>
    <w:p>
      <w:pPr>
        <w:ind w:left="1120" w:hanging="1114"/>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8718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7185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37465</wp:posOffset>
            </wp:positionV>
            <wp:extent cx="8718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40" w:space="40"/>
            <w:col w:w="1360"/>
          </w:cols>
          <w:pgMar w:left="320" w:top="921" w:right="3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16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Operations and maintenance expense increased by $60 million during the year ended December 31, 2021 compared to the same period in 2020, primarily from the acquisition of solar and wind projects during the second half of 2020 and the first half of 2021 as well as the consolidation of the DGPV investments on November 2,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 Expense</w:t>
      </w:r>
    </w:p>
    <w:p>
      <w:pPr>
        <w:spacing w:after="0" w:line="166" w:lineRule="exact"/>
        <w:rPr>
          <w:sz w:val="20"/>
          <w:szCs w:val="20"/>
          <w:color w:val="auto"/>
        </w:rPr>
      </w:pPr>
    </w:p>
    <w:p>
      <w:pPr>
        <w:jc w:val="both"/>
        <w:ind w:firstLine="400"/>
        <w:spacing w:after="0" w:line="304" w:lineRule="auto"/>
        <w:rPr>
          <w:sz w:val="20"/>
          <w:szCs w:val="20"/>
          <w:color w:val="auto"/>
        </w:rPr>
      </w:pPr>
      <w:r>
        <w:rPr>
          <w:rFonts w:ascii="Arial" w:cs="Arial" w:eastAsia="Arial" w:hAnsi="Arial"/>
          <w:sz w:val="16"/>
          <w:szCs w:val="16"/>
          <w:color w:val="auto"/>
        </w:rPr>
        <w:t>Other costs of operations expense, which primarily consists of insurance and property taxes, increased by $23 million during the year ended December 31, 2021, compared to the same period in 2020. This was largely due to a net increase in the Renewables segment primarily from the acquisition of solar and wind projects during the second half of 2020 and the first half of 2021, in addition to refunds of property taxes received in 2020.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Accretion</w:t>
      </w:r>
    </w:p>
    <w:p>
      <w:pPr>
        <w:spacing w:after="0" w:line="16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 xml:space="preserve">Depreciation, amortization and accretion expense increased by $81 million during the year ended December 31, 2021, compared to the same period in 2020, primarily due to a $90 million increase in the Renewables segment, offset slightly by a $9 million decrease in the Thermal segment, as a result of the Thermal Business assets being reclassified to held for sale in the fourth quarter of 2021, as further described in Item 15 — Note 3, </w:t>
      </w:r>
      <w:r>
        <w:rPr>
          <w:rFonts w:ascii="Arial" w:cs="Arial" w:eastAsia="Arial" w:hAnsi="Arial"/>
          <w:sz w:val="17"/>
          <w:szCs w:val="17"/>
          <w:i w:val="1"/>
          <w:iCs w:val="1"/>
          <w:color w:val="auto"/>
        </w:rPr>
        <w:t>Acquisitions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Dispositions</w:t>
      </w:r>
      <w:r>
        <w:rPr>
          <w:rFonts w:ascii="Arial" w:cs="Arial" w:eastAsia="Arial" w:hAnsi="Arial"/>
          <w:sz w:val="17"/>
          <w:szCs w:val="17"/>
          <w:color w:val="auto"/>
        </w:rPr>
        <w:t>. The increase in the Renewables segment was driven by the acquisition of solar and wind projects during the second half of 2020 and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half of 2021, as well as the consolidation of the DGPV investments on November 2, 2020, resulting in a cumulative increase of $65 million. In addition, approximately $34 million of accelerated depreciation was recorded in 2021, related to the repowering of the Pinnacle wind facility, which is an increase of $25 million compared to the same period in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66" w:lineRule="exact"/>
        <w:rPr>
          <w:sz w:val="20"/>
          <w:szCs w:val="20"/>
          <w:color w:val="auto"/>
        </w:rPr>
      </w:pPr>
    </w:p>
    <w:p>
      <w:pPr>
        <w:jc w:val="both"/>
        <w:ind w:firstLine="400"/>
        <w:spacing w:after="0" w:line="297" w:lineRule="auto"/>
        <w:rPr>
          <w:sz w:val="20"/>
          <w:szCs w:val="20"/>
          <w:color w:val="auto"/>
        </w:rPr>
      </w:pPr>
      <w:r>
        <w:rPr>
          <w:rFonts w:ascii="Arial" w:cs="Arial" w:eastAsia="Arial" w:hAnsi="Arial"/>
          <w:sz w:val="17"/>
          <w:szCs w:val="17"/>
          <w:color w:val="auto"/>
        </w:rPr>
        <w:t xml:space="preserve">The Company recorded impairment losses of $6 million and $24 million, for the years ended December 31, 2021 and 2020, respectively, primarily related to several wind projects within the Renewables segment, as further described in Item 15 — Note 9, </w:t>
      </w:r>
      <w:r>
        <w:rPr>
          <w:rFonts w:ascii="Arial" w:cs="Arial" w:eastAsia="Arial" w:hAnsi="Arial"/>
          <w:sz w:val="17"/>
          <w:szCs w:val="17"/>
          <w:i w:val="1"/>
          <w:iCs w:val="1"/>
          <w:color w:val="auto"/>
        </w:rPr>
        <w:t>Asset Impairments</w:t>
      </w:r>
      <w:r>
        <w:rPr>
          <w:rFonts w:ascii="Arial" w:cs="Arial" w:eastAsia="Arial" w:hAnsi="Arial"/>
          <w:sz w:val="17"/>
          <w:szCs w:val="17"/>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6" w:lineRule="exact"/>
        <w:rPr>
          <w:sz w:val="20"/>
          <w:szCs w:val="20"/>
          <w:color w:val="auto"/>
        </w:rPr>
      </w:pPr>
    </w:p>
    <w:p>
      <w:pPr>
        <w:jc w:val="both"/>
        <w:ind w:right="20" w:firstLine="400"/>
        <w:spacing w:after="0" w:line="267" w:lineRule="auto"/>
        <w:rPr>
          <w:sz w:val="20"/>
          <w:szCs w:val="20"/>
          <w:color w:val="auto"/>
        </w:rPr>
      </w:pPr>
      <w:r>
        <w:rPr>
          <w:rFonts w:ascii="Arial" w:cs="Arial" w:eastAsia="Arial" w:hAnsi="Arial"/>
          <w:sz w:val="18"/>
          <w:szCs w:val="18"/>
          <w:color w:val="auto"/>
        </w:rPr>
        <w:t>General and administrative expenses increased by $6 million during the year ended December 31, 2021 compared to the same period in 2020, primarily due to an increase in net MSA fees charged by CEG, personnel costs and various consulting fees.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53" w:lineRule="exact"/>
        <w:rPr>
          <w:sz w:val="20"/>
          <w:szCs w:val="20"/>
          <w:color w:val="auto"/>
        </w:rPr>
      </w:pPr>
    </w:p>
    <w:p>
      <w:pPr>
        <w:jc w:val="both"/>
        <w:ind w:firstLine="400"/>
        <w:spacing w:after="0" w:line="269" w:lineRule="auto"/>
        <w:rPr>
          <w:sz w:val="20"/>
          <w:szCs w:val="20"/>
          <w:color w:val="auto"/>
        </w:rPr>
      </w:pPr>
      <w:r>
        <w:rPr>
          <w:rFonts w:ascii="Arial" w:cs="Arial" w:eastAsia="Arial" w:hAnsi="Arial"/>
          <w:sz w:val="16"/>
          <w:szCs w:val="16"/>
          <w:color w:val="auto"/>
        </w:rPr>
        <w:t>Equity in earnings of unconsolidated affiliates increased by $25 million during the year ended December 31, 2021 compared to the same period in 2020, primarily driven by increased earnings from Desert Sunlight and Avenal in 2021, the acquisition of Mesquite Star on September 1, 2020, which had losses in</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2020, and the consolidation of the DGPV investments on November 2, 2020, which had losses in 2020. These increases were partially offset by the absence of equity in earnings for Agua Caliente, which was consolidated due to the acquisition of an additional interest in February 2021, and the sale of the interests in RPV Holdco in May 2020, which had earnings in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 on Investment</w:t>
      </w:r>
    </w:p>
    <w:p>
      <w:pPr>
        <w:spacing w:after="0" w:line="166" w:lineRule="exact"/>
        <w:rPr>
          <w:sz w:val="20"/>
          <w:szCs w:val="20"/>
          <w:color w:val="auto"/>
        </w:rPr>
      </w:pPr>
    </w:p>
    <w:p>
      <w:pPr>
        <w:jc w:val="both"/>
        <w:ind w:right="20" w:firstLine="400"/>
        <w:spacing w:after="0" w:line="267" w:lineRule="auto"/>
        <w:rPr>
          <w:sz w:val="20"/>
          <w:szCs w:val="20"/>
          <w:color w:val="auto"/>
        </w:rPr>
      </w:pPr>
      <w:r>
        <w:rPr>
          <w:rFonts w:ascii="Arial" w:cs="Arial" w:eastAsia="Arial" w:hAnsi="Arial"/>
          <w:sz w:val="18"/>
          <w:szCs w:val="18"/>
          <w:color w:val="auto"/>
        </w:rPr>
        <w:t xml:space="preserve">The Company recorded an $8 million impairment loss during the year ended December 31, 2020 related to San Juan Mesa, an equity method investment within the Renewables segment, as further described in Item 15 — Note 9, </w:t>
      </w:r>
      <w:r>
        <w:rPr>
          <w:rFonts w:ascii="Arial" w:cs="Arial" w:eastAsia="Arial" w:hAnsi="Arial"/>
          <w:sz w:val="18"/>
          <w:szCs w:val="18"/>
          <w:i w:val="1"/>
          <w:iCs w:val="1"/>
          <w:color w:val="auto"/>
        </w:rPr>
        <w:t>Asset Impairments</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Unconsolidated Affiliate</w:t>
      </w:r>
    </w:p>
    <w:p>
      <w:pPr>
        <w:spacing w:after="0" w:line="16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 xml:space="preserve">On May 14, 2020, the Company sold its interests in RPV Holdco to a third-party, which resulted in a gain on sale of investment of approximately $49 million, as further described in Item 15 — Note 3, </w:t>
      </w:r>
      <w:r>
        <w:rPr>
          <w:rFonts w:ascii="Arial" w:cs="Arial" w:eastAsia="Arial" w:hAnsi="Arial"/>
          <w:sz w:val="18"/>
          <w:szCs w:val="18"/>
          <w:i w:val="1"/>
          <w:iCs w:val="1"/>
          <w:color w:val="auto"/>
        </w:rPr>
        <w:t>Acquisition and Dispositions.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6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 xml:space="preserve">The Company recorded loss on debt extinguishment of $53 million during the year ended December 31, 2021 primarily driven by the write-off of previously deferred finance costs and payment of premiums related to the redemption of the 2026 Senior Notes and the 2025 Senior Notes in 2021, as further described in Item 15 — Note 10, </w:t>
      </w:r>
      <w:r>
        <w:rPr>
          <w:rFonts w:ascii="Arial" w:cs="Arial" w:eastAsia="Arial" w:hAnsi="Arial"/>
          <w:sz w:val="18"/>
          <w:szCs w:val="18"/>
          <w:i w:val="1"/>
          <w:iCs w:val="1"/>
          <w:color w:val="auto"/>
        </w:rPr>
        <w:t>Long-term Debt.</w:t>
      </w:r>
    </w:p>
    <w:p>
      <w:pPr>
        <w:spacing w:after="0" w:line="135"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 xml:space="preserve">The Company recorded loss on debt extinguishment of $24 million during the year ended December 31, 2020, which reflects the write-off of previously deferred debt issuance costs, primarily related to the repayment of debt and related refinancing activities in the Renewables segment, as further described in Item 15 — Note 10, </w:t>
      </w:r>
      <w:r>
        <w:rPr>
          <w:rFonts w:ascii="Arial" w:cs="Arial" w:eastAsia="Arial" w:hAnsi="Arial"/>
          <w:sz w:val="18"/>
          <w:szCs w:val="18"/>
          <w:i w:val="1"/>
          <w:iCs w:val="1"/>
          <w:color w:val="auto"/>
        </w:rPr>
        <w:t>Long-term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Interest expense decreased by $103 million during the year ended December 31, 2021 compared to the same period in 2020 primarily due to:</w:t>
      </w:r>
    </w:p>
    <w:p>
      <w:pPr>
        <w:sectPr>
          <w:pgSz w:w="11900" w:h="16838" w:orient="portrait"/>
          <w:cols w:equalWidth="0" w:num="1">
            <w:col w:w="11240"/>
          </w:cols>
          <w:pgMar w:left="320" w:top="927" w:right="339" w:bottom="1440" w:gutter="0" w:footer="0" w:header="0"/>
        </w:sect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 of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134225" cy="152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Increase in interest expense due to a net increase in project level debt primarily related to acquisitions in the Renewables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34225" cy="3638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363855"/>
                    </a:xfrm>
                    <a:prstGeom prst="rect">
                      <a:avLst/>
                    </a:prstGeom>
                    <a:noFill/>
                  </pic:spPr>
                </pic:pic>
              </a:graphicData>
            </a:graphic>
          </wp:anchor>
        </w:drawing>
      </w:r>
    </w:p>
    <w:p>
      <w:pPr>
        <w:spacing w:after="0" w:line="23" w:lineRule="exact"/>
        <w:rPr>
          <w:sz w:val="20"/>
          <w:szCs w:val="20"/>
          <w:color w:val="auto"/>
        </w:rPr>
      </w:pPr>
    </w:p>
    <w:p>
      <w:pPr>
        <w:ind w:left="20"/>
        <w:spacing w:after="0" w:line="220" w:lineRule="auto"/>
        <w:rPr>
          <w:sz w:val="20"/>
          <w:szCs w:val="20"/>
          <w:color w:val="auto"/>
        </w:rPr>
      </w:pPr>
      <w:r>
        <w:rPr>
          <w:rFonts w:ascii="Arial" w:cs="Arial" w:eastAsia="Arial" w:hAnsi="Arial"/>
          <w:sz w:val="18"/>
          <w:szCs w:val="18"/>
          <w:color w:val="auto"/>
        </w:rPr>
        <w:t>Increase in Corporate interest expense due to additional issuances of the 2028 Senior Notes in May 2020, 2031 Senior Notes in March 2021 and 2032 Senior Notes in October 2021; partially offset by the repurchases of the 2025 Senior Notes in March 2021 and 2026 Senior Notes in October 2021</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194"/>
        <w:spacing w:after="0"/>
        <w:rPr>
          <w:sz w:val="20"/>
          <w:szCs w:val="20"/>
          <w:color w:val="auto"/>
        </w:rPr>
      </w:pPr>
      <w:r>
        <w:rPr>
          <w:rFonts w:ascii="Arial" w:cs="Arial" w:eastAsia="Arial" w:hAnsi="Arial"/>
          <w:sz w:val="18"/>
          <w:szCs w:val="18"/>
          <w:b w:val="1"/>
          <w:bCs w:val="1"/>
          <w:color w:val="auto"/>
        </w:rPr>
        <w:t>(In millions)</w:t>
      </w:r>
    </w:p>
    <w:p>
      <w:pPr>
        <w:spacing w:after="0" w:line="39" w:lineRule="exact"/>
        <w:rPr>
          <w:sz w:val="20"/>
          <w:szCs w:val="20"/>
          <w:color w:val="auto"/>
        </w:rPr>
      </w:pPr>
    </w:p>
    <w:p>
      <w:pPr>
        <w:ind w:left="954" w:hanging="954"/>
        <w:spacing w:after="0"/>
        <w:tabs>
          <w:tab w:leader="none" w:pos="954" w:val="left"/>
        </w:tabs>
        <w:numPr>
          <w:ilvl w:val="0"/>
          <w:numId w:val="30"/>
        </w:numPr>
        <w:rPr>
          <w:rFonts w:ascii="Arial" w:cs="Arial" w:eastAsia="Arial" w:hAnsi="Arial"/>
          <w:sz w:val="16"/>
          <w:szCs w:val="16"/>
          <w:color w:val="auto"/>
        </w:rPr>
      </w:pPr>
      <w:r>
        <w:rPr>
          <w:rFonts w:ascii="Arial" w:cs="Arial" w:eastAsia="Arial" w:hAnsi="Arial"/>
          <w:sz w:val="16"/>
          <w:szCs w:val="16"/>
          <w:color w:val="auto"/>
        </w:rPr>
        <w:t>(122)</w:t>
      </w:r>
    </w:p>
    <w:p>
      <w:pPr>
        <w:spacing w:after="0" w:line="42"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8"/>
          <w:szCs w:val="18"/>
          <w:color w:val="auto"/>
        </w:rPr>
        <w:t>16</w:t>
      </w:r>
    </w:p>
    <w:p>
      <w:pPr>
        <w:spacing w:after="0" w:line="366" w:lineRule="exact"/>
        <w:rPr>
          <w:sz w:val="20"/>
          <w:szCs w:val="20"/>
          <w:color w:val="auto"/>
        </w:rPr>
      </w:pPr>
    </w:p>
    <w:p>
      <w:pPr>
        <w:ind w:left="119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12065</wp:posOffset>
            </wp:positionV>
            <wp:extent cx="8718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13" w:lineRule="exact"/>
        <w:rPr>
          <w:sz w:val="20"/>
          <w:szCs w:val="20"/>
          <w:color w:val="auto"/>
        </w:rPr>
      </w:pPr>
    </w:p>
    <w:p>
      <w:pPr>
        <w:ind w:left="954" w:hanging="954"/>
        <w:spacing w:after="0"/>
        <w:tabs>
          <w:tab w:leader="none" w:pos="954" w:val="left"/>
        </w:tabs>
        <w:numPr>
          <w:ilvl w:val="0"/>
          <w:numId w:val="31"/>
        </w:numPr>
        <w:rPr>
          <w:rFonts w:ascii="Arial" w:cs="Arial" w:eastAsia="Arial" w:hAnsi="Arial"/>
          <w:sz w:val="16"/>
          <w:szCs w:val="16"/>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26670</wp:posOffset>
            </wp:positionV>
            <wp:extent cx="8718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718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52070</wp:posOffset>
            </wp:positionV>
            <wp:extent cx="8718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60" w:space="326"/>
            <w:col w:w="1354"/>
          </w:cols>
          <w:pgMar w:left="320" w:top="9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66" w:lineRule="exact"/>
        <w:rPr>
          <w:sz w:val="20"/>
          <w:szCs w:val="20"/>
          <w:color w:val="auto"/>
        </w:rPr>
      </w:pPr>
    </w:p>
    <w:p>
      <w:pPr>
        <w:jc w:val="both"/>
        <w:ind w:firstLine="400"/>
        <w:spacing w:after="0" w:line="295" w:lineRule="auto"/>
        <w:rPr>
          <w:sz w:val="20"/>
          <w:szCs w:val="20"/>
          <w:color w:val="auto"/>
        </w:rPr>
      </w:pPr>
      <w:r>
        <w:rPr>
          <w:rFonts w:ascii="Arial" w:cs="Arial" w:eastAsia="Arial" w:hAnsi="Arial"/>
          <w:sz w:val="16"/>
          <w:szCs w:val="16"/>
          <w:color w:val="auto"/>
        </w:rPr>
        <w:t>For the year ended December 31, 2021, the Company recorded income tax expense of $12 million on pretax loss of $63 million. For the same period in 2020, the Company recorded an income tax expense of $8 million on pretax loss of $54 million. For the year ended December 31, 2021, the overall effective tax rate was different than the statutory rate of 21% primarily due to the taxable earnings and losses allocated to partners’ interest in Clearway Energy LLC, which includes the effects of applying the hypothetical liquidation at book value, or HLBV, method of accounting for book purposes to certain partnerships.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reconciliation of the U.S. federal statutory rate of 21% to the Company's effective rate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6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60" w:type="dxa"/>
            <w:vAlign w:val="bottom"/>
          </w:tcPr>
          <w:p>
            <w:pPr>
              <w:spacing w:after="0"/>
              <w:rPr>
                <w:sz w:val="15"/>
                <w:szCs w:val="15"/>
                <w:color w:val="auto"/>
              </w:rPr>
            </w:pPr>
          </w:p>
        </w:tc>
        <w:tc>
          <w:tcPr>
            <w:tcW w:w="2760" w:type="dxa"/>
            <w:vAlign w:val="bottom"/>
            <w:gridSpan w:val="4"/>
          </w:tcPr>
          <w:p>
            <w:pPr>
              <w:jc w:val="right"/>
              <w:ind w:right="23"/>
              <w:spacing w:after="0"/>
              <w:rPr>
                <w:sz w:val="20"/>
                <w:szCs w:val="20"/>
                <w:color w:val="auto"/>
              </w:rPr>
            </w:pPr>
            <w:r>
              <w:rPr>
                <w:rFonts w:ascii="Arial" w:cs="Arial" w:eastAsia="Arial" w:hAnsi="Arial"/>
                <w:sz w:val="14"/>
                <w:szCs w:val="14"/>
                <w:b w:val="1"/>
                <w:bCs w:val="1"/>
                <w:color w:val="auto"/>
              </w:rPr>
              <w:t>(In millions, except percentages)</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020" w:type="dxa"/>
            <w:vAlign w:val="bottom"/>
            <w:tcBorders>
              <w:top w:val="single" w:sz="8" w:color="auto"/>
              <w:bottom w:val="single" w:sz="8" w:color="auto"/>
            </w:tcBorders>
            <w:shd w:val="clear" w:color="auto" w:fill="CCEEFF"/>
          </w:tcPr>
          <w:p>
            <w:pPr>
              <w:jc w:val="right"/>
              <w:ind w:right="845"/>
              <w:spacing w:after="0"/>
              <w:rPr>
                <w:sz w:val="20"/>
                <w:szCs w:val="20"/>
                <w:color w:val="auto"/>
              </w:rPr>
            </w:pPr>
            <w:r>
              <w:rPr>
                <w:rFonts w:ascii="Arial" w:cs="Arial" w:eastAsia="Arial" w:hAnsi="Arial"/>
                <w:sz w:val="16"/>
                <w:szCs w:val="16"/>
                <w:color w:val="333333"/>
                <w:w w:val="89"/>
              </w:rPr>
              <w:t>$</w:t>
            </w:r>
          </w:p>
        </w:tc>
        <w:tc>
          <w:tcPr>
            <w:tcW w:w="6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333333"/>
              </w:rPr>
              <w:t>(63)</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4"/>
        </w:trPr>
        <w:tc>
          <w:tcPr>
            <w:tcW w:w="7860" w:type="dxa"/>
            <w:vAlign w:val="bottom"/>
          </w:tcPr>
          <w:p>
            <w:pPr>
              <w:ind w:left="20"/>
              <w:spacing w:after="0"/>
              <w:rPr>
                <w:sz w:val="20"/>
                <w:szCs w:val="20"/>
                <w:color w:val="auto"/>
              </w:rPr>
            </w:pPr>
            <w:r>
              <w:rPr>
                <w:rFonts w:ascii="Arial" w:cs="Arial" w:eastAsia="Arial" w:hAnsi="Arial"/>
                <w:sz w:val="16"/>
                <w:szCs w:val="16"/>
                <w:color w:val="auto"/>
              </w:rPr>
              <w:t>Tax at 21%</w:t>
            </w:r>
          </w:p>
        </w:tc>
        <w:tc>
          <w:tcPr>
            <w:tcW w:w="1020" w:type="dxa"/>
            <w:vAlign w:val="bottom"/>
          </w:tcPr>
          <w:p>
            <w:pPr>
              <w:spacing w:after="0"/>
              <w:rPr>
                <w:sz w:val="17"/>
                <w:szCs w:val="17"/>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taxes, net of federal benefit</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1"/>
        </w:trPr>
        <w:tc>
          <w:tcPr>
            <w:tcW w:w="7860" w:type="dxa"/>
            <w:vAlign w:val="bottom"/>
          </w:tcPr>
          <w:p>
            <w:pPr>
              <w:ind w:left="140"/>
              <w:spacing w:after="0"/>
              <w:rPr>
                <w:sz w:val="20"/>
                <w:szCs w:val="20"/>
                <w:color w:val="auto"/>
              </w:rPr>
            </w:pPr>
            <w:r>
              <w:rPr>
                <w:rFonts w:ascii="Arial" w:cs="Arial" w:eastAsia="Arial" w:hAnsi="Arial"/>
                <w:sz w:val="16"/>
                <w:szCs w:val="16"/>
                <w:color w:val="auto"/>
              </w:rPr>
              <w:t>Impact of non-taxable partnership earnings</w:t>
            </w:r>
          </w:p>
        </w:tc>
        <w:tc>
          <w:tcPr>
            <w:tcW w:w="1020" w:type="dxa"/>
            <w:vAlign w:val="bottom"/>
          </w:tcPr>
          <w:p>
            <w:pPr>
              <w:spacing w:after="0"/>
              <w:rPr>
                <w:sz w:val="18"/>
                <w:szCs w:val="18"/>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Valuation allowance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7860" w:type="dxa"/>
            <w:vAlign w:val="bottom"/>
          </w:tcPr>
          <w:p>
            <w:pPr>
              <w:ind w:left="140"/>
              <w:spacing w:after="0"/>
              <w:rPr>
                <w:sz w:val="20"/>
                <w:szCs w:val="20"/>
                <w:color w:val="auto"/>
              </w:rPr>
            </w:pPr>
            <w:r>
              <w:rPr>
                <w:rFonts w:ascii="Arial" w:cs="Arial" w:eastAsia="Arial" w:hAnsi="Arial"/>
                <w:sz w:val="16"/>
                <w:szCs w:val="16"/>
                <w:color w:val="auto"/>
              </w:rPr>
              <w:t>Production tax credits, including prior year true-up</w:t>
            </w:r>
          </w:p>
        </w:tc>
        <w:tc>
          <w:tcPr>
            <w:tcW w:w="1020" w:type="dxa"/>
            <w:vAlign w:val="bottom"/>
          </w:tcPr>
          <w:p>
            <w:pPr>
              <w:spacing w:after="0"/>
              <w:rPr>
                <w:sz w:val="18"/>
                <w:szCs w:val="18"/>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Rate change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1"/>
        </w:trPr>
        <w:tc>
          <w:tcPr>
            <w:tcW w:w="7860" w:type="dxa"/>
            <w:vAlign w:val="bottom"/>
          </w:tcPr>
          <w:p>
            <w:pPr>
              <w:ind w:left="140"/>
              <w:spacing w:after="0"/>
              <w:rPr>
                <w:sz w:val="20"/>
                <w:szCs w:val="20"/>
                <w:color w:val="auto"/>
              </w:rPr>
            </w:pPr>
            <w:r>
              <w:rPr>
                <w:rFonts w:ascii="Arial" w:cs="Arial" w:eastAsia="Arial" w:hAnsi="Arial"/>
                <w:sz w:val="16"/>
                <w:szCs w:val="16"/>
                <w:color w:val="auto"/>
              </w:rPr>
              <w:t>Partnership state basis</w:t>
            </w:r>
          </w:p>
        </w:tc>
        <w:tc>
          <w:tcPr>
            <w:tcW w:w="1020" w:type="dxa"/>
            <w:vAlign w:val="bottom"/>
          </w:tcPr>
          <w:p>
            <w:pPr>
              <w:spacing w:after="0"/>
              <w:rPr>
                <w:sz w:val="18"/>
                <w:szCs w:val="18"/>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taxes assessed at subsidiaries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4"/>
        </w:trPr>
        <w:tc>
          <w:tcPr>
            <w:tcW w:w="7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 expense</w:t>
            </w:r>
          </w:p>
        </w:tc>
        <w:tc>
          <w:tcPr>
            <w:tcW w:w="102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Effective income tax rate</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8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(19.0)%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color w:val="auto"/>
        </w:rPr>
        <w:t>The effective income tax rate may vary from period to period depending on, among other factors, the geographic and business mix of earnings and losses, earnings and losses allocated to partners' interest in Clearway Energy LLC which includes the effects of applying the HLBV method of accounting for book purposes to certain partnerships, and changes in valuation allowances in accordance with ASC 740. These factors and others, including the Company's history of pre-tax earnings and losses, are taken into account in assessing the ability to realize deferred tax assets.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16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For the year ended December 31, 2021, the Company had a loss of $126 million attributable to noncontrolling interests and redeemable interests comprised of the following:</w:t>
      </w:r>
    </w:p>
    <w:p>
      <w:pPr>
        <w:sectPr>
          <w:pgSz w:w="11900" w:h="16838" w:orient="portrait"/>
          <w:cols w:equalWidth="0" w:num="1">
            <w:col w:w="11240"/>
          </w:cols>
          <w:pgMar w:left="320" w:top="927" w:right="339" w:bottom="1440" w:gutter="0" w:footer="0" w:header="0"/>
        </w:sectPr>
      </w:pPr>
    </w:p>
    <w:p>
      <w:pPr>
        <w:spacing w:after="0" w:line="299" w:lineRule="exact"/>
        <w:rPr>
          <w:sz w:val="20"/>
          <w:szCs w:val="20"/>
          <w:color w:val="auto"/>
        </w:rPr>
      </w:pPr>
    </w:p>
    <w:p>
      <w:pPr>
        <w:ind w:left="20" w:right="3046"/>
        <w:spacing w:after="0" w:line="262" w:lineRule="auto"/>
        <w:rPr>
          <w:sz w:val="20"/>
          <w:szCs w:val="20"/>
          <w:color w:val="auto"/>
        </w:rPr>
      </w:pPr>
      <w:r>
        <w:rPr>
          <w:rFonts w:ascii="Arial" w:cs="Arial" w:eastAsia="Arial" w:hAnsi="Arial"/>
          <w:sz w:val="18"/>
          <w:szCs w:val="18"/>
          <w:color w:val="auto"/>
        </w:rPr>
        <w:t>Losses attributable to tax equity financing arrangements and the application of HLBV Losses attributable to CEG's interest in partnerships CEG's economic interest in Clearway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7134225" cy="144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-438785</wp:posOffset>
            </wp:positionV>
            <wp:extent cx="7134225" cy="152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Income attributable to third-party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69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194"/>
        <w:spacing w:after="0"/>
        <w:rPr>
          <w:sz w:val="20"/>
          <w:szCs w:val="20"/>
          <w:color w:val="auto"/>
        </w:rPr>
      </w:pPr>
      <w:r>
        <w:rPr>
          <w:rFonts w:ascii="Arial" w:cs="Arial" w:eastAsia="Arial" w:hAnsi="Arial"/>
          <w:sz w:val="18"/>
          <w:szCs w:val="18"/>
          <w:b w:val="1"/>
          <w:bCs w:val="1"/>
          <w:color w:val="auto"/>
        </w:rPr>
        <w:t>(In millions)</w:t>
      </w:r>
    </w:p>
    <w:p>
      <w:pPr>
        <w:spacing w:after="0" w:line="39" w:lineRule="exact"/>
        <w:rPr>
          <w:sz w:val="20"/>
          <w:szCs w:val="20"/>
          <w:color w:val="auto"/>
        </w:rPr>
      </w:pPr>
    </w:p>
    <w:p>
      <w:pPr>
        <w:ind w:left="954" w:hanging="954"/>
        <w:spacing w:after="0"/>
        <w:tabs>
          <w:tab w:leader="none" w:pos="954" w:val="left"/>
        </w:tabs>
        <w:numPr>
          <w:ilvl w:val="0"/>
          <w:numId w:val="32"/>
        </w:numPr>
        <w:rPr>
          <w:rFonts w:ascii="Arial" w:cs="Arial" w:eastAsia="Arial" w:hAnsi="Arial"/>
          <w:sz w:val="16"/>
          <w:szCs w:val="16"/>
          <w:color w:val="auto"/>
        </w:rPr>
      </w:pPr>
      <w:r>
        <w:rPr>
          <w:rFonts w:ascii="Arial" w:cs="Arial" w:eastAsia="Arial" w:hAnsi="Arial"/>
          <w:sz w:val="16"/>
          <w:szCs w:val="16"/>
          <w:color w:val="auto"/>
        </w:rPr>
        <w:t>(174)</w:t>
      </w:r>
    </w:p>
    <w:p>
      <w:pPr>
        <w:spacing w:after="0" w:line="42"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8"/>
          <w:szCs w:val="18"/>
          <w:color w:val="auto"/>
        </w:rPr>
        <w:t>(3)</w:t>
      </w:r>
    </w:p>
    <w:p>
      <w:pPr>
        <w:spacing w:after="0" w:line="19"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8"/>
          <w:szCs w:val="18"/>
          <w:color w:val="auto"/>
        </w:rPr>
        <w:t>47</w:t>
      </w:r>
    </w:p>
    <w:p>
      <w:pPr>
        <w:spacing w:after="0" w:line="19" w:lineRule="exact"/>
        <w:rPr>
          <w:rFonts w:ascii="Arial" w:cs="Arial" w:eastAsia="Arial" w:hAnsi="Arial"/>
          <w:sz w:val="16"/>
          <w:szCs w:val="16"/>
          <w:color w:val="auto"/>
        </w:rPr>
      </w:pPr>
    </w:p>
    <w:p>
      <w:pPr>
        <w:ind w:left="1194"/>
        <w:spacing w:after="0"/>
        <w:rPr>
          <w:rFonts w:ascii="Arial" w:cs="Arial" w:eastAsia="Arial" w:hAnsi="Arial"/>
          <w:sz w:val="16"/>
          <w:szCs w:val="16"/>
          <w:color w:val="auto"/>
        </w:rPr>
      </w:pPr>
      <w:r>
        <w:rPr>
          <w:rFonts w:ascii="Arial" w:cs="Arial" w:eastAsia="Arial" w:hAnsi="Arial"/>
          <w:sz w:val="18"/>
          <w:szCs w:val="18"/>
          <w:color w:val="auto"/>
        </w:rPr>
        <w:t>4</w:t>
      </w:r>
    </w:p>
    <w:p>
      <w:pPr>
        <w:spacing w:after="0" w:line="33" w:lineRule="exact"/>
        <w:rPr>
          <w:sz w:val="20"/>
          <w:szCs w:val="20"/>
          <w:color w:val="auto"/>
        </w:rPr>
      </w:pPr>
    </w:p>
    <w:p>
      <w:pPr>
        <w:ind w:left="954" w:hanging="954"/>
        <w:spacing w:after="0"/>
        <w:tabs>
          <w:tab w:leader="none" w:pos="954" w:val="left"/>
        </w:tabs>
        <w:numPr>
          <w:ilvl w:val="0"/>
          <w:numId w:val="33"/>
        </w:numPr>
        <w:rPr>
          <w:rFonts w:ascii="Arial" w:cs="Arial" w:eastAsia="Arial" w:hAnsi="Arial"/>
          <w:sz w:val="16"/>
          <w:szCs w:val="16"/>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52070</wp:posOffset>
            </wp:positionV>
            <wp:extent cx="8718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66" w:space="720"/>
            <w:col w:w="1354"/>
          </w:cols>
          <w:pgMar w:left="320" w:top="927" w:right="339" w:bottom="1440" w:gutter="0" w:footer="0" w:header="0"/>
          <w:type w:val="continuous"/>
        </w:sectPr>
      </w:pPr>
    </w:p>
    <w:p>
      <w:pPr>
        <w:spacing w:after="0" w:line="122" w:lineRule="exact"/>
        <w:rPr>
          <w:sz w:val="20"/>
          <w:szCs w:val="20"/>
          <w:color w:val="auto"/>
        </w:rPr>
      </w:pPr>
    </w:p>
    <w:p>
      <w:pPr>
        <w:ind w:firstLine="400"/>
        <w:spacing w:after="0" w:line="267" w:lineRule="auto"/>
        <w:rPr>
          <w:sz w:val="20"/>
          <w:szCs w:val="20"/>
          <w:color w:val="auto"/>
        </w:rPr>
      </w:pPr>
      <w:r>
        <w:rPr>
          <w:rFonts w:ascii="Arial" w:cs="Arial" w:eastAsia="Arial" w:hAnsi="Arial"/>
          <w:sz w:val="18"/>
          <w:szCs w:val="18"/>
          <w:color w:val="auto"/>
        </w:rPr>
        <w:t>For the year ended December 31, 2020, the Company had a loss of $87 million attributable to noncontrolling interests and redeemable interests comprised of the following:</w:t>
      </w:r>
    </w:p>
    <w:p>
      <w:pPr>
        <w:sectPr>
          <w:pgSz w:w="11900" w:h="16838" w:orient="portrait"/>
          <w:cols w:equalWidth="0" w:num="1">
            <w:col w:w="11240"/>
          </w:cols>
          <w:pgMar w:left="320" w:top="927" w:right="339" w:bottom="1440" w:gutter="0" w:footer="0" w:header="0"/>
          <w:type w:val="continuous"/>
        </w:sectPr>
      </w:pPr>
    </w:p>
    <w:p>
      <w:pPr>
        <w:spacing w:after="0" w:line="299" w:lineRule="exact"/>
        <w:rPr>
          <w:sz w:val="20"/>
          <w:szCs w:val="20"/>
          <w:color w:val="auto"/>
        </w:rPr>
      </w:pPr>
    </w:p>
    <w:p>
      <w:pPr>
        <w:ind w:left="20" w:right="3046"/>
        <w:spacing w:after="0" w:line="262" w:lineRule="auto"/>
        <w:rPr>
          <w:sz w:val="20"/>
          <w:szCs w:val="20"/>
          <w:color w:val="auto"/>
        </w:rPr>
      </w:pPr>
      <w:r>
        <w:rPr>
          <w:rFonts w:ascii="Arial" w:cs="Arial" w:eastAsia="Arial" w:hAnsi="Arial"/>
          <w:sz w:val="18"/>
          <w:szCs w:val="18"/>
          <w:color w:val="auto"/>
        </w:rPr>
        <w:t>Losses attributable to tax equity financing arrangements and the application of HLBV CEG's economic interest in Clearway Energy LLC Income attributable to third-party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7134225" cy="144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-438785</wp:posOffset>
            </wp:positionV>
            <wp:extent cx="7134225" cy="152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Income attributable to CEG's interest in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69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194"/>
        <w:spacing w:after="0"/>
        <w:rPr>
          <w:sz w:val="20"/>
          <w:szCs w:val="20"/>
          <w:color w:val="auto"/>
        </w:rPr>
      </w:pPr>
      <w:r>
        <w:rPr>
          <w:rFonts w:ascii="Arial" w:cs="Arial" w:eastAsia="Arial" w:hAnsi="Arial"/>
          <w:sz w:val="18"/>
          <w:szCs w:val="18"/>
          <w:b w:val="1"/>
          <w:bCs w:val="1"/>
          <w:color w:val="auto"/>
        </w:rPr>
        <w:t>(In millions)</w:t>
      </w:r>
    </w:p>
    <w:p>
      <w:pPr>
        <w:spacing w:after="0" w:line="39" w:lineRule="exact"/>
        <w:rPr>
          <w:sz w:val="20"/>
          <w:szCs w:val="20"/>
          <w:color w:val="auto"/>
        </w:rPr>
      </w:pPr>
    </w:p>
    <w:p>
      <w:pPr>
        <w:ind w:left="954" w:hanging="954"/>
        <w:spacing w:after="0"/>
        <w:tabs>
          <w:tab w:leader="none" w:pos="954" w:val="left"/>
        </w:tabs>
        <w:numPr>
          <w:ilvl w:val="0"/>
          <w:numId w:val="34"/>
        </w:numPr>
        <w:rPr>
          <w:rFonts w:ascii="Arial" w:cs="Arial" w:eastAsia="Arial" w:hAnsi="Arial"/>
          <w:sz w:val="16"/>
          <w:szCs w:val="16"/>
          <w:color w:val="auto"/>
        </w:rPr>
      </w:pPr>
      <w:r>
        <w:rPr>
          <w:rFonts w:ascii="Arial" w:cs="Arial" w:eastAsia="Arial" w:hAnsi="Arial"/>
          <w:sz w:val="16"/>
          <w:szCs w:val="16"/>
          <w:color w:val="auto"/>
        </w:rPr>
        <w:t>(135)</w:t>
      </w:r>
    </w:p>
    <w:p>
      <w:pPr>
        <w:spacing w:after="0" w:line="42"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8"/>
          <w:szCs w:val="18"/>
          <w:color w:val="auto"/>
        </w:rPr>
        <w:t>26</w:t>
      </w:r>
    </w:p>
    <w:p>
      <w:pPr>
        <w:spacing w:after="0" w:line="19"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8"/>
          <w:szCs w:val="18"/>
          <w:color w:val="auto"/>
        </w:rPr>
        <w:t>13</w:t>
      </w:r>
    </w:p>
    <w:p>
      <w:pPr>
        <w:spacing w:after="0" w:line="19" w:lineRule="exact"/>
        <w:rPr>
          <w:rFonts w:ascii="Arial" w:cs="Arial" w:eastAsia="Arial" w:hAnsi="Arial"/>
          <w:sz w:val="16"/>
          <w:szCs w:val="16"/>
          <w:color w:val="auto"/>
        </w:rPr>
      </w:pPr>
    </w:p>
    <w:p>
      <w:pPr>
        <w:ind w:left="1194"/>
        <w:spacing w:after="0"/>
        <w:rPr>
          <w:rFonts w:ascii="Arial" w:cs="Arial" w:eastAsia="Arial" w:hAnsi="Arial"/>
          <w:sz w:val="16"/>
          <w:szCs w:val="16"/>
          <w:color w:val="auto"/>
        </w:rPr>
      </w:pPr>
      <w:r>
        <w:rPr>
          <w:rFonts w:ascii="Arial" w:cs="Arial" w:eastAsia="Arial" w:hAnsi="Arial"/>
          <w:sz w:val="18"/>
          <w:szCs w:val="18"/>
          <w:color w:val="auto"/>
        </w:rPr>
        <w:t>9</w:t>
      </w:r>
    </w:p>
    <w:p>
      <w:pPr>
        <w:spacing w:after="0" w:line="33" w:lineRule="exact"/>
        <w:rPr>
          <w:sz w:val="20"/>
          <w:szCs w:val="20"/>
          <w:color w:val="auto"/>
        </w:rPr>
      </w:pPr>
    </w:p>
    <w:p>
      <w:pPr>
        <w:ind w:left="1034" w:hanging="1034"/>
        <w:spacing w:after="0"/>
        <w:tabs>
          <w:tab w:leader="none" w:pos="1034" w:val="left"/>
        </w:tabs>
        <w:numPr>
          <w:ilvl w:val="0"/>
          <w:numId w:val="35"/>
        </w:numPr>
        <w:rPr>
          <w:rFonts w:ascii="Arial" w:cs="Arial" w:eastAsia="Arial" w:hAnsi="Arial"/>
          <w:sz w:val="16"/>
          <w:szCs w:val="16"/>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52070</wp:posOffset>
            </wp:positionV>
            <wp:extent cx="8718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66" w:space="720"/>
            <w:col w:w="1354"/>
          </w:cols>
          <w:pgMar w:left="320" w:top="9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9"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dividends. </w:t>
      </w:r>
      <w:r>
        <w:rPr>
          <w:rFonts w:ascii="Arial" w:cs="Arial" w:eastAsia="Arial" w:hAnsi="Arial"/>
          <w:sz w:val="17"/>
          <w:szCs w:val="17"/>
          <w:color w:val="000000"/>
        </w:rPr>
        <w:t>As a normal part of the Company's business, depending on market conditions, the Company</w:t>
      </w:r>
      <w:r>
        <w:rPr>
          <w:rFonts w:ascii="Arial" w:cs="Arial" w:eastAsia="Arial" w:hAnsi="Arial"/>
          <w:sz w:val="17"/>
          <w:szCs w:val="17"/>
          <w:color w:val="231F20"/>
        </w:rPr>
        <w:t xml:space="preserve"> </w:t>
      </w:r>
      <w:r>
        <w:rPr>
          <w:rFonts w:ascii="Arial" w:cs="Arial" w:eastAsia="Arial" w:hAnsi="Arial"/>
          <w:sz w:val="17"/>
          <w:szCs w:val="17"/>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53"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2021</w:t>
      </w:r>
      <w:r>
        <w:rPr>
          <w:rFonts w:ascii="Arial" w:cs="Arial" w:eastAsia="Arial" w:hAnsi="Arial"/>
          <w:sz w:val="18"/>
          <w:szCs w:val="18"/>
          <w:color w:val="231F20"/>
        </w:rPr>
        <w:t xml:space="preserve"> and </w:t>
      </w:r>
      <w:r>
        <w:rPr>
          <w:rFonts w:ascii="Arial" w:cs="Arial" w:eastAsia="Arial" w:hAnsi="Arial"/>
          <w:sz w:val="18"/>
          <w:szCs w:val="18"/>
          <w:color w:val="000000"/>
        </w:rPr>
        <w:t>2020</w:t>
      </w:r>
      <w:r>
        <w:rPr>
          <w:rFonts w:ascii="Arial" w:cs="Arial" w:eastAsia="Arial" w:hAnsi="Arial"/>
          <w:sz w:val="18"/>
          <w:szCs w:val="18"/>
          <w:color w:val="231F20"/>
        </w:rPr>
        <w:t>, the Company's liquidity was approximately $821 million and $894 million, respectively, comprised of cash, restricted cash and availability under the Company's revolving credit facility.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500" w:type="dxa"/>
            <w:vAlign w:val="bottom"/>
          </w:tcPr>
          <w:p>
            <w:pPr>
              <w:spacing w:after="0"/>
              <w:rPr>
                <w:sz w:val="18"/>
                <w:szCs w:val="18"/>
                <w:color w:val="auto"/>
              </w:rPr>
            </w:pPr>
          </w:p>
        </w:tc>
        <w:tc>
          <w:tcPr>
            <w:tcW w:w="23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6"/>
                <w:szCs w:val="16"/>
                <w:b w:val="1"/>
                <w:bCs w:val="1"/>
                <w:color w:val="auto"/>
              </w:rPr>
              <w:t>As of December 31,</w:t>
            </w:r>
          </w:p>
        </w:tc>
        <w:tc>
          <w:tcPr>
            <w:tcW w:w="400" w:type="dxa"/>
            <w:vAlign w:val="bottom"/>
            <w:tcBorders>
              <w:bottom w:val="single" w:sz="8" w:color="auto"/>
            </w:tcBorders>
          </w:tcPr>
          <w:p>
            <w:pPr>
              <w:spacing w:after="0"/>
              <w:rPr>
                <w:sz w:val="18"/>
                <w:szCs w:val="18"/>
                <w:color w:val="auto"/>
              </w:rPr>
            </w:pPr>
          </w:p>
        </w:tc>
      </w:tr>
      <w:tr>
        <w:trPr>
          <w:trHeight w:val="207"/>
        </w:trPr>
        <w:tc>
          <w:tcPr>
            <w:tcW w:w="85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7"/>
                <w:szCs w:val="17"/>
                <w:color w:val="auto"/>
              </w:rPr>
            </w:pPr>
          </w:p>
        </w:tc>
      </w:tr>
      <w:tr>
        <w:trPr>
          <w:trHeight w:val="207"/>
        </w:trPr>
        <w:tc>
          <w:tcPr>
            <w:tcW w:w="85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6"/>
                <w:szCs w:val="16"/>
                <w:b w:val="1"/>
                <w:bCs w:val="1"/>
                <w:color w:val="auto"/>
                <w:w w:val="97"/>
              </w:rPr>
              <w:t>(In millions)</w:t>
            </w:r>
          </w:p>
        </w:tc>
        <w:tc>
          <w:tcPr>
            <w:tcW w:w="400" w:type="dxa"/>
            <w:vAlign w:val="bottom"/>
            <w:tcBorders>
              <w:bottom w:val="single" w:sz="8" w:color="auto"/>
            </w:tcBorders>
          </w:tcPr>
          <w:p>
            <w:pPr>
              <w:spacing w:after="0"/>
              <w:rPr>
                <w:sz w:val="17"/>
                <w:szCs w:val="17"/>
                <w:color w:val="auto"/>
              </w:rPr>
            </w:pPr>
          </w:p>
        </w:tc>
      </w:tr>
      <w:tr>
        <w:trPr>
          <w:trHeight w:val="196"/>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1"/>
        </w:trPr>
        <w:tc>
          <w:tcPr>
            <w:tcW w:w="8500" w:type="dxa"/>
            <w:vAlign w:val="bottom"/>
          </w:tcPr>
          <w:p>
            <w:pPr>
              <w:ind w:left="220"/>
              <w:spacing w:after="0"/>
              <w:rPr>
                <w:sz w:val="20"/>
                <w:szCs w:val="20"/>
                <w:color w:val="auto"/>
              </w:rPr>
            </w:pPr>
            <w:r>
              <w:rPr>
                <w:rFonts w:ascii="Arial" w:cs="Arial" w:eastAsia="Arial" w:hAnsi="Arial"/>
                <w:sz w:val="16"/>
                <w:szCs w:val="16"/>
                <w:color w:val="auto"/>
              </w:rPr>
              <w:t>Clearway Energy, Inc. and Clearway Energy LLC, excluding subsidiaries</w:t>
            </w:r>
          </w:p>
        </w:tc>
        <w:tc>
          <w:tcPr>
            <w:tcW w:w="880" w:type="dxa"/>
            <w:vAlign w:val="bottom"/>
          </w:tcPr>
          <w:p>
            <w:pPr>
              <w:jc w:val="right"/>
              <w:ind w:right="70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920" w:type="dxa"/>
            <w:vAlign w:val="bottom"/>
          </w:tcPr>
          <w:p>
            <w:pPr>
              <w:jc w:val="right"/>
              <w:ind w:right="740"/>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Subsidiaries</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11"/>
        </w:trPr>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Restricted cash:</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8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accounts</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1"/>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Reserves, including debt service, distributions, performance obligations and other reserves</w:t>
            </w: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0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211"/>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Revolving credit facility availability</w:t>
            </w: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r>
      <w:tr>
        <w:trPr>
          <w:trHeight w:val="23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liquidity</w:t>
            </w:r>
          </w:p>
        </w:tc>
        <w:tc>
          <w:tcPr>
            <w:tcW w:w="88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231F20"/>
        </w:rPr>
        <w:t xml:space="preserve">The Company's liquidity includes $475 million and $197 million of restricted cash balances as of December 31, 2021 and </w:t>
      </w:r>
      <w:r>
        <w:rPr>
          <w:rFonts w:ascii="Arial" w:cs="Arial" w:eastAsia="Arial" w:hAnsi="Arial"/>
          <w:sz w:val="17"/>
          <w:szCs w:val="17"/>
          <w:color w:val="000000"/>
        </w:rPr>
        <w:t>2020</w:t>
      </w:r>
      <w:r>
        <w:rPr>
          <w:rFonts w:ascii="Arial" w:cs="Arial" w:eastAsia="Arial" w:hAnsi="Arial"/>
          <w:sz w:val="17"/>
          <w:szCs w:val="17"/>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7"/>
          <w:szCs w:val="17"/>
          <w:color w:val="000000"/>
        </w:rPr>
        <w:t>December 31, 2021, these restricted funds were comprised of $246 million designated to fund operating expenses, approximately $34 million</w:t>
      </w:r>
      <w:r>
        <w:rPr>
          <w:rFonts w:ascii="Arial" w:cs="Arial" w:eastAsia="Arial" w:hAnsi="Arial"/>
          <w:sz w:val="17"/>
          <w:szCs w:val="17"/>
          <w:color w:val="231F20"/>
        </w:rPr>
        <w:t xml:space="preserve"> </w:t>
      </w:r>
      <w:r>
        <w:rPr>
          <w:rFonts w:ascii="Arial" w:cs="Arial" w:eastAsia="Arial" w:hAnsi="Arial"/>
          <w:sz w:val="17"/>
          <w:szCs w:val="17"/>
          <w:color w:val="000000"/>
        </w:rPr>
        <w:t>designated for current debt service payments, and $131 million restricted for reserves including debt service, performance obligations and other reserves, as well as capital expenditures. The remaining $64 million is held in distribution reserve accounts.</w:t>
      </w:r>
    </w:p>
    <w:p>
      <w:pPr>
        <w:spacing w:after="0" w:line="127"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As of December 31, 2021, the Company had $245 million of outstanding borrowings under the revolving credit facility and $83 million in letters of credit outstanding. During the year ended December 31, 2021, the Company borrowed $622 million under the revolving credit facility, and subsequently repaid $377 million utilizing cash on hand and the proceeds from the issuance of the 2031 Senior Notes.</w:t>
      </w:r>
    </w:p>
    <w:p>
      <w:pPr>
        <w:spacing w:after="0" w:line="135"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166" w:lineRule="exact"/>
        <w:rPr>
          <w:sz w:val="20"/>
          <w:szCs w:val="20"/>
          <w:color w:val="auto"/>
        </w:rPr>
      </w:pPr>
    </w:p>
    <w:p>
      <w:pPr>
        <w:jc w:val="both"/>
        <w:ind w:firstLine="400"/>
        <w:spacing w:after="0" w:line="304" w:lineRule="auto"/>
        <w:rPr>
          <w:sz w:val="20"/>
          <w:szCs w:val="20"/>
          <w:color w:val="auto"/>
        </w:rPr>
      </w:pPr>
      <w:r>
        <w:rPr>
          <w:rFonts w:ascii="Arial" w:cs="Arial" w:eastAsia="Arial" w:hAnsi="Arial"/>
          <w:sz w:val="16"/>
          <w:szCs w:val="16"/>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the credit ratings for the Company and its Senior Notes as of December 31, 2021. The ratings outlook is stable.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S&amp;P</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Moody's</w:t>
            </w:r>
          </w:p>
        </w:tc>
      </w:tr>
      <w:tr>
        <w:trPr>
          <w:trHeight w:val="226"/>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Clearway Energy, Inc.</w:t>
            </w: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BB</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Ba2</w:t>
            </w:r>
          </w:p>
        </w:tc>
      </w:tr>
      <w:tr>
        <w:trPr>
          <w:trHeight w:val="226"/>
        </w:trPr>
        <w:tc>
          <w:tcPr>
            <w:tcW w:w="8120" w:type="dxa"/>
            <w:vAlign w:val="bottom"/>
          </w:tcPr>
          <w:p>
            <w:pPr>
              <w:ind w:left="20"/>
              <w:spacing w:after="0"/>
              <w:rPr>
                <w:sz w:val="20"/>
                <w:szCs w:val="20"/>
                <w:color w:val="auto"/>
              </w:rPr>
            </w:pPr>
            <w:r>
              <w:rPr>
                <w:rFonts w:ascii="Arial" w:cs="Arial" w:eastAsia="Arial" w:hAnsi="Arial"/>
                <w:sz w:val="18"/>
                <w:szCs w:val="18"/>
                <w:color w:val="auto"/>
              </w:rPr>
              <w:t>4.750% Senior Notes, due 2028</w:t>
            </w: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BB</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Ba2</w:t>
            </w:r>
          </w:p>
        </w:tc>
      </w:tr>
      <w:tr>
        <w:trPr>
          <w:trHeight w:val="227"/>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3.750% Senior Notes, due 2031</w:t>
            </w: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BB</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Ba2</w:t>
            </w:r>
          </w:p>
        </w:tc>
      </w:tr>
      <w:tr>
        <w:trPr>
          <w:trHeight w:val="225"/>
        </w:trPr>
        <w:tc>
          <w:tcPr>
            <w:tcW w:w="8120" w:type="dxa"/>
            <w:vAlign w:val="bottom"/>
          </w:tcPr>
          <w:p>
            <w:pPr>
              <w:ind w:left="20"/>
              <w:spacing w:after="0"/>
              <w:rPr>
                <w:sz w:val="20"/>
                <w:szCs w:val="20"/>
                <w:color w:val="auto"/>
              </w:rPr>
            </w:pPr>
            <w:r>
              <w:rPr>
                <w:rFonts w:ascii="Arial" w:cs="Arial" w:eastAsia="Arial" w:hAnsi="Arial"/>
                <w:sz w:val="18"/>
                <w:szCs w:val="18"/>
                <w:color w:val="auto"/>
              </w:rPr>
              <w:t>3.750% Senior Notes, due 2032</w:t>
            </w: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BB</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Ba2</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6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15 </w:t>
      </w:r>
      <w:r>
        <w:rPr>
          <w:rFonts w:ascii="Arial" w:cs="Arial" w:eastAsia="Arial" w:hAnsi="Arial"/>
          <w:sz w:val="18"/>
          <w:szCs w:val="18"/>
          <w:color w:val="000000"/>
        </w:rPr>
        <w:t>— Note 10</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the Company's financing arrangements consist of corporate level debt, which includes Senior Notes and the revolving credit facility; the ATM Programs; and project-level financings for its various assets.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Thermal Disposition</w:t>
      </w:r>
    </w:p>
    <w:p>
      <w:pPr>
        <w:spacing w:after="0" w:line="166"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On October 22, 2021, Clearway Energy Operating LLC entered into a binding agreement to sell the Thermal Business to KKR for total consideration of $1.9 billion, subject to customary closing adjustments. Based on current estimates, the Company expects total net cash proceeds of approximately $1.35 billion after the assumption of project level debt, estimated taxes and obligations owed, transaction expenses and capital expenditures required to be funded pursuant to the terms and conditions of the definitive agreement. The closing of the transaction is subject to various customary closing conditions, approvals and consents and is expected to close in the first half of 2022.</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Revolving Credit Facility</w:t>
      </w:r>
    </w:p>
    <w:p>
      <w:pPr>
        <w:spacing w:after="0" w:line="16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231F20"/>
        </w:rPr>
        <w:t>The Company has a total of $167 million available under the revolving credit facility as of December 31, 2021. The facility will continue to be used for general corporate purposes including financing of future acquisitions and posting letters of credit.</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Bridge Loan Agreement</w:t>
      </w:r>
    </w:p>
    <w:p>
      <w:pPr>
        <w:spacing w:after="0" w:line="166"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color w:val="auto"/>
        </w:rPr>
        <w:t>On November 30, 2021, Clearway Energy Operating LLC entered into a senior secured bridge credit agreement, or the Bridge Loan Agreement, that provides for a term loan facility in an aggregate principal amount of $335 million that will mature no later than November 29, 2022. The Company intends to use proceeds from the Thermal Disposition to repay the outstanding principal balance of the term loans under the Bridge Loan Agreement. The borrowings under the Bridge Loan Facility were used to acquire the Utah Solar Portfolio on December 1, 2021, as described below.</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2032 Senior Notes</w:t>
      </w:r>
    </w:p>
    <w:p>
      <w:pPr>
        <w:spacing w:after="0" w:line="166"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auto"/>
        </w:rPr>
        <w:t>On October 1, 2021, Clearway Energy Operating LLC completed the sale of $350 million of senior unsecured notes due 2032, or the 2032 Senior Notes. The 2032 Senior Notes bear interest at 3.750% and mature on January 15, 2032. Interest on the 2032 Senior Notes is payable semi-annually on January 15 and July 15 of each year. The 2032 Senior Notes are unsecured obligations of Clearway Energy Operating LLC and are guaranteed by Clearway Energy LLC and by certain of Clearway Energy Operating LLC's wholly-owned current and future subsidiaries. The net proceeds from the 2032 Senior Notes were used, together with existing corporate liquidity, to repurchase the 2026 Senior Notes.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7" w:name="page58"/>
    <w:bookmarkEnd w:id="57"/>
    <w:p>
      <w:pPr>
        <w:ind w:left="400"/>
        <w:spacing w:after="0"/>
        <w:rPr>
          <w:sz w:val="20"/>
          <w:szCs w:val="20"/>
          <w:color w:val="auto"/>
        </w:rPr>
      </w:pPr>
      <w:r>
        <w:rPr>
          <w:rFonts w:ascii="Arial" w:cs="Arial" w:eastAsia="Arial" w:hAnsi="Arial"/>
          <w:sz w:val="18"/>
          <w:szCs w:val="18"/>
          <w:i w:val="1"/>
          <w:iCs w:val="1"/>
          <w:color w:val="auto"/>
        </w:rPr>
        <w:t>Pinnacle Repowering Partnership Holdco LLC Financing</w:t>
      </w:r>
    </w:p>
    <w:p>
      <w:pPr>
        <w:spacing w:after="0" w:line="166"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Wind LLC financing agreement, which related to the Pinnacle wind project, and to reimburse Clearway Renew LLC for equipment purchases and pay vendor invoices and fees. On December 15, 2021, the Company repaid the outstanding principal amount of $117 million utilizing existing corporate liquidity, along with proceeds from tax equity.</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2031 Senior Notes</w:t>
      </w:r>
    </w:p>
    <w:p>
      <w:pPr>
        <w:spacing w:after="0" w:line="166"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The 2031 Senior Notes are unsecured obligations of Clearway Energy Operating LLC and are guaranteed by Clearway Energy LLC and by certain of Clearway Energy Operating LLC's wholly-owned current and future subsidiaries. The net proceeds from the 2031 Senior Notes were used to repurchase the 2025 Senior Notes, as well as to repay amounts outstanding under the Company's revolving credit facility and for general corporate purposes.</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Oahu and Kawailoa Hawaii Refundable Tax Credits</w:t>
      </w:r>
    </w:p>
    <w:p>
      <w:pPr>
        <w:spacing w:after="0" w:line="166"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In 2020, the members of the partnerships holding the Oahu Solar and Kawailoa Solar projects submitted applications to the state of Hawaii for refundable tax credits based on the cost of construction of the projects. In April 2021, the members of the partnerships contributed their respective portions of the tax credits in the amount of $49 million to the Oahu Solar and Kawailoa project companies, which was recorded to restricted cash on the Company's consolidated balance sheet with an offsetting adjustment to noncontrolling interests. In accordance with the projects' related agreements, the cash is held in a restricted account and utilized to offset invoiced amounts under the projects' PPAs. As of December 31, 2021, $20 million of the $49 million has been utilized to offset invoiced amounts under the projects' PPAs.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53"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Item 15 </w:t>
      </w:r>
      <w:r>
        <w:rPr>
          <w:rFonts w:ascii="Arial" w:cs="Arial" w:eastAsia="Arial" w:hAnsi="Arial"/>
          <w:sz w:val="18"/>
          <w:szCs w:val="18"/>
          <w:color w:val="000000"/>
        </w:rPr>
        <w:t>— Note 10</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(ii) capital expenditures; (iii) off-balance sheet arrangements; (iv) acquisitions and investments; and (v) cash dividends to investors.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Debt Service Obligations</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Principal payments on debt as of December 31, 2021, are due in the following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10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6"/>
                <w:szCs w:val="16"/>
                <w:color w:val="auto"/>
              </w:rPr>
            </w:pPr>
          </w:p>
        </w:tc>
        <w:tc>
          <w:tcPr>
            <w:tcW w:w="640" w:type="dxa"/>
            <w:vAlign w:val="bottom"/>
          </w:tcPr>
          <w:p>
            <w:pPr>
              <w:jc w:val="right"/>
              <w:ind w:right="16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2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20"/>
              <w:spacing w:after="0"/>
              <w:rPr>
                <w:sz w:val="20"/>
                <w:szCs w:val="20"/>
                <w:color w:val="auto"/>
              </w:rPr>
            </w:pPr>
            <w:r>
              <w:rPr>
                <w:rFonts w:ascii="Arial" w:cs="Arial" w:eastAsia="Arial" w:hAnsi="Arial"/>
                <w:sz w:val="16"/>
                <w:szCs w:val="16"/>
                <w:b w:val="1"/>
                <w:bCs w:val="1"/>
                <w:color w:val="auto"/>
                <w:w w:val="95"/>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80"/>
              <w:spacing w:after="0"/>
              <w:rPr>
                <w:sz w:val="20"/>
                <w:szCs w:val="20"/>
                <w:color w:val="auto"/>
              </w:rPr>
            </w:pPr>
            <w:r>
              <w:rPr>
                <w:rFonts w:ascii="Arial" w:cs="Arial" w:eastAsia="Arial" w:hAnsi="Arial"/>
                <w:sz w:val="16"/>
                <w:szCs w:val="16"/>
                <w:b w:val="1"/>
                <w:bCs w:val="1"/>
                <w:color w:val="auto"/>
                <w:w w:val="95"/>
              </w:rPr>
              <w:t>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40"/>
              <w:spacing w:after="0"/>
              <w:rPr>
                <w:sz w:val="20"/>
                <w:szCs w:val="20"/>
                <w:color w:val="auto"/>
              </w:rPr>
            </w:pPr>
            <w:r>
              <w:rPr>
                <w:rFonts w:ascii="Arial" w:cs="Arial" w:eastAsia="Arial" w:hAnsi="Arial"/>
                <w:sz w:val="16"/>
                <w:szCs w:val="16"/>
                <w:b w:val="1"/>
                <w:bCs w:val="1"/>
                <w:color w:val="auto"/>
                <w:w w:val="95"/>
              </w:rPr>
              <w:t>2026</w:t>
            </w:r>
          </w:p>
        </w:tc>
        <w:tc>
          <w:tcPr>
            <w:tcW w:w="100" w:type="dxa"/>
            <w:vAlign w:val="bottom"/>
          </w:tcPr>
          <w:p>
            <w:pPr>
              <w:spacing w:after="0"/>
              <w:rPr>
                <w:sz w:val="16"/>
                <w:szCs w:val="16"/>
                <w:color w:val="auto"/>
              </w:rPr>
            </w:pPr>
          </w:p>
        </w:tc>
        <w:tc>
          <w:tcPr>
            <w:tcW w:w="1040" w:type="dxa"/>
            <w:vAlign w:val="bottom"/>
            <w:gridSpan w:val="3"/>
          </w:tcPr>
          <w:p>
            <w:pPr>
              <w:ind w:left="80"/>
              <w:spacing w:after="0"/>
              <w:rPr>
                <w:sz w:val="20"/>
                <w:szCs w:val="20"/>
                <w:color w:val="auto"/>
              </w:rPr>
            </w:pPr>
            <w:r>
              <w:rPr>
                <w:rFonts w:ascii="Arial" w:cs="Arial" w:eastAsia="Arial" w:hAnsi="Arial"/>
                <w:sz w:val="16"/>
                <w:szCs w:val="16"/>
                <w:b w:val="1"/>
                <w:bCs w:val="1"/>
                <w:color w:val="auto"/>
              </w:rPr>
              <w:t>There-after</w:t>
            </w:r>
          </w:p>
        </w:tc>
        <w:tc>
          <w:tcPr>
            <w:tcW w:w="160" w:type="dxa"/>
            <w:vAlign w:val="bottom"/>
          </w:tcPr>
          <w:p>
            <w:pPr>
              <w:spacing w:after="0"/>
              <w:rPr>
                <w:sz w:val="16"/>
                <w:szCs w:val="16"/>
                <w:color w:val="auto"/>
              </w:rPr>
            </w:pPr>
          </w:p>
        </w:tc>
        <w:tc>
          <w:tcPr>
            <w:tcW w:w="680" w:type="dxa"/>
            <w:vAlign w:val="bottom"/>
          </w:tcPr>
          <w:p>
            <w:pPr>
              <w:jc w:val="right"/>
              <w:ind w:righ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4"/>
          </w:tcPr>
          <w:p>
            <w:pPr>
              <w:jc w:val="right"/>
              <w:spacing w:after="0"/>
              <w:rPr>
                <w:sz w:val="20"/>
                <w:szCs w:val="20"/>
                <w:color w:val="auto"/>
              </w:rPr>
            </w:pPr>
            <w:r>
              <w:rPr>
                <w:rFonts w:ascii="Arial" w:cs="Arial" w:eastAsia="Arial" w:hAnsi="Arial"/>
                <w:sz w:val="16"/>
                <w:szCs w:val="16"/>
                <w:b w:val="1"/>
                <w:bCs w:val="1"/>
                <w:color w:val="auto"/>
                <w:w w:val="95"/>
              </w:rPr>
              <w:t>(In millions)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Clearway Energy Operating LLC Senior Notes, due 2028</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Clearway Energy Operating LLC Senior Notes, due 2031</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Clearway Energy Operating LLC Senior Notes, due 2032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00" w:type="dxa"/>
            <w:vAlign w:val="bottom"/>
            <w:gridSpan w:val="2"/>
          </w:tcPr>
          <w:p>
            <w:pPr>
              <w:spacing w:after="0" w:line="164" w:lineRule="exact"/>
              <w:rPr>
                <w:sz w:val="20"/>
                <w:szCs w:val="20"/>
                <w:color w:val="auto"/>
              </w:rPr>
            </w:pPr>
            <w:r>
              <w:rPr>
                <w:rFonts w:ascii="Arial" w:cs="Arial" w:eastAsia="Arial" w:hAnsi="Arial"/>
                <w:sz w:val="16"/>
                <w:szCs w:val="16"/>
                <w:color w:val="auto"/>
                <w:w w:val="93"/>
              </w:rPr>
              <w:t>Clearway Energy LLC and Clearway Energy Operating LLC Revolving Credit</w:t>
            </w:r>
          </w:p>
        </w:tc>
        <w:tc>
          <w:tcPr>
            <w:tcW w:w="16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Facility, due 2023</w:t>
            </w: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Bridge Loan, due 2022</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00" w:type="dxa"/>
            <w:vAlign w:val="bottom"/>
            <w:gridSpan w:val="2"/>
          </w:tcPr>
          <w:p>
            <w:pPr>
              <w:ind w:left="120"/>
              <w:spacing w:after="0"/>
              <w:rPr>
                <w:sz w:val="20"/>
                <w:szCs w:val="20"/>
                <w:color w:val="auto"/>
              </w:rPr>
            </w:pPr>
            <w:r>
              <w:rPr>
                <w:rFonts w:ascii="Arial" w:cs="Arial" w:eastAsia="Arial" w:hAnsi="Arial"/>
                <w:sz w:val="16"/>
                <w:szCs w:val="16"/>
                <w:color w:val="auto"/>
              </w:rPr>
              <w:t>Total Corporate-level debt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2,705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Project-level debt: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Agua Caliente Solar LLC, due 2037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Alta Wind Asset Management LLC</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Alta Wind I-V lease financing arrangements, due 2034 and 2035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Alta Wind Realty Investments LLC, due 2031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Borrego, due 2024 and 2038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Buckthorn Solar, due 2025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Carlsbad Holdco, due 2038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Carlsbad Energy Holdings LLC, due 2027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Carlsbad Energy Holdings LLC, due 2038</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CVSR, due 2037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CVSR Holdco Notes, due 2037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DG-CS Master Borrower LLC, due 2040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00" w:type="dxa"/>
            <w:vAlign w:val="bottom"/>
            <w:gridSpan w:val="2"/>
          </w:tcPr>
          <w:p>
            <w:pPr>
              <w:spacing w:after="0" w:line="213" w:lineRule="exact"/>
              <w:rPr>
                <w:sz w:val="20"/>
                <w:szCs w:val="20"/>
                <w:color w:val="auto"/>
              </w:rPr>
            </w:pPr>
            <w:r>
              <w:rPr>
                <w:rFonts w:ascii="Arial" w:cs="Arial" w:eastAsia="Arial" w:hAnsi="Arial"/>
                <w:sz w:val="16"/>
                <w:szCs w:val="16"/>
                <w:color w:val="auto"/>
              </w:rPr>
              <w:t xml:space="preserve">Duquesne, due 2059 </w:t>
            </w:r>
            <w:r>
              <w:rPr>
                <w:rFonts w:ascii="Arial" w:cs="Arial" w:eastAsia="Arial" w:hAnsi="Arial"/>
                <w:sz w:val="20"/>
                <w:szCs w:val="20"/>
                <w:color w:val="auto"/>
                <w:vertAlign w:val="superscript"/>
              </w:rPr>
              <w:t>(a)</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El Segundo Energy Center, due 2023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00" w:type="dxa"/>
            <w:vAlign w:val="bottom"/>
            <w:gridSpan w:val="2"/>
          </w:tcPr>
          <w:p>
            <w:pPr>
              <w:spacing w:after="0" w:line="213" w:lineRule="exact"/>
              <w:rPr>
                <w:sz w:val="20"/>
                <w:szCs w:val="20"/>
                <w:color w:val="auto"/>
              </w:rPr>
            </w:pPr>
            <w:r>
              <w:rPr>
                <w:rFonts w:ascii="Arial" w:cs="Arial" w:eastAsia="Arial" w:hAnsi="Arial"/>
                <w:sz w:val="16"/>
                <w:szCs w:val="16"/>
                <w:color w:val="auto"/>
                <w:w w:val="97"/>
              </w:rPr>
              <w:t xml:space="preserve">Energy Center Minneapolis Series D, E, F, G, H Notes, due 2025-2037 </w:t>
            </w:r>
            <w:r>
              <w:rPr>
                <w:rFonts w:ascii="Arial" w:cs="Arial" w:eastAsia="Arial" w:hAnsi="Arial"/>
                <w:sz w:val="20"/>
                <w:szCs w:val="20"/>
                <w:color w:val="auto"/>
                <w:w w:val="97"/>
                <w:vertAlign w:val="superscript"/>
              </w:rPr>
              <w:t>(a)</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Kawailoa Solar Portfolio LLC, due 2026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Laredo Ridge, due 2028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Marsh Landing, due 2023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NIMH Solar, due 2024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Oahu Solar Holdings LLC, due 2026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Rosie Class B, due 2027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Tapestry, due 2031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Utah Solar Holdings, due 2036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Walnut Creek, due 2023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6"/>
                <w:szCs w:val="16"/>
                <w:color w:val="auto"/>
              </w:rPr>
              <w:t>WCEP Holdings, LLC due 2023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tcPr>
          <w:p>
            <w:pPr>
              <w:spacing w:after="0"/>
              <w:rPr>
                <w:sz w:val="17"/>
                <w:szCs w:val="17"/>
                <w:color w:val="auto"/>
              </w:rPr>
            </w:pPr>
          </w:p>
        </w:tc>
        <w:tc>
          <w:tcPr>
            <w:tcW w:w="5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Total project-level debt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5,496</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debt</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160" w:hanging="153"/>
        <w:spacing w:after="0"/>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1"/>
          <w:szCs w:val="11"/>
          <w:color w:val="auto"/>
        </w:rPr>
        <w:t>Principal debt payments relate to Thermal Business long-term debt reclassified to held for sale in the fourth quarter of 2021.</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9" w:name="page60"/>
    <w:bookmarkEnd w:id="59"/>
    <w:p>
      <w:pPr>
        <w:ind w:left="40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66" w:lineRule="exact"/>
        <w:rPr>
          <w:sz w:val="20"/>
          <w:szCs w:val="20"/>
          <w:color w:val="auto"/>
        </w:rPr>
      </w:pPr>
    </w:p>
    <w:p>
      <w:pPr>
        <w:jc w:val="both"/>
        <w:ind w:firstLine="400"/>
        <w:spacing w:after="0" w:line="365" w:lineRule="auto"/>
        <w:rPr>
          <w:sz w:val="20"/>
          <w:szCs w:val="20"/>
          <w:color w:val="auto"/>
        </w:rPr>
      </w:pPr>
      <w:r>
        <w:rPr>
          <w:rFonts w:ascii="Arial" w:cs="Arial" w:eastAsia="Arial" w:hAnsi="Arial"/>
          <w:sz w:val="14"/>
          <w:szCs w:val="14"/>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w:t>
      </w:r>
    </w:p>
    <w:p>
      <w:pPr>
        <w:spacing w:after="0" w:line="65"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231F20"/>
        </w:rPr>
        <w:t xml:space="preserve">For the years ended </w:t>
      </w:r>
      <w:r>
        <w:rPr>
          <w:rFonts w:ascii="Arial" w:cs="Arial" w:eastAsia="Arial" w:hAnsi="Arial"/>
          <w:sz w:val="17"/>
          <w:szCs w:val="17"/>
          <w:color w:val="000000"/>
        </w:rPr>
        <w:t>December 31, 2021</w:t>
      </w:r>
      <w:r>
        <w:rPr>
          <w:rFonts w:ascii="Arial" w:cs="Arial" w:eastAsia="Arial" w:hAnsi="Arial"/>
          <w:sz w:val="17"/>
          <w:szCs w:val="17"/>
          <w:color w:val="231F20"/>
        </w:rPr>
        <w:t xml:space="preserve"> and 2020, the Company used approximately $151 million, and $124 million, respectively, to fund capital expenditures, including </w:t>
      </w:r>
      <w:r>
        <w:rPr>
          <w:rFonts w:ascii="Arial" w:cs="Arial" w:eastAsia="Arial" w:hAnsi="Arial"/>
          <w:sz w:val="17"/>
          <w:szCs w:val="17"/>
          <w:color w:val="000000"/>
        </w:rPr>
        <w:t>maintenance capital</w:t>
      </w:r>
      <w:r>
        <w:rPr>
          <w:rFonts w:ascii="Arial" w:cs="Arial" w:eastAsia="Arial" w:hAnsi="Arial"/>
          <w:sz w:val="17"/>
          <w:szCs w:val="17"/>
          <w:color w:val="231F20"/>
        </w:rPr>
        <w:t xml:space="preserve"> expenditures </w:t>
      </w:r>
      <w:r>
        <w:rPr>
          <w:rFonts w:ascii="Arial" w:cs="Arial" w:eastAsia="Arial" w:hAnsi="Arial"/>
          <w:sz w:val="17"/>
          <w:szCs w:val="17"/>
          <w:color w:val="000000"/>
        </w:rPr>
        <w:t>of $25 million and $23 million, respectively.</w:t>
      </w:r>
      <w:r>
        <w:rPr>
          <w:rFonts w:ascii="Arial" w:cs="Arial" w:eastAsia="Arial" w:hAnsi="Arial"/>
          <w:sz w:val="17"/>
          <w:szCs w:val="17"/>
          <w:color w:val="231F20"/>
        </w:rPr>
        <w:t xml:space="preserve"> Growth capital expenditures in 2021 include $96 million </w:t>
      </w:r>
      <w:r>
        <w:rPr>
          <w:rFonts w:ascii="Arial" w:cs="Arial" w:eastAsia="Arial" w:hAnsi="Arial"/>
          <w:sz w:val="17"/>
          <w:szCs w:val="17"/>
          <w:color w:val="000000"/>
        </w:rPr>
        <w:t>in the Renewables segment, $43 million incurred in connection with the repowering of the Pinnacle wind project, $19 million incurred in</w:t>
      </w:r>
      <w:r>
        <w:rPr>
          <w:rFonts w:ascii="Arial" w:cs="Arial" w:eastAsia="Arial" w:hAnsi="Arial"/>
          <w:sz w:val="17"/>
          <w:szCs w:val="17"/>
          <w:color w:val="231F20"/>
        </w:rPr>
        <w:t xml:space="preserve"> </w:t>
      </w:r>
      <w:r>
        <w:rPr>
          <w:rFonts w:ascii="Arial" w:cs="Arial" w:eastAsia="Arial" w:hAnsi="Arial"/>
          <w:sz w:val="17"/>
          <w:szCs w:val="17"/>
          <w:color w:val="000000"/>
        </w:rPr>
        <w:t>connection with the Rattlesnake wind project, $18 million incurred in connection with the Rosamond Central solar project, $13 million incurred in connection with the Mesquite Star wind project and $3 million incurred by other wind projects. The Company also incurred $30 million of growth capital expenditures in the Thermal and Conventional segments in connection with various development projects.</w:t>
      </w:r>
    </w:p>
    <w:p>
      <w:pPr>
        <w:spacing w:after="0" w:line="130"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231F20"/>
        </w:rPr>
        <w:t xml:space="preserve">The Company estimates $36 million of maintenance capital expenditures for 2022, which includes the Thermal segment for all of 2022. </w:t>
      </w:r>
      <w:r>
        <w:rPr>
          <w:rFonts w:ascii="Arial" w:cs="Arial" w:eastAsia="Arial" w:hAnsi="Arial"/>
          <w:sz w:val="18"/>
          <w:szCs w:val="18"/>
          <w:color w:val="000000"/>
        </w:rPr>
        <w:t>These estimates</w:t>
      </w:r>
      <w:r>
        <w:rPr>
          <w:rFonts w:ascii="Arial" w:cs="Arial" w:eastAsia="Arial" w:hAnsi="Arial"/>
          <w:sz w:val="18"/>
          <w:szCs w:val="18"/>
          <w:color w:val="231F20"/>
        </w:rPr>
        <w:t xml:space="preserve"> </w:t>
      </w:r>
      <w:r>
        <w:rPr>
          <w:rFonts w:ascii="Arial" w:cs="Arial" w:eastAsia="Arial" w:hAnsi="Arial"/>
          <w:sz w:val="18"/>
          <w:szCs w:val="18"/>
          <w:color w:val="000000"/>
        </w:rPr>
        <w:t>are subject to continuing review and adjustment and actual capital expenditures may vary from these estimates.</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Off-Balance Sheet Arrangements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53" w:lineRule="exact"/>
        <w:rPr>
          <w:sz w:val="20"/>
          <w:szCs w:val="20"/>
          <w:color w:val="auto"/>
        </w:rPr>
      </w:pPr>
    </w:p>
    <w:p>
      <w:pPr>
        <w:jc w:val="both"/>
        <w:ind w:firstLine="400"/>
        <w:spacing w:after="0" w:line="295" w:lineRule="auto"/>
        <w:rPr>
          <w:sz w:val="20"/>
          <w:szCs w:val="20"/>
          <w:color w:val="auto"/>
        </w:rPr>
      </w:pPr>
      <w:r>
        <w:rPr>
          <w:rFonts w:ascii="Arial" w:cs="Arial" w:eastAsia="Arial" w:hAnsi="Arial"/>
          <w:sz w:val="16"/>
          <w:szCs w:val="16"/>
          <w:i w:val="1"/>
          <w:iCs w:val="1"/>
          <w:color w:val="auto"/>
        </w:rPr>
        <w:t xml:space="preserve">Variable interest in equity investments </w:t>
      </w:r>
      <w:r>
        <w:rPr>
          <w:rFonts w:ascii="Arial" w:cs="Arial" w:eastAsia="Arial" w:hAnsi="Arial"/>
          <w:sz w:val="16"/>
          <w:szCs w:val="16"/>
          <w:color w:val="auto"/>
        </w:rPr>
        <w:t>— As of December 31, 2021, the Company has several investments with an ownership interest percentage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50% or less. GenConn is a variable interest entity for which the Company is not the primary beneficiary. The Company's pro-rata share of non-recourse debt held by unconsolidated affiliates was approximately $345 million as of December 31, 2021. This indebtedness may restrict the ability of these subsidiaries to issue dividends or distributions to the Company. See also Item 15 —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6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 xml:space="preserve">In addition to the Company's capital expenditure programs, the Company has a variety of contractual obligations and other commercial commitments that represent prospective cash requirements. The following table summarizes the Company's contractual obligations. See Item 15 — Note 10,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Debt, </w:t>
      </w:r>
      <w:r>
        <w:rPr>
          <w:rFonts w:ascii="Arial" w:cs="Arial" w:eastAsia="Arial" w:hAnsi="Arial"/>
          <w:sz w:val="18"/>
          <w:szCs w:val="18"/>
          <w:color w:val="auto"/>
        </w:rPr>
        <w:t>Note 16,</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and Note 17,</w:t>
      </w:r>
      <w:r>
        <w:rPr>
          <w:rFonts w:ascii="Arial" w:cs="Arial" w:eastAsia="Arial" w:hAnsi="Arial"/>
          <w:sz w:val="18"/>
          <w:szCs w:val="18"/>
          <w:i w:val="1"/>
          <w:iCs w:val="1"/>
          <w:color w:val="auto"/>
        </w:rPr>
        <w:t xml:space="preserve"> Leases, </w:t>
      </w:r>
      <w:r>
        <w:rPr>
          <w:rFonts w:ascii="Arial" w:cs="Arial" w:eastAsia="Arial" w:hAnsi="Arial"/>
          <w:sz w:val="18"/>
          <w:szCs w:val="18"/>
          <w:color w:val="auto"/>
        </w:rPr>
        <w:t>for additional discussion.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9"/>
          </w:tcPr>
          <w:p>
            <w:pPr>
              <w:jc w:val="center"/>
              <w:ind w:right="71"/>
              <w:spacing w:after="0"/>
              <w:rPr>
                <w:sz w:val="20"/>
                <w:szCs w:val="20"/>
                <w:color w:val="auto"/>
              </w:rPr>
            </w:pPr>
            <w:r>
              <w:rPr>
                <w:rFonts w:ascii="Arial" w:cs="Arial" w:eastAsia="Arial" w:hAnsi="Arial"/>
                <w:sz w:val="14"/>
                <w:szCs w:val="14"/>
                <w:b w:val="1"/>
                <w:bCs w:val="1"/>
                <w:color w:val="auto"/>
                <w:w w:val="93"/>
              </w:rPr>
              <w:t>By Remaining Maturity at December 31,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Cash Obligations</w:t>
            </w:r>
          </w:p>
        </w:tc>
        <w:tc>
          <w:tcPr>
            <w:tcW w:w="220" w:type="dxa"/>
            <w:vAlign w:val="bottom"/>
          </w:tcPr>
          <w:p>
            <w:pPr>
              <w:spacing w:after="0"/>
              <w:rPr>
                <w:sz w:val="11"/>
                <w:szCs w:val="11"/>
                <w:color w:val="auto"/>
              </w:rPr>
            </w:pPr>
          </w:p>
        </w:tc>
        <w:tc>
          <w:tcPr>
            <w:tcW w:w="940" w:type="dxa"/>
            <w:vAlign w:val="bottom"/>
            <w:gridSpan w:val="2"/>
          </w:tcPr>
          <w:p>
            <w:pPr>
              <w:ind w:left="120"/>
              <w:spacing w:after="0" w:line="128" w:lineRule="exact"/>
              <w:rPr>
                <w:sz w:val="20"/>
                <w:szCs w:val="20"/>
                <w:color w:val="auto"/>
              </w:rPr>
            </w:pPr>
            <w:r>
              <w:rPr>
                <w:rFonts w:ascii="Arial" w:cs="Arial" w:eastAsia="Arial" w:hAnsi="Arial"/>
                <w:sz w:val="14"/>
                <w:szCs w:val="14"/>
                <w:b w:val="1"/>
                <w:bCs w:val="1"/>
                <w:color w:val="auto"/>
              </w:rPr>
              <w:t>Under</w:t>
            </w:r>
          </w:p>
        </w:tc>
        <w:tc>
          <w:tcPr>
            <w:tcW w:w="160" w:type="dxa"/>
            <w:vAlign w:val="bottom"/>
          </w:tcPr>
          <w:p>
            <w:pPr>
              <w:spacing w:after="0"/>
              <w:rPr>
                <w:sz w:val="11"/>
                <w:szCs w:val="11"/>
                <w:color w:val="auto"/>
              </w:rPr>
            </w:pPr>
          </w:p>
        </w:tc>
        <w:tc>
          <w:tcPr>
            <w:tcW w:w="8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9"/>
              </w:rPr>
              <w:t>1-3 Years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11"/>
                <w:szCs w:val="11"/>
                <w:color w:val="auto"/>
              </w:rPr>
            </w:pPr>
          </w:p>
        </w:tc>
        <w:tc>
          <w:tcPr>
            <w:tcW w:w="960" w:type="dxa"/>
            <w:vAlign w:val="bottom"/>
            <w:gridSpan w:val="2"/>
          </w:tcPr>
          <w:p>
            <w:pPr>
              <w:jc w:val="center"/>
              <w:ind w:right="300"/>
              <w:spacing w:after="0" w:line="128" w:lineRule="exact"/>
              <w:rPr>
                <w:sz w:val="20"/>
                <w:szCs w:val="20"/>
                <w:color w:val="auto"/>
              </w:rPr>
            </w:pPr>
            <w:r>
              <w:rPr>
                <w:rFonts w:ascii="Arial" w:cs="Arial" w:eastAsia="Arial" w:hAnsi="Arial"/>
                <w:sz w:val="14"/>
                <w:szCs w:val="14"/>
                <w:b w:val="1"/>
                <w:bCs w:val="1"/>
                <w:color w:val="auto"/>
                <w:w w:val="93"/>
              </w:rPr>
              <w:t>Over</w:t>
            </w:r>
          </w:p>
        </w:tc>
        <w:tc>
          <w:tcPr>
            <w:tcW w:w="24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8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5 Years</w:t>
            </w: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line="228" w:lineRule="exact"/>
              <w:rPr>
                <w:sz w:val="20"/>
                <w:szCs w:val="20"/>
                <w:color w:val="auto"/>
              </w:rPr>
            </w:pPr>
            <w:r>
              <w:rPr>
                <w:rFonts w:ascii="Arial" w:cs="Arial" w:eastAsia="Arial" w:hAnsi="Arial"/>
                <w:sz w:val="18"/>
                <w:szCs w:val="18"/>
                <w:color w:val="auto"/>
              </w:rPr>
              <w:t xml:space="preserve">Long-term debt (including estimated interest) </w:t>
            </w:r>
            <w:r>
              <w:rPr>
                <w:rFonts w:ascii="Arial" w:cs="Arial" w:eastAsia="Arial" w:hAnsi="Arial"/>
                <w:sz w:val="23"/>
                <w:szCs w:val="23"/>
                <w:color w:val="auto"/>
                <w:vertAlign w:val="superscript"/>
              </w:rPr>
              <w:t>(a)</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00" w:type="dxa"/>
            <w:vAlign w:val="bottom"/>
            <w:gridSpan w:val="2"/>
          </w:tcPr>
          <w:p>
            <w:pPr>
              <w:spacing w:after="0" w:line="226"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(b)</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purchase and transportation obligations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spacing w:after="0" w:line="226"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23"/>
                <w:szCs w:val="23"/>
                <w:color w:val="auto"/>
                <w:vertAlign w:val="superscript"/>
              </w:rPr>
              <w:t>(c)</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140" w:hanging="133"/>
        <w:spacing w:after="0"/>
        <w:tabs>
          <w:tab w:leader="none" w:pos="140" w:val="left"/>
        </w:tabs>
        <w:numPr>
          <w:ilvl w:val="0"/>
          <w:numId w:val="37"/>
        </w:numPr>
        <w:rPr>
          <w:rFonts w:ascii="Arial" w:cs="Arial" w:eastAsia="Arial" w:hAnsi="Arial"/>
          <w:sz w:val="9"/>
          <w:szCs w:val="9"/>
          <w:color w:val="auto"/>
        </w:rPr>
      </w:pPr>
      <w:r>
        <w:rPr>
          <w:rFonts w:ascii="Arial" w:cs="Arial" w:eastAsia="Arial" w:hAnsi="Arial"/>
          <w:sz w:val="13"/>
          <w:szCs w:val="13"/>
          <w:color w:val="auto"/>
        </w:rPr>
        <w:t>Remaining maturities of Thermal Business long-term debt reclassified to held for sale in the fourth quarter of 2021 are $19 million, $40 million, $57 million and $596 million due under 1 Year, 1-</w:t>
      </w:r>
    </w:p>
    <w:p>
      <w:pPr>
        <w:spacing w:after="0" w:line="2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4"/>
          <w:szCs w:val="14"/>
          <w:color w:val="auto"/>
        </w:rPr>
        <w:t>3 Years, 3-5 Years and Over 5 Years, respectively.</w:t>
      </w:r>
    </w:p>
    <w:p>
      <w:pPr>
        <w:spacing w:after="0" w:line="80" w:lineRule="exact"/>
        <w:rPr>
          <w:rFonts w:ascii="Arial" w:cs="Arial" w:eastAsia="Arial" w:hAnsi="Arial"/>
          <w:sz w:val="9"/>
          <w:szCs w:val="9"/>
          <w:color w:val="auto"/>
        </w:rPr>
      </w:pPr>
    </w:p>
    <w:p>
      <w:pPr>
        <w:ind w:firstLine="7"/>
        <w:spacing w:after="0" w:line="287" w:lineRule="auto"/>
        <w:tabs>
          <w:tab w:leader="none" w:pos="152" w:val="left"/>
        </w:tabs>
        <w:numPr>
          <w:ilvl w:val="0"/>
          <w:numId w:val="37"/>
        </w:numPr>
        <w:rPr>
          <w:rFonts w:ascii="Arial" w:cs="Arial" w:eastAsia="Arial" w:hAnsi="Arial"/>
          <w:sz w:val="9"/>
          <w:szCs w:val="9"/>
          <w:color w:val="auto"/>
        </w:rPr>
      </w:pPr>
      <w:r>
        <w:rPr>
          <w:rFonts w:ascii="Arial" w:cs="Arial" w:eastAsia="Arial" w:hAnsi="Arial"/>
          <w:sz w:val="14"/>
          <w:szCs w:val="14"/>
          <w:color w:val="auto"/>
        </w:rPr>
        <w:t>Remaining maturities of Thermal Business operating leases reclassified to held for sale in the fourth quarter of 2021 are $1 million, $2 million, $2 million and $31 million due under 1 Year, 1-3 Years, 3-5 Years and Over 5 Years, respectively.</w:t>
      </w:r>
    </w:p>
    <w:p>
      <w:pPr>
        <w:spacing w:after="0" w:line="1" w:lineRule="exact"/>
        <w:rPr>
          <w:rFonts w:ascii="Arial" w:cs="Arial" w:eastAsia="Arial" w:hAnsi="Arial"/>
          <w:sz w:val="9"/>
          <w:szCs w:val="9"/>
          <w:color w:val="auto"/>
        </w:rPr>
      </w:pPr>
    </w:p>
    <w:p>
      <w:pPr>
        <w:ind w:left="140" w:hanging="133"/>
        <w:spacing w:after="0"/>
        <w:tabs>
          <w:tab w:leader="none" w:pos="140" w:val="left"/>
        </w:tabs>
        <w:numPr>
          <w:ilvl w:val="0"/>
          <w:numId w:val="37"/>
        </w:numPr>
        <w:rPr>
          <w:rFonts w:ascii="Arial" w:cs="Arial" w:eastAsia="Arial" w:hAnsi="Arial"/>
          <w:sz w:val="9"/>
          <w:szCs w:val="9"/>
          <w:color w:val="auto"/>
        </w:rPr>
      </w:pPr>
      <w:r>
        <w:rPr>
          <w:rFonts w:ascii="Arial" w:cs="Arial" w:eastAsia="Arial" w:hAnsi="Arial"/>
          <w:sz w:val="14"/>
          <w:szCs w:val="14"/>
          <w:color w:val="auto"/>
        </w:rPr>
        <w:t>Includes water right agreements, service and maintenance agreements, and LTSA commitments.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0" w:name="page61"/>
    <w:bookmarkEnd w:id="60"/>
    <w:p>
      <w:pPr>
        <w:ind w:left="400"/>
        <w:spacing w:after="0"/>
        <w:rPr>
          <w:sz w:val="20"/>
          <w:szCs w:val="20"/>
          <w:color w:val="auto"/>
        </w:rPr>
      </w:pPr>
      <w:r>
        <w:rPr>
          <w:rFonts w:ascii="Arial" w:cs="Arial" w:eastAsia="Arial" w:hAnsi="Arial"/>
          <w:sz w:val="18"/>
          <w:szCs w:val="18"/>
          <w:b w:val="1"/>
          <w:bCs w:val="1"/>
          <w:i w:val="1"/>
          <w:iCs w:val="1"/>
          <w:color w:val="auto"/>
        </w:rPr>
        <w:t>Acquisitions and Investments</w:t>
      </w:r>
    </w:p>
    <w:p>
      <w:pPr>
        <w:spacing w:after="0" w:line="16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135" w:lineRule="exact"/>
        <w:rPr>
          <w:sz w:val="20"/>
          <w:szCs w:val="20"/>
          <w:color w:val="auto"/>
        </w:rPr>
      </w:pPr>
    </w:p>
    <w:p>
      <w:pPr>
        <w:jc w:val="both"/>
        <w:ind w:firstLine="400"/>
        <w:spacing w:after="0" w:line="285" w:lineRule="auto"/>
        <w:rPr>
          <w:sz w:val="20"/>
          <w:szCs w:val="20"/>
          <w:color w:val="auto"/>
        </w:rPr>
      </w:pPr>
      <w:r>
        <w:rPr>
          <w:rFonts w:ascii="Arial" w:cs="Arial" w:eastAsia="Arial" w:hAnsi="Arial"/>
          <w:sz w:val="16"/>
          <w:szCs w:val="16"/>
          <w:i w:val="1"/>
          <w:iCs w:val="1"/>
          <w:color w:val="auto"/>
        </w:rPr>
        <w:t xml:space="preserve">Black Rock Drop Down </w:t>
      </w:r>
      <w:r>
        <w:rPr>
          <w:rFonts w:ascii="Arial" w:cs="Arial" w:eastAsia="Arial" w:hAnsi="Arial"/>
          <w:sz w:val="16"/>
          <w:szCs w:val="16"/>
          <w:color w:val="auto"/>
        </w:rPr>
        <w:t>— On December 29, 2021, the Company, through its indirect subsidiary Lighthouse Renewable Holding Sub LLC, acquired the</w:t>
      </w:r>
      <w:r>
        <w:rPr>
          <w:rFonts w:ascii="Arial" w:cs="Arial" w:eastAsia="Arial" w:hAnsi="Arial"/>
          <w:sz w:val="16"/>
          <w:szCs w:val="16"/>
          <w:i w:val="1"/>
          <w:iCs w:val="1"/>
          <w:color w:val="auto"/>
        </w:rPr>
        <w:t xml:space="preserve"> </w:t>
      </w:r>
      <w:r>
        <w:rPr>
          <w:rFonts w:ascii="Arial" w:cs="Arial" w:eastAsia="Arial" w:hAnsi="Arial"/>
          <w:sz w:val="16"/>
          <w:szCs w:val="16"/>
          <w:color w:val="auto"/>
        </w:rPr>
        <w:t>Class B membership interests in Black Rock Wind Holding LLC from Clearway Renew LLC, a subsidiary of CEG, for $60 million in cash consideration, $37 million of which was paid on December 29, 2021, with the remaining $23 million paid in February 2022 after all remaining turbines were operational. Lighthouse Renewable Holding Sub LLC is a wholly-owned subsidiary of Lighthouse Renewable Holdco LLC, which is a partnership between the Company and a third-party investor. Black Rock Wind Holding LLC is the primary beneficiary and consolidates its interest in a tax equity fund, Black Rock TE Holdco LLC, that holds the Black Rock wind project, a 115 MW utility scale wind project located in Mineral County and Grant County, West Virginia. As of December 31, 2021, 70 MW of the 115 MW rated capacity were operational, representing fourteen of the twenty-three wind turbines, and the remaining 45 MW rated capacity became operational in January 2022. The investment was funded with existing sources of liquidity.</w:t>
      </w:r>
    </w:p>
    <w:p>
      <w:pPr>
        <w:spacing w:after="0" w:line="118"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i w:val="1"/>
          <w:iCs w:val="1"/>
          <w:color w:val="auto"/>
        </w:rPr>
        <w:t xml:space="preserve">Mesquite Sky Drop Down </w:t>
      </w:r>
      <w:r>
        <w:rPr>
          <w:rFonts w:ascii="Arial" w:cs="Arial" w:eastAsia="Arial" w:hAnsi="Arial"/>
          <w:sz w:val="18"/>
          <w:szCs w:val="18"/>
          <w:color w:val="auto"/>
        </w:rPr>
        <w:t>— On December 17, 2021, the Company, through its indirect subsidiary Lighthouse Renewable Holdco 2 LLC, acquired the</w:t>
      </w:r>
      <w:r>
        <w:rPr>
          <w:rFonts w:ascii="Arial" w:cs="Arial" w:eastAsia="Arial" w:hAnsi="Arial"/>
          <w:sz w:val="18"/>
          <w:szCs w:val="18"/>
          <w:i w:val="1"/>
          <w:iCs w:val="1"/>
          <w:color w:val="auto"/>
        </w:rPr>
        <w:t xml:space="preserve"> </w:t>
      </w:r>
      <w:r>
        <w:rPr>
          <w:rFonts w:ascii="Arial" w:cs="Arial" w:eastAsia="Arial" w:hAnsi="Arial"/>
          <w:sz w:val="18"/>
          <w:szCs w:val="18"/>
          <w:color w:val="auto"/>
        </w:rPr>
        <w:t>Class B membership interests of Mesquite Sky Holding LLC from Clearway Renew LLC, a subsidiary of CEG for $61 million in cash consideration. Lighthouse Renewable Holdco 2 LLC is a partnership between the Company and a third-party investor. Mesquite Sky Holding LLC, through its subsidiary, is the primary beneficiary and consolidates its interest in a tax equity fund, Mesquite Sky TE Holdco LLC, that holds the Mesquite Sky wind project, a 340 MW utility scale wind project located in Callahan County, Texas, which achieved commercial operations in December 2021. The investment was funded with existing sources of liquidity.</w:t>
      </w:r>
    </w:p>
    <w:p>
      <w:pPr>
        <w:spacing w:after="0" w:line="141"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i w:val="1"/>
          <w:iCs w:val="1"/>
          <w:color w:val="auto"/>
        </w:rPr>
        <w:t xml:space="preserve">Utah Portfolio Acquisition </w:t>
      </w:r>
      <w:r>
        <w:rPr>
          <w:rFonts w:ascii="Arial" w:cs="Arial" w:eastAsia="Arial" w:hAnsi="Arial"/>
          <w:sz w:val="18"/>
          <w:szCs w:val="18"/>
          <w:color w:val="auto"/>
        </w:rPr>
        <w:t>— On December 1, 2021, the Company acquired the remaining 50% equity interest in the Utah Solar Portfolio from</w:t>
      </w:r>
      <w:r>
        <w:rPr>
          <w:rFonts w:ascii="Arial" w:cs="Arial" w:eastAsia="Arial" w:hAnsi="Arial"/>
          <w:sz w:val="18"/>
          <w:szCs w:val="18"/>
          <w:i w:val="1"/>
          <w:iCs w:val="1"/>
          <w:color w:val="auto"/>
        </w:rPr>
        <w:t xml:space="preserve"> </w:t>
      </w:r>
      <w:r>
        <w:rPr>
          <w:rFonts w:ascii="Arial" w:cs="Arial" w:eastAsia="Arial" w:hAnsi="Arial"/>
          <w:sz w:val="18"/>
          <w:szCs w:val="18"/>
          <w:color w:val="auto"/>
        </w:rPr>
        <w:t>Dominion Solar Projects III, Inc., for approximately $335 million before working capital and purchase price adjustments in the net amount of $5 million, representing total net consideration of $330 million. The Utah Solar Portfolio consists of seven utility-scale solar farms located in Utah, representing 530 MW of capacity. Borrowings under the Bridge Loan Agreement were used to fund the acquisition.</w:t>
      </w:r>
    </w:p>
    <w:p>
      <w:pPr>
        <w:spacing w:after="0" w:line="140" w:lineRule="exact"/>
        <w:rPr>
          <w:sz w:val="20"/>
          <w:szCs w:val="20"/>
          <w:color w:val="auto"/>
        </w:rPr>
      </w:pPr>
    </w:p>
    <w:p>
      <w:pPr>
        <w:jc w:val="both"/>
        <w:ind w:firstLine="400"/>
        <w:spacing w:after="0" w:line="279" w:lineRule="auto"/>
        <w:rPr>
          <w:sz w:val="20"/>
          <w:szCs w:val="20"/>
          <w:color w:val="auto"/>
        </w:rPr>
      </w:pPr>
      <w:r>
        <w:rPr>
          <w:rFonts w:ascii="Arial" w:cs="Arial" w:eastAsia="Arial" w:hAnsi="Arial"/>
          <w:sz w:val="17"/>
          <w:szCs w:val="17"/>
          <w:i w:val="1"/>
          <w:iCs w:val="1"/>
          <w:color w:val="auto"/>
        </w:rPr>
        <w:t xml:space="preserve">Mt. Storm Acquisition </w:t>
      </w:r>
      <w:r>
        <w:rPr>
          <w:rFonts w:ascii="Arial" w:cs="Arial" w:eastAsia="Arial" w:hAnsi="Arial"/>
          <w:sz w:val="17"/>
          <w:szCs w:val="17"/>
          <w:color w:val="auto"/>
        </w:rPr>
        <w:t>— On April 23, 2021, the Company acquired 100% of the equity interests in NedPower Mount Storm LLC, or Mt. Storm, from</w:t>
      </w:r>
      <w:r>
        <w:rPr>
          <w:rFonts w:ascii="Arial" w:cs="Arial" w:eastAsia="Arial" w:hAnsi="Arial"/>
          <w:sz w:val="17"/>
          <w:szCs w:val="17"/>
          <w:i w:val="1"/>
          <w:iCs w:val="1"/>
          <w:color w:val="auto"/>
        </w:rPr>
        <w:t xml:space="preserve"> </w:t>
      </w:r>
      <w:r>
        <w:rPr>
          <w:rFonts w:ascii="Arial" w:cs="Arial" w:eastAsia="Arial" w:hAnsi="Arial"/>
          <w:sz w:val="17"/>
          <w:szCs w:val="17"/>
          <w:color w:val="auto"/>
        </w:rPr>
        <w:t>Castleton Commodities International for approximately $96 million before working capital and purchase price adjustments in the net amount of $4 million, representing a total net consideration of $100 million. Mt. Storm is a 264 MW wind project located in Grant County, West Virginia.</w:t>
      </w:r>
    </w:p>
    <w:p>
      <w:pPr>
        <w:spacing w:after="0" w:line="118"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i w:val="1"/>
          <w:iCs w:val="1"/>
          <w:color w:val="auto"/>
        </w:rPr>
        <w:t xml:space="preserve">Pinnacle Wind Repowering </w:t>
      </w:r>
      <w:r>
        <w:rPr>
          <w:rFonts w:ascii="Arial" w:cs="Arial" w:eastAsia="Arial" w:hAnsi="Arial"/>
          <w:sz w:val="18"/>
          <w:szCs w:val="18"/>
          <w:color w:val="auto"/>
        </w:rPr>
        <w:t>— On February 26, 2021, the Company, through an indirect subsidiary, entered into an amended partnership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CEG to repower the Pinnacle wind project, a 54 MW wind facility located in Mineral County, West Virginia. On March 10, 2021, the Pinnacle wind project acquired equipment from CEG for $21 million in cash consideration. On December 14, 2021, the repowering project reached COD and on December 15, 2021, the Company funded $64 million in existing corporate liquidity, which was utilized in part to repay the Pinnacle Repowering Partnership Holdco LLC construction loan, along with proceeds from tax equity.</w:t>
      </w:r>
    </w:p>
    <w:p>
      <w:pPr>
        <w:spacing w:after="0" w:line="139"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i w:val="1"/>
          <w:iCs w:val="1"/>
          <w:color w:val="auto"/>
        </w:rPr>
        <w:t xml:space="preserve">Agua Caliente Acquisition — </w:t>
      </w:r>
      <w:r>
        <w:rPr>
          <w:rFonts w:ascii="Arial" w:cs="Arial" w:eastAsia="Arial" w:hAnsi="Arial"/>
          <w:sz w:val="18"/>
          <w:szCs w:val="18"/>
          <w:color w:val="auto"/>
        </w:rPr>
        <w:t>On February 3, 2021, the Company acquired an additional 35% equity interest in the Agua Caliente solar project from</w:t>
      </w:r>
      <w:r>
        <w:rPr>
          <w:rFonts w:ascii="Arial" w:cs="Arial" w:eastAsia="Arial" w:hAnsi="Arial"/>
          <w:sz w:val="18"/>
          <w:szCs w:val="18"/>
          <w:i w:val="1"/>
          <w:iCs w:val="1"/>
          <w:color w:val="auto"/>
        </w:rPr>
        <w:t xml:space="preserve"> </w:t>
      </w:r>
      <w:r>
        <w:rPr>
          <w:rFonts w:ascii="Arial" w:cs="Arial" w:eastAsia="Arial" w:hAnsi="Arial"/>
          <w:sz w:val="18"/>
          <w:szCs w:val="18"/>
          <w:color w:val="auto"/>
        </w:rPr>
        <w:t>NRG Energy, Inc. for $202 million. Agua Caliente is a 290 MW solar project located in Dateland, Arizona in which the Company previously owned a 16% equity interest.</w:t>
      </w:r>
    </w:p>
    <w:p>
      <w:pPr>
        <w:spacing w:after="0" w:line="135"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i w:val="1"/>
          <w:iCs w:val="1"/>
          <w:color w:val="auto"/>
        </w:rPr>
        <w:t xml:space="preserve">Rattlesnake Drop Down — </w:t>
      </w:r>
      <w:r>
        <w:rPr>
          <w:rFonts w:ascii="Arial" w:cs="Arial" w:eastAsia="Arial" w:hAnsi="Arial"/>
          <w:sz w:val="17"/>
          <w:szCs w:val="17"/>
          <w:color w:val="auto"/>
        </w:rPr>
        <w:t>On January 12, 2021, the Company acquired 100% of CEG's equity interest and a third-party investor's minority interest in</w:t>
      </w:r>
      <w:r>
        <w:rPr>
          <w:rFonts w:ascii="Arial" w:cs="Arial" w:eastAsia="Arial" w:hAnsi="Arial"/>
          <w:sz w:val="17"/>
          <w:szCs w:val="17"/>
          <w:i w:val="1"/>
          <w:iCs w:val="1"/>
          <w:color w:val="auto"/>
        </w:rPr>
        <w:t xml:space="preserve"> </w:t>
      </w:r>
      <w:r>
        <w:rPr>
          <w:rFonts w:ascii="Arial" w:cs="Arial" w:eastAsia="Arial" w:hAnsi="Arial"/>
          <w:sz w:val="17"/>
          <w:szCs w:val="17"/>
          <w:color w:val="auto"/>
        </w:rPr>
        <w:t>CWSP Rattlesnake Holding LLC for $132 million in cash consideration. CWSP Rattlesnake Holding LLC indirectly consolidates the Rattlesnake wind project, a 160 MW wind facility located in Adams County, Washington that achieved commercial operations in December 2020. The Company's net capital commitment was $119 million after proceeds from a state sales and use tax refund, which was received in May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1" w:name="page62"/>
    <w:bookmarkEnd w:id="61"/>
    <w:p>
      <w:pPr>
        <w:ind w:left="400"/>
        <w:spacing w:after="0"/>
        <w:rPr>
          <w:sz w:val="20"/>
          <w:szCs w:val="20"/>
          <w:color w:val="auto"/>
        </w:rPr>
      </w:pPr>
      <w:r>
        <w:rPr>
          <w:rFonts w:ascii="Arial" w:cs="Arial" w:eastAsia="Arial" w:hAnsi="Arial"/>
          <w:sz w:val="18"/>
          <w:szCs w:val="18"/>
          <w:i w:val="1"/>
          <w:iCs w:val="1"/>
          <w:color w:val="auto"/>
        </w:rPr>
        <w:t>Debt Repurchases</w:t>
      </w:r>
    </w:p>
    <w:p>
      <w:pPr>
        <w:spacing w:after="0" w:line="166"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i w:val="1"/>
          <w:iCs w:val="1"/>
          <w:color w:val="auto"/>
        </w:rPr>
        <w:t xml:space="preserve">2026 Senior Notes Tender Offer and Redemption — </w:t>
      </w:r>
      <w:r>
        <w:rPr>
          <w:rFonts w:ascii="Arial" w:cs="Arial" w:eastAsia="Arial" w:hAnsi="Arial"/>
          <w:sz w:val="18"/>
          <w:szCs w:val="18"/>
          <w:color w:val="auto"/>
        </w:rPr>
        <w:t>In October 2021, the Company repurchased and redeemed an aggregate principal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$350 million of the 2026 Senior Notes, through the cash tender offer announced on September 24, 2021 and the redemption of the remaining principal amount of $227 million on October 25, 2021. The 2026 Senior Notes repurchased and redeemed in October 2021 were effectuated at a premium of approximately 103% for total consideration of $359 million and, as a result, the Company recorded a loss on extinguishment in the amount of $9 million. The Company recorded an additional $3 million loss on extinguishment to write off the remaining unamortized deferred financing fees related to the 2026 Senior Notes.</w:t>
      </w:r>
    </w:p>
    <w:p>
      <w:pPr>
        <w:spacing w:after="0" w:line="141" w:lineRule="exact"/>
        <w:rPr>
          <w:sz w:val="20"/>
          <w:szCs w:val="20"/>
          <w:color w:val="auto"/>
        </w:rPr>
      </w:pPr>
    </w:p>
    <w:p>
      <w:pPr>
        <w:jc w:val="both"/>
        <w:ind w:firstLine="640"/>
        <w:spacing w:after="0" w:line="291" w:lineRule="auto"/>
        <w:rPr>
          <w:sz w:val="20"/>
          <w:szCs w:val="20"/>
          <w:color w:val="auto"/>
        </w:rPr>
      </w:pPr>
      <w:r>
        <w:rPr>
          <w:rFonts w:ascii="Arial" w:cs="Arial" w:eastAsia="Arial" w:hAnsi="Arial"/>
          <w:sz w:val="16"/>
          <w:szCs w:val="16"/>
          <w:i w:val="1"/>
          <w:iCs w:val="1"/>
          <w:color w:val="auto"/>
        </w:rPr>
        <w:t xml:space="preserve">2025 Senior Notes Tender Offer and Redemption — </w:t>
      </w:r>
      <w:r>
        <w:rPr>
          <w:rFonts w:ascii="Arial" w:cs="Arial" w:eastAsia="Arial" w:hAnsi="Arial"/>
          <w:sz w:val="16"/>
          <w:szCs w:val="16"/>
          <w:color w:val="auto"/>
        </w:rPr>
        <w:t>In March 2021, the Company repurchased and redeemed an aggregate principal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$600 million of the 2025 Senior Notes, through the cash tender offer announced on March 2, 2021 and the redemption of the remaining principal amount of $183 million on March 17, 2021. The 2025 Senior Notes repurchased and redeemed in March 2021 were effectuated at a premium of approximately 106% for total consideration of $636 million and, as a result, the Company recorded a loss on extinguishment in the amount of $36 million. In addition, the Company recorded a $5 million loss on extinguishment to write off the remaining unamortized deferred financing fees related to the 2025 Senior Notes.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31F20"/>
        </w:rPr>
        <w:t>Cash Dividends to Investors</w:t>
      </w:r>
    </w:p>
    <w:p>
      <w:pPr>
        <w:spacing w:after="0" w:line="166"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w:t>
      </w:r>
      <w:r>
        <w:rPr>
          <w:rFonts w:ascii="Arial" w:cs="Arial" w:eastAsia="Arial" w:hAnsi="Arial"/>
          <w:sz w:val="16"/>
          <w:szCs w:val="16"/>
          <w:color w:val="000000"/>
        </w:rPr>
        <w:t>he Class A common stock and</w:t>
      </w:r>
      <w:r>
        <w:rPr>
          <w:rFonts w:ascii="Arial" w:cs="Arial" w:eastAsia="Arial" w:hAnsi="Arial"/>
          <w:sz w:val="16"/>
          <w:szCs w:val="16"/>
          <w:color w:val="231F20"/>
        </w:rPr>
        <w:t xml:space="preserve"> </w:t>
      </w:r>
      <w:r>
        <w:rPr>
          <w:rFonts w:ascii="Arial" w:cs="Arial" w:eastAsia="Arial" w:hAnsi="Arial"/>
          <w:sz w:val="16"/>
          <w:szCs w:val="16"/>
          <w:color w:val="000000"/>
        </w:rPr>
        <w:t>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11" w:lineRule="exact"/>
        <w:rPr>
          <w:sz w:val="20"/>
          <w:szCs w:val="20"/>
          <w:color w:val="auto"/>
        </w:rPr>
      </w:pPr>
    </w:p>
    <w:p>
      <w:pPr>
        <w:ind w:right="140" w:firstLine="400"/>
        <w:spacing w:after="0" w:line="267" w:lineRule="auto"/>
        <w:rPr>
          <w:sz w:val="20"/>
          <w:szCs w:val="20"/>
          <w:color w:val="auto"/>
        </w:rPr>
      </w:pPr>
      <w:r>
        <w:rPr>
          <w:rFonts w:ascii="Arial" w:cs="Arial" w:eastAsia="Arial" w:hAnsi="Arial"/>
          <w:sz w:val="18"/>
          <w:szCs w:val="18"/>
          <w:color w:val="auto"/>
        </w:rPr>
        <w:t>The following table lists the dividends paid on the Company's Class A common stock and Class C common stock during the year ended December 31,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 Quarter 2021</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Third Quarter 2021</w:t>
            </w: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Second Quarter 2021</w:t>
            </w:r>
          </w:p>
        </w:tc>
        <w:tc>
          <w:tcPr>
            <w:tcW w:w="120" w:type="dxa"/>
            <w:vAlign w:val="bottom"/>
          </w:tcPr>
          <w:p>
            <w:pPr>
              <w:spacing w:after="0"/>
              <w:rPr>
                <w:sz w:val="16"/>
                <w:szCs w:val="16"/>
                <w:color w:val="auto"/>
              </w:rPr>
            </w:pPr>
          </w:p>
        </w:tc>
        <w:tc>
          <w:tcPr>
            <w:tcW w:w="126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First Quarter 2021</w:t>
            </w:r>
          </w:p>
        </w:tc>
      </w:tr>
      <w:tr>
        <w:trPr>
          <w:trHeight w:val="226"/>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A share</w:t>
            </w:r>
          </w:p>
        </w:tc>
        <w:tc>
          <w:tcPr>
            <w:tcW w:w="46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0.3400</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0.3345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0.3290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0.3240</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Dividends per Class C share</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0.3400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0.3345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0.3290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0.3240</w:t>
            </w:r>
          </w:p>
        </w:tc>
      </w:tr>
    </w:tbl>
    <w:p>
      <w:pPr>
        <w:spacing w:after="0" w:line="237"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On February 17, 2022, the Company declared a quarterly dividend on its Class A and Class C common stock of $0.3468 per share payable on March 15, 2022, to stockholders of record as of March 1, 2022.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Cash Flow Discussion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reflects the changes in cash flows for the year ended December 31, 2021 compared to 2020: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880" w:type="dxa"/>
            <w:vAlign w:val="bottom"/>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8"/>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6"/>
              </w:rPr>
              <w:t>701</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86"/>
              </w:rPr>
              <w:t>156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880" w:type="dxa"/>
            <w:vAlign w:val="bottom"/>
          </w:tcPr>
          <w:p>
            <w:pPr>
              <w:jc w:val="center"/>
              <w:ind w:left="96"/>
              <w:spacing w:after="0"/>
              <w:rPr>
                <w:sz w:val="20"/>
                <w:szCs w:val="20"/>
                <w:color w:val="auto"/>
              </w:rPr>
            </w:pPr>
            <w:r>
              <w:rPr>
                <w:rFonts w:ascii="Arial" w:cs="Arial" w:eastAsia="Arial" w:hAnsi="Arial"/>
                <w:sz w:val="18"/>
                <w:szCs w:val="18"/>
                <w:color w:val="auto"/>
                <w:w w:val="90"/>
              </w:rPr>
              <w:t>(865)</w:t>
            </w:r>
          </w:p>
        </w:tc>
        <w:tc>
          <w:tcPr>
            <w:tcW w:w="2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9"/>
                <w:szCs w:val="19"/>
                <w:color w:val="auto"/>
              </w:rPr>
            </w:pPr>
          </w:p>
        </w:tc>
        <w:tc>
          <w:tcPr>
            <w:tcW w:w="800" w:type="dxa"/>
            <w:vAlign w:val="bottom"/>
          </w:tcPr>
          <w:p>
            <w:pPr>
              <w:jc w:val="center"/>
              <w:ind w:left="252"/>
              <w:spacing w:after="0"/>
              <w:rPr>
                <w:sz w:val="20"/>
                <w:szCs w:val="20"/>
                <w:color w:val="auto"/>
              </w:rPr>
            </w:pPr>
            <w:r>
              <w:rPr>
                <w:rFonts w:ascii="Arial" w:cs="Arial" w:eastAsia="Arial" w:hAnsi="Arial"/>
                <w:sz w:val="18"/>
                <w:szCs w:val="18"/>
                <w:color w:val="auto"/>
                <w:w w:val="90"/>
              </w:rPr>
              <w:t>(803)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6"/>
              </w:rPr>
              <w:t>367</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86"/>
              </w:rPr>
              <w:t>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7980" w:type="dxa"/>
            <w:vAlign w:val="bottom"/>
          </w:tcPr>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980" w:type="dxa"/>
            <w:vAlign w:val="bottom"/>
          </w:tcPr>
          <w:p>
            <w:pPr>
              <w:ind w:left="40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9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operating income adjusted for non-cash items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100" w:type="dxa"/>
            <w:vAlign w:val="bottom"/>
            <w:gridSpan w:val="3"/>
          </w:tcPr>
          <w:p>
            <w:pPr>
              <w:ind w:left="20"/>
              <w:spacing w:after="0"/>
              <w:rPr>
                <w:sz w:val="20"/>
                <w:szCs w:val="20"/>
                <w:color w:val="auto"/>
              </w:rPr>
            </w:pPr>
            <w:r>
              <w:rPr>
                <w:rFonts w:ascii="Arial" w:cs="Arial" w:eastAsia="Arial" w:hAnsi="Arial"/>
                <w:sz w:val="18"/>
                <w:szCs w:val="18"/>
                <w:color w:val="auto"/>
                <w:w w:val="90"/>
              </w:rPr>
              <w:t>Increase in working capital primarily driven by the timing of accounts receivable collections and payments of accounts payable</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distributions from unconsolidated affiliates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9"/>
        </w:trPr>
        <w:tc>
          <w:tcPr>
            <w:tcW w:w="7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9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7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980" w:type="dxa"/>
            <w:vAlign w:val="bottom"/>
          </w:tcPr>
          <w:p>
            <w:pPr>
              <w:ind w:left="400"/>
              <w:spacing w:after="0"/>
              <w:rPr>
                <w:sz w:val="20"/>
                <w:szCs w:val="20"/>
                <w:color w:val="auto"/>
              </w:rPr>
            </w:pPr>
            <w:r>
              <w:rPr>
                <w:rFonts w:ascii="Arial" w:cs="Arial" w:eastAsia="Arial" w:hAnsi="Arial"/>
                <w:sz w:val="18"/>
                <w:szCs w:val="18"/>
                <w:color w:val="auto"/>
              </w:rPr>
              <w:t>Changes to net cash used in investing activities were driven by: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9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Cash paid for Utah Solar Portfolio, Agua Caliente and Mt. Storm acquisitions, net of cash acquired, in 2021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Arial" w:cs="Arial" w:eastAsia="Arial" w:hAnsi="Arial"/>
                <w:sz w:val="18"/>
                <w:szCs w:val="18"/>
                <w:color w:val="auto"/>
              </w:rPr>
              <w:t>Changes in cash paid for Drop Down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7"/>
        </w:trPr>
        <w:tc>
          <w:tcPr>
            <w:tcW w:w="9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8"/>
              </w:rPr>
              <w:t>Proceeds received from the sale of RPV Holdco, Energy Center Dover LLC and Energy Center Smyrna LLC in 2020</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Arial" w:cs="Arial" w:eastAsia="Arial" w:hAnsi="Arial"/>
                <w:sz w:val="18"/>
                <w:szCs w:val="18"/>
                <w:color w:val="auto"/>
              </w:rPr>
              <w:t>Changes in capital expenditures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return of investment from unconsolidated affiliates, net of investments paid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Arial" w:cs="Arial" w:eastAsia="Arial" w:hAnsi="Arial"/>
                <w:sz w:val="18"/>
                <w:szCs w:val="18"/>
                <w:color w:val="auto"/>
              </w:rPr>
              <w:t>Cash paid to CEG in 2021 for equipment for the Pinnacle wind project repowering</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Consolidation of DGPV Holdco 3 in 2020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Net Cash Used In Financing Activities</w:t>
            </w: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980" w:type="dxa"/>
            <w:vAlign w:val="bottom"/>
          </w:tcPr>
          <w:p>
            <w:pPr>
              <w:ind w:left="400"/>
              <w:spacing w:after="0"/>
              <w:rPr>
                <w:sz w:val="20"/>
                <w:szCs w:val="20"/>
                <w:color w:val="auto"/>
              </w:rPr>
            </w:pPr>
            <w:r>
              <w:rPr>
                <w:rFonts w:ascii="Arial" w:cs="Arial" w:eastAsia="Arial" w:hAnsi="Arial"/>
                <w:sz w:val="18"/>
                <w:szCs w:val="18"/>
                <w:color w:val="auto"/>
              </w:rPr>
              <w:t>Changes in net cash used in financing activities were driven by: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9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contributions from noncontrolling interest members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Arial" w:cs="Arial" w:eastAsia="Arial" w:hAnsi="Arial"/>
                <w:sz w:val="18"/>
                <w:szCs w:val="18"/>
                <w:color w:val="auto"/>
              </w:rPr>
              <w:t>Increase in net proceeds under the revolving line of credit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Payment to buy out CEG's noncontrolling interest in Repowering Partnership II LLC on May 11, 2020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0100" w:type="dxa"/>
            <w:vAlign w:val="bottom"/>
            <w:gridSpan w:val="6"/>
          </w:tcPr>
          <w:p>
            <w:pPr>
              <w:ind w:left="20"/>
              <w:spacing w:after="0" w:line="175" w:lineRule="exact"/>
              <w:rPr>
                <w:sz w:val="20"/>
                <w:szCs w:val="20"/>
                <w:color w:val="auto"/>
              </w:rPr>
            </w:pPr>
            <w:r>
              <w:rPr>
                <w:rFonts w:ascii="Arial" w:cs="Arial" w:eastAsia="Arial" w:hAnsi="Arial"/>
                <w:sz w:val="18"/>
                <w:szCs w:val="18"/>
                <w:color w:val="auto"/>
                <w:w w:val="91"/>
              </w:rPr>
              <w:t>Increase in payments for long-term debt, net of proceeds from issuance of long-term debt, primarily due to issuance of the 2031 and 2032</w:t>
            </w:r>
          </w:p>
        </w:tc>
        <w:tc>
          <w:tcPr>
            <w:tcW w:w="320" w:type="dxa"/>
            <w:vAlign w:val="bottom"/>
          </w:tcPr>
          <w:p>
            <w:pPr>
              <w:spacing w:after="0"/>
              <w:rPr>
                <w:sz w:val="15"/>
                <w:szCs w:val="15"/>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Senior Notes, Bridge Loan Agreement and the Pinnacle financing agreement in 2021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net proceeds received from issuance of common stock</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Arial" w:cs="Arial" w:eastAsia="Arial" w:hAnsi="Arial"/>
                <w:sz w:val="18"/>
                <w:szCs w:val="18"/>
                <w:color w:val="auto"/>
              </w:rPr>
              <w:t>Increase in dividends paid to common stockholders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NOLs, Deferred Tax Assets and Uncertain Tax Position Implications, under ASC 740</w:t>
      </w:r>
    </w:p>
    <w:p>
      <w:pPr>
        <w:spacing w:after="0" w:line="159" w:lineRule="exact"/>
        <w:rPr>
          <w:sz w:val="20"/>
          <w:szCs w:val="20"/>
          <w:color w:val="auto"/>
        </w:rPr>
      </w:pPr>
    </w:p>
    <w:p>
      <w:pPr>
        <w:jc w:val="both"/>
        <w:ind w:firstLine="400"/>
        <w:spacing w:after="0" w:line="225" w:lineRule="auto"/>
        <w:rPr>
          <w:sz w:val="20"/>
          <w:szCs w:val="20"/>
          <w:color w:val="auto"/>
        </w:rPr>
      </w:pPr>
      <w:r>
        <w:rPr>
          <w:rFonts w:ascii="Arial" w:cs="Arial" w:eastAsia="Arial" w:hAnsi="Arial"/>
          <w:sz w:val="18"/>
          <w:szCs w:val="18"/>
          <w:color w:val="auto"/>
        </w:rPr>
        <w:t>As of December 31, 2021, the Company has a cumulative federal NOL carry forward balance of $1.3 billion for financial statement purposes, of which $0.9 billion will begin expiring between 2033 to 2037 if unutilized. The Company does not anticipate any federal income tax payments for 2022. Additionally, as of December 31, 2021, the Company has a cumulative state NOL carryforward balance of $769 million for financial statement purposes, which will expire between 2023 to 2040 if unutilized. In addition, the Company has PTC and ITC carryforward balances totaling $15 million, which will expire between 2034 and 2041 if unutilized.</w:t>
      </w:r>
    </w:p>
    <w:p>
      <w:pPr>
        <w:spacing w:after="0" w:line="123" w:lineRule="exact"/>
        <w:rPr>
          <w:sz w:val="20"/>
          <w:szCs w:val="20"/>
          <w:color w:val="auto"/>
        </w:rPr>
      </w:pPr>
    </w:p>
    <w:p>
      <w:pPr>
        <w:jc w:val="both"/>
        <w:ind w:firstLine="400"/>
        <w:spacing w:after="0" w:line="225" w:lineRule="auto"/>
        <w:rPr>
          <w:sz w:val="20"/>
          <w:szCs w:val="20"/>
          <w:color w:val="auto"/>
        </w:rPr>
      </w:pPr>
      <w:r>
        <w:rPr>
          <w:rFonts w:ascii="Arial" w:cs="Arial" w:eastAsia="Arial" w:hAnsi="Arial"/>
          <w:sz w:val="18"/>
          <w:szCs w:val="18"/>
          <w:color w:val="auto"/>
        </w:rPr>
        <w:t>Based on the Company's current portfolio of assets, which include renewable assets that benefit from accelerated tax depreciation deductions and federal tax credits, current and expected NOL balances, and after taking into account the projected taxable gain from the Thermal Disposition that is anticipated to close in the first half of 2022, the Company estimates that it will not pay material federal income tax through 2027, but does expect to pay material state income tax across certain jurisdictions beginning in 2023. If the anticipated Thermal Disposition is not completed, the Company expects that it would not pay significant federal income tax for a period of approximately 10 years.</w:t>
      </w:r>
    </w:p>
    <w:p>
      <w:pPr>
        <w:spacing w:after="0" w:line="13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As of December 31, 2021, the Company has an interest disallowance carry forward of $7 million as a result of the proposed §163(j) regulation, which was enacted as part of the Tax Cut and Jobs Act. The disallowed interest deduction has an indefinite carry forward period and any limitations on the utilization of this carry forward have been factored into the Company's valuation allowance analysis.</w:t>
      </w:r>
    </w:p>
    <w:p>
      <w:pPr>
        <w:spacing w:after="0" w:line="135"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color w:val="auto"/>
        </w:rPr>
        <w:t>On March 27, 2020, the Coronavirus Aid, Relief, and Economic Security (CARES) Act, or the CARES Act, was signed into law, which includes modifications to the business interest expense disallowance and net operating loss provisions. While the Company utilized previously disallowed interest expense during 2020 as a result of the modifications, the CARES Act did not have a material impact on the consolidated financial statements. The Company will continue to assess the effects of the CARES Act and ongoing government guidance related to COVID-19 that may be issued.</w:t>
      </w:r>
    </w:p>
    <w:p>
      <w:pPr>
        <w:spacing w:after="0" w:line="123"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The Company is subject to examination by taxing authorities for income tax returns filed in the U.S. federal and various state jurisdictions. All tax returns filed by the Company for the year ended December 31, 2013 and forward remain subject to audit. The Company believes that an adequate provision has been made for any adjustments that may result from tax examinations. However, the outcome of tax audits cannot be predicted with certainty. If any issues addressed in tax audits of the Company are resolved in a manner inconsistent with its expectations, the Company could be required to adjust its provision for income taxes in the period such resolution occurs.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has no uncertain tax benefits.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59"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231F20"/>
        </w:rPr>
        <w:t>The Company may enter into commodity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35"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December 31, 2021</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December 31, 2021</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15 </w:t>
      </w:r>
      <w:r>
        <w:rPr>
          <w:rFonts w:ascii="Arial" w:cs="Arial" w:eastAsia="Arial" w:hAnsi="Arial"/>
          <w:sz w:val="17"/>
          <w:szCs w:val="17"/>
          <w:color w:val="000000"/>
        </w:rPr>
        <w:t>— 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ectPr>
          <w:pgSz w:w="11900" w:h="16838" w:orient="portrait"/>
          <w:cols w:equalWidth="0" w:num="1">
            <w:col w:w="11240"/>
          </w:cols>
          <w:pgMar w:left="320" w:top="1094" w:right="339" w:bottom="1440" w:gutter="0" w:footer="0" w:header="0"/>
        </w:sectPr>
      </w:pPr>
    </w:p>
    <w:p>
      <w:pPr>
        <w:spacing w:after="0" w:line="100"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Derivative Activity (Losses)/Gains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of contracts as of December 31, 2020</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Contracts realized or otherwise settled during the period</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Contracts acquired during the period</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of contracts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Fair Value Hierarchy Losses</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Level 2</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Level 3</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9"/>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40" w:type="dxa"/>
            <w:vAlign w:val="bottom"/>
            <w:gridSpan w:val="8"/>
            <w:vMerge w:val="restart"/>
          </w:tcPr>
          <w:p>
            <w:pPr>
              <w:jc w:val="center"/>
              <w:ind w:right="320"/>
              <w:spacing w:after="0"/>
              <w:rPr>
                <w:sz w:val="20"/>
                <w:szCs w:val="20"/>
                <w:color w:val="auto"/>
              </w:rPr>
            </w:pPr>
            <w:r>
              <w:rPr>
                <w:rFonts w:ascii="Arial" w:cs="Arial" w:eastAsia="Arial" w:hAnsi="Arial"/>
                <w:sz w:val="14"/>
                <w:szCs w:val="14"/>
                <w:b w:val="1"/>
                <w:bCs w:val="1"/>
                <w:color w:val="auto"/>
                <w:w w:val="91"/>
              </w:rPr>
              <w:t>Fair value of contracts as of December 31, 2021</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Maturity</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Greater Than 1</w:t>
            </w:r>
          </w:p>
        </w:tc>
        <w:tc>
          <w:tcPr>
            <w:tcW w:w="1260" w:type="dxa"/>
            <w:vAlign w:val="bottom"/>
            <w:gridSpan w:val="3"/>
          </w:tcPr>
          <w:p>
            <w:pPr>
              <w:ind w:left="100"/>
              <w:spacing w:after="0" w:line="158" w:lineRule="exact"/>
              <w:rPr>
                <w:sz w:val="20"/>
                <w:szCs w:val="20"/>
                <w:color w:val="auto"/>
              </w:rPr>
            </w:pPr>
            <w:r>
              <w:rPr>
                <w:rFonts w:ascii="Arial" w:cs="Arial" w:eastAsia="Arial" w:hAnsi="Arial"/>
                <w:sz w:val="14"/>
                <w:szCs w:val="14"/>
                <w:b w:val="1"/>
                <w:bCs w:val="1"/>
                <w:color w:val="auto"/>
              </w:rPr>
              <w:t>Greater Than 3</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Greater Than 5</w:t>
            </w:r>
          </w:p>
        </w:tc>
        <w:tc>
          <w:tcPr>
            <w:tcW w:w="160" w:type="dxa"/>
            <w:vAlign w:val="bottom"/>
          </w:tcPr>
          <w:p>
            <w:pPr>
              <w:spacing w:after="0"/>
              <w:rPr>
                <w:sz w:val="13"/>
                <w:szCs w:val="13"/>
                <w:color w:val="auto"/>
              </w:rPr>
            </w:pPr>
          </w:p>
        </w:tc>
        <w:tc>
          <w:tcPr>
            <w:tcW w:w="980" w:type="dxa"/>
            <w:vAlign w:val="bottom"/>
          </w:tcPr>
          <w:p>
            <w:pPr>
              <w:jc w:val="center"/>
              <w:ind w:right="56"/>
              <w:spacing w:after="0" w:line="158" w:lineRule="exact"/>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204"/>
        </w:trPr>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1 Year or Less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to 3 Years</w:t>
            </w:r>
          </w:p>
        </w:tc>
        <w:tc>
          <w:tcPr>
            <w:tcW w:w="12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Years to 5 Years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4"/>
        </w:trPr>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7"/>
        </w:trPr>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-2030730</wp:posOffset>
            </wp:positionV>
            <wp:extent cx="7134225" cy="152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152400"/>
                    </a:xfrm>
                    <a:prstGeom prst="rect">
                      <a:avLst/>
                    </a:prstGeom>
                    <a:noFill/>
                  </pic:spPr>
                </pic:pic>
              </a:graphicData>
            </a:graphic>
          </wp:anchor>
        </w:drawing>
        <w:drawing>
          <wp:anchor simplePos="0" relativeHeight="251657728" behindDoc="1" locked="0" layoutInCell="0" allowOverlap="1">
            <wp:simplePos x="0" y="0"/>
            <wp:positionH relativeFrom="column">
              <wp:posOffset>-3042920</wp:posOffset>
            </wp:positionH>
            <wp:positionV relativeFrom="paragraph">
              <wp:posOffset>-1734185</wp:posOffset>
            </wp:positionV>
            <wp:extent cx="7134225" cy="144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-3042920</wp:posOffset>
            </wp:positionH>
            <wp:positionV relativeFrom="paragraph">
              <wp:posOffset>-1446530</wp:posOffset>
            </wp:positionV>
            <wp:extent cx="7134225" cy="169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169545"/>
                    </a:xfrm>
                    <a:prstGeom prst="rect">
                      <a:avLst/>
                    </a:prstGeom>
                    <a:noFill/>
                  </pic:spPr>
                </pic:pic>
              </a:graphicData>
            </a:graphic>
          </wp:anchor>
        </w:drawing>
        <w:drawing>
          <wp:anchor simplePos="0" relativeHeight="251657728" behindDoc="1" locked="0" layoutInCell="0" allowOverlap="1">
            <wp:simplePos x="0" y="0"/>
            <wp:positionH relativeFrom="column">
              <wp:posOffset>-3042920</wp:posOffset>
            </wp:positionH>
            <wp:positionV relativeFrom="paragraph">
              <wp:posOffset>-473075</wp:posOffset>
            </wp:positionV>
            <wp:extent cx="7134225" cy="144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-3042920</wp:posOffset>
            </wp:positionH>
            <wp:positionV relativeFrom="paragraph">
              <wp:posOffset>-185420</wp:posOffset>
            </wp:positionV>
            <wp:extent cx="7134225" cy="169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580"/>
            <w:col w:w="6440"/>
          </w:cols>
          <w:pgMar w:left="320" w:top="1094" w:right="339" w:bottom="1440" w:gutter="0" w:footer="0" w:header="0"/>
          <w:type w:val="continuous"/>
        </w:sectPr>
      </w:pPr>
    </w:p>
    <w:p>
      <w:pPr>
        <w:spacing w:after="0" w:line="41" w:lineRule="exact"/>
        <w:rPr>
          <w:sz w:val="20"/>
          <w:szCs w:val="20"/>
          <w:color w:val="auto"/>
        </w:rPr>
      </w:pPr>
    </w:p>
    <w:p>
      <w:pPr>
        <w:jc w:val="both"/>
        <w:ind w:firstLine="400"/>
        <w:spacing w:after="0" w:line="295"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6"/>
          <w:szCs w:val="16"/>
          <w:i w:val="1"/>
          <w:iCs w:val="1"/>
          <w:color w:val="231F20"/>
        </w:rPr>
        <w:t>Quantitative and Qualitative Disclosures about Market Risk -Commodity Price Risk,</w:t>
      </w:r>
      <w:r>
        <w:rPr>
          <w:rFonts w:ascii="Arial" w:cs="Arial" w:eastAsia="Arial" w:hAnsi="Arial"/>
          <w:sz w:val="16"/>
          <w:szCs w:val="16"/>
          <w:color w:val="231F20"/>
        </w:rPr>
        <w:t xml:space="preserve"> the Company </w:t>
      </w:r>
      <w:r>
        <w:rPr>
          <w:rFonts w:ascii="Arial" w:cs="Arial" w:eastAsia="Arial" w:hAnsi="Arial"/>
          <w:sz w:val="16"/>
          <w:szCs w:val="16"/>
          <w:color w:val="000000"/>
        </w:rPr>
        <w:t>measures the</w:t>
      </w:r>
      <w:r>
        <w:rPr>
          <w:rFonts w:ascii="Arial" w:cs="Arial" w:eastAsia="Arial" w:hAnsi="Arial"/>
          <w:sz w:val="16"/>
          <w:szCs w:val="16"/>
          <w:color w:val="231F20"/>
        </w:rPr>
        <w:t xml:space="preserve"> </w:t>
      </w:r>
      <w:r>
        <w:rPr>
          <w:rFonts w:ascii="Arial" w:cs="Arial" w:eastAsia="Arial" w:hAnsi="Arial"/>
          <w:sz w:val="16"/>
          <w:szCs w:val="16"/>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2" w:lineRule="exact"/>
        <w:rPr>
          <w:sz w:val="20"/>
          <w:szCs w:val="20"/>
          <w:color w:val="auto"/>
        </w:rPr>
      </w:pPr>
    </w:p>
    <w:p>
      <w:pPr>
        <w:jc w:val="both"/>
        <w:ind w:firstLine="400"/>
        <w:spacing w:after="0" w:line="284" w:lineRule="auto"/>
        <w:rPr>
          <w:sz w:val="20"/>
          <w:szCs w:val="20"/>
          <w:color w:val="auto"/>
        </w:rPr>
      </w:pPr>
      <w:r>
        <w:rPr>
          <w:rFonts w:ascii="Arial" w:cs="Arial" w:eastAsia="Arial" w:hAnsi="Arial"/>
          <w:sz w:val="16"/>
          <w:szCs w:val="16"/>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0"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type w:val="continuous"/>
        </w:sectPr>
      </w:pPr>
    </w:p>
    <w:bookmarkStart w:id="65" w:name="page66"/>
    <w:bookmarkEnd w:id="65"/>
    <w:p>
      <w:pPr>
        <w:jc w:val="both"/>
        <w:ind w:firstLine="400"/>
        <w:spacing w:after="0" w:line="252" w:lineRule="auto"/>
        <w:rPr>
          <w:sz w:val="20"/>
          <w:szCs w:val="20"/>
          <w:color w:val="auto"/>
        </w:rPr>
      </w:pPr>
      <w:r>
        <w:rPr>
          <w:rFonts w:ascii="Arial" w:cs="Arial" w:eastAsia="Arial" w:hAnsi="Arial"/>
          <w:sz w:val="18"/>
          <w:szCs w:val="18"/>
          <w:color w:val="auto"/>
        </w:rPr>
        <w:t xml:space="preserve">The Company's significant accounting policies are summarized in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and acquisition accounting.</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Accounting Policy</w:t>
            </w:r>
          </w:p>
        </w:tc>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Judgments/Uncertainties Affecting Application</w:t>
            </w: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r>
        <w:trPr>
          <w:trHeight w:val="261"/>
        </w:trPr>
        <w:tc>
          <w:tcPr>
            <w:tcW w:w="5960" w:type="dxa"/>
            <w:vAlign w:val="bottom"/>
            <w:gridSpan w:val="2"/>
          </w:tcPr>
          <w:p>
            <w:pPr>
              <w:spacing w:after="0"/>
              <w:rPr>
                <w:sz w:val="20"/>
                <w:szCs w:val="20"/>
                <w:color w:val="auto"/>
              </w:rPr>
            </w:pPr>
            <w:r>
              <w:rPr>
                <w:rFonts w:ascii="Arial" w:cs="Arial" w:eastAsia="Arial" w:hAnsi="Arial"/>
                <w:sz w:val="18"/>
                <w:szCs w:val="18"/>
                <w:color w:val="auto"/>
              </w:rPr>
              <w:t>Income Taxes and Valuation Allowance for Deferred Tax Assets</w:t>
            </w:r>
          </w:p>
        </w:tc>
        <w:tc>
          <w:tcPr>
            <w:tcW w:w="5240" w:type="dxa"/>
            <w:vAlign w:val="bottom"/>
          </w:tcPr>
          <w:p>
            <w:pPr>
              <w:ind w:left="20"/>
              <w:spacing w:after="0"/>
              <w:rPr>
                <w:sz w:val="20"/>
                <w:szCs w:val="20"/>
                <w:color w:val="auto"/>
              </w:rPr>
            </w:pPr>
            <w:r>
              <w:rPr>
                <w:rFonts w:ascii="Arial" w:cs="Arial" w:eastAsia="Arial" w:hAnsi="Arial"/>
                <w:sz w:val="18"/>
                <w:szCs w:val="18"/>
                <w:color w:val="auto"/>
              </w:rPr>
              <w:t>Ability to withstand legal challenges of tax authority decisions or</w:t>
            </w:r>
          </w:p>
        </w:tc>
      </w:tr>
      <w:tr>
        <w:trPr>
          <w:trHeight w:val="224"/>
        </w:trPr>
        <w:tc>
          <w:tcPr>
            <w:tcW w:w="1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appeals</w:t>
            </w:r>
          </w:p>
        </w:tc>
      </w:tr>
      <w:tr>
        <w:trPr>
          <w:trHeight w:val="227"/>
        </w:trPr>
        <w:tc>
          <w:tcPr>
            <w:tcW w:w="1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Anticipated future decisions of tax authorities</w:t>
            </w:r>
          </w:p>
        </w:tc>
      </w:tr>
      <w:tr>
        <w:trPr>
          <w:trHeight w:val="227"/>
        </w:trPr>
        <w:tc>
          <w:tcPr>
            <w:tcW w:w="1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Application of tax statutes and regulations to transactions</w:t>
            </w:r>
          </w:p>
        </w:tc>
      </w:tr>
      <w:tr>
        <w:trPr>
          <w:trHeight w:val="176"/>
        </w:trPr>
        <w:tc>
          <w:tcPr>
            <w:tcW w:w="110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5240" w:type="dxa"/>
            <w:vAlign w:val="bottom"/>
          </w:tcPr>
          <w:p>
            <w:pPr>
              <w:ind w:left="20"/>
              <w:spacing w:after="0" w:line="176" w:lineRule="exact"/>
              <w:rPr>
                <w:sz w:val="20"/>
                <w:szCs w:val="20"/>
                <w:color w:val="auto"/>
              </w:rPr>
            </w:pPr>
            <w:r>
              <w:rPr>
                <w:rFonts w:ascii="Arial" w:cs="Arial" w:eastAsia="Arial" w:hAnsi="Arial"/>
                <w:sz w:val="18"/>
                <w:szCs w:val="18"/>
                <w:color w:val="auto"/>
                <w:w w:val="96"/>
              </w:rPr>
              <w:t>Ability to utilize tax benefits through carry backs to prior periods and</w:t>
            </w:r>
          </w:p>
        </w:tc>
      </w:tr>
      <w:tr>
        <w:trPr>
          <w:trHeight w:val="224"/>
        </w:trPr>
        <w:tc>
          <w:tcPr>
            <w:tcW w:w="1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carry forwards to future periods</w:t>
            </w:r>
          </w:p>
        </w:tc>
      </w:tr>
      <w:tr>
        <w:trPr>
          <w:trHeight w:val="227"/>
        </w:trPr>
        <w:tc>
          <w:tcPr>
            <w:tcW w:w="5960" w:type="dxa"/>
            <w:vAlign w:val="bottom"/>
            <w:gridSpan w:val="2"/>
          </w:tcPr>
          <w:p>
            <w:pPr>
              <w:spacing w:after="0"/>
              <w:rPr>
                <w:sz w:val="20"/>
                <w:szCs w:val="20"/>
                <w:color w:val="auto"/>
              </w:rPr>
            </w:pPr>
            <w:r>
              <w:rPr>
                <w:rFonts w:ascii="Arial" w:cs="Arial" w:eastAsia="Arial" w:hAnsi="Arial"/>
                <w:sz w:val="18"/>
                <w:szCs w:val="18"/>
                <w:color w:val="auto"/>
              </w:rPr>
              <w:t>Hypothetical Liquidation at Book Value (HLBV)</w:t>
            </w:r>
          </w:p>
        </w:tc>
        <w:tc>
          <w:tcPr>
            <w:tcW w:w="5240" w:type="dxa"/>
            <w:vAlign w:val="bottom"/>
          </w:tcPr>
          <w:p>
            <w:pPr>
              <w:ind w:left="20"/>
              <w:spacing w:after="0"/>
              <w:rPr>
                <w:sz w:val="20"/>
                <w:szCs w:val="20"/>
                <w:color w:val="auto"/>
              </w:rPr>
            </w:pPr>
            <w:r>
              <w:rPr>
                <w:rFonts w:ascii="Arial" w:cs="Arial" w:eastAsia="Arial" w:hAnsi="Arial"/>
                <w:sz w:val="18"/>
                <w:szCs w:val="18"/>
                <w:color w:val="auto"/>
              </w:rPr>
              <w:t>Estimates of taxable income (loss) and tax capital accounts</w:t>
            </w:r>
          </w:p>
        </w:tc>
      </w:tr>
      <w:tr>
        <w:trPr>
          <w:trHeight w:val="227"/>
        </w:trPr>
        <w:tc>
          <w:tcPr>
            <w:tcW w:w="1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Estimated calculation of specified target investor returns</w:t>
            </w:r>
          </w:p>
        </w:tc>
      </w:tr>
      <w:tr>
        <w:trPr>
          <w:trHeight w:val="227"/>
        </w:trPr>
        <w:tc>
          <w:tcPr>
            <w:tcW w:w="1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Application of liquidation provisions of operating agreements</w:t>
            </w:r>
          </w:p>
        </w:tc>
      </w:tr>
      <w:tr>
        <w:trPr>
          <w:trHeight w:val="227"/>
        </w:trPr>
        <w:tc>
          <w:tcPr>
            <w:tcW w:w="5960" w:type="dxa"/>
            <w:vAlign w:val="bottom"/>
            <w:gridSpan w:val="2"/>
          </w:tcPr>
          <w:p>
            <w:pPr>
              <w:spacing w:after="0"/>
              <w:rPr>
                <w:sz w:val="20"/>
                <w:szCs w:val="20"/>
                <w:color w:val="auto"/>
              </w:rPr>
            </w:pPr>
            <w:r>
              <w:rPr>
                <w:rFonts w:ascii="Arial" w:cs="Arial" w:eastAsia="Arial" w:hAnsi="Arial"/>
                <w:sz w:val="18"/>
                <w:szCs w:val="18"/>
                <w:color w:val="auto"/>
              </w:rPr>
              <w:t>Acquisition Accounting</w:t>
            </w:r>
          </w:p>
        </w:tc>
        <w:tc>
          <w:tcPr>
            <w:tcW w:w="5240" w:type="dxa"/>
            <w:vAlign w:val="bottom"/>
          </w:tcPr>
          <w:p>
            <w:pPr>
              <w:ind w:left="20"/>
              <w:spacing w:after="0"/>
              <w:rPr>
                <w:sz w:val="20"/>
                <w:szCs w:val="20"/>
                <w:color w:val="auto"/>
              </w:rPr>
            </w:pPr>
            <w:r>
              <w:rPr>
                <w:rFonts w:ascii="Arial" w:cs="Arial" w:eastAsia="Arial" w:hAnsi="Arial"/>
                <w:sz w:val="18"/>
                <w:szCs w:val="18"/>
                <w:color w:val="auto"/>
              </w:rPr>
              <w:t>Identification of assets acquired</w:t>
            </w:r>
          </w:p>
        </w:tc>
      </w:tr>
      <w:tr>
        <w:trPr>
          <w:trHeight w:val="227"/>
        </w:trPr>
        <w:tc>
          <w:tcPr>
            <w:tcW w:w="1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Inputs for fair values of assets and liabilities acquired</w:t>
            </w:r>
          </w:p>
        </w:tc>
      </w:tr>
      <w:tr>
        <w:trPr>
          <w:trHeight w:val="227"/>
        </w:trPr>
        <w:tc>
          <w:tcPr>
            <w:tcW w:w="11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Application of appropriate fair value methodologies</w:t>
            </w:r>
          </w:p>
        </w:tc>
      </w:tr>
    </w:tbl>
    <w:p>
      <w:pPr>
        <w:spacing w:after="0" w:line="24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Income Taxes and Valuation Allowance for Deferred Tax Assets</w:t>
      </w:r>
    </w:p>
    <w:p>
      <w:pPr>
        <w:spacing w:after="0" w:line="166"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color w:val="auto"/>
        </w:rPr>
        <w:t>As of December 31, 2021, the Company had a valuation allowance of $1 million. The valuation allowance is related to state net operating losses the Company expects to expire unutilized. Other than for the state NOLs mentioned above, the Company believes it is more likely than not that the results of future operations will generate sufficient taxable income which includes the future reversal of existing taxable temporary differences to realize deferred tax assets. The Company considered the timing and future realization of net deferred tax assets, the profit before tax generated in recent years as well as projections of future earnings and estimates of taxable income in arriving at this conclusion. The realization of deferred tax assets is primarily dependent upon earnings in federal and various state and local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6" w:name="page67"/>
    <w:bookmarkEnd w:id="66"/>
    <w:p>
      <w:pPr>
        <w:ind w:left="400"/>
        <w:spacing w:after="0"/>
        <w:rPr>
          <w:sz w:val="20"/>
          <w:szCs w:val="20"/>
          <w:color w:val="auto"/>
        </w:rPr>
      </w:pPr>
      <w:r>
        <w:rPr>
          <w:rFonts w:ascii="Arial" w:cs="Arial" w:eastAsia="Arial" w:hAnsi="Arial"/>
          <w:sz w:val="18"/>
          <w:szCs w:val="18"/>
          <w:b w:val="1"/>
          <w:bCs w:val="1"/>
          <w:i w:val="1"/>
          <w:iCs w:val="1"/>
          <w:color w:val="auto"/>
        </w:rPr>
        <w:t>Hypothetical Liquidation at Book Value (HLBV)</w:t>
      </w:r>
    </w:p>
    <w:p>
      <w:pPr>
        <w:spacing w:after="0" w:line="166" w:lineRule="exact"/>
        <w:rPr>
          <w:sz w:val="20"/>
          <w:szCs w:val="20"/>
          <w:color w:val="auto"/>
        </w:rPr>
      </w:pPr>
    </w:p>
    <w:p>
      <w:pPr>
        <w:jc w:val="both"/>
        <w:ind w:firstLine="400"/>
        <w:spacing w:after="0" w:line="281" w:lineRule="auto"/>
        <w:rPr>
          <w:sz w:val="20"/>
          <w:szCs w:val="20"/>
          <w:color w:val="auto"/>
        </w:rPr>
      </w:pPr>
      <w:r>
        <w:rPr>
          <w:rFonts w:ascii="Arial" w:cs="Arial" w:eastAsia="Arial" w:hAnsi="Arial"/>
          <w:sz w:val="16"/>
          <w:szCs w:val="16"/>
          <w:color w:val="auto"/>
        </w:rPr>
        <w:t>Certain portions of the Company's noncontrolling interests in subsidiaries represent third-party interests in the net assets under certain tax equity arrangements, which are consolidated by the Company, that have been entered to finance the cost of wind facilities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HLBV method. Under the HLBV method, the amounts reported as noncontrolling interests and investment in unconsolidated affiliates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interests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as well as estimated calculations of tax capital accounts based on the relevant provisions of each agreement and the related tax guidance. In addition, these calculations often take into account the stipulated targeted investor return specified in the subsidiaries' operating agreement and agreed by the members of the arrangement.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 of operations using a systematic and rational method over the period during which the investor is expected to achieve its target return. In certain cases, the Company must apply judgment in determining the methodology for applying these concepts in the HLBV method and changes in certain factors may have a significant impact on the amounts that an investor would receive upon a hypothetical liquidation. The use of the HLBV method to allocate income (loss) to the noncontrolling interest holders may create volatility in the consolidated statements of operations.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Acquisition Accounting</w:t>
      </w:r>
    </w:p>
    <w:p>
      <w:pPr>
        <w:spacing w:after="0" w:line="166"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 xml:space="preserve">The Company applies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when accounting for acquisitions, with identifiable assets acquired and liabilities assumed recorded at their estimated fair values at acquisition date. For many of the Company's acquisitions, the Company applies ASC 805-50, which provides that acquisitions of entities under common control are recorded at historical cost, except in the case where the ultimate parent has a different basis, such as when an acquiree did not elect to apply pushdown accounting. In those circumstances, the Company may also be required to record its acquired assets and liabilities at fair value.</w:t>
      </w:r>
    </w:p>
    <w:p>
      <w:pPr>
        <w:spacing w:after="0" w:line="139"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color w:val="auto"/>
        </w:rPr>
        <w:t>Significant judgment is required in determining the acquisition date fair value of the assets acquired and liabilities assumed, predominantly with respect to property, plant and equipment, power purchase agreements, asset retirement obligations and other contractual arrangements. Evaluations include numerous inputs including forecasted cash flows that incorporate the specific attributes of each asset including age, useful life, equipment condition and technology as well as current replacement costs for similar assets. Other key inputs that require judgment include discount rates, comparable market transactions, estimated useful lives and probability of future transactions. The Company evaluates all available information as well as all appropriate methodologies, when determining the fair value of assets acquired and liabilities assumed in a business combination. In addition, once the appropriate fair values are determined, the Company must determine the remaining useful life for property, plant and equipment and the amortization period and method of amortization for each finite-lived intangible asset.</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See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172"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66"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231F20"/>
        </w:rPr>
        <w:t xml:space="preserve">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 See Item 15 — </w:t>
      </w:r>
      <w:r>
        <w:rPr>
          <w:rFonts w:ascii="Arial" w:cs="Arial" w:eastAsia="Arial" w:hAnsi="Arial"/>
          <w:sz w:val="17"/>
          <w:szCs w:val="17"/>
          <w:color w:val="000000"/>
        </w:rPr>
        <w:t>Note 7</w:t>
      </w:r>
      <w:r>
        <w:rPr>
          <w:rFonts w:ascii="Arial" w:cs="Arial" w:eastAsia="Arial" w:hAnsi="Arial"/>
          <w:sz w:val="17"/>
          <w:szCs w:val="17"/>
          <w:color w:val="231F20"/>
        </w:rPr>
        <w:t xml:space="preserve">, </w:t>
      </w:r>
      <w:r>
        <w:rPr>
          <w:rFonts w:ascii="Arial" w:cs="Arial" w:eastAsia="Arial" w:hAnsi="Arial"/>
          <w:sz w:val="17"/>
          <w:szCs w:val="17"/>
          <w:i w:val="1"/>
          <w:iCs w:val="1"/>
          <w:color w:val="000000"/>
        </w:rPr>
        <w:t>Accounting for Derivative Instruments and Hedging Activities</w:t>
      </w:r>
      <w:r>
        <w:rPr>
          <w:rFonts w:ascii="Arial" w:cs="Arial" w:eastAsia="Arial" w:hAnsi="Arial"/>
          <w:sz w:val="17"/>
          <w:szCs w:val="17"/>
          <w:color w:val="231F20"/>
        </w:rPr>
        <w:t>, for more information.</w:t>
      </w:r>
    </w:p>
    <w:p>
      <w:pPr>
        <w:spacing w:after="0" w:line="127"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231F20"/>
        </w:rPr>
        <w:t xml:space="preserve">Based on a sensitivity analysis using simplified assumptions, the impact of a $0.50 per MMBtu decrease in natural gas prices across the term of the derivative contracts would cause an increase of approximately $1 million to the net value of natural gas derivatives, and an increase of $0.50 MMBtu in natural gas prices across the term of the derivative contracts would cause an increase of approximately $3 million to the net value of natural gas derivatives as of </w:t>
      </w:r>
      <w:r>
        <w:rPr>
          <w:rFonts w:ascii="Arial" w:cs="Arial" w:eastAsia="Arial" w:hAnsi="Arial"/>
          <w:sz w:val="17"/>
          <w:szCs w:val="17"/>
          <w:color w:val="000000"/>
        </w:rPr>
        <w:t>December 31, 2021</w:t>
      </w:r>
      <w:r>
        <w:rPr>
          <w:rFonts w:ascii="Arial" w:cs="Arial" w:eastAsia="Arial" w:hAnsi="Arial"/>
          <w:sz w:val="17"/>
          <w:szCs w:val="17"/>
          <w:color w:val="231F20"/>
        </w:rPr>
        <w:t>. The impact of a $0.50 per MWh increase or decrease in power prices across the term of the derivative contracts would cause a change of approximately $7 million to the net value of power derivatives as of December 31,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66"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w:t>
      </w:r>
      <w:r>
        <w:rPr>
          <w:rFonts w:ascii="Arial" w:cs="Arial" w:eastAsia="Arial" w:hAnsi="Arial"/>
          <w:sz w:val="17"/>
          <w:szCs w:val="17"/>
          <w:color w:val="000000"/>
        </w:rPr>
        <w:t>Note 7</w:t>
      </w:r>
      <w:r>
        <w:rPr>
          <w:rFonts w:ascii="Arial" w:cs="Arial" w:eastAsia="Arial" w:hAnsi="Arial"/>
          <w:sz w:val="17"/>
          <w:szCs w:val="17"/>
          <w:color w:val="231F20"/>
        </w:rPr>
        <w:t xml:space="preserve">, </w:t>
      </w:r>
      <w:r>
        <w:rPr>
          <w:rFonts w:ascii="Arial" w:cs="Arial" w:eastAsia="Arial" w:hAnsi="Arial"/>
          <w:sz w:val="17"/>
          <w:szCs w:val="17"/>
          <w:i w:val="1"/>
          <w:iCs w:val="1"/>
          <w:color w:val="000000"/>
        </w:rPr>
        <w:t>Accounting for Derivative Instruments and Hedging Activities</w:t>
      </w:r>
      <w:r>
        <w:rPr>
          <w:rFonts w:ascii="Arial" w:cs="Arial" w:eastAsia="Arial" w:hAnsi="Arial"/>
          <w:sz w:val="17"/>
          <w:szCs w:val="17"/>
          <w:i w:val="1"/>
          <w:iCs w:val="1"/>
          <w:color w:val="231F20"/>
        </w:rPr>
        <w:t>,</w:t>
      </w:r>
      <w:r>
        <w:rPr>
          <w:rFonts w:ascii="Arial" w:cs="Arial" w:eastAsia="Arial" w:hAnsi="Arial"/>
          <w:sz w:val="17"/>
          <w:szCs w:val="17"/>
          <w:color w:val="231F20"/>
        </w:rPr>
        <w:t xml:space="preserve"> for more information.</w:t>
      </w:r>
    </w:p>
    <w:p>
      <w:pPr>
        <w:spacing w:after="0" w:line="123" w:lineRule="exact"/>
        <w:rPr>
          <w:sz w:val="20"/>
          <w:szCs w:val="20"/>
          <w:color w:val="auto"/>
        </w:rPr>
      </w:pPr>
    </w:p>
    <w:p>
      <w:pPr>
        <w:jc w:val="both"/>
        <w:ind w:firstLine="400"/>
        <w:spacing w:after="0" w:line="330" w:lineRule="auto"/>
        <w:rPr>
          <w:sz w:val="20"/>
          <w:szCs w:val="20"/>
          <w:color w:val="auto"/>
        </w:rPr>
      </w:pPr>
      <w:r>
        <w:rPr>
          <w:rFonts w:ascii="Arial" w:cs="Arial" w:eastAsia="Arial" w:hAnsi="Arial"/>
          <w:sz w:val="16"/>
          <w:szCs w:val="16"/>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6"/>
          <w:szCs w:val="16"/>
          <w:color w:val="000000"/>
        </w:rPr>
        <w:t>Note 10</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color w:val="231F20"/>
        </w:rPr>
        <w:t>, for more information about interest rate swaps of the Company's project subsidiaries.</w:t>
      </w:r>
    </w:p>
    <w:p>
      <w:pPr>
        <w:spacing w:after="0" w:line="80"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231F20"/>
        </w:rPr>
        <w:t xml:space="preserve">If all of the above swaps had been discontinued on </w:t>
      </w:r>
      <w:r>
        <w:rPr>
          <w:rFonts w:ascii="Arial" w:cs="Arial" w:eastAsia="Arial" w:hAnsi="Arial"/>
          <w:sz w:val="18"/>
          <w:szCs w:val="18"/>
          <w:color w:val="000000"/>
        </w:rPr>
        <w:t>December 31, 2021</w:t>
      </w:r>
      <w:r>
        <w:rPr>
          <w:rFonts w:ascii="Arial" w:cs="Arial" w:eastAsia="Arial" w:hAnsi="Arial"/>
          <w:sz w:val="18"/>
          <w:szCs w:val="18"/>
          <w:color w:val="231F20"/>
        </w:rPr>
        <w:t>, the Company would have owed the counterparties $63 million. Based on the credit ratings of the counterparties, the Company believes its exposure to credit risk due to nonperformance by counterparties to its hedge contracts to be insignificant.</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6"/>
          <w:szCs w:val="16"/>
          <w:color w:val="231F20"/>
        </w:rPr>
        <w:t xml:space="preserve">The Company has long-term debt instruments that subject it to the risk of loss associated with movements in market interest rates. As of </w:t>
      </w:r>
      <w:r>
        <w:rPr>
          <w:rFonts w:ascii="Arial" w:cs="Arial" w:eastAsia="Arial" w:hAnsi="Arial"/>
          <w:sz w:val="16"/>
          <w:szCs w:val="16"/>
          <w:color w:val="000000"/>
        </w:rPr>
        <w:t>December 31,</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2021</w:t>
      </w:r>
      <w:r>
        <w:rPr>
          <w:rFonts w:ascii="Arial" w:cs="Arial" w:eastAsia="Arial" w:hAnsi="Arial"/>
          <w:sz w:val="18"/>
          <w:szCs w:val="18"/>
          <w:color w:val="231F20"/>
        </w:rPr>
        <w:t>, a 1% change in interest rates would result in an approximately $6 million change in interest expense on a rolling twelve-month basis.</w:t>
      </w:r>
    </w:p>
    <w:p>
      <w:pPr>
        <w:spacing w:after="0" w:line="155"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2021</w:t>
      </w:r>
      <w:r>
        <w:rPr>
          <w:rFonts w:ascii="Arial" w:cs="Arial" w:eastAsia="Arial" w:hAnsi="Arial"/>
          <w:sz w:val="18"/>
          <w:szCs w:val="18"/>
          <w:color w:val="231F20"/>
        </w:rPr>
        <w:t>, the fair value of the Company's debt was $7,997 million and the carrying value was $7,782 million. The Company estimates that a 1% decrease in market interest rates would have increased the fair value of its long-term debt by $540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66"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Arial" w:cs="Arial" w:eastAsia="Arial" w:hAnsi="Arial"/>
          <w:sz w:val="17"/>
          <w:szCs w:val="17"/>
          <w:color w:val="000000"/>
        </w:rPr>
        <w:t>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 for more information about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financial statements and schedules are listed in Part IV, Item 15 of this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172" w:lineRule="exact"/>
        <w:rPr>
          <w:sz w:val="20"/>
          <w:szCs w:val="20"/>
          <w:color w:val="auto"/>
        </w:rPr>
      </w:pPr>
    </w:p>
    <w:p>
      <w:pPr>
        <w:jc w:val="both"/>
        <w:ind w:firstLine="400"/>
        <w:spacing w:after="0" w:line="295" w:lineRule="auto"/>
        <w:rPr>
          <w:sz w:val="20"/>
          <w:szCs w:val="20"/>
          <w:color w:val="auto"/>
        </w:rPr>
      </w:pPr>
      <w:r>
        <w:rPr>
          <w:rFonts w:ascii="Arial" w:cs="Arial" w:eastAsia="Arial" w:hAnsi="Arial"/>
          <w:sz w:val="16"/>
          <w:szCs w:val="16"/>
          <w:color w:val="auto"/>
        </w:rPr>
        <w:t>As previously reported in the Company's Current Report on Form 8-K filed on March 15, 2021, on March 9, 2021, the Audit Committee of the Board of Directors of the Company dismissed KPMG LLP as the Company's independent registered public accounting firm and appointed Ernst &amp; Young LLP (PCAOB ID:42), an independent registered public accounting firm, to audit the consolidated financial statements of the Company and its subsidiaries for the fiscal year ending December 31, 2021. For more information, please refer to the Company's Current Report on Form 8-K filed on March 15,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 and Internal Control Over Financial Reporting</w:t>
      </w:r>
    </w:p>
    <w:p>
      <w:pPr>
        <w:spacing w:after="0" w:line="172"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2"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December 31, 2021, that materially affected, or are reasonably likely to materially affect,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172"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The Company's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135" w:lineRule="exact"/>
        <w:rPr>
          <w:sz w:val="20"/>
          <w:szCs w:val="20"/>
          <w:color w:val="auto"/>
        </w:rPr>
      </w:pPr>
    </w:p>
    <w:p>
      <w:pPr>
        <w:ind w:left="580" w:hanging="174"/>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189" w:lineRule="exact"/>
        <w:rPr>
          <w:rFonts w:ascii="Arial" w:cs="Arial" w:eastAsia="Arial" w:hAnsi="Arial"/>
          <w:sz w:val="16"/>
          <w:szCs w:val="16"/>
          <w:color w:val="auto"/>
        </w:rPr>
      </w:pPr>
    </w:p>
    <w:p>
      <w:pPr>
        <w:ind w:firstLine="406"/>
        <w:spacing w:after="0" w:line="330" w:lineRule="auto"/>
        <w:tabs>
          <w:tab w:leader="none" w:pos="596"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80" w:lineRule="exact"/>
        <w:rPr>
          <w:rFonts w:ascii="Arial" w:cs="Arial" w:eastAsia="Arial" w:hAnsi="Arial"/>
          <w:sz w:val="16"/>
          <w:szCs w:val="16"/>
          <w:color w:val="auto"/>
        </w:rPr>
      </w:pPr>
    </w:p>
    <w:p>
      <w:pPr>
        <w:ind w:firstLine="406"/>
        <w:spacing w:after="0" w:line="267" w:lineRule="auto"/>
        <w:tabs>
          <w:tab w:leader="none" w:pos="591"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26"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2"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the Company's evaluation under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the Company's management concluded that its internal control over financial reporting was effective as of December 31, 2021.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9" w:name="page70"/>
    <w:bookmarkEnd w:id="69"/>
    <w:p>
      <w:pPr>
        <w:ind w:firstLine="400"/>
        <w:spacing w:after="0" w:line="267" w:lineRule="auto"/>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Ernst &amp; Young LLP, the Company's independent registered public accounting firm, as stated in its report which is included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0" w:name="page71"/>
    <w:bookmarkEnd w:id="70"/>
    <w:p>
      <w:pPr>
        <w:ind w:right="3400" w:firstLine="3394"/>
        <w:spacing w:after="0" w:line="43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Clearway Energy, Inc.:</w:t>
      </w: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Clearway Energy, Inc.’s (the Company) internal control over financial reporting as of December 31, 2021, based on criteria established in Internal Control-Integrated Framework issued by the Committee of Sponsoring Organizations of the Treadway Commission (2013 framework) (the COSO criteria). In our opinion, the Company maintained, in all material respects, effective internal control over financial reporting as of December 31, 2021, based on the COSO criteria.</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2021 consolidated financial statements of the Company and our report dated February 25, 2022 expressed an unqualified opinion thereon.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9B — Other Information</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Disclosure Pursuant to Item 5.02 of Form 8-K </w:t>
      </w:r>
      <w:r>
        <w:rPr>
          <w:rFonts w:ascii="Arial" w:cs="Arial" w:eastAsia="Arial" w:hAnsi="Arial"/>
          <w:sz w:val="18"/>
          <w:szCs w:val="18"/>
          <w:color w:val="auto"/>
        </w:rPr>
        <w:t>–</w:t>
      </w:r>
      <w:r>
        <w:rPr>
          <w:rFonts w:ascii="Arial" w:cs="Arial" w:eastAsia="Arial" w:hAnsi="Arial"/>
          <w:sz w:val="18"/>
          <w:szCs w:val="18"/>
          <w:i w:val="1"/>
          <w:iCs w:val="1"/>
          <w:color w:val="auto"/>
        </w:rPr>
        <w:t xml:space="preserve"> Departure of Directors or Certain Officers; Election of Directors; Appointment of Certain Officers; Compensatory Arrangements of Certain Officers.</w:t>
      </w:r>
    </w:p>
    <w:p>
      <w:pPr>
        <w:spacing w:after="0" w:line="113" w:lineRule="exact"/>
        <w:rPr>
          <w:sz w:val="20"/>
          <w:szCs w:val="20"/>
          <w:color w:val="auto"/>
        </w:rPr>
      </w:pPr>
    </w:p>
    <w:p>
      <w:pPr>
        <w:jc w:val="both"/>
        <w:ind w:firstLine="400"/>
        <w:spacing w:after="0" w:line="230" w:lineRule="auto"/>
        <w:rPr>
          <w:sz w:val="20"/>
          <w:szCs w:val="20"/>
          <w:color w:val="auto"/>
        </w:rPr>
      </w:pPr>
      <w:r>
        <w:rPr>
          <w:rFonts w:ascii="Arial" w:cs="Arial" w:eastAsia="Arial" w:hAnsi="Arial"/>
          <w:sz w:val="18"/>
          <w:szCs w:val="18"/>
          <w:color w:val="auto"/>
        </w:rPr>
        <w:t>On February 22, 2022, the Company’s board of directors (the “Board”) elected Jennifer Lowry to serve as an independent director of the Company, effective immediately. Ms. Lowry will serve on all three Committees of the Board.</w:t>
      </w:r>
    </w:p>
    <w:p>
      <w:pPr>
        <w:spacing w:after="0" w:line="110" w:lineRule="exact"/>
        <w:rPr>
          <w:sz w:val="20"/>
          <w:szCs w:val="20"/>
          <w:color w:val="auto"/>
        </w:rPr>
      </w:pPr>
    </w:p>
    <w:p>
      <w:pPr>
        <w:jc w:val="both"/>
        <w:ind w:firstLine="400"/>
        <w:spacing w:after="0" w:line="215" w:lineRule="auto"/>
        <w:rPr>
          <w:sz w:val="20"/>
          <w:szCs w:val="20"/>
          <w:color w:val="auto"/>
        </w:rPr>
      </w:pPr>
      <w:r>
        <w:rPr>
          <w:rFonts w:ascii="Arial" w:cs="Arial" w:eastAsia="Arial" w:hAnsi="Arial"/>
          <w:sz w:val="18"/>
          <w:szCs w:val="18"/>
          <w:color w:val="auto"/>
        </w:rPr>
        <w:t>Upon her election to the Company’s board of directors, Ms. Lowry became entitled to compensation pursuant to the compensation program established for the Company’s independent directors, as more fully described in the Company's Definitive Proxy Statement for its 2021 Annual Meeting of Stockholders. Pursuant to the compensation program, Ms. Lowry will receive an annual retainer of $80,000 in the form of cash and $110,000 in the form of stock awards issued under the Company’s Amended and Restated 2013 Equity Incentive Plan.</w:t>
      </w:r>
    </w:p>
    <w:p>
      <w:pPr>
        <w:spacing w:after="0" w:line="111" w:lineRule="exact"/>
        <w:rPr>
          <w:sz w:val="20"/>
          <w:szCs w:val="20"/>
          <w:color w:val="auto"/>
        </w:rPr>
      </w:pPr>
    </w:p>
    <w:p>
      <w:pPr>
        <w:jc w:val="both"/>
        <w:ind w:firstLine="400"/>
        <w:spacing w:after="0" w:line="260" w:lineRule="auto"/>
        <w:rPr>
          <w:sz w:val="20"/>
          <w:szCs w:val="20"/>
          <w:color w:val="auto"/>
        </w:rPr>
      </w:pPr>
      <w:r>
        <w:rPr>
          <w:rFonts w:ascii="Arial" w:cs="Arial" w:eastAsia="Arial" w:hAnsi="Arial"/>
          <w:sz w:val="16"/>
          <w:szCs w:val="16"/>
          <w:color w:val="auto"/>
        </w:rPr>
        <w:t>In addition, the Company and Ms. Lowry have entered into an indemnification agreement that provides Ms. Lowry with contractual rights to indemnification, expense advancement and reimbursement to the fullest extent permitted under Delaware law. The foregoing description of Ms. Lowry’s indemnification agreement does not purport to be complete and is qualified in its entirety by reference to the complete text of the Form of Indemnification Agreement, the form of which is filed as Exhibit 10.9 to this Annual Report on Form 10-K, and which is incorporated herein by reference.</w:t>
      </w:r>
    </w:p>
    <w:p>
      <w:pPr>
        <w:spacing w:after="0" w:line="109" w:lineRule="exact"/>
        <w:rPr>
          <w:sz w:val="20"/>
          <w:szCs w:val="20"/>
          <w:color w:val="auto"/>
        </w:rPr>
      </w:pPr>
    </w:p>
    <w:p>
      <w:pPr>
        <w:jc w:val="both"/>
        <w:ind w:firstLine="400"/>
        <w:spacing w:after="0" w:line="230" w:lineRule="auto"/>
        <w:rPr>
          <w:sz w:val="20"/>
          <w:szCs w:val="20"/>
          <w:color w:val="auto"/>
        </w:rPr>
      </w:pPr>
      <w:r>
        <w:rPr>
          <w:rFonts w:ascii="Arial" w:cs="Arial" w:eastAsia="Arial" w:hAnsi="Arial"/>
          <w:sz w:val="18"/>
          <w:szCs w:val="18"/>
          <w:color w:val="auto"/>
        </w:rPr>
        <w:t>There are no arrangements or understandings between Ms. Lowry and any other person pursuant to which Ms. Lowry was elected to serve on the Company’s board of directors. Ms. Lowry has no direct or indirect material interest in any transaction required to be disclosed pursuant to Item 404(a) of Regulation S-K.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2" w:name="page73"/>
    <w:bookmarkEnd w:id="72"/>
    <w:p>
      <w:pPr>
        <w:ind w:left="5260"/>
        <w:spacing w:after="0"/>
        <w:rPr>
          <w:sz w:val="20"/>
          <w:szCs w:val="20"/>
          <w:color w:val="auto"/>
        </w:rPr>
      </w:pPr>
      <w:r>
        <w:rPr>
          <w:rFonts w:ascii="Arial" w:cs="Arial" w:eastAsia="Arial" w:hAnsi="Arial"/>
          <w:sz w:val="18"/>
          <w:szCs w:val="18"/>
          <w:b w:val="1"/>
          <w:bCs w:val="1"/>
          <w:color w:val="auto"/>
        </w:rPr>
        <w:t>PART III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Information about Directors, Executive Officers and Corporate Governance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72"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i w:val="1"/>
          <w:iCs w:val="1"/>
          <w:color w:val="auto"/>
        </w:rPr>
        <w:t xml:space="preserve">Nathaniel Anschuetz, 34, </w:t>
      </w:r>
      <w:r>
        <w:rPr>
          <w:rFonts w:ascii="Arial" w:cs="Arial" w:eastAsia="Arial" w:hAnsi="Arial"/>
          <w:sz w:val="18"/>
          <w:szCs w:val="18"/>
          <w:color w:val="auto"/>
        </w:rPr>
        <w:t>has served as a director since August 2018. Mr. Anschuetz is a Principal at GIP. Prior to joining GIP in 2012, Mr. Anschuetz</w:t>
      </w:r>
      <w:r>
        <w:rPr>
          <w:rFonts w:ascii="Arial" w:cs="Arial" w:eastAsia="Arial" w:hAnsi="Arial"/>
          <w:sz w:val="18"/>
          <w:szCs w:val="18"/>
          <w:i w:val="1"/>
          <w:iCs w:val="1"/>
          <w:color w:val="auto"/>
        </w:rPr>
        <w:t xml:space="preserve"> </w:t>
      </w:r>
      <w:r>
        <w:rPr>
          <w:rFonts w:ascii="Arial" w:cs="Arial" w:eastAsia="Arial" w:hAnsi="Arial"/>
          <w:sz w:val="18"/>
          <w:szCs w:val="18"/>
          <w:color w:val="auto"/>
        </w:rPr>
        <w:t>was an Analyst in the Power &amp; Utilities Coverage Group at Citigroup from June 2010 through June 2012. Mr. Anschuetz is also a member of the Board of Directors of Clearway Energy Group LLC and Eolian. Mr. Anschuetz graduated with cum laude honors from Columbia College in 2010 with an A.B. in Economics and Operations Research, and a concentration in Sustainable Development. Mr. Anschuetz's financial expertise provides significant value to the Company's board of directors.</w:t>
      </w:r>
    </w:p>
    <w:p>
      <w:pPr>
        <w:spacing w:after="0" w:line="139"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i w:val="1"/>
          <w:iCs w:val="1"/>
          <w:color w:val="auto"/>
        </w:rPr>
        <w:t xml:space="preserve">Jonathan Bram, 56, </w:t>
      </w:r>
      <w:r>
        <w:rPr>
          <w:rFonts w:ascii="Arial" w:cs="Arial" w:eastAsia="Arial" w:hAnsi="Arial"/>
          <w:sz w:val="17"/>
          <w:szCs w:val="17"/>
          <w:color w:val="auto"/>
        </w:rPr>
        <w:t>has served as Chairman of the board of directors of the Company since August 2018. Mr. Bram is a Founding Partner of GIP and</w:t>
      </w:r>
      <w:r>
        <w:rPr>
          <w:rFonts w:ascii="Arial" w:cs="Arial" w:eastAsia="Arial" w:hAnsi="Arial"/>
          <w:sz w:val="17"/>
          <w:szCs w:val="17"/>
          <w:i w:val="1"/>
          <w:iCs w:val="1"/>
          <w:color w:val="auto"/>
        </w:rPr>
        <w:t xml:space="preserve"> </w:t>
      </w:r>
      <w:r>
        <w:rPr>
          <w:rFonts w:ascii="Arial" w:cs="Arial" w:eastAsia="Arial" w:hAnsi="Arial"/>
          <w:sz w:val="17"/>
          <w:szCs w:val="17"/>
          <w:color w:val="auto"/>
        </w:rPr>
        <w:t>serves on its Investment and Operating Committees. He leads GIP’s Power industry investment team in North America. Prior to the formation of GIP in 2006, Mr. Bram spent 15 years at Credit Suisse as a Managing Director in the Investment Banking Division, where he served as Co-Head of the Global Industrial and Services Group. From 2002 to 2004, he was Chief Operating Officer of the Investment Banking Division and prior to that time he was co-head of corporate finance for the 150 person U.S. Energy Group. Mr. Bram represented the firm in raising more than $30 billion of debt and equity capital for electric utilities and independent power generators globally. These companies and projects included renewable power facilities that utilized wind, solar, geothermal and hydroelectric technologies. Mr. Bram is also a member of the Board of Directors of Clearway Energy Group LLC and previously served on the boards of Terra-Gen Power, Guacolda Energia, S.A. and Channelview Cogeneration. Mr. Bram holds an A.B. in Economics from Columbia College. Mr. Bram’s significant experience in investment banking for, and investments in, energy and power companies, as well as his leadership role at GIP, provide strong financial and transactional experience to the Company's board of directors.</w:t>
      </w:r>
    </w:p>
    <w:p>
      <w:pPr>
        <w:spacing w:after="0" w:line="134"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i w:val="1"/>
          <w:iCs w:val="1"/>
          <w:color w:val="auto"/>
        </w:rPr>
        <w:t xml:space="preserve">Brian R. Ford, 73, </w:t>
      </w:r>
      <w:r>
        <w:rPr>
          <w:rFonts w:ascii="Arial" w:cs="Arial" w:eastAsia="Arial" w:hAnsi="Arial"/>
          <w:sz w:val="17"/>
          <w:szCs w:val="17"/>
          <w:color w:val="auto"/>
        </w:rPr>
        <w:t>has served as a director since July 2013 and Lead Independent Director since January 2019. Mr. Ford was the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Washington Philadelphia Partners, LP, a real estate investment company, from 2008 through 2010. He retired as a partner from Ernst &amp; Young LLP in June 2008 where he had been employed since 1971. Mr. Ford currently serves on the board of various companies, including FS Investment Corporation portfolios, a specialty finance company that invests primarily in the debt securities of private U.S. middle-market companies, since 2013, where he also serves as the chairman of the audit committee. He also serves on the boards of Drexel University and BAYADA Home Health. From 2013 to 2020, Mr. Ford served on the board of AmeriGas Propane, Inc., where he also served as a member of its audit and corporate governance committees. Mr. Ford received his B.S. in Economics from Rutgers University. Mr. Ford's extensive experience in accounting and public company matters provides strong financial, audit and accounting skills to the Company's board of directors.</w:t>
      </w:r>
    </w:p>
    <w:p>
      <w:pPr>
        <w:spacing w:after="0" w:line="133"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i w:val="1"/>
          <w:iCs w:val="1"/>
          <w:color w:val="auto"/>
        </w:rPr>
        <w:t xml:space="preserve">Bruce MacLennan, 55, </w:t>
      </w:r>
      <w:r>
        <w:rPr>
          <w:rFonts w:ascii="Arial" w:cs="Arial" w:eastAsia="Arial" w:hAnsi="Arial"/>
          <w:sz w:val="17"/>
          <w:szCs w:val="17"/>
          <w:color w:val="auto"/>
        </w:rPr>
        <w:t>has served as a director since August 2018. Mr. MacLennan is a Partner of GIP and serves on its Investment and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Committees. Prior to joining GIP at its formation in 2006, Mr. MacLennan spent eight years at Credit Suisse, where he most recently served as a Director in the Investment Banking Division. Previously, he spent six years at Citibank and Citicorp Securities in New York and Tokyo. Mr. MacLennan holds an A.B. from Harvard University and an M.B.A. from the Wharton School of the University of Pennsylvania. He is currently a member of the Board of Directors of Clearway Energy Group LLC and Eolian and previously served on the Board of Competitive Power Ventures. Mr. MacLennan’s significant experience in investment banking for, and investments in, energy and power companies, as well as his leadership role at GIP, provide strong financial and transactional experience to the Company's board of directors.</w:t>
      </w:r>
    </w:p>
    <w:p>
      <w:pPr>
        <w:spacing w:after="0" w:line="130"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i w:val="1"/>
          <w:iCs w:val="1"/>
          <w:color w:val="auto"/>
        </w:rPr>
        <w:t xml:space="preserve">Ferrell P. McClean, 75, </w:t>
      </w:r>
      <w:r>
        <w:rPr>
          <w:rFonts w:ascii="Arial" w:cs="Arial" w:eastAsia="Arial" w:hAnsi="Arial"/>
          <w:sz w:val="17"/>
          <w:szCs w:val="17"/>
          <w:color w:val="auto"/>
        </w:rPr>
        <w:t>has served as a director since July 2013. Ms. McClean was a Managing Director and the Senior Advisor to the head of the</w:t>
      </w:r>
      <w:r>
        <w:rPr>
          <w:rFonts w:ascii="Arial" w:cs="Arial" w:eastAsia="Arial" w:hAnsi="Arial"/>
          <w:sz w:val="17"/>
          <w:szCs w:val="17"/>
          <w:i w:val="1"/>
          <w:iCs w:val="1"/>
          <w:color w:val="auto"/>
        </w:rPr>
        <w:t xml:space="preserve"> </w:t>
      </w:r>
      <w:r>
        <w:rPr>
          <w:rFonts w:ascii="Arial" w:cs="Arial" w:eastAsia="Arial" w:hAnsi="Arial"/>
          <w:sz w:val="17"/>
          <w:szCs w:val="17"/>
          <w:color w:val="auto"/>
        </w:rPr>
        <w:t>Global Oil &amp; Gas Group in Investment Banking at J.P. Morgan Chase &amp; Co. from 2000 through the end of 2001. She joined J.P. Morgan &amp; Co. Incorporated in 1969 and founded the Leveraged Buyout and Restructuring Group within the Mergers &amp; Acquisitions Group in 1986. From 1991 until 2000, Ms. McClean was a Managing Director and co-headed the Global Energy Group within the Investment Banking Group at J.P. Morgan &amp; Co. She retired as a director of GrafTech International in 2014, El Paso Corporation in 2012 and Unocal Corporation in 2005. Ms. McClean's experience in investment banking for industrial companies as well as her experience and understanding of financial accounting, finance and disclosure matters enables her to provide essential guidance to the Company's board of directors and management team.</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3" w:name="page74"/>
    <w:bookmarkEnd w:id="73"/>
    <w:p>
      <w:pPr>
        <w:jc w:val="both"/>
        <w:ind w:firstLine="400"/>
        <w:spacing w:after="0" w:line="250" w:lineRule="auto"/>
        <w:rPr>
          <w:sz w:val="20"/>
          <w:szCs w:val="20"/>
          <w:color w:val="auto"/>
        </w:rPr>
      </w:pPr>
      <w:r>
        <w:rPr>
          <w:rFonts w:ascii="Arial" w:cs="Arial" w:eastAsia="Arial" w:hAnsi="Arial"/>
          <w:sz w:val="18"/>
          <w:szCs w:val="18"/>
          <w:i w:val="1"/>
          <w:iCs w:val="1"/>
          <w:color w:val="auto"/>
        </w:rPr>
        <w:t xml:space="preserve">Daniel B. More, 65, </w:t>
      </w:r>
      <w:r>
        <w:rPr>
          <w:rFonts w:ascii="Arial" w:cs="Arial" w:eastAsia="Arial" w:hAnsi="Arial"/>
          <w:sz w:val="18"/>
          <w:szCs w:val="18"/>
          <w:color w:val="auto"/>
        </w:rPr>
        <w:t>has served as a director since February 2019. Mr. More has been a Senior Advisor with Guggenheim Securities since October 2015.</w:t>
      </w:r>
      <w:r>
        <w:rPr>
          <w:rFonts w:ascii="Arial" w:cs="Arial" w:eastAsia="Arial" w:hAnsi="Arial"/>
          <w:sz w:val="18"/>
          <w:szCs w:val="18"/>
          <w:i w:val="1"/>
          <w:iCs w:val="1"/>
          <w:color w:val="auto"/>
        </w:rPr>
        <w:t xml:space="preserve"> </w:t>
      </w:r>
      <w:r>
        <w:rPr>
          <w:rFonts w:ascii="Arial" w:cs="Arial" w:eastAsia="Arial" w:hAnsi="Arial"/>
          <w:sz w:val="18"/>
          <w:szCs w:val="18"/>
          <w:color w:val="auto"/>
        </w:rPr>
        <w:t>Mr. More retired as a 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the Company's board of directors.</w:t>
      </w:r>
    </w:p>
    <w:p>
      <w:pPr>
        <w:spacing w:after="0" w:line="148"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6"/>
          <w:szCs w:val="16"/>
          <w:i w:val="1"/>
          <w:iCs w:val="1"/>
          <w:color w:val="auto"/>
        </w:rPr>
        <w:t xml:space="preserve">E. Stanley O'Neal, 70, </w:t>
      </w:r>
      <w:r>
        <w:rPr>
          <w:rFonts w:ascii="Arial" w:cs="Arial" w:eastAsia="Arial" w:hAnsi="Arial"/>
          <w:sz w:val="16"/>
          <w:szCs w:val="16"/>
          <w:color w:val="auto"/>
        </w:rPr>
        <w:t>has served as a director since August 2018. Mr. O'Neal</w:t>
      </w:r>
      <w:r>
        <w:rPr>
          <w:rFonts w:ascii="Arial" w:cs="Arial" w:eastAsia="Arial" w:hAnsi="Arial"/>
          <w:sz w:val="16"/>
          <w:szCs w:val="16"/>
          <w:i w:val="1"/>
          <w:iCs w:val="1"/>
          <w:color w:val="auto"/>
        </w:rPr>
        <w:t xml:space="preserve"> </w:t>
      </w:r>
      <w:r>
        <w:rPr>
          <w:rFonts w:ascii="Arial" w:cs="Arial" w:eastAsia="Arial" w:hAnsi="Arial"/>
          <w:sz w:val="19"/>
          <w:szCs w:val="19"/>
          <w:color w:val="auto"/>
        </w:rPr>
        <w:t>s</w:t>
      </w:r>
      <w:r>
        <w:rPr>
          <w:rFonts w:ascii="Arial" w:cs="Arial" w:eastAsia="Arial" w:hAnsi="Arial"/>
          <w:sz w:val="16"/>
          <w:szCs w:val="16"/>
          <w:color w:val="auto"/>
        </w:rPr>
        <w:t>erved as Chairman of the Board and Chief Executive Officer of Merrill</w:t>
      </w:r>
      <w:r>
        <w:rPr>
          <w:rFonts w:ascii="Arial" w:cs="Arial" w:eastAsia="Arial" w:hAnsi="Arial"/>
          <w:sz w:val="16"/>
          <w:szCs w:val="16"/>
          <w:i w:val="1"/>
          <w:iCs w:val="1"/>
          <w:color w:val="auto"/>
        </w:rPr>
        <w:t xml:space="preserve"> </w:t>
      </w:r>
      <w:r>
        <w:rPr>
          <w:rFonts w:ascii="Arial" w:cs="Arial" w:eastAsia="Arial" w:hAnsi="Arial"/>
          <w:sz w:val="16"/>
          <w:szCs w:val="16"/>
          <w:color w:val="auto"/>
        </w:rPr>
        <w:t>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chairman of the nominating and governance committee and a member of the committee of Arconic Corp., an aluminum manufacturing company and the former parent company of Alcoa Inc. Mr. O’Neal is also a director and member of the nominating and governance committee of Element Solutions Inc. (formerly Platform Specialty Products Corporation), a global, diversified producer of high technology specialty chemical products and provider of technical services. 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 Mr. O’Neal’s extensive executive experience, financial expertise and leadership skills enable him to provide unique guidance to the Company's board of directors and management team.</w:t>
      </w:r>
    </w:p>
    <w:p>
      <w:pPr>
        <w:spacing w:after="0" w:line="120" w:lineRule="exact"/>
        <w:rPr>
          <w:sz w:val="20"/>
          <w:szCs w:val="20"/>
          <w:color w:val="auto"/>
        </w:rPr>
      </w:pPr>
    </w:p>
    <w:p>
      <w:pPr>
        <w:jc w:val="both"/>
        <w:ind w:firstLine="400"/>
        <w:spacing w:after="0" w:line="285" w:lineRule="auto"/>
        <w:rPr>
          <w:sz w:val="20"/>
          <w:szCs w:val="20"/>
          <w:color w:val="auto"/>
        </w:rPr>
      </w:pPr>
      <w:r>
        <w:rPr>
          <w:rFonts w:ascii="Arial" w:cs="Arial" w:eastAsia="Arial" w:hAnsi="Arial"/>
          <w:sz w:val="16"/>
          <w:szCs w:val="16"/>
          <w:i w:val="1"/>
          <w:iCs w:val="1"/>
          <w:color w:val="auto"/>
        </w:rPr>
        <w:t xml:space="preserve">Christopher S. Sotos, 50, </w:t>
      </w:r>
      <w:r>
        <w:rPr>
          <w:rFonts w:ascii="Arial" w:cs="Arial" w:eastAsia="Arial" w:hAnsi="Arial"/>
          <w:sz w:val="16"/>
          <w:szCs w:val="16"/>
          <w:color w:val="auto"/>
        </w:rPr>
        <w:t>has served as President and Chief Executive Officer of the Company since May 2016, and as a director since May 2013. Mr.</w:t>
      </w:r>
      <w:r>
        <w:rPr>
          <w:rFonts w:ascii="Arial" w:cs="Arial" w:eastAsia="Arial" w:hAnsi="Arial"/>
          <w:sz w:val="16"/>
          <w:szCs w:val="16"/>
          <w:i w:val="1"/>
          <w:iCs w:val="1"/>
          <w:color w:val="auto"/>
        </w:rPr>
        <w:t xml:space="preserve"> </w:t>
      </w:r>
      <w:r>
        <w:rPr>
          <w:rFonts w:ascii="Arial" w:cs="Arial" w:eastAsia="Arial" w:hAnsi="Arial"/>
          <w:sz w:val="16"/>
          <w:szCs w:val="16"/>
          <w:color w:val="auto"/>
        </w:rPr>
        <w:t>Sotos had also served in various positions at NRG, including most recently as Executive Vice President - Strategy and Mergers and Acquisitions from February 2016 through May 2016 and Senior Vice President - 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previously served as a director of FuelCell Energy, Inc. from September 2014 to April 2019. As President and Chief Executive Officer of the Company, Mr. Sotos provides the Company's board of directors with management’s perspective regarding the Company’s day to day operations and overall strategic plan. Mr. Sotos also brings strong financial and accounting skills to the Company's board of directors.</w:t>
      </w:r>
    </w:p>
    <w:p>
      <w:pPr>
        <w:spacing w:after="0" w:line="118" w:lineRule="exact"/>
        <w:rPr>
          <w:sz w:val="20"/>
          <w:szCs w:val="20"/>
          <w:color w:val="auto"/>
        </w:rPr>
      </w:pPr>
    </w:p>
    <w:p>
      <w:pPr>
        <w:jc w:val="both"/>
        <w:ind w:firstLine="400"/>
        <w:spacing w:after="0" w:line="250" w:lineRule="auto"/>
        <w:rPr>
          <w:sz w:val="20"/>
          <w:szCs w:val="20"/>
          <w:color w:val="auto"/>
        </w:rPr>
      </w:pPr>
      <w:r>
        <w:rPr>
          <w:rFonts w:ascii="Arial" w:cs="Arial" w:eastAsia="Arial" w:hAnsi="Arial"/>
          <w:sz w:val="18"/>
          <w:szCs w:val="18"/>
          <w:i w:val="1"/>
          <w:iCs w:val="1"/>
          <w:color w:val="auto"/>
        </w:rPr>
        <w:t xml:space="preserve">Jennifer Lowry, 53, </w:t>
      </w:r>
      <w:r>
        <w:rPr>
          <w:rFonts w:ascii="Arial" w:cs="Arial" w:eastAsia="Arial" w:hAnsi="Arial"/>
          <w:sz w:val="18"/>
          <w:szCs w:val="18"/>
          <w:color w:val="auto"/>
        </w:rPr>
        <w:t>has served as a director since February 2022. Ms. Lowry served as Vice President of Risk, Treasury and Corporate Finance for</w:t>
      </w:r>
      <w:r>
        <w:rPr>
          <w:rFonts w:ascii="Arial" w:cs="Arial" w:eastAsia="Arial" w:hAnsi="Arial"/>
          <w:sz w:val="18"/>
          <w:szCs w:val="18"/>
          <w:i w:val="1"/>
          <w:iCs w:val="1"/>
          <w:color w:val="auto"/>
        </w:rPr>
        <w:t xml:space="preserve"> </w:t>
      </w:r>
      <w:r>
        <w:rPr>
          <w:rFonts w:ascii="Arial" w:cs="Arial" w:eastAsia="Arial" w:hAnsi="Arial"/>
          <w:sz w:val="18"/>
          <w:szCs w:val="18"/>
          <w:color w:val="auto"/>
        </w:rPr>
        <w:t>McCormick &amp; Company, Inc. from October 2019 through July 2021, and as Vice President of Corporate Finance from November 2016 through October 2019. From 2012 to 2016, Ms. Lowry held management positions with Exelon Corporation as Senior Vice President, Generation Company Strategy and Constellation Energy Group, Inc as Vice President and Treasurer. Prior to that, she held executive positions at companies within the electric power industry including AES Corporation and Cogentrix Energy Group, Inc. Ms. Lowry served on numerous governing committees within Constellation and Exelon and was recently Chair of the Maryland Zoo Board of Trustees. Ms. Lowry has also been a member of the Board of Directors of MYR Group, Inc. since 2018, and currently serves on its Audit Committee. Ms. Lowry’s financial and energy industry experience provides significant value to the Company’s board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 xml:space="preserve">Christopher S. Sotos </w:t>
      </w:r>
      <w:r>
        <w:rPr>
          <w:rFonts w:ascii="Arial" w:cs="Arial" w:eastAsia="Arial" w:hAnsi="Arial"/>
          <w:sz w:val="16"/>
          <w:szCs w:val="16"/>
          <w:color w:val="auto"/>
        </w:rPr>
        <w:t>has served as President and Chief Executive Officer of the Company since May 2016, and as a director of the Company since May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2013. For additional biographical information for Mr. Sotos, see above under “Directors.”</w:t>
      </w:r>
    </w:p>
    <w:p>
      <w:pPr>
        <w:spacing w:after="0" w:line="155"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i w:val="1"/>
          <w:iCs w:val="1"/>
          <w:color w:val="auto"/>
        </w:rPr>
        <w:t xml:space="preserve">Chad Plotkin, 46, </w:t>
      </w:r>
      <w:r>
        <w:rPr>
          <w:rFonts w:ascii="Arial" w:cs="Arial" w:eastAsia="Arial" w:hAnsi="Arial"/>
          <w:sz w:val="17"/>
          <w:szCs w:val="17"/>
          <w:color w:val="auto"/>
        </w:rPr>
        <w:t>has served as the Company’s Chief Financial Officer since November 2016 and was promoted from Senior Vice President to</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Vice President in January 2022. From January 2016 until his appointment as Senior Vice President and Chief Financial Officer in November 2016, Mr. Plotkin served as Senior Vice President, Finance and Strategy. Prior to this, he served in varying capacities at NRG, including as Vice President of Investor Relations of both the Company and NRG from September 2015 to January 2016 and from January 2012 to February 2015 and Vice President of Finance of NRG from February 2015 to September 2015. From October 2007 to January 2012, Mr. Plotkin served in various capacities in the Strategy and Mergers and Acquisitions group of NRG, including as Vice President, beginning in December 2010.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4" w:name="page75"/>
    <w:bookmarkEnd w:id="74"/>
    <w:p>
      <w:pPr>
        <w:jc w:val="both"/>
        <w:ind w:firstLine="400"/>
        <w:spacing w:after="0" w:line="252" w:lineRule="auto"/>
        <w:rPr>
          <w:sz w:val="20"/>
          <w:szCs w:val="20"/>
          <w:color w:val="auto"/>
        </w:rPr>
      </w:pPr>
      <w:r>
        <w:rPr>
          <w:rFonts w:ascii="Arial" w:cs="Arial" w:eastAsia="Arial" w:hAnsi="Arial"/>
          <w:sz w:val="18"/>
          <w:szCs w:val="18"/>
          <w:i w:val="1"/>
          <w:iCs w:val="1"/>
          <w:color w:val="auto"/>
        </w:rPr>
        <w:t xml:space="preserve">Kevin P. Malcarney, 55, </w:t>
      </w:r>
      <w:r>
        <w:rPr>
          <w:rFonts w:ascii="Arial" w:cs="Arial" w:eastAsia="Arial" w:hAnsi="Arial"/>
          <w:sz w:val="18"/>
          <w:szCs w:val="18"/>
          <w:color w:val="auto"/>
        </w:rPr>
        <w:t>has served as the Company’s General Counsel and Corporate Secretary since May 11, 2018, and was promoted from Senior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to Executive Vice President in January 2022. Mr. Malcarney served as Interim General Counsel of the Company from March 16, 2018 to May 11, 2018. Mr. Malcarney was previously Vice President and Deputy General Counsel and served in various other roles at NRG since September 2008. Prior to NRG, Mr. Malcarney worked at two major law firms in Princeton, New Jersey and Philadelphia, Pennsylvania, and handled mergers and acquisitions, project financing and general corporate matters.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72"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color w:val="auto"/>
        </w:rPr>
        <w:t xml:space="preserve">The Company has adopted a code of ethics entitled "Clearway Energy, Inc. Code of Business Conduct and Ethics" that applies to all of the Company’s directors and employees, including the Company's Officers (e.g., CEO, CFO, and Principal Accounting Officer). It may be accessed through the "Corporate Governance" section of the Company's website at </w:t>
      </w:r>
      <w:r>
        <w:rPr>
          <w:rFonts w:ascii="Arial" w:cs="Arial" w:eastAsia="Arial" w:hAnsi="Arial"/>
          <w:sz w:val="18"/>
          <w:szCs w:val="18"/>
          <w:i w:val="1"/>
          <w:iCs w:val="1"/>
          <w:color w:val="auto"/>
        </w:rPr>
        <w:t>http://www.clearwayenergy.com.</w:t>
      </w:r>
      <w:r>
        <w:rPr>
          <w:rFonts w:ascii="Arial" w:cs="Arial" w:eastAsia="Arial" w:hAnsi="Arial"/>
          <w:sz w:val="18"/>
          <w:szCs w:val="18"/>
          <w:color w:val="auto"/>
        </w:rPr>
        <w:t xml:space="preserve"> The Company also elects to disclose the information required by Form 8-K, Item 5.05, "Amendments to the Registrant's Code of Ethics, or Waiver of a Provision of the Code of Ethics," through the Company's website, and such information will remain available on this website for at least a 12-month period. A copy of the "Clearway Energy, Inc. Code of Business Conduct and Ethics" is available in print to any stockholder who requests it.</w:t>
      </w:r>
    </w:p>
    <w:p>
      <w:pPr>
        <w:spacing w:after="0" w:line="141"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Other information required by this Item will be incorporated by reference to the similarly named section of the Company's Definitive Proxy Statement for its 2022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Information required by this Item will be incorporated by reference to the similarly named section of the Company's Definitive Proxy Statement for its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2022 Annual Meeting of Stockholders.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the Clearway Energy, Inc. Amended and Restated 2013 Equity Compensation Plan</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Plan Category</w:t>
      </w:r>
    </w:p>
    <w:p>
      <w:pPr>
        <w:spacing w:after="0" w:line="36" w:lineRule="exact"/>
        <w:rPr>
          <w:sz w:val="20"/>
          <w:szCs w:val="20"/>
          <w:color w:val="auto"/>
        </w:rPr>
      </w:pPr>
    </w:p>
    <w:p>
      <w:pPr>
        <w:ind w:left="260" w:hanging="239"/>
        <w:spacing w:after="0" w:line="230" w:lineRule="auto"/>
        <w:rPr>
          <w:sz w:val="20"/>
          <w:szCs w:val="20"/>
          <w:color w:val="auto"/>
        </w:rPr>
      </w:pPr>
      <w:r>
        <w:rPr>
          <w:rFonts w:ascii="Arial" w:cs="Arial" w:eastAsia="Arial" w:hAnsi="Arial"/>
          <w:sz w:val="18"/>
          <w:szCs w:val="18"/>
          <w:color w:val="auto"/>
        </w:rPr>
        <w:t>Equity compensation plans approved by security holders - Class A common stock</w:t>
      </w:r>
    </w:p>
    <w:p>
      <w:pPr>
        <w:spacing w:after="0" w:line="3" w:lineRule="exact"/>
        <w:rPr>
          <w:sz w:val="20"/>
          <w:szCs w:val="20"/>
          <w:color w:val="auto"/>
        </w:rPr>
      </w:pPr>
    </w:p>
    <w:p>
      <w:pPr>
        <w:ind w:left="260" w:right="20" w:hanging="239"/>
        <w:spacing w:after="0" w:line="230" w:lineRule="auto"/>
        <w:rPr>
          <w:sz w:val="20"/>
          <w:szCs w:val="20"/>
          <w:color w:val="auto"/>
        </w:rPr>
      </w:pPr>
      <w:r>
        <w:rPr>
          <w:rFonts w:ascii="Arial" w:cs="Arial" w:eastAsia="Arial" w:hAnsi="Arial"/>
          <w:sz w:val="18"/>
          <w:szCs w:val="18"/>
          <w:color w:val="auto"/>
        </w:rPr>
        <w:t>Equity compensation plans approved by security holders - Class C common stock</w:t>
      </w:r>
    </w:p>
    <w:p>
      <w:pPr>
        <w:spacing w:after="0" w:line="3" w:lineRule="exact"/>
        <w:rPr>
          <w:sz w:val="20"/>
          <w:szCs w:val="20"/>
          <w:color w:val="auto"/>
        </w:rPr>
      </w:pPr>
    </w:p>
    <w:p>
      <w:pPr>
        <w:ind w:left="20" w:right="440"/>
        <w:spacing w:after="0" w:line="329" w:lineRule="auto"/>
        <w:rPr>
          <w:sz w:val="20"/>
          <w:szCs w:val="20"/>
          <w:color w:val="auto"/>
        </w:rPr>
      </w:pPr>
      <w:r>
        <w:rPr>
          <w:rFonts w:ascii="Arial" w:cs="Arial" w:eastAsia="Arial" w:hAnsi="Arial"/>
          <w:sz w:val="18"/>
          <w:szCs w:val="18"/>
          <w:color w:val="auto"/>
        </w:rPr>
        <w:t>Equity compensation plans not approved by security holders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13792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33"/>
        </w:trPr>
        <w:tc>
          <w:tcPr>
            <w:tcW w:w="1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33"/>
        </w:trPr>
        <w:tc>
          <w:tcPr>
            <w:tcW w:w="1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(b)</w:t>
            </w:r>
          </w:p>
        </w:tc>
        <w:tc>
          <w:tcPr>
            <w:tcW w:w="1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Remaining Available</w:t>
            </w:r>
          </w:p>
        </w:tc>
        <w:tc>
          <w:tcPr>
            <w:tcW w:w="0" w:type="dxa"/>
            <w:vAlign w:val="bottom"/>
          </w:tcPr>
          <w:p>
            <w:pPr>
              <w:spacing w:after="0"/>
              <w:rPr>
                <w:sz w:val="1"/>
                <w:szCs w:val="1"/>
                <w:color w:val="auto"/>
              </w:rPr>
            </w:pPr>
          </w:p>
        </w:tc>
      </w:tr>
      <w:tr>
        <w:trPr>
          <w:trHeight w:val="133"/>
        </w:trPr>
        <w:tc>
          <w:tcPr>
            <w:tcW w:w="19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Number of Securities</w:t>
            </w:r>
          </w:p>
        </w:tc>
        <w:tc>
          <w:tcPr>
            <w:tcW w:w="12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1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33"/>
        </w:trPr>
        <w:tc>
          <w:tcPr>
            <w:tcW w:w="19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to be Issued Upon</w:t>
            </w:r>
          </w:p>
        </w:tc>
        <w:tc>
          <w:tcPr>
            <w:tcW w:w="120" w:type="dxa"/>
            <w:vAlign w:val="bottom"/>
          </w:tcPr>
          <w:p>
            <w:pPr>
              <w:spacing w:after="0"/>
              <w:rPr>
                <w:sz w:val="11"/>
                <w:szCs w:val="11"/>
                <w:color w:val="auto"/>
              </w:rPr>
            </w:pPr>
          </w:p>
        </w:tc>
        <w:tc>
          <w:tcPr>
            <w:tcW w:w="18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9"/>
              </w:rPr>
              <w:t>Weighted-Average Exercise</w:t>
            </w:r>
          </w:p>
        </w:tc>
        <w:tc>
          <w:tcPr>
            <w:tcW w:w="1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Under Equity Compensation</w:t>
            </w:r>
          </w:p>
        </w:tc>
        <w:tc>
          <w:tcPr>
            <w:tcW w:w="0" w:type="dxa"/>
            <w:vAlign w:val="bottom"/>
          </w:tcPr>
          <w:p>
            <w:pPr>
              <w:spacing w:after="0"/>
              <w:rPr>
                <w:sz w:val="1"/>
                <w:szCs w:val="1"/>
                <w:color w:val="auto"/>
              </w:rPr>
            </w:pPr>
          </w:p>
        </w:tc>
      </w:tr>
      <w:tr>
        <w:trPr>
          <w:trHeight w:val="133"/>
        </w:trPr>
        <w:tc>
          <w:tcPr>
            <w:tcW w:w="198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8"/>
              </w:rPr>
              <w:t>Exercise of</w:t>
            </w:r>
          </w:p>
        </w:tc>
        <w:tc>
          <w:tcPr>
            <w:tcW w:w="120" w:type="dxa"/>
            <w:vAlign w:val="bottom"/>
          </w:tcPr>
          <w:p>
            <w:pPr>
              <w:spacing w:after="0"/>
              <w:rPr>
                <w:sz w:val="11"/>
                <w:szCs w:val="11"/>
                <w:color w:val="auto"/>
              </w:rPr>
            </w:pPr>
          </w:p>
        </w:tc>
        <w:tc>
          <w:tcPr>
            <w:tcW w:w="18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Price of Outstanding</w:t>
            </w:r>
          </w:p>
        </w:tc>
        <w:tc>
          <w:tcPr>
            <w:tcW w:w="1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33"/>
        </w:trPr>
        <w:tc>
          <w:tcPr>
            <w:tcW w:w="19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Outstanding Options,</w:t>
            </w:r>
          </w:p>
        </w:tc>
        <w:tc>
          <w:tcPr>
            <w:tcW w:w="120" w:type="dxa"/>
            <w:vAlign w:val="bottom"/>
          </w:tcPr>
          <w:p>
            <w:pPr>
              <w:spacing w:after="0"/>
              <w:rPr>
                <w:sz w:val="11"/>
                <w:szCs w:val="11"/>
                <w:color w:val="auto"/>
              </w:rPr>
            </w:pPr>
          </w:p>
        </w:tc>
        <w:tc>
          <w:tcPr>
            <w:tcW w:w="18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3"/>
              </w:rPr>
              <w:t>Options, Warrants and</w:t>
            </w:r>
          </w:p>
        </w:tc>
        <w:tc>
          <w:tcPr>
            <w:tcW w:w="1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87"/>
        </w:trPr>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4"/>
                <w:szCs w:val="14"/>
                <w:b w:val="1"/>
                <w:bCs w:val="1"/>
                <w:color w:val="auto"/>
                <w:w w:val="92"/>
              </w:rPr>
              <w:t xml:space="preserve">in Column (a)) </w:t>
            </w:r>
            <w:r>
              <w:rPr>
                <w:rFonts w:ascii="Arial" w:cs="Arial" w:eastAsia="Arial" w:hAnsi="Arial"/>
                <w:sz w:val="18"/>
                <w:szCs w:val="18"/>
                <w:b w:val="1"/>
                <w:bCs w:val="1"/>
                <w:color w:val="auto"/>
                <w:w w:val="92"/>
                <w:vertAlign w:val="superscript"/>
              </w:rPr>
              <w:t>(1)</w:t>
            </w:r>
          </w:p>
        </w:tc>
        <w:tc>
          <w:tcPr>
            <w:tcW w:w="0" w:type="dxa"/>
            <w:vAlign w:val="bottom"/>
          </w:tcPr>
          <w:p>
            <w:pPr>
              <w:spacing w:after="0"/>
              <w:rPr>
                <w:sz w:val="1"/>
                <w:szCs w:val="1"/>
                <w:color w:val="auto"/>
              </w:rPr>
            </w:pPr>
          </w:p>
        </w:tc>
      </w:tr>
      <w:tr>
        <w:trPr>
          <w:trHeight w:val="272"/>
        </w:trPr>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20,624</w:t>
            </w:r>
          </w:p>
        </w:tc>
        <w:tc>
          <w:tcPr>
            <w:tcW w:w="100" w:type="dxa"/>
            <w:vAlign w:val="bottom"/>
          </w:tcPr>
          <w:p>
            <w:pPr>
              <w:spacing w:after="0"/>
              <w:rPr>
                <w:sz w:val="23"/>
                <w:szCs w:val="2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vMerge w:val="restart"/>
          </w:tcPr>
          <w:p>
            <w:pPr>
              <w:jc w:val="center"/>
              <w:ind w:left="1301"/>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1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0"/>
        </w:trPr>
        <w:tc>
          <w:tcPr>
            <w:tcW w:w="1880" w:type="dxa"/>
            <w:vAlign w:val="bottom"/>
          </w:tcPr>
          <w:p>
            <w:pPr>
              <w:jc w:val="right"/>
              <w:spacing w:after="0"/>
              <w:rPr>
                <w:sz w:val="20"/>
                <w:szCs w:val="20"/>
                <w:color w:val="auto"/>
              </w:rPr>
            </w:pPr>
            <w:r>
              <w:rPr>
                <w:rFonts w:ascii="Arial" w:cs="Arial" w:eastAsia="Arial" w:hAnsi="Arial"/>
                <w:sz w:val="18"/>
                <w:szCs w:val="18"/>
                <w:color w:val="auto"/>
              </w:rPr>
              <w:t>726,022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jc w:val="center"/>
              <w:ind w:left="1301"/>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3,269,598</w:t>
            </w:r>
          </w:p>
        </w:tc>
        <w:tc>
          <w:tcPr>
            <w:tcW w:w="0" w:type="dxa"/>
            <w:vAlign w:val="bottom"/>
          </w:tcPr>
          <w:p>
            <w:pPr>
              <w:spacing w:after="0"/>
              <w:rPr>
                <w:sz w:val="1"/>
                <w:szCs w:val="1"/>
                <w:color w:val="auto"/>
              </w:rPr>
            </w:pPr>
          </w:p>
        </w:tc>
      </w:tr>
      <w:tr>
        <w:trPr>
          <w:trHeight w:val="227"/>
        </w:trPr>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left="1361"/>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1880" w:type="dxa"/>
            <w:vAlign w:val="bottom"/>
          </w:tcPr>
          <w:p>
            <w:pPr>
              <w:jc w:val="right"/>
              <w:spacing w:after="0"/>
              <w:rPr>
                <w:sz w:val="20"/>
                <w:szCs w:val="20"/>
                <w:color w:val="auto"/>
              </w:rPr>
            </w:pPr>
            <w:r>
              <w:rPr>
                <w:rFonts w:ascii="Arial" w:cs="Arial" w:eastAsia="Arial" w:hAnsi="Arial"/>
                <w:sz w:val="18"/>
                <w:szCs w:val="18"/>
                <w:color w:val="auto"/>
              </w:rPr>
              <w:t>746,646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center"/>
              <w:ind w:left="1301"/>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3,269,598</w:t>
            </w:r>
          </w:p>
        </w:tc>
        <w:tc>
          <w:tcPr>
            <w:tcW w:w="0" w:type="dxa"/>
            <w:vAlign w:val="bottom"/>
          </w:tcPr>
          <w:p>
            <w:pPr>
              <w:spacing w:after="0"/>
              <w:rPr>
                <w:sz w:val="1"/>
                <w:szCs w:val="1"/>
                <w:color w:val="auto"/>
              </w:rPr>
            </w:pPr>
          </w:p>
        </w:tc>
      </w:tr>
      <w:tr>
        <w:trPr>
          <w:trHeight w:val="21"/>
        </w:trPr>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-3398520</wp:posOffset>
            </wp:positionH>
            <wp:positionV relativeFrom="paragraph">
              <wp:posOffset>-836930</wp:posOffset>
            </wp:positionV>
            <wp:extent cx="7134225" cy="2540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254000"/>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-329565</wp:posOffset>
            </wp:positionV>
            <wp:extent cx="7134225" cy="144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4760" w:space="600"/>
            <w:col w:w="5880"/>
          </w:cols>
          <w:pgMar w:left="320" w:top="881" w:right="339" w:bottom="1440" w:gutter="0" w:footer="0" w:header="0"/>
          <w:type w:val="continuous"/>
        </w:sectPr>
      </w:pPr>
    </w:p>
    <w:p>
      <w:pPr>
        <w:spacing w:after="0" w:line="106" w:lineRule="exact"/>
        <w:rPr>
          <w:sz w:val="20"/>
          <w:szCs w:val="20"/>
          <w:color w:val="auto"/>
        </w:rPr>
      </w:pPr>
    </w:p>
    <w:p>
      <w:pPr>
        <w:ind w:right="120" w:firstLine="7"/>
        <w:spacing w:after="0" w:line="236" w:lineRule="auto"/>
        <w:tabs>
          <w:tab w:leader="none" w:pos="157" w:val="left"/>
        </w:tabs>
        <w:numPr>
          <w:ilvl w:val="0"/>
          <w:numId w:val="39"/>
        </w:numPr>
        <w:rPr>
          <w:rFonts w:ascii="Arial" w:cs="Arial" w:eastAsia="Arial" w:hAnsi="Arial"/>
          <w:sz w:val="18"/>
          <w:szCs w:val="18"/>
          <w:color w:val="auto"/>
          <w:vertAlign w:val="superscript"/>
        </w:rPr>
      </w:pPr>
      <w:r>
        <w:rPr>
          <w:rFonts w:ascii="Arial" w:cs="Arial" w:eastAsia="Arial" w:hAnsi="Arial"/>
          <w:sz w:val="12"/>
          <w:szCs w:val="12"/>
          <w:color w:val="auto"/>
        </w:rPr>
        <w:t>Beginning in May 2015, awards to be granted and associated dividend equivalent rights to be issued under the Clearway Energy, Inc. Amended and Restated 2013 Equity Incentive Plan convert to Class C common stock upon vesting.</w:t>
      </w:r>
    </w:p>
    <w:p>
      <w:pPr>
        <w:spacing w:after="0" w:line="1" w:lineRule="exact"/>
        <w:rPr>
          <w:sz w:val="20"/>
          <w:szCs w:val="20"/>
          <w:color w:val="auto"/>
        </w:rPr>
      </w:pPr>
    </w:p>
    <w:p>
      <w:pPr>
        <w:ind w:firstLine="400"/>
        <w:spacing w:after="0" w:line="251" w:lineRule="auto"/>
        <w:rPr>
          <w:sz w:val="20"/>
          <w:szCs w:val="20"/>
          <w:color w:val="auto"/>
        </w:rPr>
      </w:pPr>
      <w:r>
        <w:rPr>
          <w:rFonts w:ascii="Arial" w:cs="Arial" w:eastAsia="Arial" w:hAnsi="Arial"/>
          <w:sz w:val="18"/>
          <w:szCs w:val="18"/>
          <w:color w:val="auto"/>
        </w:rPr>
        <w:t>Other information required by this Item will be incorporated by reference to the similarly named section of the Company's Definitive Proxy Statement for its 2022 Annual Meeting of Stockholders.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Information required by this Item will be incorporated by reference to the similarly named section of the Company's Definitive Proxy Statement for its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2022 Annual Meeting of Stockholders.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Information required by this Item will be incorporated by reference to the similarly named section of the Company's Definitive Proxy Statement for its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2022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76" w:name="page77"/>
    <w:bookmarkEnd w:id="76"/>
    <w:p>
      <w:pPr>
        <w:jc w:val="center"/>
        <w:ind w:right="-339"/>
        <w:spacing w:after="0"/>
        <w:rPr>
          <w:sz w:val="20"/>
          <w:szCs w:val="20"/>
          <w:color w:val="auto"/>
        </w:rPr>
      </w:pPr>
      <w:r>
        <w:rPr>
          <w:rFonts w:ascii="Arial" w:cs="Arial" w:eastAsia="Arial" w:hAnsi="Arial"/>
          <w:sz w:val="18"/>
          <w:szCs w:val="18"/>
          <w:b w:val="1"/>
          <w:bCs w:val="1"/>
          <w:color w:val="auto"/>
        </w:rPr>
        <w:t>PART IV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(a)(1) Financial Statements</w:t>
      </w:r>
    </w:p>
    <w:p>
      <w:pPr>
        <w:spacing w:after="0" w:line="166" w:lineRule="exact"/>
        <w:rPr>
          <w:sz w:val="20"/>
          <w:szCs w:val="20"/>
          <w:color w:val="auto"/>
        </w:rPr>
      </w:pPr>
    </w:p>
    <w:p>
      <w:pPr>
        <w:ind w:left="960" w:right="220" w:hanging="239"/>
        <w:spacing w:after="0" w:line="267" w:lineRule="auto"/>
        <w:rPr>
          <w:sz w:val="20"/>
          <w:szCs w:val="20"/>
          <w:color w:val="auto"/>
        </w:rPr>
      </w:pPr>
      <w:r>
        <w:rPr>
          <w:rFonts w:ascii="Arial" w:cs="Arial" w:eastAsia="Arial" w:hAnsi="Arial"/>
          <w:sz w:val="18"/>
          <w:szCs w:val="18"/>
          <w:color w:val="auto"/>
        </w:rPr>
        <w:t>The following consolidated financial statements of Clearway Energy, Inc. and related notes thereto, together with the Report of Independent Registered Public Accounting Firm thereon, are included herein:</w:t>
      </w:r>
    </w:p>
    <w:p>
      <w:pPr>
        <w:spacing w:after="0" w:line="12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Statements of Operations — Years ended December 31, 2021, 2020 and 2019</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Statements of Comprehensive Income (Loss) — Years ended December 31, 2021, 2020 and 2019</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Balance Sheets — As of December 31, 2021 and 2020</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Statements of Cash Flows — Years ended December 31, 2021, 2020 and 2019</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Consolidated Statements of Stockholders' Equity — Years ended December 31, 2021, 2020 and 2019</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Notes to Consolidated Financial Statements</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(a)(2) Financial Statement Schedules</w:t>
      </w:r>
    </w:p>
    <w:p>
      <w:pPr>
        <w:spacing w:after="0" w:line="16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following schedules of Clearway Energy, Inc. are filed as part of Item 15 of this report and should be read in conjunction with the</w:t>
      </w:r>
    </w:p>
    <w:p>
      <w:pPr>
        <w:spacing w:after="0" w:line="4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Consolidated Financial Statements:</w:t>
      </w:r>
    </w:p>
    <w:p>
      <w:pPr>
        <w:spacing w:after="0" w:line="155" w:lineRule="exact"/>
        <w:rPr>
          <w:sz w:val="20"/>
          <w:szCs w:val="20"/>
          <w:color w:val="auto"/>
        </w:rPr>
      </w:pPr>
    </w:p>
    <w:p>
      <w:pPr>
        <w:ind w:left="960" w:right="60"/>
        <w:spacing w:after="0" w:line="330" w:lineRule="auto"/>
        <w:rPr>
          <w:sz w:val="20"/>
          <w:szCs w:val="20"/>
          <w:color w:val="auto"/>
        </w:rPr>
      </w:pPr>
      <w:r>
        <w:rPr>
          <w:rFonts w:ascii="Arial" w:cs="Arial" w:eastAsia="Arial" w:hAnsi="Arial"/>
          <w:sz w:val="16"/>
          <w:szCs w:val="16"/>
          <w:color w:val="auto"/>
        </w:rPr>
        <w:t>Schedule I — Clearway Energy, Inc. (Parent) Condensed Financial Statements for the years ended December 31, 2021, 2020 and 2019, are included in Clearway Energy, Inc.'s Annual Report on Form 10-K pursuant to the requirements of Rule 5-04(c) of Regulation S-X</w:t>
      </w:r>
    </w:p>
    <w:p>
      <w:pPr>
        <w:spacing w:after="0" w:line="8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Schedule II — Valuation and Qualifying Accounts</w:t>
      </w:r>
    </w:p>
    <w:p>
      <w:pPr>
        <w:spacing w:after="0" w:line="166" w:lineRule="exact"/>
        <w:rPr>
          <w:sz w:val="20"/>
          <w:szCs w:val="20"/>
          <w:color w:val="auto"/>
        </w:rPr>
      </w:pPr>
    </w:p>
    <w:p>
      <w:pPr>
        <w:ind w:left="960"/>
        <w:spacing w:after="0" w:line="267" w:lineRule="auto"/>
        <w:rPr>
          <w:sz w:val="20"/>
          <w:szCs w:val="20"/>
          <w:color w:val="auto"/>
        </w:rPr>
      </w:pPr>
      <w:r>
        <w:rPr>
          <w:rFonts w:ascii="Arial" w:cs="Arial" w:eastAsia="Arial" w:hAnsi="Arial"/>
          <w:sz w:val="18"/>
          <w:szCs w:val="18"/>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(a)(3) Exhibits: See Exhibit Index submitted as a separate section of this report</w:t>
      </w:r>
    </w:p>
    <w:p>
      <w:pPr>
        <w:spacing w:after="0" w:line="166" w:lineRule="exact"/>
        <w:rPr>
          <w:sz w:val="20"/>
          <w:szCs w:val="20"/>
          <w:color w:val="auto"/>
        </w:rPr>
      </w:pPr>
    </w:p>
    <w:p>
      <w:pPr>
        <w:ind w:left="740" w:hanging="254"/>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Exhibits</w:t>
      </w:r>
    </w:p>
    <w:p>
      <w:pPr>
        <w:spacing w:after="0" w:line="166"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See Exhibit Index submitted as a separate section of this report</w:t>
      </w:r>
    </w:p>
    <w:p>
      <w:pPr>
        <w:spacing w:after="0" w:line="166" w:lineRule="exact"/>
        <w:rPr>
          <w:rFonts w:ascii="Arial" w:cs="Arial" w:eastAsia="Arial" w:hAnsi="Arial"/>
          <w:sz w:val="18"/>
          <w:szCs w:val="18"/>
          <w:color w:val="auto"/>
        </w:rPr>
      </w:pPr>
    </w:p>
    <w:p>
      <w:pPr>
        <w:ind w:left="720" w:hanging="234"/>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00"/>
          </w:cols>
          <w:pgMar w:left="320" w:top="881" w:right="679" w:bottom="1440" w:gutter="0" w:footer="0" w:header="0"/>
        </w:sectPr>
      </w:pPr>
    </w:p>
    <w:bookmarkStart w:id="77" w:name="page78"/>
    <w:bookmarkEnd w:id="77"/>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Clearway Energy,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audited the accompanying consolidated balance sheet of Clearway Energy, Inc. (the Company) as of December 31, 2021, the related consolidated statements of operations, comprehensive income (loss), stockholders’ equity, and cash flows for the year then ended,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2021 and the results of its operations and its cash flows for the year then ended, in conformity with U.S. generally accepted accounting principles.</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25, 2022, expressed an unqualified opinion thereon.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6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67" w:lineRule="exact"/>
        <w:rPr>
          <w:sz w:val="20"/>
          <w:szCs w:val="20"/>
          <w:color w:val="auto"/>
        </w:rPr>
      </w:pPr>
    </w:p>
    <w:p>
      <w:pPr>
        <w:ind w:left="2440"/>
        <w:spacing w:after="0"/>
        <w:rPr>
          <w:sz w:val="20"/>
          <w:szCs w:val="20"/>
          <w:color w:val="auto"/>
        </w:rPr>
      </w:pPr>
      <w:r>
        <w:rPr>
          <w:rFonts w:ascii="Arial" w:cs="Arial" w:eastAsia="Arial" w:hAnsi="Arial"/>
          <w:sz w:val="18"/>
          <w:szCs w:val="18"/>
          <w:b w:val="1"/>
          <w:bCs w:val="1"/>
          <w:i w:val="1"/>
          <w:iCs w:val="1"/>
          <w:color w:val="auto"/>
        </w:rPr>
        <w:t>Allocation of earnings to noncontrolling interests in tax equity arrangements</w:t>
      </w:r>
    </w:p>
    <w:p>
      <w:pPr>
        <w:sectPr>
          <w:pgSz w:w="11900" w:h="16838" w:orient="portrait"/>
          <w:cols w:equalWidth="0" w:num="1">
            <w:col w:w="11240"/>
          </w:cols>
          <w:pgMar w:left="320" w:top="881" w:right="339" w:bottom="1440" w:gutter="0" w:footer="0" w:header="0"/>
        </w:sect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As described in Note 5 to the consolidated financial statements, during 2021 third-party tax equity investors purchased noncontrolling interests in Rattlesnake TE Holdco LLC (Rattlesnake), Black Rock TE Holdco LLC, Mesquite Sky TE Holdco LLC and Pinnacle Repowering Tax Equity Holdco LLC (the “new tax equity arrangements”). Each tax equity investor received Class A membership interests in the respective entity. The Company utilizes the output of a hypothetical liquidation at book value (HLBV) model to determine the earnings allocated to the tax equity noncontrolling interest holders as the contractual agreements between the parties represent substantive profit-sharing arrangements.</w:t>
      </w:r>
    </w:p>
    <w:p>
      <w:pPr>
        <w:spacing w:after="0" w:line="196" w:lineRule="exact"/>
        <w:rPr>
          <w:sz w:val="20"/>
          <w:szCs w:val="20"/>
          <w:color w:val="auto"/>
        </w:rPr>
      </w:pPr>
    </w:p>
    <w:p>
      <w:pPr>
        <w:sectPr>
          <w:pgSz w:w="11900" w:h="16838" w:orient="portrait"/>
          <w:cols w:equalWidth="0" w:num="2">
            <w:col w:w="1840" w:space="600"/>
            <w:col w:w="8800"/>
          </w:cols>
          <w:pgMar w:left="320" w:top="881" w:right="339" w:bottom="1440" w:gutter="0" w:footer="0" w:header="0"/>
          <w:type w:val="continuous"/>
        </w:sectPr>
      </w:pPr>
    </w:p>
    <w:p>
      <w:pPr>
        <w:jc w:val="both"/>
        <w:ind w:left="2440" w:right="20"/>
        <w:spacing w:after="0" w:line="236" w:lineRule="auto"/>
        <w:rPr>
          <w:sz w:val="20"/>
          <w:szCs w:val="20"/>
          <w:color w:val="auto"/>
        </w:rPr>
      </w:pPr>
      <w:r>
        <w:rPr>
          <w:rFonts w:ascii="Arial" w:cs="Arial" w:eastAsia="Arial" w:hAnsi="Arial"/>
          <w:sz w:val="17"/>
          <w:szCs w:val="17"/>
          <w:color w:val="auto"/>
        </w:rPr>
        <w:t>Auditing the allocation of earnings using the HLBV method to the new tax equity arrangements was complex due to the judgments required at the inception of the arrangement to evaluate whether the HLBV model appropriately reflects the unique substantive profit-sharing terms and features within each arrangement. A greater extent of audit effort and specialized skill and knowledge was required with respect to evaluating the appropriateness of the tax capital account balances used in the HLBV model for compliance with the provisions of the Internal Revenue Code, as well as compliance with the contractual provisions in each agreement.</w:t>
      </w:r>
    </w:p>
    <w:p>
      <w:pPr>
        <w:sectPr>
          <w:pgSz w:w="11900" w:h="16838" w:orient="portrait"/>
          <w:cols w:equalWidth="0" w:num="1">
            <w:col w:w="11240"/>
          </w:cols>
          <w:pgMar w:left="320" w:top="88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78" w:name="page79"/>
    <w:bookmarkEnd w:id="78"/>
    <w:p>
      <w:pPr>
        <w:ind w:left="20"/>
        <w:spacing w:after="0"/>
        <w:rPr>
          <w:sz w:val="20"/>
          <w:szCs w:val="20"/>
          <w:color w:val="auto"/>
        </w:rPr>
      </w:pPr>
      <w:r>
        <w:rPr>
          <w:rFonts w:ascii="Arial" w:cs="Arial" w:eastAsia="Arial" w:hAnsi="Arial"/>
          <w:sz w:val="17"/>
          <w:szCs w:val="17"/>
          <w:i w:val="1"/>
          <w:iCs w:val="1"/>
          <w:color w:val="auto"/>
        </w:rPr>
        <w:t xml:space="preserve">How We Addressed the Matter in </w:t>
      </w:r>
      <w:r>
        <w:rPr>
          <w:rFonts w:ascii="Arial" w:cs="Arial" w:eastAsia="Arial" w:hAnsi="Arial"/>
          <w:sz w:val="17"/>
          <w:szCs w:val="17"/>
          <w:color w:val="auto"/>
        </w:rPr>
        <w:t>We obtained an understanding, evaluated the design and tested the operating effectiveness of the control over the</w:t>
      </w:r>
    </w:p>
    <w:p>
      <w:pPr>
        <w:ind w:left="20"/>
        <w:spacing w:after="0"/>
        <w:tabs>
          <w:tab w:leader="none" w:pos="2420" w:val="left"/>
        </w:tabs>
        <w:rPr>
          <w:sz w:val="20"/>
          <w:szCs w:val="20"/>
          <w:color w:val="auto"/>
        </w:rPr>
      </w:pPr>
      <w:r>
        <w:rPr>
          <w:rFonts w:ascii="Arial" w:cs="Arial" w:eastAsia="Arial" w:hAnsi="Arial"/>
          <w:sz w:val="18"/>
          <w:szCs w:val="18"/>
          <w:i w:val="1"/>
          <w:iCs w:val="1"/>
          <w:color w:val="auto"/>
        </w:rPr>
        <w:t>Our Audit</w:t>
      </w:r>
      <w:r>
        <w:rPr>
          <w:sz w:val="20"/>
          <w:szCs w:val="20"/>
          <w:color w:val="auto"/>
        </w:rPr>
        <w:tab/>
      </w:r>
      <w:r>
        <w:rPr>
          <w:rFonts w:ascii="Arial" w:cs="Arial" w:eastAsia="Arial" w:hAnsi="Arial"/>
          <w:sz w:val="17"/>
          <w:szCs w:val="17"/>
          <w:color w:val="auto"/>
        </w:rPr>
        <w:t>Company's process for establishing the HLBV model for the new tax equity arrangements. For example, we tested a</w:t>
      </w:r>
    </w:p>
    <w:p>
      <w:pPr>
        <w:spacing w:after="0" w:line="1" w:lineRule="exact"/>
        <w:rPr>
          <w:sz w:val="20"/>
          <w:szCs w:val="20"/>
          <w:color w:val="auto"/>
        </w:rPr>
      </w:pPr>
    </w:p>
    <w:p>
      <w:pPr>
        <w:ind w:left="2440"/>
        <w:spacing w:after="0" w:line="230" w:lineRule="auto"/>
        <w:rPr>
          <w:sz w:val="20"/>
          <w:szCs w:val="20"/>
          <w:color w:val="auto"/>
        </w:rPr>
      </w:pPr>
      <w:r>
        <w:rPr>
          <w:rFonts w:ascii="Arial" w:cs="Arial" w:eastAsia="Arial" w:hAnsi="Arial"/>
          <w:sz w:val="18"/>
          <w:szCs w:val="18"/>
          <w:color w:val="auto"/>
        </w:rPr>
        <w:t>control over management’s review of the substantive profit-sharing terms and features within each arrangement and evaluating whether they are properly reflected in each HLBV model.</w:t>
      </w:r>
    </w:p>
    <w:p>
      <w:pPr>
        <w:spacing w:after="0" w:line="202"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To test the allocation of earnings to noncontrolling interest holders in the new tax equity arrangements, we read the related</w:t>
      </w:r>
    </w:p>
    <w:p>
      <w:pPr>
        <w:spacing w:after="0" w:line="17"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agreements to understand the business purpose and the substantive profit-sharing provisions. We evaluated each HLBV</w:t>
      </w:r>
    </w:p>
    <w:p>
      <w:pPr>
        <w:spacing w:after="0" w:line="3"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model for consistency with the contractual provisions in the related agreements and tested the initial recognition of the</w:t>
      </w:r>
    </w:p>
    <w:p>
      <w:pPr>
        <w:spacing w:after="0" w:line="3"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noncontrolling interest balance by agreeing capital contributions to supporting documentation. We involved tax subject</w:t>
      </w:r>
    </w:p>
    <w:p>
      <w:pPr>
        <w:ind w:left="2440"/>
        <w:spacing w:after="0" w:line="232" w:lineRule="auto"/>
        <w:rPr>
          <w:sz w:val="20"/>
          <w:szCs w:val="20"/>
          <w:color w:val="auto"/>
        </w:rPr>
      </w:pPr>
      <w:r>
        <w:rPr>
          <w:rFonts w:ascii="Arial" w:cs="Arial" w:eastAsia="Arial" w:hAnsi="Arial"/>
          <w:sz w:val="17"/>
          <w:szCs w:val="17"/>
          <w:color w:val="auto"/>
        </w:rPr>
        <w:t>matter professionals to assist in evaluating the calculation of the tax capital accounts used in each HLBV model for</w:t>
      </w:r>
    </w:p>
    <w:p>
      <w:pPr>
        <w:ind w:left="2440"/>
        <w:spacing w:after="0"/>
        <w:rPr>
          <w:sz w:val="20"/>
          <w:szCs w:val="20"/>
          <w:color w:val="auto"/>
        </w:rPr>
      </w:pPr>
      <w:r>
        <w:rPr>
          <w:rFonts w:ascii="Arial" w:cs="Arial" w:eastAsia="Arial" w:hAnsi="Arial"/>
          <w:sz w:val="16"/>
          <w:szCs w:val="16"/>
          <w:color w:val="auto"/>
        </w:rPr>
        <w:t>compliance with the provisions of the Internal Revenue Code, as well as compliance with the contractual provisions in the</w:t>
      </w:r>
    </w:p>
    <w:p>
      <w:pPr>
        <w:ind w:left="2440"/>
        <w:spacing w:after="0"/>
        <w:rPr>
          <w:sz w:val="20"/>
          <w:szCs w:val="20"/>
          <w:color w:val="auto"/>
        </w:rPr>
      </w:pPr>
      <w:r>
        <w:rPr>
          <w:rFonts w:ascii="Arial" w:cs="Arial" w:eastAsia="Arial" w:hAnsi="Arial"/>
          <w:sz w:val="16"/>
          <w:szCs w:val="16"/>
          <w:color w:val="auto"/>
        </w:rPr>
        <w:t>agreements. Additionally, we tested the period end noncontrolling interest balances for the new tax equity arrangements by</w:t>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agreeing distributions to supporting documentation and recalculating the allocation of earnings using each HLBV model.</w:t>
      </w:r>
    </w:p>
    <w:p>
      <w:pPr>
        <w:spacing w:after="0" w:line="308" w:lineRule="exact"/>
        <w:rPr>
          <w:sz w:val="20"/>
          <w:szCs w:val="20"/>
          <w:color w:val="auto"/>
        </w:rPr>
      </w:pPr>
    </w:p>
    <w:p>
      <w:pPr>
        <w:ind w:left="2440"/>
        <w:spacing w:after="0"/>
        <w:rPr>
          <w:sz w:val="20"/>
          <w:szCs w:val="20"/>
          <w:color w:val="auto"/>
        </w:rPr>
      </w:pPr>
      <w:r>
        <w:rPr>
          <w:rFonts w:ascii="Arial" w:cs="Arial" w:eastAsia="Arial" w:hAnsi="Arial"/>
          <w:sz w:val="18"/>
          <w:szCs w:val="18"/>
          <w:b w:val="1"/>
          <w:bCs w:val="1"/>
          <w:i w:val="1"/>
          <w:iCs w:val="1"/>
          <w:color w:val="auto"/>
        </w:rPr>
        <w:t>Fair value of Level 3 energy related commodity contracts</w:t>
      </w:r>
    </w:p>
    <w:p>
      <w:pPr>
        <w:sectPr>
          <w:pgSz w:w="11900" w:h="16838" w:orient="portrait"/>
          <w:cols w:equalWidth="0" w:num="1">
            <w:col w:w="11220"/>
          </w:cols>
          <w:pgMar w:left="320" w:top="918" w:right="359" w:bottom="1440" w:gutter="0" w:footer="0" w:header="0"/>
        </w:sect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As described in Note 6 to the consolidated financial statements, as of December 31, 2021, the aggregate fair value of energy related commodity contracts classified as Level 3 derivative instruments was $179 million. The Company's determination of the fair value of long-term physically-settled power commodity contracts executed in illiquid markets are considered Level 3 fair value measurements as they contain significant unobservable inputs, including forward market energy pricing curves. The Company uses a discounted cash flow valuation technique to determine the fair value of its energy related commodity contracts.</w:t>
      </w:r>
    </w:p>
    <w:p>
      <w:pPr>
        <w:spacing w:after="0" w:line="126" w:lineRule="exact"/>
        <w:rPr>
          <w:sz w:val="20"/>
          <w:szCs w:val="20"/>
          <w:color w:val="auto"/>
        </w:rPr>
      </w:pPr>
    </w:p>
    <w:p>
      <w:pPr>
        <w:sectPr>
          <w:pgSz w:w="11900" w:h="16838" w:orient="portrait"/>
          <w:cols w:equalWidth="0" w:num="2">
            <w:col w:w="1840" w:space="600"/>
            <w:col w:w="8780"/>
          </w:cols>
          <w:pgMar w:left="320" w:top="918" w:right="359" w:bottom="1440" w:gutter="0" w:footer="0" w:header="0"/>
          <w:type w:val="continuous"/>
        </w:sectPr>
      </w:pPr>
    </w:p>
    <w:p>
      <w:pPr>
        <w:jc w:val="both"/>
        <w:ind w:left="2440"/>
        <w:spacing w:after="0" w:line="220" w:lineRule="auto"/>
        <w:rPr>
          <w:sz w:val="20"/>
          <w:szCs w:val="20"/>
          <w:color w:val="auto"/>
        </w:rPr>
      </w:pPr>
      <w:r>
        <w:rPr>
          <w:rFonts w:ascii="Arial" w:cs="Arial" w:eastAsia="Arial" w:hAnsi="Arial"/>
          <w:sz w:val="18"/>
          <w:szCs w:val="18"/>
          <w:color w:val="auto"/>
        </w:rPr>
        <w:t>Auditing the fair value measurement of energy related commodity contracts classified as Level 3 financial instruments was complex due to the judgmental nature of the forward market energy pricing curve assumptions used as an input into the valuation models.</w:t>
      </w:r>
    </w:p>
    <w:p>
      <w:pPr>
        <w:sectPr>
          <w:pgSz w:w="11900" w:h="16838" w:orient="portrait"/>
          <w:cols w:equalWidth="0" w:num="1">
            <w:col w:w="11220"/>
          </w:cols>
          <w:pgMar w:left="320" w:top="918" w:right="359" w:bottom="1440" w:gutter="0" w:footer="0" w:header="0"/>
          <w:type w:val="continuous"/>
        </w:sect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 xml:space="preserve">How We Addressed the Matter in </w:t>
      </w:r>
      <w:r>
        <w:rPr>
          <w:rFonts w:ascii="Arial" w:cs="Arial" w:eastAsia="Arial" w:hAnsi="Arial"/>
          <w:sz w:val="16"/>
          <w:szCs w:val="16"/>
          <w:color w:val="auto"/>
        </w:rPr>
        <w:t>We obtained an understanding, evaluated the design and tested the operating effectiveness of controls over the Company's</w:t>
      </w:r>
    </w:p>
    <w:p>
      <w:pPr>
        <w:spacing w:after="0" w:line="3" w:lineRule="exact"/>
        <w:rPr>
          <w:sz w:val="20"/>
          <w:szCs w:val="20"/>
          <w:color w:val="auto"/>
        </w:rPr>
      </w:pPr>
    </w:p>
    <w:p>
      <w:pPr>
        <w:ind w:left="2440" w:hanging="2411"/>
        <w:spacing w:after="0" w:line="260" w:lineRule="auto"/>
        <w:tabs>
          <w:tab w:leader="none" w:pos="2420" w:val="left"/>
        </w:tabs>
        <w:rPr>
          <w:sz w:val="20"/>
          <w:szCs w:val="20"/>
          <w:color w:val="auto"/>
        </w:rPr>
      </w:pPr>
      <w:r>
        <w:rPr>
          <w:rFonts w:ascii="Arial" w:cs="Arial" w:eastAsia="Arial" w:hAnsi="Arial"/>
          <w:sz w:val="18"/>
          <w:szCs w:val="18"/>
          <w:i w:val="1"/>
          <w:iCs w:val="1"/>
          <w:color w:val="auto"/>
        </w:rPr>
        <w:t>Our Audit</w:t>
      </w:r>
      <w:r>
        <w:rPr>
          <w:sz w:val="20"/>
          <w:szCs w:val="20"/>
          <w:color w:val="auto"/>
        </w:rPr>
        <w:tab/>
      </w:r>
      <w:r>
        <w:rPr>
          <w:rFonts w:ascii="Arial" w:cs="Arial" w:eastAsia="Arial" w:hAnsi="Arial"/>
          <w:sz w:val="16"/>
          <w:szCs w:val="16"/>
          <w:color w:val="auto"/>
        </w:rPr>
        <w:t>processes for reviewing the key assumptions in estimating Level 3 fair values. For example, we tested controls over management’s review of the specific forward market energy pricing curves used as an input into the valuation models.</w:t>
      </w:r>
    </w:p>
    <w:p>
      <w:pPr>
        <w:spacing w:after="0" w:line="107" w:lineRule="exact"/>
        <w:rPr>
          <w:sz w:val="20"/>
          <w:szCs w:val="20"/>
          <w:color w:val="auto"/>
        </w:rPr>
      </w:pPr>
    </w:p>
    <w:p>
      <w:pPr>
        <w:jc w:val="both"/>
        <w:ind w:left="2440"/>
        <w:spacing w:after="0" w:line="219" w:lineRule="auto"/>
        <w:rPr>
          <w:sz w:val="20"/>
          <w:szCs w:val="20"/>
          <w:color w:val="auto"/>
        </w:rPr>
      </w:pPr>
      <w:r>
        <w:rPr>
          <w:rFonts w:ascii="Arial" w:cs="Arial" w:eastAsia="Arial" w:hAnsi="Arial"/>
          <w:sz w:val="17"/>
          <w:szCs w:val="17"/>
          <w:color w:val="auto"/>
        </w:rPr>
        <w:t>To test the fair value of Level 3 energy related commodity contracts, our audit procedures included, among others, evaluating the valuation methodologies used by the Company and testing significant inputs, estimates and the mathematical accuracy of the calculations. In certain instances, with the assistance of our valuation specialists, we independently determined the significant assumptions, calculated the resultant fair values and compared them to the Company's estimates. We obtained forward market energy prices from independent sources, including pricing service providers and counterparty fair values, and evaluated the Company's assumptions related to their forward curves and confirmed key inputs with counterparties. We also performed sensitivity analyses using independent sources of market data to evaluate the significance of the change in fair value of Level 3 energy related commodity contracts that would result from changes in underlying assumptions.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66" w:lineRule="exact"/>
        <w:rPr>
          <w:sz w:val="20"/>
          <w:szCs w:val="20"/>
          <w:color w:val="auto"/>
        </w:rPr>
      </w:pPr>
    </w:p>
    <w:p>
      <w:pPr>
        <w:jc w:val="both"/>
        <w:spacing w:after="0" w:line="215" w:lineRule="exact"/>
        <w:rPr>
          <w:sz w:val="20"/>
          <w:szCs w:val="20"/>
          <w:color w:val="auto"/>
        </w:rPr>
      </w:pPr>
      <w:r>
        <w:rPr>
          <w:rFonts w:ascii="Arial" w:cs="Arial" w:eastAsia="Arial" w:hAnsi="Arial"/>
          <w:sz w:val="16"/>
          <w:szCs w:val="16"/>
          <w:color w:val="auto"/>
        </w:rPr>
        <w:t>We have audited the accompanying consolidated balance sheet of Clearway Energy, Inc. and subsidiaries (the Company) as of December 31, 2020, the related consolidated statements of operations, comprehensive income (loss), stockholders’ equity, and cash flows for each of the years in the two</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and the related notes and financial statement schedules “Schedule I-Condensed Financial Information of Registrant” and “Schedule II-Valuation and Qualifying Accounts” (collectively, the consolidated financial statements). In our opinion, the consolidated financial statements present fairly, in all material respects, the financial position of the Company as of December 31, 2020, and the results of its operations and its cash flows for each of the years in the two</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in conformity with U.S. generally accepted accounting principles.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2012 to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51"/>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18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r>
      <w:tr>
        <w:trPr>
          <w:trHeight w:val="208"/>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6"/>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r>
      <w:tr>
        <w:trPr>
          <w:trHeight w:val="20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6"/>
        </w:trPr>
        <w:tc>
          <w:tcPr>
            <w:tcW w:w="7860" w:type="dxa"/>
            <w:vAlign w:val="bottom"/>
          </w:tcPr>
          <w:p>
            <w:pPr>
              <w:ind w:left="140"/>
              <w:spacing w:after="0"/>
              <w:rPr>
                <w:sz w:val="20"/>
                <w:szCs w:val="20"/>
                <w:color w:val="auto"/>
              </w:rPr>
            </w:pPr>
            <w:r>
              <w:rPr>
                <w:rFonts w:ascii="Arial" w:cs="Arial" w:eastAsia="Arial" w:hAnsi="Arial"/>
                <w:sz w:val="18"/>
                <w:szCs w:val="18"/>
                <w:color w:val="auto"/>
                <w:w w:val="99"/>
              </w:rPr>
              <w:t>Cost of operations, exclusive of depreciation, amortization and accretion shown separately below</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27"/>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26"/>
        </w:trPr>
        <w:tc>
          <w:tcPr>
            <w:tcW w:w="7860" w:type="dxa"/>
            <w:vAlign w:val="bottom"/>
          </w:tcPr>
          <w:p>
            <w:pPr>
              <w:ind w:left="140"/>
              <w:spacing w:after="0"/>
              <w:rPr>
                <w:sz w:val="20"/>
                <w:szCs w:val="20"/>
                <w:color w:val="auto"/>
              </w:rPr>
            </w:pPr>
            <w:r>
              <w:rPr>
                <w:rFonts w:ascii="Arial" w:cs="Arial" w:eastAsia="Arial" w:hAnsi="Arial"/>
                <w:sz w:val="18"/>
                <w:szCs w:val="18"/>
                <w:color w:val="auto"/>
              </w:rPr>
              <w:t>Impairment losses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7"/>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6"/>
        </w:trPr>
        <w:tc>
          <w:tcPr>
            <w:tcW w:w="7860" w:type="dxa"/>
            <w:vAlign w:val="bottom"/>
          </w:tcPr>
          <w:p>
            <w:pPr>
              <w:ind w:left="140"/>
              <w:spacing w:after="0"/>
              <w:rPr>
                <w:sz w:val="20"/>
                <w:szCs w:val="20"/>
                <w:color w:val="auto"/>
              </w:rPr>
            </w:pPr>
            <w:r>
              <w:rPr>
                <w:rFonts w:ascii="Arial" w:cs="Arial" w:eastAsia="Arial" w:hAnsi="Arial"/>
                <w:sz w:val="18"/>
                <w:szCs w:val="18"/>
                <w:color w:val="auto"/>
              </w:rPr>
              <w:t>Transaction and integration costs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7"/>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 costs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9"/>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r>
      <w:tr>
        <w:trPr>
          <w:trHeight w:val="221"/>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7"/>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6"/>
        </w:trPr>
        <w:tc>
          <w:tcPr>
            <w:tcW w:w="7860" w:type="dxa"/>
            <w:vAlign w:val="bottom"/>
          </w:tcPr>
          <w:p>
            <w:pPr>
              <w:ind w:left="140"/>
              <w:spacing w:after="0"/>
              <w:rPr>
                <w:sz w:val="20"/>
                <w:szCs w:val="20"/>
                <w:color w:val="auto"/>
              </w:rPr>
            </w:pPr>
            <w:r>
              <w:rPr>
                <w:rFonts w:ascii="Arial" w:cs="Arial" w:eastAsia="Arial" w:hAnsi="Arial"/>
                <w:sz w:val="18"/>
                <w:szCs w:val="18"/>
                <w:color w:val="auto"/>
              </w:rPr>
              <w:t>Impairment loss on investment</w:t>
            </w:r>
          </w:p>
        </w:tc>
        <w:tc>
          <w:tcPr>
            <w:tcW w:w="2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unconsolidated affiliate</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86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7"/>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6"/>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r>
      <w:tr>
        <w:trPr>
          <w:trHeight w:val="221"/>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1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7"/>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7"/>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1"/>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Clearway Energy, Inc.</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40"/>
        </w:trPr>
        <w:tc>
          <w:tcPr>
            <w:tcW w:w="7860" w:type="dxa"/>
            <w:vAlign w:val="bottom"/>
            <w:shd w:val="clear" w:color="auto" w:fill="CCEEFF"/>
          </w:tcPr>
          <w:p>
            <w:pPr>
              <w:ind w:left="20"/>
              <w:spacing w:after="0" w:line="140" w:lineRule="exact"/>
              <w:rPr>
                <w:sz w:val="20"/>
                <w:szCs w:val="20"/>
                <w:color w:val="auto"/>
              </w:rPr>
            </w:pPr>
            <w:r>
              <w:rPr>
                <w:rFonts w:ascii="Arial" w:cs="Arial" w:eastAsia="Arial" w:hAnsi="Arial"/>
                <w:sz w:val="16"/>
                <w:szCs w:val="16"/>
                <w:b w:val="1"/>
                <w:bCs w:val="1"/>
                <w:color w:val="auto"/>
              </w:rPr>
              <w:t>Earnings Per Share Attributable to Clearway Energy, Inc. Class A and Class C Common</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227"/>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6"/>
        </w:trPr>
        <w:tc>
          <w:tcPr>
            <w:tcW w:w="7860" w:type="dxa"/>
            <w:vAlign w:val="bottom"/>
          </w:tcPr>
          <w:p>
            <w:pPr>
              <w:ind w:left="140"/>
              <w:spacing w:after="0"/>
              <w:rPr>
                <w:sz w:val="20"/>
                <w:szCs w:val="20"/>
                <w:color w:val="auto"/>
              </w:rPr>
            </w:pPr>
            <w:r>
              <w:rPr>
                <w:rFonts w:ascii="Arial" w:cs="Arial" w:eastAsia="Arial" w:hAnsi="Arial"/>
                <w:sz w:val="18"/>
                <w:szCs w:val="18"/>
                <w:color w:val="auto"/>
              </w:rPr>
              <w:t>Weighted average number of Class A common shares outstanding - basic and diluted</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7"/>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number of Class C common shares outstanding - basic</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6"/>
        </w:trPr>
        <w:tc>
          <w:tcPr>
            <w:tcW w:w="7860" w:type="dxa"/>
            <w:vAlign w:val="bottom"/>
          </w:tcPr>
          <w:p>
            <w:pPr>
              <w:ind w:left="140"/>
              <w:spacing w:after="0"/>
              <w:rPr>
                <w:sz w:val="20"/>
                <w:szCs w:val="20"/>
                <w:color w:val="auto"/>
              </w:rPr>
            </w:pPr>
            <w:r>
              <w:rPr>
                <w:rFonts w:ascii="Arial" w:cs="Arial" w:eastAsia="Arial" w:hAnsi="Arial"/>
                <w:sz w:val="18"/>
                <w:szCs w:val="18"/>
                <w:color w:val="auto"/>
              </w:rPr>
              <w:t>Weighted average number of Class C common shares outstanding - diluted</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6"/>
        </w:trPr>
        <w:tc>
          <w:tcPr>
            <w:tcW w:w="7860" w:type="dxa"/>
            <w:vAlign w:val="bottom"/>
            <w:tcBorders>
              <w:bottom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w w:val="95"/>
              </w:rPr>
              <w:t>Earnings (Loss) per Weighted Average Class A and Class C Common Share - Basic and Diluted</w:t>
            </w:r>
          </w:p>
        </w:tc>
        <w:tc>
          <w:tcPr>
            <w:tcW w:w="260" w:type="dxa"/>
            <w:vAlign w:val="bottom"/>
            <w:tcBorders>
              <w:bottom w:val="single" w:sz="8" w:color="auto"/>
            </w:tcBorders>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0.22</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1"/>
              <w:spacing w:after="0" w:line="201"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(0.10)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7860" w:type="dxa"/>
            <w:vAlign w:val="bottom"/>
          </w:tcPr>
          <w:p>
            <w:pPr>
              <w:ind w:left="20"/>
              <w:spacing w:after="0" w:line="200" w:lineRule="exact"/>
              <w:rPr>
                <w:sz w:val="20"/>
                <w:szCs w:val="20"/>
                <w:color w:val="auto"/>
              </w:rPr>
            </w:pPr>
            <w:r>
              <w:rPr>
                <w:rFonts w:ascii="Arial" w:cs="Arial" w:eastAsia="Arial" w:hAnsi="Arial"/>
                <w:sz w:val="18"/>
                <w:szCs w:val="18"/>
                <w:b w:val="1"/>
                <w:bCs w:val="1"/>
                <w:color w:val="auto"/>
              </w:rPr>
              <w:t>Dividends Per Class A Common Share</w:t>
            </w:r>
          </w:p>
        </w:tc>
        <w:tc>
          <w:tcPr>
            <w:tcW w:w="260" w:type="dxa"/>
            <w:vAlign w:val="bottom"/>
            <w:tcBorders>
              <w:bottom w:val="single" w:sz="8" w:color="auto"/>
            </w:tcBorders>
          </w:tcPr>
          <w:p>
            <w:pPr>
              <w:jc w:val="right"/>
              <w:ind w:right="51"/>
              <w:spacing w:after="0" w:line="200"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1"/>
              <w:spacing w:after="0" w:line="200"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71"/>
              <w:spacing w:after="0" w:line="20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0.80</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C Common Share</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r>
        <w:rPr>
          <w:rFonts w:ascii="Arial" w:cs="Arial" w:eastAsia="Arial" w:hAnsi="Arial"/>
          <w:sz w:val="14"/>
          <w:szCs w:val="14"/>
          <w:color w:val="auto"/>
        </w:rPr>
        <w: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31"/>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r>
      <w:tr>
        <w:trPr>
          <w:trHeight w:val="184"/>
        </w:trPr>
        <w:tc>
          <w:tcPr>
            <w:tcW w:w="7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r>
      <w:tr>
        <w:trPr>
          <w:trHeight w:val="167"/>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7"/>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net of tax</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7"/>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 on derivatives, net of income tax (expense) benefit of $(3), $— and $1</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9"/>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1"/>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6"/>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4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Attributable to Clearway Energy, Inc.</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13"/>
        </w:trPr>
        <w:tc>
          <w:tcPr>
            <w:tcW w:w="7660" w:type="dxa"/>
            <w:vAlign w:val="bottom"/>
          </w:tcPr>
          <w:p>
            <w:pPr>
              <w:ind w:left="35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340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7"/>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66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1"/>
        </w:trPr>
        <w:tc>
          <w:tcPr>
            <w:tcW w:w="7660" w:type="dxa"/>
            <w:vAlign w:val="bottom"/>
          </w:tcPr>
          <w:p>
            <w:pPr>
              <w:ind w:left="140"/>
              <w:spacing w:after="0"/>
              <w:rPr>
                <w:sz w:val="20"/>
                <w:szCs w:val="20"/>
                <w:color w:val="auto"/>
              </w:rPr>
            </w:pPr>
            <w:r>
              <w:rPr>
                <w:rFonts w:ascii="Arial" w:cs="Arial" w:eastAsia="Arial" w:hAnsi="Arial"/>
                <w:sz w:val="16"/>
                <w:szCs w:val="16"/>
                <w:color w:val="auto"/>
              </w:rPr>
              <w:t>Accounts receivable — trade</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1"/>
        </w:trPr>
        <w:tc>
          <w:tcPr>
            <w:tcW w:w="7660" w:type="dxa"/>
            <w:vAlign w:val="bottom"/>
          </w:tcPr>
          <w:p>
            <w:pPr>
              <w:ind w:left="140"/>
              <w:spacing w:after="0"/>
              <w:rPr>
                <w:sz w:val="20"/>
                <w:szCs w:val="20"/>
                <w:color w:val="auto"/>
              </w:rPr>
            </w:pPr>
            <w:r>
              <w:rPr>
                <w:rFonts w:ascii="Arial" w:cs="Arial" w:eastAsia="Arial" w:hAnsi="Arial"/>
                <w:sz w:val="16"/>
                <w:szCs w:val="16"/>
                <w:color w:val="auto"/>
              </w:rPr>
              <w:t>Current assets held-for-sale</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4"/>
        </w:trPr>
        <w:tc>
          <w:tcPr>
            <w:tcW w:w="766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7,217</w:t>
            </w:r>
          </w:p>
        </w:tc>
        <w:tc>
          <w:tcPr>
            <w:tcW w:w="0" w:type="dxa"/>
            <w:vAlign w:val="bottom"/>
          </w:tcPr>
          <w:p>
            <w:pPr>
              <w:spacing w:after="0"/>
              <w:rPr>
                <w:sz w:val="1"/>
                <w:szCs w:val="1"/>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1"/>
        </w:trPr>
        <w:tc>
          <w:tcPr>
            <w:tcW w:w="7660" w:type="dxa"/>
            <w:vAlign w:val="bottom"/>
          </w:tcPr>
          <w:p>
            <w:pPr>
              <w:ind w:left="140"/>
              <w:spacing w:after="0"/>
              <w:rPr>
                <w:sz w:val="20"/>
                <w:szCs w:val="20"/>
                <w:color w:val="auto"/>
              </w:rPr>
            </w:pPr>
            <w:r>
              <w:rPr>
                <w:rFonts w:ascii="Arial" w:cs="Arial" w:eastAsia="Arial" w:hAnsi="Arial"/>
                <w:sz w:val="16"/>
                <w:szCs w:val="16"/>
                <w:color w:val="auto"/>
              </w:rPr>
              <w:t>Intangible assets for power purchase agreements, net</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intangible assets, net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1"/>
        </w:trPr>
        <w:tc>
          <w:tcPr>
            <w:tcW w:w="766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1"/>
        </w:trPr>
        <w:tc>
          <w:tcPr>
            <w:tcW w:w="7660" w:type="dxa"/>
            <w:vAlign w:val="bottom"/>
          </w:tcPr>
          <w:p>
            <w:pPr>
              <w:ind w:left="140"/>
              <w:spacing w:after="0"/>
              <w:rPr>
                <w:sz w:val="20"/>
                <w:szCs w:val="20"/>
                <w:color w:val="auto"/>
              </w:rPr>
            </w:pPr>
            <w:r>
              <w:rPr>
                <w:rFonts w:ascii="Arial" w:cs="Arial" w:eastAsia="Arial" w:hAnsi="Arial"/>
                <w:sz w:val="16"/>
                <w:szCs w:val="16"/>
                <w:color w:val="auto"/>
              </w:rPr>
              <w:t>Right-of-use assets, net</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4"/>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assets</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2,667</w:t>
            </w:r>
          </w:p>
        </w:tc>
        <w:tc>
          <w:tcPr>
            <w:tcW w:w="0" w:type="dxa"/>
            <w:vAlign w:val="bottom"/>
          </w:tcPr>
          <w:p>
            <w:pPr>
              <w:spacing w:after="0"/>
              <w:rPr>
                <w:sz w:val="1"/>
                <w:szCs w:val="1"/>
                <w:color w:val="auto"/>
              </w:rPr>
            </w:pPr>
          </w:p>
        </w:tc>
      </w:tr>
      <w:tr>
        <w:trPr>
          <w:trHeight w:val="23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190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60" w:type="dxa"/>
            <w:vAlign w:val="bottom"/>
          </w:tcPr>
          <w:p>
            <w:pPr>
              <w:ind w:left="14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 trade</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1"/>
        </w:trPr>
        <w:tc>
          <w:tcPr>
            <w:tcW w:w="7660" w:type="dxa"/>
            <w:vAlign w:val="bottom"/>
          </w:tcPr>
          <w:p>
            <w:pPr>
              <w:ind w:left="140"/>
              <w:spacing w:after="0"/>
              <w:rPr>
                <w:sz w:val="20"/>
                <w:szCs w:val="20"/>
                <w:color w:val="auto"/>
              </w:rPr>
            </w:pPr>
            <w:r>
              <w:rPr>
                <w:rFonts w:ascii="Arial" w:cs="Arial" w:eastAsia="Arial" w:hAnsi="Arial"/>
                <w:sz w:val="16"/>
                <w:szCs w:val="16"/>
                <w:color w:val="auto"/>
              </w:rPr>
              <w:t>Accounts payable — affiliates</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1"/>
        </w:trPr>
        <w:tc>
          <w:tcPr>
            <w:tcW w:w="7660" w:type="dxa"/>
            <w:vAlign w:val="bottom"/>
          </w:tcPr>
          <w:p>
            <w:pPr>
              <w:ind w:left="140"/>
              <w:spacing w:after="0"/>
              <w:rPr>
                <w:sz w:val="20"/>
                <w:szCs w:val="20"/>
                <w:color w:val="auto"/>
              </w:rPr>
            </w:pPr>
            <w:r>
              <w:rPr>
                <w:rFonts w:ascii="Arial" w:cs="Arial" w:eastAsia="Arial" w:hAnsi="Arial"/>
                <w:sz w:val="16"/>
                <w:szCs w:val="16"/>
                <w:color w:val="auto"/>
              </w:rPr>
              <w:t>Accrued interest expense</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 held-for-sale</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7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9"/>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04"/>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6,585</w:t>
            </w:r>
          </w:p>
        </w:tc>
        <w:tc>
          <w:tcPr>
            <w:tcW w:w="0" w:type="dxa"/>
            <w:vAlign w:val="bottom"/>
          </w:tcPr>
          <w:p>
            <w:pPr>
              <w:spacing w:after="0"/>
              <w:rPr>
                <w:sz w:val="1"/>
                <w:szCs w:val="1"/>
                <w:color w:val="auto"/>
              </w:rPr>
            </w:pPr>
          </w:p>
        </w:tc>
      </w:tr>
      <w:tr>
        <w:trPr>
          <w:trHeight w:val="211"/>
        </w:trPr>
        <w:tc>
          <w:tcPr>
            <w:tcW w:w="766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1"/>
        </w:trPr>
        <w:tc>
          <w:tcPr>
            <w:tcW w:w="7660" w:type="dxa"/>
            <w:vAlign w:val="bottom"/>
          </w:tcPr>
          <w:p>
            <w:pPr>
              <w:ind w:left="140"/>
              <w:spacing w:after="0"/>
              <w:rPr>
                <w:sz w:val="20"/>
                <w:szCs w:val="20"/>
                <w:color w:val="auto"/>
              </w:rPr>
            </w:pPr>
            <w:r>
              <w:rPr>
                <w:rFonts w:ascii="Arial" w:cs="Arial" w:eastAsia="Arial" w:hAnsi="Arial"/>
                <w:sz w:val="16"/>
                <w:szCs w:val="16"/>
                <w:color w:val="auto"/>
              </w:rPr>
              <w:t>Long-term lease liabilities</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4"/>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liabilities</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7,243</w:t>
            </w:r>
          </w:p>
        </w:tc>
        <w:tc>
          <w:tcPr>
            <w:tcW w:w="0" w:type="dxa"/>
            <w:vAlign w:val="bottom"/>
          </w:tcPr>
          <w:p>
            <w:pPr>
              <w:spacing w:after="0"/>
              <w:rPr>
                <w:sz w:val="1"/>
                <w:szCs w:val="1"/>
                <w:color w:val="auto"/>
              </w:rPr>
            </w:pP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7,877</w:t>
            </w:r>
          </w:p>
        </w:tc>
        <w:tc>
          <w:tcPr>
            <w:tcW w:w="0" w:type="dxa"/>
            <w:vAlign w:val="bottom"/>
          </w:tcPr>
          <w:p>
            <w:pPr>
              <w:spacing w:after="0"/>
              <w:rPr>
                <w:sz w:val="1"/>
                <w:szCs w:val="1"/>
                <w:color w:val="auto"/>
              </w:rPr>
            </w:pPr>
          </w:p>
        </w:tc>
      </w:tr>
      <w:tr>
        <w:trPr>
          <w:trHeight w:val="191"/>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60" w:type="dxa"/>
            <w:vAlign w:val="bottom"/>
          </w:tcPr>
          <w:p>
            <w:pPr>
              <w:ind w:left="140"/>
              <w:spacing w:after="0"/>
              <w:rPr>
                <w:sz w:val="20"/>
                <w:szCs w:val="20"/>
                <w:color w:val="auto"/>
              </w:rPr>
            </w:pPr>
            <w:r>
              <w:rPr>
                <w:rFonts w:ascii="Arial" w:cs="Arial" w:eastAsia="Arial" w:hAnsi="Arial"/>
                <w:sz w:val="16"/>
                <w:szCs w:val="16"/>
                <w:color w:val="auto"/>
              </w:rPr>
              <w:t>Preferred stock, $0.01 par value; 10,000,000 shares authorized; none issued</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66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2"/>
              </w:rPr>
              <w:t>Class A, Class B, Class C and Class D common stock, $0.01 par value; 3,000,000,000 shares authorized (Class A</w:t>
            </w: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660" w:type="dxa"/>
            <w:vAlign w:val="bottom"/>
            <w:shd w:val="clear" w:color="auto" w:fill="CCEEFF"/>
          </w:tcPr>
          <w:p>
            <w:pPr>
              <w:ind w:left="140"/>
              <w:spacing w:after="0" w:line="160" w:lineRule="exact"/>
              <w:rPr>
                <w:sz w:val="20"/>
                <w:szCs w:val="20"/>
                <w:color w:val="auto"/>
              </w:rPr>
            </w:pPr>
            <w:r>
              <w:rPr>
                <w:rFonts w:ascii="Arial" w:cs="Arial" w:eastAsia="Arial" w:hAnsi="Arial"/>
                <w:sz w:val="16"/>
                <w:szCs w:val="16"/>
                <w:color w:val="auto"/>
                <w:w w:val="90"/>
              </w:rPr>
              <w:t>500,000,000, Class B 500,000,000, Class C 1,000,000,000, Class D 1,000,000,000); 201,856,166 shares issued and</w:t>
            </w: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60" w:type="dxa"/>
            <w:vAlign w:val="bottom"/>
            <w:shd w:val="clear" w:color="auto" w:fill="CCEEFF"/>
          </w:tcPr>
          <w:p>
            <w:pPr>
              <w:ind w:left="140"/>
              <w:spacing w:after="0" w:line="160" w:lineRule="exact"/>
              <w:rPr>
                <w:sz w:val="20"/>
                <w:szCs w:val="20"/>
                <w:color w:val="auto"/>
              </w:rPr>
            </w:pPr>
            <w:r>
              <w:rPr>
                <w:rFonts w:ascii="Arial" w:cs="Arial" w:eastAsia="Arial" w:hAnsi="Arial"/>
                <w:sz w:val="16"/>
                <w:szCs w:val="16"/>
                <w:color w:val="auto"/>
                <w:w w:val="92"/>
              </w:rPr>
              <w:t>outstanding (Class A 34,599,645, Class B 42,738,750, Class C 81,779,021, Class D 42,738,750) at December 31,</w:t>
            </w: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60" w:type="dxa"/>
            <w:vAlign w:val="bottom"/>
            <w:shd w:val="clear" w:color="auto" w:fill="CCEEFF"/>
          </w:tcPr>
          <w:p>
            <w:pPr>
              <w:ind w:left="140"/>
              <w:spacing w:after="0" w:line="160" w:lineRule="exact"/>
              <w:rPr>
                <w:sz w:val="20"/>
                <w:szCs w:val="20"/>
                <w:color w:val="auto"/>
              </w:rPr>
            </w:pPr>
            <w:r>
              <w:rPr>
                <w:rFonts w:ascii="Arial" w:cs="Arial" w:eastAsia="Arial" w:hAnsi="Arial"/>
                <w:sz w:val="16"/>
                <w:szCs w:val="16"/>
                <w:color w:val="auto"/>
                <w:w w:val="89"/>
              </w:rPr>
              <w:t>2021 and 201,635,990 shares issued and outstanding (Class A 34,599,645, Class B 42,738,750, Class C 81,558,845,</w:t>
            </w:r>
          </w:p>
        </w:tc>
        <w:tc>
          <w:tcPr>
            <w:tcW w:w="18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D 42,738,750) at December 31, 2020</w:t>
            </w:r>
          </w:p>
        </w:tc>
        <w:tc>
          <w:tcPr>
            <w:tcW w:w="18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6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1,922</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1"/>
        </w:trPr>
        <w:tc>
          <w:tcPr>
            <w:tcW w:w="766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04"/>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2,715</w:t>
            </w:r>
          </w:p>
        </w:tc>
        <w:tc>
          <w:tcPr>
            <w:tcW w:w="0" w:type="dxa"/>
            <w:vAlign w:val="bottom"/>
          </w:tcPr>
          <w:p>
            <w:pPr>
              <w:spacing w:after="0"/>
              <w:rPr>
                <w:sz w:val="1"/>
                <w:szCs w:val="1"/>
                <w:color w:val="auto"/>
              </w:rPr>
            </w:pPr>
          </w:p>
        </w:tc>
      </w:tr>
      <w:tr>
        <w:trPr>
          <w:trHeight w:val="23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left="425"/>
              <w:spacing w:after="0"/>
              <w:rPr>
                <w:sz w:val="20"/>
                <w:szCs w:val="20"/>
                <w:color w:val="auto"/>
              </w:rPr>
            </w:pPr>
            <w:r>
              <w:rPr>
                <w:rFonts w:ascii="Arial" w:cs="Arial" w:eastAsia="Arial" w:hAnsi="Arial"/>
                <w:sz w:val="14"/>
                <w:szCs w:val="14"/>
                <w:b w:val="1"/>
                <w:bCs w:val="1"/>
                <w:color w:val="auto"/>
                <w:w w:val="91"/>
              </w:rPr>
              <w:t>Year ended December 31,</w:t>
            </w:r>
          </w:p>
        </w:tc>
        <w:tc>
          <w:tcPr>
            <w:tcW w:w="720" w:type="dxa"/>
            <w:vAlign w:val="bottom"/>
            <w:tcBorders>
              <w:bottom w:val="single" w:sz="8" w:color="auto"/>
            </w:tcBorders>
          </w:tcPr>
          <w:p>
            <w:pPr>
              <w:spacing w:after="0"/>
              <w:rPr>
                <w:sz w:val="16"/>
                <w:szCs w:val="16"/>
                <w:color w:val="auto"/>
              </w:rPr>
            </w:pPr>
          </w:p>
        </w:tc>
      </w:tr>
      <w:tr>
        <w:trPr>
          <w:trHeight w:val="184"/>
        </w:trPr>
        <w:tc>
          <w:tcPr>
            <w:tcW w:w="8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2019</w:t>
            </w:r>
          </w:p>
        </w:tc>
      </w:tr>
      <w:tr>
        <w:trPr>
          <w:trHeight w:val="193"/>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r>
      <w:tr>
        <w:trPr>
          <w:trHeight w:val="211"/>
        </w:trPr>
        <w:tc>
          <w:tcPr>
            <w:tcW w:w="8040" w:type="dxa"/>
            <w:vAlign w:val="bottom"/>
          </w:tcPr>
          <w:p>
            <w:pPr>
              <w:ind w:left="1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Equity in earnings of unconsolidated affiliates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Distributions from unconsolidated affiliates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w:t>
            </w: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Amortization of financing costs and debt discounts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intangibles and out-of-market contracts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Loss on debt extinguishment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Reduction in carrying amount of right-of-use assets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Gain on sale of unconsolidated affiliate</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losses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Change in deferred income taxes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derivative instruments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Loss on disposal of asset components</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216"/>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provided (used) in changes in other working capital</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Changes in prepaid and accrued liabilities for tolling agreements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other working capital</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191"/>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477</w:t>
            </w:r>
          </w:p>
        </w:tc>
      </w:tr>
      <w:tr>
        <w:trPr>
          <w:trHeight w:val="19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Acquisitions, net of cash acquired</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Partnership interest acquisition</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Acquisition of Drop Down Assets, net of cash acquired</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(161)</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Buyout of Wind TE Holdco noncontrolling interest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(228)</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Asset purchase from affiliate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Return of investment from unconsolidated affiliates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Investments in unconsolidated affiliates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Proceeds from sale of assets</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Consolidation of DGPV Holdco 3 LLC</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1"/>
        </w:trPr>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r>
      <w:tr>
        <w:trPr>
          <w:trHeight w:val="19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(468)</w:t>
            </w:r>
          </w:p>
        </w:tc>
      </w:tr>
      <w:tr>
        <w:trPr>
          <w:trHeight w:val="191"/>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Contributions from noncontrolling interests, net of distributions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w:t>
            </w: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Buyout of Repowering Partnership II LLC noncontrolling interest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the issuance of common stock</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Payments of dividends and distributions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(155)</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the revolving credit facility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Payments for the revolving credit facility</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(152)</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issuance of long-term debt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1,215</w:t>
            </w: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Payments of debt issuance costs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16"/>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for long-term debt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(1,484)</w:t>
            </w: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w:t>
            </w:r>
          </w:p>
        </w:tc>
      </w:tr>
      <w:tr>
        <w:trPr>
          <w:trHeight w:val="191"/>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Reclassification of Cash to Assets Held-for-Sale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w:t>
            </w:r>
          </w:p>
        </w:tc>
      </w:tr>
      <w:tr>
        <w:trPr>
          <w:trHeight w:val="211"/>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583</w:t>
            </w:r>
          </w:p>
        </w:tc>
      </w:tr>
      <w:tr>
        <w:trPr>
          <w:trHeight w:val="221"/>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8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8040" w:type="dxa"/>
            <w:vAlign w:val="bottom"/>
          </w:tcPr>
          <w:p>
            <w:pPr>
              <w:ind w:left="220"/>
              <w:spacing w:after="0"/>
              <w:rPr>
                <w:sz w:val="20"/>
                <w:szCs w:val="20"/>
                <w:color w:val="auto"/>
              </w:rPr>
            </w:pPr>
            <w:r>
              <w:rPr>
                <w:rFonts w:ascii="Arial" w:cs="Arial" w:eastAsia="Arial" w:hAnsi="Arial"/>
                <w:sz w:val="16"/>
                <w:szCs w:val="16"/>
                <w:color w:val="auto"/>
              </w:rPr>
              <w:t>Interest paid, net of amount capitalized</w:t>
            </w: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(337)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(325)</w:t>
            </w:r>
          </w:p>
        </w:tc>
        <w:tc>
          <w:tcPr>
            <w:tcW w:w="1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(313)</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8040" w:type="dxa"/>
            <w:vAlign w:val="bottom"/>
          </w:tcPr>
          <w:p>
            <w:pPr>
              <w:ind w:left="220"/>
              <w:spacing w:after="0"/>
              <w:rPr>
                <w:sz w:val="20"/>
                <w:szCs w:val="20"/>
                <w:color w:val="auto"/>
              </w:rPr>
            </w:pPr>
            <w:r>
              <w:rPr>
                <w:rFonts w:ascii="Arial" w:cs="Arial" w:eastAsia="Arial" w:hAnsi="Arial"/>
                <w:sz w:val="16"/>
                <w:szCs w:val="16"/>
                <w:color w:val="auto"/>
              </w:rPr>
              <w:t>Reductions to fixed assets for accrued capital expenditures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adjustment for change in tax basis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208"/>
        </w:trPr>
        <w:tc>
          <w:tcPr>
            <w:tcW w:w="8040" w:type="dxa"/>
            <w:vAlign w:val="bottom"/>
          </w:tcPr>
          <w:p>
            <w:pPr>
              <w:ind w:left="220"/>
              <w:spacing w:after="0"/>
              <w:rPr>
                <w:sz w:val="20"/>
                <w:szCs w:val="20"/>
                <w:color w:val="auto"/>
              </w:rPr>
            </w:pPr>
            <w:r>
              <w:rPr>
                <w:rFonts w:ascii="Arial" w:cs="Arial" w:eastAsia="Arial" w:hAnsi="Arial"/>
                <w:sz w:val="16"/>
                <w:szCs w:val="16"/>
                <w:color w:val="auto"/>
              </w:rPr>
              <w:t>Non-cash contributions from CEG, net of distributions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w:t>
            </w: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8"/>
              </w:rPr>
              <w:t>Additional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4"/>
              </w:rPr>
              <w:t>Non-</w:t>
            </w:r>
          </w:p>
        </w:tc>
        <w:tc>
          <w:tcPr>
            <w:tcW w:w="140" w:type="dxa"/>
            <w:vAlign w:val="bottom"/>
          </w:tcPr>
          <w:p>
            <w:pPr>
              <w:spacing w:after="0"/>
              <w:rPr>
                <w:sz w:val="12"/>
                <w:szCs w:val="12"/>
                <w:color w:val="auto"/>
              </w:rPr>
            </w:pPr>
          </w:p>
        </w:tc>
        <w:tc>
          <w:tcPr>
            <w:tcW w:w="900" w:type="dxa"/>
            <w:vAlign w:val="bottom"/>
            <w:vMerge w:val="restart"/>
          </w:tcPr>
          <w:p>
            <w:pPr>
              <w:jc w:val="center"/>
              <w:ind w:right="5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0"/>
        </w:trPr>
        <w:tc>
          <w:tcPr>
            <w:tcW w:w="4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Preferred</w:t>
            </w:r>
          </w:p>
        </w:tc>
        <w:tc>
          <w:tcPr>
            <w:tcW w:w="12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6"/>
              </w:rPr>
              <w:t>Common</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10"/>
                <w:szCs w:val="10"/>
                <w:color w:val="auto"/>
              </w:rPr>
            </w:pPr>
          </w:p>
        </w:tc>
        <w:tc>
          <w:tcPr>
            <w:tcW w:w="112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1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3"/>
              </w:rPr>
              <w:t>Comprehensive</w:t>
            </w: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93"/>
              </w:rPr>
              <w:t>controlling</w:t>
            </w:r>
          </w:p>
        </w:tc>
        <w:tc>
          <w:tcPr>
            <w:tcW w:w="140" w:type="dxa"/>
            <w:vAlign w:val="bottom"/>
          </w:tcPr>
          <w:p>
            <w:pPr>
              <w:spacing w:after="0"/>
              <w:rPr>
                <w:sz w:val="10"/>
                <w:szCs w:val="10"/>
                <w:color w:val="auto"/>
              </w:rPr>
            </w:pPr>
          </w:p>
        </w:tc>
        <w:tc>
          <w:tcPr>
            <w:tcW w:w="900" w:type="dxa"/>
            <w:vAlign w:val="bottom"/>
          </w:tcPr>
          <w:p>
            <w:pPr>
              <w:jc w:val="center"/>
              <w:ind w:right="50"/>
              <w:spacing w:after="0" w:line="120"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67"/>
        </w:trPr>
        <w:tc>
          <w:tcPr>
            <w:tcW w:w="4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Stock</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Stock</w:t>
            </w: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6"/>
              </w:rPr>
              <w:t>Interest</w:t>
            </w:r>
          </w:p>
        </w:tc>
        <w:tc>
          <w:tcPr>
            <w:tcW w:w="140" w:type="dxa"/>
            <w:vAlign w:val="bottom"/>
          </w:tcPr>
          <w:p>
            <w:pPr>
              <w:spacing w:after="0"/>
              <w:rPr>
                <w:sz w:val="14"/>
                <w:szCs w:val="14"/>
                <w:color w:val="auto"/>
              </w:rPr>
            </w:pPr>
          </w:p>
        </w:tc>
        <w:tc>
          <w:tcPr>
            <w:tcW w:w="900" w:type="dxa"/>
            <w:vAlign w:val="bottom"/>
          </w:tcPr>
          <w:p>
            <w:pPr>
              <w:jc w:val="center"/>
              <w:ind w:right="7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84"/>
        </w:trPr>
        <w:tc>
          <w:tcPr>
            <w:tcW w:w="4100" w:type="dxa"/>
            <w:vAlign w:val="bottom"/>
          </w:tcPr>
          <w:p>
            <w:pPr>
              <w:ind w:left="100"/>
              <w:spacing w:after="0"/>
              <w:rPr>
                <w:sz w:val="20"/>
                <w:szCs w:val="20"/>
                <w:color w:val="auto"/>
              </w:rPr>
            </w:pPr>
            <w:r>
              <w:rPr>
                <w:rFonts w:ascii="Arial" w:cs="Arial" w:eastAsia="Arial" w:hAnsi="Arial"/>
                <w:sz w:val="14"/>
                <w:szCs w:val="14"/>
                <w:b w:val="1"/>
                <w:bCs w:val="1"/>
                <w:color w:val="auto"/>
              </w:rPr>
              <w:t>Balances at December 31, 2018</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1,897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2,224</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Unrealized gain on derivatives, net of tax</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Buyout of Wind TE Holdco non-controlling interest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Carlsbad Drop Down</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 from tax equity interests, net of distributions, cash</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Distributions to CEG, net of contributions, cash</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of change in the accounting principle</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Contributions from CEG net of distributions, non-cash</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Proceeds from the issuance of Class C Common Stock</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Non-cash adjustment for change in tax basis</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4"/>
        </w:trPr>
        <w:tc>
          <w:tcPr>
            <w:tcW w:w="4100" w:type="dxa"/>
            <w:vAlign w:val="bottom"/>
          </w:tcPr>
          <w:p>
            <w:pPr>
              <w:ind w:left="100"/>
              <w:spacing w:after="0"/>
              <w:rPr>
                <w:sz w:val="20"/>
                <w:szCs w:val="20"/>
                <w:color w:val="auto"/>
              </w:rPr>
            </w:pPr>
            <w:r>
              <w:rPr>
                <w:rFonts w:ascii="Arial" w:cs="Arial" w:eastAsia="Arial" w:hAnsi="Arial"/>
                <w:sz w:val="14"/>
                <w:szCs w:val="14"/>
                <w:color w:val="auto"/>
              </w:rPr>
              <w:t>Common stock dividends</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1,936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2,263</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ind w:left="68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derivatives, net of tax</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Contributions from CEG, non-cash</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 from CEG, cash</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 non-cash</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Contributions from noncontrolling interests, net of distributions, cash</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DGPV Drop Down and Consolidation</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Mesquite Star Drop Down and Consolidation</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Langford Drop Down</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Rosamond Central Drop Down</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Lighthouse Partnership Yield Protection Agreement</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Buyout of Repowering Partnership II LLC non-controlling interest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adjustment for change in tax basis</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3"/>
        </w:trPr>
        <w:tc>
          <w:tcPr>
            <w:tcW w:w="4100" w:type="dxa"/>
            <w:vAlign w:val="bottom"/>
          </w:tcPr>
          <w:p>
            <w:pPr>
              <w:ind w:left="20"/>
              <w:spacing w:after="0" w:line="133" w:lineRule="exact"/>
              <w:rPr>
                <w:sz w:val="20"/>
                <w:szCs w:val="20"/>
                <w:color w:val="auto"/>
              </w:rPr>
            </w:pPr>
            <w:r>
              <w:rPr>
                <w:rFonts w:ascii="Arial" w:cs="Arial" w:eastAsia="Arial" w:hAnsi="Arial"/>
                <w:sz w:val="14"/>
                <w:szCs w:val="14"/>
                <w:color w:val="auto"/>
              </w:rPr>
              <w:t>Net proceeds from the issuance of common stock under the ATM</w:t>
            </w:r>
          </w:p>
        </w:tc>
        <w:tc>
          <w:tcPr>
            <w:tcW w:w="100" w:type="dxa"/>
            <w:vAlign w:val="bottom"/>
          </w:tcPr>
          <w:p>
            <w:pPr>
              <w:spacing w:after="0"/>
              <w:rPr>
                <w:sz w:val="11"/>
                <w:szCs w:val="11"/>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dividends and distributions to CEG</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77"/>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Balances at December 31, 2020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1,922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2,715</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Unrealized gain on derivatives, net of tax</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 from CEG, net of distributions, non-cash</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Contributions from CEG, net of distributions, cash</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Contributions from noncontrolling interests, net of distributions, cash</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Lighthouse Partnership Yield Protection Agreement Amendment</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Agua Acquisition</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Rattlesnake Drop Down</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Mesquite Sky Drop Down</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Black Rock Drop Down</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4"/>
        </w:trPr>
        <w:tc>
          <w:tcPr>
            <w:tcW w:w="4100" w:type="dxa"/>
            <w:vAlign w:val="bottom"/>
          </w:tcPr>
          <w:p>
            <w:pPr>
              <w:ind w:left="20"/>
              <w:spacing w:after="0"/>
              <w:rPr>
                <w:sz w:val="20"/>
                <w:szCs w:val="20"/>
                <w:color w:val="auto"/>
              </w:rPr>
            </w:pPr>
            <w:r>
              <w:rPr>
                <w:rFonts w:ascii="Arial" w:cs="Arial" w:eastAsia="Arial" w:hAnsi="Arial"/>
                <w:sz w:val="14"/>
                <w:szCs w:val="14"/>
                <w:color w:val="auto"/>
              </w:rPr>
              <w:t>Non-cash adjustment for change in tax basis</w:t>
            </w:r>
          </w:p>
        </w:tc>
        <w:tc>
          <w:tcPr>
            <w:tcW w:w="10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0"/>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dividends and distributions to CEG</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80"/>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Balances at December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1,872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3,300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66675</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761" w:right="3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72"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or GIP. GIP is an independent infrastructure fund manager that makes equity and debt investments in infrastructure assets and businesses. The Company is sponsored by GIP through GIP's portfolio company, Clearway Energy Group LLC, or CEG.</w:t>
      </w:r>
    </w:p>
    <w:p>
      <w:pPr>
        <w:spacing w:after="0" w:line="140"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The Company is one of the largest renewable energy owners in the U.S. with over 5,000 net MW of installed wind and solar generation projects. The Company's over 9,000 net MW of assets also includes approximately 2,500 net MW of environmentally-sound, highly efficient natural gas-fired generation facilities as well as the Thermal Business.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w:t>
      </w:r>
    </w:p>
    <w:p>
      <w:pPr>
        <w:spacing w:after="0" w:line="139" w:lineRule="exact"/>
        <w:rPr>
          <w:sz w:val="20"/>
          <w:szCs w:val="20"/>
          <w:color w:val="auto"/>
        </w:rPr>
      </w:pPr>
    </w:p>
    <w:p>
      <w:pPr>
        <w:jc w:val="both"/>
        <w:ind w:right="20" w:firstLine="400"/>
        <w:spacing w:after="0" w:line="267" w:lineRule="auto"/>
        <w:rPr>
          <w:sz w:val="20"/>
          <w:szCs w:val="20"/>
          <w:color w:val="auto"/>
        </w:rPr>
      </w:pPr>
      <w:r>
        <w:rPr>
          <w:rFonts w:ascii="Arial" w:cs="Arial" w:eastAsia="Arial" w:hAnsi="Arial"/>
          <w:sz w:val="18"/>
          <w:szCs w:val="18"/>
          <w:color w:val="auto"/>
        </w:rPr>
        <w:t xml:space="preserve">On October 22, 2021, Clearway Energy Operating LLC entered into a binding agreement to sell the Thermal Business to KKR, or the Thermal Disposition. For further details of the Thermal Disposition, refer to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w:t>
      </w:r>
    </w:p>
    <w:p>
      <w:pPr>
        <w:spacing w:after="0" w:line="126"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color w:val="231F20"/>
        </w:rPr>
        <w:t>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spacing w:after="0" w:line="123"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 xml:space="preserve">As of December 31, 2021, the Company owned 57.65% of the economic interests of Clearway Energy LLC, with CEG owning 42.35% of the economic interests of Clearway Energy LLC. For further discussion, see Note 12, </w:t>
      </w:r>
      <w:r>
        <w:rPr>
          <w:rFonts w:ascii="Arial" w:cs="Arial" w:eastAsia="Arial" w:hAnsi="Arial"/>
          <w:sz w:val="18"/>
          <w:szCs w:val="18"/>
          <w:i w:val="1"/>
          <w:iCs w:val="1"/>
          <w:color w:val="auto"/>
        </w:rPr>
        <w:t>Stockholders' Equity.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6" w:name="page87"/>
    <w:bookmarkEnd w:id="86"/>
    <w:p>
      <w:pPr>
        <w:ind w:left="400"/>
        <w:spacing w:after="0"/>
        <w:rPr>
          <w:sz w:val="20"/>
          <w:szCs w:val="20"/>
          <w:color w:val="auto"/>
        </w:rPr>
      </w:pPr>
      <w:r>
        <w:rPr>
          <w:rFonts w:ascii="Arial" w:cs="Arial" w:eastAsia="Arial" w:hAnsi="Arial"/>
          <w:sz w:val="18"/>
          <w:szCs w:val="18"/>
          <w:color w:val="auto"/>
        </w:rPr>
        <w:t>The following table represents the structure of the Company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45720</wp:posOffset>
            </wp:positionV>
            <wp:extent cx="5788660" cy="43414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88660" cy="434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6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The Company's consolidated financial statements have been prepared in accordance with GAAP. The FASB ASC is the source of authoritative GAAP to be applied by nongovernmental entities. In addition, the rules and interpretative releases of the SEC under authority of federal securities laws are also sources of authoritative GAAP for SEC registrants.</w:t>
      </w:r>
    </w:p>
    <w:p>
      <w:pPr>
        <w:spacing w:after="0" w:line="135"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color w:val="auto"/>
        </w:rPr>
        <w:t xml:space="preserve">The consolidated financial statements include the Company's accounts and operations and those of its subsidiaries in which it has a controlling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16"/>
          <w:szCs w:val="16"/>
          <w:i w:val="1"/>
          <w:iCs w:val="1"/>
          <w:color w:val="auto"/>
        </w:rPr>
        <w:t>Consolidations,</w:t>
      </w:r>
      <w:r>
        <w:rPr>
          <w:rFonts w:ascii="Arial" w:cs="Arial" w:eastAsia="Arial" w:hAnsi="Arial"/>
          <w:sz w:val="16"/>
          <w:szCs w:val="16"/>
          <w:color w:val="auto"/>
        </w:rPr>
        <w:t xml:space="preserve"> or ASC 810, to determine when an entity that is insufficiently capitalized or not controlled through its voting interests, referred to as a variable interest entity, or VIE, should be consolidated.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6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at the time of purchase. Cash and cash equivalents held at project subsidiaries was $146 million and $149 million as of December 31, 2021 and 2020, respectively.</w:t>
      </w:r>
    </w:p>
    <w:p>
      <w:pPr>
        <w:spacing w:after="0" w:line="12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20" w:type="dxa"/>
            <w:vAlign w:val="bottom"/>
          </w:tcPr>
          <w:p>
            <w:pPr>
              <w:spacing w:after="0"/>
              <w:rPr>
                <w:sz w:val="16"/>
                <w:szCs w:val="16"/>
                <w:color w:val="auto"/>
              </w:rPr>
            </w:pPr>
          </w:p>
        </w:tc>
        <w:tc>
          <w:tcPr>
            <w:tcW w:w="222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r>
      <w:tr>
        <w:trPr>
          <w:trHeight w:val="185"/>
        </w:trPr>
        <w:tc>
          <w:tcPr>
            <w:tcW w:w="86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r>
      <w:tr>
        <w:trPr>
          <w:trHeight w:val="180"/>
        </w:trPr>
        <w:tc>
          <w:tcPr>
            <w:tcW w:w="8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r>
      <w:tr>
        <w:trPr>
          <w:trHeight w:val="228"/>
        </w:trPr>
        <w:tc>
          <w:tcPr>
            <w:tcW w:w="8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6"/>
        </w:trPr>
        <w:tc>
          <w:tcPr>
            <w:tcW w:w="8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cash</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46"/>
        </w:trPr>
        <w:tc>
          <w:tcPr>
            <w:tcW w:w="8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cash equivalents and restricted cash shown in the consolidated statements of cash flows</w:t>
            </w:r>
          </w:p>
        </w:tc>
        <w:tc>
          <w:tcPr>
            <w:tcW w:w="86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As of December 31, 2021, these restricted funds comprised of $246 million designated to fund operating expenses, approximately $34 million designated for current debt service payments and $131 million restricted for reserves including debt service, performance obligations and other reserves as well as capital expenditures. The remaining $64 million is held in distributions reserve accounts.</w:t>
      </w:r>
    </w:p>
    <w:p>
      <w:pPr>
        <w:spacing w:after="0" w:line="123"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In 2020, the members of the partnerships holding the Oahu Solar and Kawailoa Solar projects submitted applications to the state of Hawaii for refundable tax credits based on the cost of construction of the projects. In April 2021, the members of the partnerships contributed their respective portions of the tax credits in the amount of $49 million to the Oahu Solar and Kawailoa project companies, which was recorded to restricted cash on the Company's consolidated balance sheet with an offsetting adjustment to noncontrolling interests. In accordance with the projects' related agreements, the cash is held in a restricted account and utilized to offset invoiced amounts under the projects' PPAs. As of December 31, 2021, $20 million of the $49 million has been utilized to offset invoiced amounts under the projects' PPAs.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 Trade and Allowance for Credit Losses</w:t>
      </w:r>
    </w:p>
    <w:p>
      <w:pPr>
        <w:spacing w:after="0" w:line="16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Accounts receivable — trade are reported on the consolidated balance sheet at the invoiced amount adjusted for any write-offs and the allowance for credit losses. The allowance for credit losses is reviewed periodically based on amounts past due and significance. The allowance for credit losses was immaterial as of December 31, 2021 and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6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Inventory consists principally of spare parts and fuel oil. Spare parts inventory is valued at weighted average cost, unless evidence indicates that the weighted average cost will not be recovered with a normal profit in the ordinary course of business. Fuel oil inventory is valued at the lower of weighted average cost or market. The Company removes fuel inventories as they are used in the production of steam, chilled water or electricity. Spare parts inventory is removed when used for repairs, maintenance or capital projects.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66"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 xml:space="preserve">Property, plant and equipment are stated at cost; however impairment adjustments are recorded whenever events or changes in circumstances indicate that their carrying values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operations. For further discussion of the Company's property, plant and equipment refer to Note 4,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w:t>
      </w:r>
    </w:p>
    <w:p>
      <w:pPr>
        <w:spacing w:after="0" w:line="130"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Construction in-progress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facilities and equipment.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8" w:name="page89"/>
    <w:bookmarkEnd w:id="88"/>
    <w:p>
      <w:pPr>
        <w:jc w:val="both"/>
        <w:ind w:firstLine="400"/>
        <w:spacing w:after="0" w:line="268" w:lineRule="auto"/>
        <w:rPr>
          <w:sz w:val="20"/>
          <w:szCs w:val="20"/>
          <w:color w:val="auto"/>
        </w:rPr>
      </w:pPr>
      <w:r>
        <w:rPr>
          <w:rFonts w:ascii="Arial" w:cs="Arial" w:eastAsia="Arial" w:hAnsi="Arial"/>
          <w:sz w:val="17"/>
          <w:szCs w:val="17"/>
          <w:color w:val="auto"/>
        </w:rPr>
        <w:t>Development costs include project development costs, which are expensed in the preliminary stages of a project and capitalized when the project is deemed to be commercially viable. Commercial viability is determined by one or a series of actions including, among others, Board of Director approval pursuant to a formal project plan that subjects the Company to significant future obligations that can only be discharged by the use of a Company asset. When a project is available for operations, capitalized interest and capitalized project development costs are reclassified to property, plant and equipment and depreciated on a straight-line basis over the estimated useful life of the project's related assets. Capitalized costs are charged to expense if a project is abandoned or management otherwise determines the costs to be unrecoverable.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66"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 xml:space="preserve">Long-lived assets that are held and used are reviewed for impairment whenever events or changes in circumstances indicate their carrying values may not be recoverable. Such reviews are performed in accordance with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An impairment loss is indicated if the total future estimated undiscounted cash flows expected from an asset are less than its carrying value. An impairment charge is measured as the excess of an asset's carrying amount over its fair value with the difference recorded in operating costs and expenses in the consolidated statements of operations. Fair values are determined by a variety of valuation methods, including appraisals, sales prices of similar assets and present value techniques. For further discussion of the Company's long-lived asset impairments, refer to Note 9, </w:t>
      </w:r>
      <w:r>
        <w:rPr>
          <w:rFonts w:ascii="Arial" w:cs="Arial" w:eastAsia="Arial" w:hAnsi="Arial"/>
          <w:sz w:val="17"/>
          <w:szCs w:val="17"/>
          <w:i w:val="1"/>
          <w:iCs w:val="1"/>
          <w:color w:val="auto"/>
        </w:rPr>
        <w:t>Asset Impairments</w:t>
      </w:r>
      <w:r>
        <w:rPr>
          <w:rFonts w:ascii="Arial" w:cs="Arial" w:eastAsia="Arial" w:hAnsi="Arial"/>
          <w:sz w:val="17"/>
          <w:szCs w:val="17"/>
          <w:color w:val="auto"/>
        </w:rPr>
        <w:t>.</w:t>
      </w:r>
    </w:p>
    <w:p>
      <w:pPr>
        <w:spacing w:after="0" w:line="130"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 xml:space="preserve">Investments accounted for by the equity method are reviewed for impairment in accordance with ASC 323, </w:t>
      </w:r>
      <w:r>
        <w:rPr>
          <w:rFonts w:ascii="Arial" w:cs="Arial" w:eastAsia="Arial" w:hAnsi="Arial"/>
          <w:sz w:val="18"/>
          <w:szCs w:val="18"/>
          <w:i w:val="1"/>
          <w:iCs w:val="1"/>
          <w:color w:val="auto"/>
        </w:rPr>
        <w:t>Investments-Equity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Ventures</w:t>
      </w:r>
      <w:r>
        <w:rPr>
          <w:rFonts w:ascii="Arial" w:cs="Arial" w:eastAsia="Arial" w:hAnsi="Arial"/>
          <w:sz w:val="18"/>
          <w:szCs w:val="18"/>
          <w:color w:val="auto"/>
        </w:rPr>
        <w:t>, which requires that a loss in value of an investment that is an other-than-temporary decline should be recognized. The Company identifies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losses in the value of equity method investments based upon a comparison of fair value to carrying value.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6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Debt issuance costs are capitalized and amortized as interest expense on a basis which approximates the effective interest method over the term of the related debt. Debt issuance costs related to the long-term debt are presented as a direct deduction from the carrying amount of the related debt. Debt issuance costs related to the senior secured revolving credit facility line of credit are recorded as a non-current asset on the consolidated balance sheet and are amortized over the term of the credit facility.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6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 xml:space="preserve">Intangible assets represent contractual rights held by the Company. The Company recognizes specifically identifiable intangible assets including power purchase agreements, leasehold rights, customer relationships, customer contracts, emission allowances, RECs and development rights when specific rights and contracts are acquired. These intangible assets are amortized primarily on a straight-line basis. For further discussion of the Company's intangible assets, refer to Note 8, </w:t>
      </w:r>
      <w:r>
        <w:rPr>
          <w:rFonts w:ascii="Arial" w:cs="Arial" w:eastAsia="Arial" w:hAnsi="Arial"/>
          <w:sz w:val="18"/>
          <w:szCs w:val="18"/>
          <w:i w:val="1"/>
          <w:iCs w:val="1"/>
          <w:color w:val="auto"/>
        </w:rPr>
        <w:t>Intangible Assets</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6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 xml:space="preserve">The Company applies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Thermal Revenues</w:t>
      </w:r>
    </w:p>
    <w:p>
      <w:pPr>
        <w:spacing w:after="0" w:line="166"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9" w:name="page90"/>
    <w:bookmarkEnd w:id="89"/>
    <w:p>
      <w:pPr>
        <w:jc w:val="both"/>
        <w:ind w:firstLine="400"/>
        <w:spacing w:after="0" w:line="295" w:lineRule="auto"/>
        <w:rPr>
          <w:sz w:val="20"/>
          <w:szCs w:val="20"/>
          <w:color w:val="auto"/>
        </w:rPr>
      </w:pPr>
      <w:r>
        <w:rPr>
          <w:rFonts w:ascii="Arial" w:cs="Arial" w:eastAsia="Arial" w:hAnsi="Arial"/>
          <w:sz w:val="16"/>
          <w:szCs w:val="16"/>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08"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 xml:space="preserve">On October 22, 2021, Clearway Energy Operating LLC entered into a binding agreement to sell the Thermal Business to KKR. For further details of the Thermal Disposition, refer to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Power Purchase Agreements, or PPAs</w:t>
      </w:r>
    </w:p>
    <w:p>
      <w:pPr>
        <w:spacing w:after="0" w:line="166"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color w:val="auto"/>
        </w:rPr>
        <w:t xml:space="preserve">The majority of the Company’s revenues are obtained through PPAs or similar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operating leases as the Company retained its historical lease assessments and classification upon adoption of ASC 842, </w:t>
      </w:r>
      <w:r>
        <w:rPr>
          <w:rFonts w:ascii="Arial" w:cs="Arial" w:eastAsia="Arial" w:hAnsi="Arial"/>
          <w:sz w:val="17"/>
          <w:szCs w:val="17"/>
          <w:i w:val="1"/>
          <w:iCs w:val="1"/>
          <w:color w:val="auto"/>
        </w:rPr>
        <w:t>Leases</w:t>
      </w:r>
      <w:r>
        <w:rPr>
          <w:rFonts w:ascii="Arial" w:cs="Arial" w:eastAsia="Arial" w:hAnsi="Arial"/>
          <w:sz w:val="17"/>
          <w:szCs w:val="17"/>
          <w:color w:val="auto"/>
        </w:rPr>
        <w:t>.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33" w:lineRule="exact"/>
        <w:rPr>
          <w:sz w:val="20"/>
          <w:szCs w:val="20"/>
          <w:color w:val="auto"/>
        </w:rPr>
      </w:pPr>
    </w:p>
    <w:p>
      <w:pPr>
        <w:jc w:val="both"/>
        <w:ind w:firstLine="400"/>
        <w:spacing w:after="0" w:line="304" w:lineRule="auto"/>
        <w:rPr>
          <w:sz w:val="20"/>
          <w:szCs w:val="20"/>
          <w:color w:val="auto"/>
        </w:rPr>
      </w:pPr>
      <w:r>
        <w:rPr>
          <w:rFonts w:ascii="Arial" w:cs="Arial" w:eastAsia="Arial" w:hAnsi="Arial"/>
          <w:sz w:val="16"/>
          <w:szCs w:val="16"/>
          <w:color w:val="auto"/>
        </w:rPr>
        <w:t xml:space="preserve">Certain of these leases have no minimum lease payments and all of the lease revenue derived from these leases is recorded as contingent rent on an actual basis when the electricity is delivered. The contingent lease revenue recognized in the years ended December 31, 2021, 2020 and 2019 was $741 million, $589 million and $537 million, respectively. See Note 17,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for additional information related to the Company's PPAs accounted for as leases.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Renewable Energy Credits, or RECs</w:t>
      </w:r>
    </w:p>
    <w:p>
      <w:pPr>
        <w:spacing w:after="0" w:line="16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As stated above, 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spacing w:after="0" w:line="135"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Disaggregated Revenues</w:t>
      </w:r>
    </w:p>
    <w:p>
      <w:pPr>
        <w:spacing w:after="0" w:line="16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for the year ended December 31, 2021, along with the reportable segment for each category: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6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0"/>
              </w:rPr>
              <w:t>Conventional</w:t>
            </w:r>
          </w:p>
        </w:tc>
        <w:tc>
          <w:tcPr>
            <w:tcW w:w="10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1"/>
                <w:szCs w:val="11"/>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Generation</w:t>
            </w: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260" w:type="dxa"/>
            <w:vAlign w:val="bottom"/>
          </w:tcPr>
          <w:p>
            <w:pPr>
              <w:ind w:left="20"/>
              <w:spacing w:after="0"/>
              <w:rPr>
                <w:sz w:val="20"/>
                <w:szCs w:val="20"/>
                <w:color w:val="auto"/>
              </w:rPr>
            </w:pPr>
            <w:r>
              <w:rPr>
                <w:rFonts w:ascii="Arial" w:cs="Arial" w:eastAsia="Arial" w:hAnsi="Arial"/>
                <w:sz w:val="16"/>
                <w:szCs w:val="16"/>
                <w:color w:val="auto"/>
              </w:rPr>
              <w:t xml:space="preserve">Energy revenue </w:t>
            </w:r>
            <w:r>
              <w:rPr>
                <w:rFonts w:ascii="Arial" w:cs="Arial" w:eastAsia="Arial" w:hAnsi="Arial"/>
                <w:sz w:val="20"/>
                <w:szCs w:val="20"/>
                <w:color w:val="auto"/>
                <w:vertAlign w:val="superscript"/>
              </w:rPr>
              <w:t>(a)</w:t>
            </w: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2"/>
                <w:szCs w:val="22"/>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2"/>
                <w:szCs w:val="22"/>
                <w:color w:val="auto"/>
              </w:rPr>
            </w:pPr>
          </w:p>
        </w:tc>
        <w:tc>
          <w:tcPr>
            <w:tcW w:w="2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8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Capacity revenue </w:t>
            </w:r>
            <w:r>
              <w:rPr>
                <w:rFonts w:ascii="Arial" w:cs="Arial" w:eastAsia="Arial" w:hAnsi="Arial"/>
                <w:sz w:val="20"/>
                <w:szCs w:val="20"/>
                <w:color w:val="auto"/>
                <w:vertAlign w:val="superscript"/>
              </w:rPr>
              <w:t>(a)</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26"/>
        </w:trPr>
        <w:tc>
          <w:tcPr>
            <w:tcW w:w="626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27"/>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amortization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26"/>
        </w:trPr>
        <w:tc>
          <w:tcPr>
            <w:tcW w:w="6260" w:type="dxa"/>
            <w:vAlign w:val="bottom"/>
          </w:tcPr>
          <w:p>
            <w:pPr>
              <w:ind w:left="20"/>
              <w:spacing w:after="0"/>
              <w:rPr>
                <w:sz w:val="20"/>
                <w:szCs w:val="20"/>
                <w:color w:val="auto"/>
              </w:rPr>
            </w:pPr>
            <w:r>
              <w:rPr>
                <w:rFonts w:ascii="Arial" w:cs="Arial" w:eastAsia="Arial" w:hAnsi="Arial"/>
                <w:sz w:val="16"/>
                <w:szCs w:val="16"/>
                <w:color w:val="auto"/>
              </w:rPr>
              <w:t>Mark-to-market for economic hedges</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7"/>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revenue</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11"/>
        </w:trPr>
        <w:tc>
          <w:tcPr>
            <w:tcW w:w="6260" w:type="dxa"/>
            <w:vAlign w:val="bottom"/>
          </w:tcPr>
          <w:p>
            <w:pPr>
              <w:ind w:left="20"/>
              <w:spacing w:after="0"/>
              <w:rPr>
                <w:sz w:val="20"/>
                <w:szCs w:val="20"/>
                <w:color w:val="auto"/>
              </w:rPr>
            </w:pPr>
            <w:r>
              <w:rPr>
                <w:rFonts w:ascii="Arial" w:cs="Arial" w:eastAsia="Arial" w:hAnsi="Arial"/>
                <w:sz w:val="16"/>
                <w:szCs w:val="16"/>
                <w:color w:val="auto"/>
              </w:rPr>
              <w:t>Less: Lease revenue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Contract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4"/>
        </w:trPr>
        <w:tc>
          <w:tcPr>
            <w:tcW w:w="6260" w:type="dxa"/>
            <w:vAlign w:val="bottom"/>
          </w:tcPr>
          <w:p>
            <w:pPr>
              <w:ind w:left="220"/>
              <w:spacing w:after="0"/>
              <w:rPr>
                <w:sz w:val="20"/>
                <w:szCs w:val="20"/>
                <w:color w:val="auto"/>
              </w:rPr>
            </w:pPr>
            <w:r>
              <w:rPr>
                <w:rFonts w:ascii="Arial" w:cs="Arial" w:eastAsia="Arial" w:hAnsi="Arial"/>
                <w:sz w:val="16"/>
                <w:szCs w:val="16"/>
                <w:color w:val="auto"/>
              </w:rPr>
              <w:t>Total revenue from contracts with customers</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60" w:hanging="153"/>
        <w:spacing w:after="0"/>
        <w:tabs>
          <w:tab w:leader="none" w:pos="1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 xml:space="preserve">See </w:t>
      </w:r>
      <w:r>
        <w:rPr>
          <w:rFonts w:ascii="Arial" w:cs="Arial" w:eastAsia="Arial" w:hAnsi="Arial"/>
          <w:sz w:val="12"/>
          <w:szCs w:val="12"/>
          <w:color w:val="auto"/>
        </w:rPr>
        <w:t>Note 17,</w:t>
      </w:r>
      <w:r>
        <w:rPr>
          <w:rFonts w:ascii="Arial" w:cs="Arial" w:eastAsia="Arial" w:hAnsi="Arial"/>
          <w:sz w:val="14"/>
          <w:szCs w:val="14"/>
          <w:color w:val="auto"/>
        </w:rPr>
        <w:t xml:space="preserve"> </w:t>
      </w:r>
      <w:r>
        <w:rPr>
          <w:rFonts w:ascii="Arial" w:cs="Arial" w:eastAsia="Arial" w:hAnsi="Arial"/>
          <w:sz w:val="12"/>
          <w:szCs w:val="12"/>
          <w:i w:val="1"/>
          <w:iCs w:val="1"/>
          <w:color w:val="auto"/>
        </w:rPr>
        <w:t>Leases,</w:t>
      </w:r>
      <w:r>
        <w:rPr>
          <w:rFonts w:ascii="Arial" w:cs="Arial" w:eastAsia="Arial" w:hAnsi="Arial"/>
          <w:sz w:val="14"/>
          <w:szCs w:val="14"/>
          <w:color w:val="auto"/>
        </w:rPr>
        <w:t xml:space="preserve"> for the </w:t>
      </w:r>
      <w:r>
        <w:rPr>
          <w:rFonts w:ascii="Arial" w:cs="Arial" w:eastAsia="Arial" w:hAnsi="Arial"/>
          <w:sz w:val="12"/>
          <w:szCs w:val="12"/>
          <w:color w:val="auto"/>
        </w:rPr>
        <w:t>amounts of energy and capacity revenue that relate to leases and are accounted for under ASC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0" w:name="page91"/>
    <w:bookmarkEnd w:id="90"/>
    <w:p>
      <w:pPr>
        <w:ind w:firstLine="400"/>
        <w:spacing w:after="0" w:line="26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for the year ended December 31, 2020, along with the reportable segment for each category: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 2020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6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0"/>
              </w:rPr>
              <w:t>Conventional</w:t>
            </w:r>
          </w:p>
        </w:tc>
        <w:tc>
          <w:tcPr>
            <w:tcW w:w="12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Thermal</w:t>
            </w:r>
          </w:p>
        </w:tc>
        <w:tc>
          <w:tcPr>
            <w:tcW w:w="240" w:type="dxa"/>
            <w:vAlign w:val="bottom"/>
          </w:tcPr>
          <w:p>
            <w:pPr>
              <w:spacing w:after="0"/>
              <w:rPr>
                <w:sz w:val="11"/>
                <w:szCs w:val="11"/>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Generation</w:t>
            </w: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280" w:type="dxa"/>
            <w:vAlign w:val="bottom"/>
          </w:tcPr>
          <w:p>
            <w:pPr>
              <w:ind w:left="20"/>
              <w:spacing w:after="0"/>
              <w:rPr>
                <w:sz w:val="20"/>
                <w:szCs w:val="20"/>
                <w:color w:val="auto"/>
              </w:rPr>
            </w:pPr>
            <w:r>
              <w:rPr>
                <w:rFonts w:ascii="Arial" w:cs="Arial" w:eastAsia="Arial" w:hAnsi="Arial"/>
                <w:sz w:val="16"/>
                <w:szCs w:val="16"/>
                <w:color w:val="auto"/>
              </w:rPr>
              <w:t xml:space="preserve">Energy revenue </w:t>
            </w:r>
            <w:r>
              <w:rPr>
                <w:rFonts w:ascii="Arial" w:cs="Arial" w:eastAsia="Arial" w:hAnsi="Arial"/>
                <w:sz w:val="20"/>
                <w:szCs w:val="20"/>
                <w:color w:val="auto"/>
                <w:vertAlign w:val="superscript"/>
              </w:rPr>
              <w:t>(a)</w:t>
            </w: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22"/>
                <w:szCs w:val="22"/>
                <w:color w:val="auto"/>
              </w:rPr>
            </w:pPr>
          </w:p>
        </w:tc>
        <w:tc>
          <w:tcPr>
            <w:tcW w:w="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2"/>
                <w:szCs w:val="22"/>
                <w:color w:val="auto"/>
              </w:rPr>
            </w:pPr>
          </w:p>
        </w:tc>
        <w:tc>
          <w:tcPr>
            <w:tcW w:w="2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8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Capacity revenue </w:t>
            </w:r>
            <w:r>
              <w:rPr>
                <w:rFonts w:ascii="Arial" w:cs="Arial" w:eastAsia="Arial" w:hAnsi="Arial"/>
                <w:sz w:val="20"/>
                <w:szCs w:val="20"/>
                <w:color w:val="auto"/>
                <w:vertAlign w:val="superscript"/>
              </w:rPr>
              <w:t>(a)</w:t>
            </w: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1"/>
        </w:trPr>
        <w:tc>
          <w:tcPr>
            <w:tcW w:w="628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4"/>
        </w:trPr>
        <w:tc>
          <w:tcPr>
            <w:tcW w:w="6280" w:type="dxa"/>
            <w:vAlign w:val="bottom"/>
          </w:tcPr>
          <w:p>
            <w:pPr>
              <w:ind w:left="20"/>
              <w:spacing w:after="0"/>
              <w:rPr>
                <w:sz w:val="20"/>
                <w:szCs w:val="20"/>
                <w:color w:val="auto"/>
              </w:rPr>
            </w:pPr>
            <w:r>
              <w:rPr>
                <w:rFonts w:ascii="Arial" w:cs="Arial" w:eastAsia="Arial" w:hAnsi="Arial"/>
                <w:sz w:val="16"/>
                <w:szCs w:val="16"/>
                <w:color w:val="auto"/>
              </w:rPr>
              <w:t>Total operating revenue</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Lease revenue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211"/>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Contract amortization</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 from contracts with customers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60" w:hanging="153"/>
        <w:spacing w:after="0"/>
        <w:tabs>
          <w:tab w:leader="none" w:pos="160" w:val="left"/>
        </w:tabs>
        <w:numPr>
          <w:ilvl w:val="0"/>
          <w:numId w:val="42"/>
        </w:numPr>
        <w:rPr>
          <w:rFonts w:ascii="Arial" w:cs="Arial" w:eastAsia="Arial" w:hAnsi="Arial"/>
          <w:sz w:val="18"/>
          <w:szCs w:val="18"/>
          <w:color w:val="auto"/>
          <w:vertAlign w:val="superscript"/>
        </w:rPr>
      </w:pPr>
      <w:r>
        <w:rPr>
          <w:rFonts w:ascii="Arial" w:cs="Arial" w:eastAsia="Arial" w:hAnsi="Arial"/>
          <w:sz w:val="13"/>
          <w:szCs w:val="13"/>
          <w:color w:val="auto"/>
        </w:rPr>
        <w:t xml:space="preserve">See Note 17, </w:t>
      </w:r>
      <w:r>
        <w:rPr>
          <w:rFonts w:ascii="Arial" w:cs="Arial" w:eastAsia="Arial" w:hAnsi="Arial"/>
          <w:sz w:val="13"/>
          <w:szCs w:val="13"/>
          <w:i w:val="1"/>
          <w:iCs w:val="1"/>
          <w:color w:val="auto"/>
        </w:rPr>
        <w:t>Leases</w:t>
      </w:r>
      <w:r>
        <w:rPr>
          <w:rFonts w:ascii="Arial" w:cs="Arial" w:eastAsia="Arial" w:hAnsi="Arial"/>
          <w:sz w:val="13"/>
          <w:szCs w:val="13"/>
          <w:color w:val="auto"/>
        </w:rPr>
        <w:t>, for the amounts of energy and capacity revenue that relate to leases and are accounted for under ASC 842.</w:t>
      </w:r>
    </w:p>
    <w:p>
      <w:pPr>
        <w:spacing w:after="0" w:line="140" w:lineRule="exact"/>
        <w:rPr>
          <w:sz w:val="20"/>
          <w:szCs w:val="20"/>
          <w:color w:val="auto"/>
        </w:rPr>
      </w:pPr>
    </w:p>
    <w:p>
      <w:pPr>
        <w:ind w:firstLine="400"/>
        <w:spacing w:after="0" w:line="26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for the year ended December 31, 2019, along with the reportable segment for each category: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 2019</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6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0"/>
              </w:rPr>
              <w:t>Conventional</w:t>
            </w:r>
          </w:p>
        </w:tc>
        <w:tc>
          <w:tcPr>
            <w:tcW w:w="12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Thermal</w:t>
            </w:r>
          </w:p>
        </w:tc>
        <w:tc>
          <w:tcPr>
            <w:tcW w:w="240" w:type="dxa"/>
            <w:vAlign w:val="bottom"/>
          </w:tcPr>
          <w:p>
            <w:pPr>
              <w:spacing w:after="0"/>
              <w:rPr>
                <w:sz w:val="11"/>
                <w:szCs w:val="11"/>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Generation</w:t>
            </w: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280" w:type="dxa"/>
            <w:vAlign w:val="bottom"/>
          </w:tcPr>
          <w:p>
            <w:pPr>
              <w:ind w:left="20"/>
              <w:spacing w:after="0"/>
              <w:rPr>
                <w:sz w:val="20"/>
                <w:szCs w:val="20"/>
                <w:color w:val="auto"/>
              </w:rPr>
            </w:pPr>
            <w:r>
              <w:rPr>
                <w:rFonts w:ascii="Arial" w:cs="Arial" w:eastAsia="Arial" w:hAnsi="Arial"/>
                <w:sz w:val="16"/>
                <w:szCs w:val="16"/>
                <w:color w:val="auto"/>
              </w:rPr>
              <w:t xml:space="preserve">Energy revenue </w:t>
            </w:r>
            <w:r>
              <w:rPr>
                <w:rFonts w:ascii="Arial" w:cs="Arial" w:eastAsia="Arial" w:hAnsi="Arial"/>
                <w:sz w:val="20"/>
                <w:szCs w:val="20"/>
                <w:color w:val="auto"/>
                <w:vertAlign w:val="superscript"/>
              </w:rPr>
              <w:t>(a)</w:t>
            </w: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22"/>
                <w:szCs w:val="22"/>
                <w:color w:val="auto"/>
              </w:rPr>
            </w:pPr>
          </w:p>
        </w:tc>
        <w:tc>
          <w:tcPr>
            <w:tcW w:w="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2"/>
                <w:szCs w:val="22"/>
                <w:color w:val="auto"/>
              </w:rPr>
            </w:pPr>
          </w:p>
        </w:tc>
        <w:tc>
          <w:tcPr>
            <w:tcW w:w="2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8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Capacity revenue </w:t>
            </w:r>
            <w:r>
              <w:rPr>
                <w:rFonts w:ascii="Arial" w:cs="Arial" w:eastAsia="Arial" w:hAnsi="Arial"/>
                <w:sz w:val="20"/>
                <w:szCs w:val="20"/>
                <w:color w:val="auto"/>
                <w:vertAlign w:val="superscript"/>
              </w:rPr>
              <w:t>(a)</w:t>
            </w: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1"/>
        </w:trPr>
        <w:tc>
          <w:tcPr>
            <w:tcW w:w="628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amortization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1"/>
        </w:trPr>
        <w:tc>
          <w:tcPr>
            <w:tcW w:w="6280" w:type="dxa"/>
            <w:vAlign w:val="bottom"/>
          </w:tcPr>
          <w:p>
            <w:pPr>
              <w:ind w:left="20"/>
              <w:spacing w:after="0"/>
              <w:rPr>
                <w:sz w:val="20"/>
                <w:szCs w:val="20"/>
                <w:color w:val="auto"/>
              </w:rPr>
            </w:pPr>
            <w:r>
              <w:rPr>
                <w:rFonts w:ascii="Arial" w:cs="Arial" w:eastAsia="Arial" w:hAnsi="Arial"/>
                <w:sz w:val="16"/>
                <w:szCs w:val="16"/>
                <w:color w:val="auto"/>
              </w:rPr>
              <w:t>Mark-to-market for economic hedges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revenue</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11"/>
        </w:trPr>
        <w:tc>
          <w:tcPr>
            <w:tcW w:w="6280" w:type="dxa"/>
            <w:vAlign w:val="bottom"/>
          </w:tcPr>
          <w:p>
            <w:pPr>
              <w:ind w:left="20"/>
              <w:spacing w:after="0"/>
              <w:rPr>
                <w:sz w:val="20"/>
                <w:szCs w:val="20"/>
                <w:color w:val="auto"/>
              </w:rPr>
            </w:pPr>
            <w:r>
              <w:rPr>
                <w:rFonts w:ascii="Arial" w:cs="Arial" w:eastAsia="Arial" w:hAnsi="Arial"/>
                <w:sz w:val="16"/>
                <w:szCs w:val="16"/>
                <w:color w:val="auto"/>
              </w:rPr>
              <w:t>Less: Lease revenue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1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Contract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9"/>
        </w:trPr>
        <w:tc>
          <w:tcPr>
            <w:tcW w:w="6280" w:type="dxa"/>
            <w:vAlign w:val="bottom"/>
          </w:tcPr>
          <w:p>
            <w:pPr>
              <w:ind w:left="220"/>
              <w:spacing w:after="0"/>
              <w:rPr>
                <w:sz w:val="20"/>
                <w:szCs w:val="20"/>
                <w:color w:val="auto"/>
              </w:rPr>
            </w:pPr>
            <w:r>
              <w:rPr>
                <w:rFonts w:ascii="Arial" w:cs="Arial" w:eastAsia="Arial" w:hAnsi="Arial"/>
                <w:sz w:val="16"/>
                <w:szCs w:val="16"/>
                <w:color w:val="auto"/>
              </w:rPr>
              <w:t>Total revenue from contracts with customers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60" w:hanging="153"/>
        <w:spacing w:after="0"/>
        <w:tabs>
          <w:tab w:leader="none" w:pos="160" w:val="left"/>
        </w:tabs>
        <w:numPr>
          <w:ilvl w:val="0"/>
          <w:numId w:val="43"/>
        </w:numPr>
        <w:rPr>
          <w:rFonts w:ascii="Arial" w:cs="Arial" w:eastAsia="Arial" w:hAnsi="Arial"/>
          <w:sz w:val="18"/>
          <w:szCs w:val="18"/>
          <w:color w:val="auto"/>
          <w:vertAlign w:val="superscript"/>
        </w:rPr>
      </w:pPr>
      <w:r>
        <w:rPr>
          <w:rFonts w:ascii="Arial" w:cs="Arial" w:eastAsia="Arial" w:hAnsi="Arial"/>
          <w:sz w:val="13"/>
          <w:szCs w:val="13"/>
          <w:color w:val="auto"/>
        </w:rPr>
        <w:t xml:space="preserve">See Note 17, </w:t>
      </w:r>
      <w:r>
        <w:rPr>
          <w:rFonts w:ascii="Arial" w:cs="Arial" w:eastAsia="Arial" w:hAnsi="Arial"/>
          <w:sz w:val="13"/>
          <w:szCs w:val="13"/>
          <w:i w:val="1"/>
          <w:iCs w:val="1"/>
          <w:color w:val="auto"/>
        </w:rPr>
        <w:t>Leases</w:t>
      </w:r>
      <w:r>
        <w:rPr>
          <w:rFonts w:ascii="Arial" w:cs="Arial" w:eastAsia="Arial" w:hAnsi="Arial"/>
          <w:sz w:val="13"/>
          <w:szCs w:val="13"/>
          <w:color w:val="auto"/>
        </w:rPr>
        <w:t>, for the amounts of energy and capacity revenue that relate to leases and are accounted for under ASC 842.</w:t>
      </w:r>
    </w:p>
    <w:p>
      <w:pPr>
        <w:spacing w:after="0" w:line="139" w:lineRule="exact"/>
        <w:rPr>
          <w:rFonts w:ascii="Arial" w:cs="Arial" w:eastAsia="Arial" w:hAnsi="Arial"/>
          <w:sz w:val="18"/>
          <w:szCs w:val="18"/>
          <w:color w:val="auto"/>
          <w:vertAlign w:val="superscript"/>
        </w:rPr>
      </w:pPr>
    </w:p>
    <w:p>
      <w:pPr>
        <w:ind w:left="400"/>
        <w:spacing w:after="0"/>
        <w:rPr>
          <w:rFonts w:ascii="Arial" w:cs="Arial" w:eastAsia="Arial" w:hAnsi="Arial"/>
          <w:sz w:val="18"/>
          <w:szCs w:val="18"/>
          <w:color w:val="auto"/>
          <w:vertAlign w:val="superscript"/>
        </w:rPr>
      </w:pPr>
      <w:r>
        <w:rPr>
          <w:rFonts w:ascii="Arial" w:cs="Arial" w:eastAsia="Arial" w:hAnsi="Arial"/>
          <w:sz w:val="18"/>
          <w:szCs w:val="18"/>
          <w:i w:val="1"/>
          <w:iCs w:val="1"/>
          <w:color w:val="auto"/>
        </w:rPr>
        <w:t>Contract Amortization</w:t>
      </w:r>
    </w:p>
    <w:p>
      <w:pPr>
        <w:spacing w:after="0" w:line="16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Contract Balances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reflects the net amount of contract assets and liabilities included on the Company’s consolidated balance sheets as of December 31,</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2021 and December 31, 2020: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1540" w:type="dxa"/>
            <w:vAlign w:val="bottom"/>
          </w:tcPr>
          <w:p>
            <w:pPr>
              <w:jc w:val="right"/>
              <w:ind w:right="222"/>
              <w:spacing w:after="0"/>
              <w:rPr>
                <w:sz w:val="20"/>
                <w:szCs w:val="20"/>
                <w:color w:val="auto"/>
              </w:rPr>
            </w:pPr>
            <w:r>
              <w:rPr>
                <w:rFonts w:ascii="Arial" w:cs="Arial" w:eastAsia="Arial" w:hAnsi="Arial"/>
                <w:sz w:val="14"/>
                <w:szCs w:val="14"/>
                <w:b w:val="1"/>
                <w:bCs w:val="1"/>
                <w:color w:val="auto"/>
                <w:w w:val="96"/>
              </w:rPr>
              <w:t>December 31, 2020</w:t>
            </w:r>
          </w:p>
        </w:tc>
      </w:tr>
      <w:tr>
        <w:trPr>
          <w:trHeight w:val="211"/>
        </w:trPr>
        <w:tc>
          <w:tcPr>
            <w:tcW w:w="7480" w:type="dxa"/>
            <w:vAlign w:val="bottom"/>
          </w:tcPr>
          <w:p>
            <w:pPr>
              <w:ind w:left="20"/>
              <w:spacing w:after="0"/>
              <w:rPr>
                <w:sz w:val="20"/>
                <w:szCs w:val="20"/>
                <w:color w:val="auto"/>
              </w:rPr>
            </w:pPr>
            <w:r>
              <w:rPr>
                <w:rFonts w:ascii="Arial" w:cs="Arial" w:eastAsia="Arial" w:hAnsi="Arial"/>
                <w:sz w:val="16"/>
                <w:szCs w:val="16"/>
                <w:color w:val="auto"/>
              </w:rPr>
              <w:t>Accounts receivable, net - Contracts with customers</w:t>
            </w:r>
          </w:p>
        </w:tc>
        <w:tc>
          <w:tcPr>
            <w:tcW w:w="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 - Leases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09"/>
        </w:trPr>
        <w:tc>
          <w:tcPr>
            <w:tcW w:w="7480" w:type="dxa"/>
            <w:vAlign w:val="bottom"/>
          </w:tcPr>
          <w:p>
            <w:pPr>
              <w:ind w:left="20"/>
              <w:spacing w:after="0"/>
              <w:rPr>
                <w:sz w:val="20"/>
                <w:szCs w:val="20"/>
                <w:color w:val="auto"/>
              </w:rPr>
            </w:pPr>
            <w:r>
              <w:rPr>
                <w:rFonts w:ascii="Arial" w:cs="Arial" w:eastAsia="Arial" w:hAnsi="Arial"/>
                <w:sz w:val="16"/>
                <w:szCs w:val="16"/>
                <w:color w:val="auto"/>
              </w:rPr>
              <w:t>Total accounts receivable, net</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0"/>
        </w:trPr>
        <w:tc>
          <w:tcPr>
            <w:tcW w:w="7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66" w:lineRule="exact"/>
        <w:rPr>
          <w:sz w:val="20"/>
          <w:szCs w:val="20"/>
          <w:color w:val="auto"/>
        </w:rPr>
      </w:pPr>
    </w:p>
    <w:p>
      <w:pPr>
        <w:jc w:val="both"/>
        <w:ind w:firstLine="400"/>
        <w:spacing w:after="0" w:line="301" w:lineRule="auto"/>
        <w:rPr>
          <w:sz w:val="20"/>
          <w:szCs w:val="20"/>
          <w:color w:val="auto"/>
        </w:rPr>
      </w:pPr>
      <w:r>
        <w:rPr>
          <w:rFonts w:ascii="Arial" w:cs="Arial" w:eastAsia="Arial" w:hAnsi="Arial"/>
          <w:sz w:val="16"/>
          <w:szCs w:val="16"/>
          <w:color w:val="auto"/>
        </w:rPr>
        <w:t xml:space="preserve">The Company accounts for derivative financial instruments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either:</w:t>
      </w:r>
    </w:p>
    <w:p>
      <w:pPr>
        <w:spacing w:after="0" w:line="1" w:lineRule="exact"/>
        <w:rPr>
          <w:sz w:val="20"/>
          <w:szCs w:val="20"/>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Recognized in earnings as an offset to the changes in the fair value of the related hedged assets, liabilities and firm commitments; or</w:t>
      </w:r>
    </w:p>
    <w:p>
      <w:pPr>
        <w:spacing w:after="0" w:line="59" w:lineRule="exact"/>
        <w:rPr>
          <w:rFonts w:ascii="Arial" w:cs="Arial" w:eastAsia="Arial" w:hAnsi="Arial"/>
          <w:sz w:val="18"/>
          <w:szCs w:val="18"/>
          <w:color w:val="auto"/>
        </w:rPr>
      </w:pPr>
    </w:p>
    <w:p>
      <w:pPr>
        <w:ind w:left="640" w:hanging="314"/>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Deferred and recorded as a component of accumulated OCI until the hedged transactions occur and are recognized in earnings.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1" w:name="page92"/>
    <w:bookmarkEnd w:id="91"/>
    <w:p>
      <w:pPr>
        <w:jc w:val="both"/>
        <w:ind w:firstLine="400"/>
        <w:spacing w:after="0" w:line="265" w:lineRule="auto"/>
        <w:rPr>
          <w:sz w:val="20"/>
          <w:szCs w:val="20"/>
          <w:color w:val="auto"/>
        </w:rPr>
      </w:pPr>
      <w:r>
        <w:rPr>
          <w:rFonts w:ascii="Arial" w:cs="Arial" w:eastAsia="Arial" w:hAnsi="Arial"/>
          <w:sz w:val="17"/>
          <w:szCs w:val="17"/>
          <w:color w:val="auto"/>
        </w:rPr>
        <w:t>The Company's primary derivative instruments are interest rate instruments used to mitigate variability in earnings due to fluctuations in interest rates, power purchase or sale contracts used to mitigate variability in earnings due to fluctuations in market prices and commodity purchase contracts used to control customer reimbursable fuel cost.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analysis to measure the statistical correlation between the derivative and the associated hedged item to determine the effectiveness of such a contract designated as a hedge. The Company will discontinue hedge accounting if it is determined that the hedge is no longer effective. In this case, the gain or loss previously deferred in accumulated OCI would be frozen until the underlying hedged item is delivered unless the transaction being hedged is no longer probable of occurring in which case the amount in accumulated OCI would be immediately reclassified into earnings. If the derivative instrument is terminated, the effective portion of this derivative deferred in accumulated OCI will be frozen until the underlying hedged item is delivered.</w:t>
      </w:r>
    </w:p>
    <w:p>
      <w:pPr>
        <w:spacing w:after="0" w:line="134"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66"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 xml:space="preserve">Financial instruments which potentially subject the Company to concentrations of credit risk consist primarily of accounts receivable — trade and derivative instruments, which are concentrated within entities engaged in the energy and financial industries. These industry concentrations may impact the overall exposure to credit risk, either positively or negatively, in that the customers may be similarly affected by changes in economic, industry or other conditions. In addition, many of the Company's projects have only one customer. See Item 1A, Risk Factors, </w:t>
      </w:r>
      <w:r>
        <w:rPr>
          <w:rFonts w:ascii="Arial" w:cs="Arial" w:eastAsia="Arial" w:hAnsi="Arial"/>
          <w:sz w:val="17"/>
          <w:szCs w:val="17"/>
          <w:i w:val="1"/>
          <w:iCs w:val="1"/>
          <w:color w:val="auto"/>
        </w:rPr>
        <w:t>Risks related to the Company's Business,</w:t>
      </w:r>
      <w:r>
        <w:rPr>
          <w:rFonts w:ascii="Arial" w:cs="Arial" w:eastAsia="Arial" w:hAnsi="Arial"/>
          <w:sz w:val="17"/>
          <w:szCs w:val="17"/>
          <w:color w:val="auto"/>
        </w:rPr>
        <w:t xml:space="preserve"> for a discussion on the Company’s dependence on major customers</w:t>
      </w:r>
      <w:r>
        <w:rPr>
          <w:rFonts w:ascii="Arial" w:cs="Arial" w:eastAsia="Arial" w:hAnsi="Arial"/>
          <w:sz w:val="17"/>
          <w:szCs w:val="17"/>
          <w:color w:val="1F497D"/>
        </w:rPr>
        <w:t>.</w:t>
      </w:r>
      <w:r>
        <w:rPr>
          <w:rFonts w:ascii="Arial" w:cs="Arial" w:eastAsia="Arial" w:hAnsi="Arial"/>
          <w:sz w:val="17"/>
          <w:szCs w:val="17"/>
          <w:color w:val="auto"/>
        </w:rPr>
        <w:t xml:space="preserve"> See Note 6,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for a further discussion of derivative concentrations and Note 13, </w:t>
      </w:r>
      <w:r>
        <w:rPr>
          <w:rFonts w:ascii="Arial" w:cs="Arial" w:eastAsia="Arial" w:hAnsi="Arial"/>
          <w:sz w:val="17"/>
          <w:szCs w:val="17"/>
          <w:i w:val="1"/>
          <w:iCs w:val="1"/>
          <w:color w:val="auto"/>
        </w:rPr>
        <w:t>Segment Reporting</w:t>
      </w:r>
      <w:r>
        <w:rPr>
          <w:rFonts w:ascii="Arial" w:cs="Arial" w:eastAsia="Arial" w:hAnsi="Arial"/>
          <w:sz w:val="17"/>
          <w:szCs w:val="17"/>
          <w:color w:val="auto"/>
        </w:rPr>
        <w:t>, for concentration of counterparties.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 xml:space="preserve">The carrying amount of cash and cash equivalents, restricted cash, accounts receivable — trade, accounts payable — trade, account payable — affiliate and accrued expenses and other current liabilities approximate fair value because of the short-term maturity of these instruments. See Note 6, </w:t>
      </w:r>
      <w:r>
        <w:rPr>
          <w:rFonts w:ascii="Arial" w:cs="Arial" w:eastAsia="Arial" w:hAnsi="Arial"/>
          <w:sz w:val="18"/>
          <w:szCs w:val="18"/>
          <w:i w:val="1"/>
          <w:iCs w:val="1"/>
          <w:color w:val="auto"/>
        </w:rPr>
        <w:t>Fair Value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for a further discussion of fair value of financial instruments.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66"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 xml:space="preserve">Asset retirement obligations, or AROs, are accounted for in accordance with ASC 410-20, </w:t>
      </w:r>
      <w:r>
        <w:rPr>
          <w:rFonts w:ascii="Arial" w:cs="Arial" w:eastAsia="Arial" w:hAnsi="Arial"/>
          <w:sz w:val="18"/>
          <w:szCs w:val="18"/>
          <w:i w:val="1"/>
          <w:iCs w:val="1"/>
          <w:color w:val="auto"/>
        </w:rPr>
        <w:t>Asset Retirement Obligations,</w:t>
      </w:r>
      <w:r>
        <w:rPr>
          <w:rFonts w:ascii="Arial" w:cs="Arial" w:eastAsia="Arial" w:hAnsi="Arial"/>
          <w:sz w:val="18"/>
          <w:szCs w:val="18"/>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139"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Upon initial recognition of a liability for an ARO, other than when an ARO is assumed in an acquisition of the related long-lived asset,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2" w:name="page93"/>
    <w:bookmarkEnd w:id="92"/>
    <w:p>
      <w:pPr>
        <w:ind w:left="400"/>
        <w:spacing w:after="0"/>
        <w:rPr>
          <w:sz w:val="20"/>
          <w:szCs w:val="20"/>
          <w:color w:val="auto"/>
        </w:rPr>
      </w:pPr>
      <w:r>
        <w:rPr>
          <w:rFonts w:ascii="Arial" w:cs="Arial" w:eastAsia="Arial" w:hAnsi="Arial"/>
          <w:sz w:val="16"/>
          <w:szCs w:val="16"/>
          <w:color w:val="auto"/>
        </w:rPr>
        <w:t>The following table represents the balance of ARO obligations as of December 31, 2021 and 2020, along with the additions and accretion related to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Company's ARO obligations for the year ended December 31, 2021:</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6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70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6"/>
        </w:trPr>
        <w:tc>
          <w:tcPr>
            <w:tcW w:w="9600" w:type="dxa"/>
            <w:vAlign w:val="bottom"/>
          </w:tcPr>
          <w:p>
            <w:pPr>
              <w:ind w:left="140"/>
              <w:spacing w:after="0"/>
              <w:rPr>
                <w:sz w:val="20"/>
                <w:szCs w:val="20"/>
                <w:color w:val="auto"/>
              </w:rPr>
            </w:pPr>
            <w:r>
              <w:rPr>
                <w:rFonts w:ascii="Arial" w:cs="Arial" w:eastAsia="Arial" w:hAnsi="Arial"/>
                <w:sz w:val="18"/>
                <w:szCs w:val="18"/>
                <w:color w:val="auto"/>
              </w:rPr>
              <w:t>Thermal Business AROs reclassified to held for sale</w:t>
            </w:r>
          </w:p>
        </w:tc>
        <w:tc>
          <w:tcPr>
            <w:tcW w:w="7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7"/>
        </w:trPr>
        <w:tc>
          <w:tcPr>
            <w:tcW w:w="9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Revisions in estimates for current obligations</w:t>
            </w: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6"/>
        </w:trPr>
        <w:tc>
          <w:tcPr>
            <w:tcW w:w="96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7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7"/>
        </w:trPr>
        <w:tc>
          <w:tcPr>
            <w:tcW w:w="9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 expense</w:t>
            </w:r>
          </w:p>
        </w:tc>
        <w:tc>
          <w:tcPr>
            <w:tcW w:w="7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1"/>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7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9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66"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Accounted for by the Equity Method</w:t>
      </w:r>
    </w:p>
    <w:p>
      <w:pPr>
        <w:spacing w:after="0" w:line="166" w:lineRule="exact"/>
        <w:rPr>
          <w:sz w:val="20"/>
          <w:szCs w:val="20"/>
          <w:color w:val="auto"/>
        </w:rPr>
      </w:pPr>
    </w:p>
    <w:p>
      <w:pPr>
        <w:jc w:val="both"/>
        <w:ind w:firstLine="400"/>
        <w:spacing w:after="0" w:line="250" w:lineRule="auto"/>
        <w:rPr>
          <w:sz w:val="20"/>
          <w:szCs w:val="20"/>
          <w:color w:val="auto"/>
        </w:rPr>
      </w:pPr>
      <w:r>
        <w:rPr>
          <w:rFonts w:ascii="Arial" w:cs="Arial" w:eastAsia="Arial" w:hAnsi="Arial"/>
          <w:sz w:val="18"/>
          <w:szCs w:val="18"/>
          <w:color w:val="auto"/>
        </w:rPr>
        <w:t xml:space="preserve">The Company has investments in various energy projects accounted for by the equity method, several of which are VIEs, where the Company is not a primary beneficiary, as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The equity method of accounting is applied to these investments in affiliates because the ownership structure prevents the Company from exercising a controlling influence over the operating 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Sale-Leaseback Arrangements</w:t>
      </w:r>
    </w:p>
    <w:p>
      <w:pPr>
        <w:spacing w:after="0" w:line="166"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color w:val="auto"/>
        </w:rPr>
        <w:t xml:space="preserve">The Company is party to sale-leaseback arrangements that provide for the sale of certain assets to a third-party and simultaneous leaseback to the Company. In accordance with ASC 840-40, </w:t>
      </w:r>
      <w:r>
        <w:rPr>
          <w:rFonts w:ascii="Arial" w:cs="Arial" w:eastAsia="Arial" w:hAnsi="Arial"/>
          <w:sz w:val="16"/>
          <w:szCs w:val="16"/>
          <w:i w:val="1"/>
          <w:iCs w:val="1"/>
          <w:color w:val="auto"/>
        </w:rPr>
        <w:t>Sale-Leaseback Transactions</w:t>
      </w:r>
      <w:r>
        <w:rPr>
          <w:rFonts w:ascii="Arial" w:cs="Arial" w:eastAsia="Arial" w:hAnsi="Arial"/>
          <w:sz w:val="16"/>
          <w:szCs w:val="16"/>
          <w:color w:val="auto"/>
        </w:rPr>
        <w:t>, if the seller-lessee retains, through the leaseback, substantially all of the benefits and risks incident to the ownership of the property sold, the sale-leaseback transaction 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111"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6" w:lineRule="exact"/>
        <w:rPr>
          <w:sz w:val="20"/>
          <w:szCs w:val="20"/>
          <w:color w:val="auto"/>
        </w:rPr>
      </w:pPr>
    </w:p>
    <w:p>
      <w:pPr>
        <w:jc w:val="both"/>
        <w:ind w:firstLine="400"/>
        <w:spacing w:after="0" w:line="286" w:lineRule="auto"/>
        <w:rPr>
          <w:sz w:val="20"/>
          <w:szCs w:val="20"/>
          <w:color w:val="auto"/>
        </w:rPr>
      </w:pPr>
      <w:r>
        <w:rPr>
          <w:rFonts w:ascii="Arial" w:cs="Arial" w:eastAsia="Arial" w:hAnsi="Arial"/>
          <w:sz w:val="16"/>
          <w:szCs w:val="16"/>
          <w:color w:val="auto"/>
        </w:rPr>
        <w:t xml:space="preserve">The Company accounts for its stock-based compensation in accordance with ASC 718, </w:t>
      </w:r>
      <w:r>
        <w:rPr>
          <w:rFonts w:ascii="Arial" w:cs="Arial" w:eastAsia="Arial" w:hAnsi="Arial"/>
          <w:sz w:val="16"/>
          <w:szCs w:val="16"/>
          <w:i w:val="1"/>
          <w:iCs w:val="1"/>
          <w:color w:val="auto"/>
        </w:rPr>
        <w:t>Compensation — Stoc</w:t>
      </w:r>
      <w:r>
        <w:rPr>
          <w:rFonts w:ascii="Arial" w:cs="Arial" w:eastAsia="Arial" w:hAnsi="Arial"/>
          <w:sz w:val="16"/>
          <w:szCs w:val="16"/>
          <w:color w:val="auto"/>
        </w:rPr>
        <w:t xml:space="preserve">k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or ASC 718. The fair value of the Company's relative performance stock units, or RPSUs, are estimated on the date of grant using the Monte Carlo valuation model. The Company uses the Class A and Class C common stock price on the date of grant as the fair value of the Company's restricted stock units, or RSUs. Forfeiture rates are estimated based on an analysis of the Company's historical forfeitures, employment turnover, and expected future behavior. The Company recognizes compensation expense for both graded and cliff vesting awards on a straight-line basis over the requisite service period for the entire award. The Company incurred total stock compensation expense of $4 million, $3 million and $4 million for the years ended December 31, 2021, 2020 and 2019, respectively, which was primarily recorded in general and administrative expense on the Company's consolidated statements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 xml:space="preserve">The Company accounts for income taxes using the liability method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or ASC 740, which requires that the Company use the asset and liability method of accounting for deferred income taxes and provide deferred income taxes for all significant temporary differences.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has two categories of income tax expense or benefit — current and deferred, as follows:</w:t>
      </w:r>
    </w:p>
    <w:p>
      <w:pPr>
        <w:spacing w:after="0" w:line="166" w:lineRule="exact"/>
        <w:rPr>
          <w:sz w:val="20"/>
          <w:szCs w:val="20"/>
          <w:color w:val="auto"/>
        </w:rPr>
      </w:pPr>
    </w:p>
    <w:p>
      <w:pPr>
        <w:ind w:left="640" w:hanging="314"/>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Current income tax expense or benefit consists solely of current taxes payable less applicable tax credits, and</w:t>
      </w:r>
    </w:p>
    <w:p>
      <w:pPr>
        <w:spacing w:after="0" w:line="59" w:lineRule="exact"/>
        <w:rPr>
          <w:rFonts w:ascii="Arial" w:cs="Arial" w:eastAsia="Arial" w:hAnsi="Arial"/>
          <w:sz w:val="18"/>
          <w:szCs w:val="18"/>
          <w:color w:val="auto"/>
        </w:rPr>
      </w:pPr>
    </w:p>
    <w:p>
      <w:pPr>
        <w:ind w:left="640" w:hanging="314"/>
        <w:spacing w:after="0" w:line="267"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Deferred income tax expense or benefit is the change in the net deferred income tax asset or liability, excluding amounts charged or credited to accumulated other comprehensive loss.</w:t>
      </w:r>
    </w:p>
    <w:p>
      <w:pPr>
        <w:spacing w:after="0" w:line="126"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color w:val="auto"/>
        </w:rPr>
        <w:t>The Company reports some of its revenues and expenses differently for financial statement purposes than for income tax return purposes, resulting in temporary and permanent differences between the Company's financial statements and income tax returns. The tax effects of such temporary differences are recorded as either deferred income tax assets or deferred income tax liabilities in the Company's consolidated balance sheets. The Company measures its deferred income tax assets and deferred income tax liabilities using income tax rates that are currently in effect. The Company believes it is more likely than not that the results of future operations will generate sufficient taxable income which includes the future reversal of existing taxable temporary differences to realize deferred tax assets, net of valuation allowances. In arriving at this conclusion to utilize projections of future profit before tax in its estimate of future taxable income, the Company considered the profit before tax generated in recent years. A valuation allowance is recorded to reduce the net deferred tax assets to an amount that is more-likely-than-not to be realized.</w:t>
      </w:r>
    </w:p>
    <w:p>
      <w:pPr>
        <w:spacing w:after="0" w:line="133"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The Company accounts for uncertain tax positions in accordance with ASC 740, which applies to all tax positions related to income taxes. Under ASC 740, tax benefits are recognized when it is more-likely-than-not that a tax position will be sustained upon examination by the authorities. The benefit recognized from a position that has surpassed the more-likely-than-not threshold is the largest amount of benefit that is more than 50% likely to be realized upon settlement.</w:t>
      </w:r>
    </w:p>
    <w:p>
      <w:pPr>
        <w:spacing w:after="0" w:line="140"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 xml:space="preserve">In accordance with ASC 740 and as discussed further in Note 14, </w:t>
      </w:r>
      <w:r>
        <w:rPr>
          <w:rFonts w:ascii="Arial" w:cs="Arial" w:eastAsia="Arial" w:hAnsi="Arial"/>
          <w:sz w:val="18"/>
          <w:szCs w:val="18"/>
          <w:i w:val="1"/>
          <w:iCs w:val="1"/>
          <w:color w:val="auto"/>
        </w:rPr>
        <w:t>Income Taxes</w:t>
      </w:r>
      <w:r>
        <w:rPr>
          <w:rFonts w:ascii="Arial" w:cs="Arial" w:eastAsia="Arial" w:hAnsi="Arial"/>
          <w:sz w:val="18"/>
          <w:szCs w:val="18"/>
          <w:color w:val="auto"/>
        </w:rPr>
        <w:t>, changes to existing net deferred tax assets, valuation allowances, or changes to uncertain tax benefits, are recorded to income tax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Asset Acquisitions</w:t>
      </w:r>
    </w:p>
    <w:p>
      <w:pPr>
        <w:spacing w:after="0" w:line="166"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 xml:space="preserve">The Company accounts for its acquisitions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or ASC 805. For third-party acquisitions, ASC 805 requires an acquirer to recognize and measure in its financial statements the identifiable assets acquired, the liabilities assumed and any noncontrolling interest in the acquiree at fair value at the acquisition date. It also recognizes and measures the goodwill acquired or a gain from a bargain purchase in the business combination and determines what information to disclose to enable users of an entity's financial statements to evaluate the nature and financial effects of the business combination. In addition, for business combinations, transaction costs are expensed as incurred. For asset acquisitions, identifiable assets acquired and liabilities assumed are recorded at acquisition date fair value. No goodwill is recognized and excess purchase price or negative goodwill are allocated to the acquired assets on a relative fair value basis. For acquisitions that relate to entities under common control, ASC 805 requires retrospective combination of the entities for all annual periods presented as if the combination has been in effect from the beginning of the earliest financial statement period presented or from the date the entities were under common control (if later than the beginning of the earliest financial statement period). The difference between the cash paid and historical value of the entities' equity is recorded as a distribution/contribution from/to CEG with the offset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140"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In recording transactions and balances resulting from business operations, the Company uses estimates based on the best information available. Estimates are used for such items as plant depreciable lives, tax provisions, uncollectible accounts, AROs, acquisition accounting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Equity Arrangements</w:t>
      </w:r>
    </w:p>
    <w:p>
      <w:pPr>
        <w:spacing w:after="0" w:line="166" w:lineRule="exact"/>
        <w:rPr>
          <w:sz w:val="20"/>
          <w:szCs w:val="20"/>
          <w:color w:val="auto"/>
        </w:rPr>
      </w:pPr>
    </w:p>
    <w:p>
      <w:pPr>
        <w:jc w:val="both"/>
        <w:ind w:firstLine="400"/>
        <w:spacing w:after="0" w:line="281" w:lineRule="auto"/>
        <w:rPr>
          <w:sz w:val="20"/>
          <w:szCs w:val="20"/>
          <w:color w:val="auto"/>
        </w:rPr>
      </w:pPr>
      <w:r>
        <w:rPr>
          <w:rFonts w:ascii="Arial" w:cs="Arial" w:eastAsia="Arial" w:hAnsi="Arial"/>
          <w:sz w:val="16"/>
          <w:szCs w:val="16"/>
          <w:color w:val="auto"/>
        </w:rPr>
        <w:t>Certain portions of the Company's noncontrolling interests in subsidiaries represent third-party interests in the net assets under certain tax equity arrangements, which are consolidated by the Company, that have been entered into to finance the cost of solar and wind facilities eligible for certain tax credits. Additionally, certain portions of the Company's investments in unconsolidated affiliates reflect the Company's interests in tax equity arrangements, that are not consolidated by the Company, that have been entered into to finance the cost of solar energy systems, under operating leases or PPAs, that are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hypothetical liquidation at book value, or HLBV, method. Under the HLBV method, the amounts reported as noncontrolling interests and investment in unconsolidated affiliates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interests and investment in unconsolidated affiliates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In addition,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 of operations using a systematic and rational method over the period during which the investor is expected to achieve its target return.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Certain prior year amounts have been reclassified for comparative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66" w:lineRule="exact"/>
        <w:rPr>
          <w:sz w:val="20"/>
          <w:szCs w:val="20"/>
          <w:color w:val="auto"/>
        </w:rPr>
      </w:pPr>
    </w:p>
    <w:p>
      <w:pPr>
        <w:jc w:val="both"/>
        <w:ind w:firstLine="400"/>
        <w:spacing w:after="0" w:line="250" w:lineRule="auto"/>
        <w:rPr>
          <w:sz w:val="20"/>
          <w:szCs w:val="20"/>
          <w:color w:val="auto"/>
        </w:rPr>
      </w:pPr>
      <w:r>
        <w:rPr>
          <w:rFonts w:ascii="Arial" w:cs="Arial" w:eastAsia="Arial" w:hAnsi="Arial"/>
          <w:sz w:val="18"/>
          <w:szCs w:val="18"/>
          <w:color w:val="auto"/>
        </w:rPr>
        <w:t>In March 2020, the FASB issued ASU No. 2020-4, Facilitation of the Effects of Reference Rate Reform on Financial Reporting.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12, 2020 through December 31, 2022. As of December 31, 2021, the Company has applied the amendments to all its eligible contract modifications, where applicable, during the reference rate reform period. Additionally, the Company has not elected any optional expedients provided in the standard.</w:t>
      </w:r>
    </w:p>
    <w:p>
      <w:pPr>
        <w:spacing w:after="0" w:line="143"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color w:val="auto"/>
        </w:rPr>
        <w:t>Effective January 1, 2021, the Company adopted ASU No. 2019-12, Income Taxes (Topic 740): Simplifying the Accounting for Income Taxes. The amendments in this ASU simplify the accounting for income taxes by removing certain exceptions to the general principles in Topic 740, Income Taxes. The amendments also improve consistent application of and simplify GAAP for other areas of Topic 740 by clarifying and amending existing guidance. Adoption of the new standard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Note 3 — Acquisitions and Dispositions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66" w:lineRule="exact"/>
        <w:rPr>
          <w:sz w:val="20"/>
          <w:szCs w:val="20"/>
          <w:color w:val="auto"/>
        </w:rPr>
      </w:pPr>
    </w:p>
    <w:p>
      <w:pPr>
        <w:jc w:val="both"/>
        <w:ind w:firstLine="400"/>
        <w:spacing w:after="0" w:line="281" w:lineRule="auto"/>
        <w:rPr>
          <w:sz w:val="20"/>
          <w:szCs w:val="20"/>
          <w:color w:val="auto"/>
        </w:rPr>
      </w:pPr>
      <w:r>
        <w:rPr>
          <w:rFonts w:ascii="Arial" w:cs="Arial" w:eastAsia="Arial" w:hAnsi="Arial"/>
          <w:sz w:val="16"/>
          <w:szCs w:val="16"/>
          <w:b w:val="1"/>
          <w:bCs w:val="1"/>
          <w:i w:val="1"/>
          <w:iCs w:val="1"/>
          <w:color w:val="auto"/>
        </w:rPr>
        <w:t xml:space="preserve">Black Rock Drop Down — </w:t>
      </w:r>
      <w:r>
        <w:rPr>
          <w:rFonts w:ascii="Arial" w:cs="Arial" w:eastAsia="Arial" w:hAnsi="Arial"/>
          <w:sz w:val="16"/>
          <w:szCs w:val="16"/>
          <w:color w:val="auto"/>
        </w:rPr>
        <w:t>On December 29, 2021, the Company, through its indirect subsidiary Lighthouse Renewable Holding Sub LLC, acquired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Class B membership interests in Black Rock Wind Holding LLC from Clearway Renew LLC, a subsidiary of CEG, for $60 million in cash consideration, $37 million of which was paid on December 29, 2021 with the remaining $23 million paid in February 2022 after all remaining turbines were operational. Lighthouse Renewable Holding Sub LLC is a wholly-owned subsidiary of Lighthouse Renewable Holdco LLC, which is a partnership between the Company and a third-party investor. The third-party investor also contributed cash consideration utilized to acquire their portion of the Class B membership interests. The Class A membership interests in Black Rock Wind Holding LLC were acquired by another third-party investor in 2020. Black Rock Wind Holding LLC, through its wholly-owned subsidiary, Black Rock Class B Holdco LLC, is the primary beneficiary and consolidates its interests in a tax equity fund, Black Rock TE Holdco LLC, that holds the Black Rock wind project, a 115 MW utility scale wind project located in Mineral County and Grant County, West Virginia, which achieved commercial operations in December 2021, as further described in Note 5, </w:t>
      </w:r>
      <w:r>
        <w:rPr>
          <w:rFonts w:ascii="Arial" w:cs="Arial" w:eastAsia="Arial" w:hAnsi="Arial"/>
          <w:sz w:val="16"/>
          <w:szCs w:val="16"/>
          <w:i w:val="1"/>
          <w:iCs w:val="1"/>
          <w:color w:val="auto"/>
        </w:rPr>
        <w:t>Investments Accounted for by the Equity Method and</w:t>
      </w:r>
      <w:r>
        <w:rPr>
          <w:rFonts w:ascii="Arial" w:cs="Arial" w:eastAsia="Arial" w:hAnsi="Arial"/>
          <w:sz w:val="16"/>
          <w:szCs w:val="16"/>
          <w:color w:val="auto"/>
        </w:rPr>
        <w:t xml:space="preserve"> </w:t>
      </w:r>
      <w:r>
        <w:rPr>
          <w:rFonts w:ascii="Arial" w:cs="Arial" w:eastAsia="Arial" w:hAnsi="Arial"/>
          <w:sz w:val="16"/>
          <w:szCs w:val="16"/>
          <w:i w:val="1"/>
          <w:iCs w:val="1"/>
          <w:color w:val="auto"/>
        </w:rPr>
        <w:t>Variable Interest Entities</w:t>
      </w:r>
      <w:r>
        <w:rPr>
          <w:rFonts w:ascii="Arial" w:cs="Arial" w:eastAsia="Arial" w:hAnsi="Arial"/>
          <w:sz w:val="16"/>
          <w:szCs w:val="16"/>
          <w:color w:val="auto"/>
        </w:rPr>
        <w:t>. As of December 31, 2021, 70 MW of the 115 MW rated capacity were operational, representing fourteen of the twenty-three wind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turbines, and the remaining 45 MW rated capacity became operational in January 2022. A majority of the project’s output is backed by contracts with investment-grade counterparties with a 15-year weighted average contract life. The Black Rock operations are reflected in the Company's Renewables segment and the acquisition was funded with existing sources of liquidity. The acquisition was determined to be an asset acquisition and not a business combination, therefore the Company consolidated the financial information for Black Rock on a prospective basis. The assets and liabilities transferred to the Company relate to interests under common control by GIP and were recorded at historical cost in accordance with ASC 805-50, </w:t>
      </w:r>
      <w:r>
        <w:rPr>
          <w:rFonts w:ascii="Arial" w:cs="Arial" w:eastAsia="Arial" w:hAnsi="Arial"/>
          <w:sz w:val="16"/>
          <w:szCs w:val="16"/>
          <w:i w:val="1"/>
          <w:iCs w:val="1"/>
          <w:color w:val="auto"/>
        </w:rPr>
        <w:t>Business Combinations -</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Issues</w:t>
      </w:r>
      <w:r>
        <w:rPr>
          <w:rFonts w:ascii="Arial" w:cs="Arial" w:eastAsia="Arial" w:hAnsi="Arial"/>
          <w:sz w:val="16"/>
          <w:szCs w:val="16"/>
          <w:color w:val="auto"/>
        </w:rPr>
        <w:t>. The difference between the cash paid of $60 million and the historical cost of the Company's acquired interests of $19 million was recorded</w:t>
      </w:r>
      <w:r>
        <w:rPr>
          <w:rFonts w:ascii="Arial" w:cs="Arial" w:eastAsia="Arial" w:hAnsi="Arial"/>
          <w:sz w:val="16"/>
          <w:szCs w:val="16"/>
          <w:i w:val="1"/>
          <w:iCs w:val="1"/>
          <w:color w:val="auto"/>
        </w:rPr>
        <w:t xml:space="preserve"> </w:t>
      </w:r>
      <w:r>
        <w:rPr>
          <w:rFonts w:ascii="Arial" w:cs="Arial" w:eastAsia="Arial" w:hAnsi="Arial"/>
          <w:sz w:val="16"/>
          <w:szCs w:val="16"/>
          <w:color w:val="auto"/>
        </w:rPr>
        <w:t>as an adjustment to CEG's noncontrolling interest balance. In addition, the Company reflected additional contributions paid by CEG and the portion of the Company’s purchase price utilized to repay long-term debt, totaling $133 million, as contributions from CEG in the statement of stockholders’ equity, and as an impact of the Black Rock Drop Down in noncontrolling interest.</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December 29, 2021: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932"/>
              <w:spacing w:after="0"/>
              <w:rPr>
                <w:sz w:val="20"/>
                <w:szCs w:val="20"/>
                <w:color w:val="auto"/>
              </w:rPr>
            </w:pPr>
            <w:r>
              <w:rPr>
                <w:rFonts w:ascii="Arial" w:cs="Arial" w:eastAsia="Arial" w:hAnsi="Arial"/>
                <w:sz w:val="16"/>
                <w:szCs w:val="16"/>
                <w:b w:val="1"/>
                <w:bCs w:val="1"/>
                <w:color w:val="auto"/>
              </w:rPr>
              <w:t>Black Rock</w:t>
            </w:r>
          </w:p>
        </w:tc>
      </w:tr>
      <w:tr>
        <w:trPr>
          <w:trHeight w:val="223"/>
        </w:trPr>
        <w:tc>
          <w:tcPr>
            <w:tcW w:w="8420" w:type="dxa"/>
            <w:vAlign w:val="bottom"/>
            <w:shd w:val="clear" w:color="auto" w:fill="CCEEFF"/>
          </w:tcPr>
          <w:p>
            <w:pPr>
              <w:ind w:left="140"/>
              <w:spacing w:after="0" w:line="222"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3"/>
                <w:szCs w:val="23"/>
                <w:color w:val="auto"/>
                <w:vertAlign w:val="superscript"/>
              </w:rPr>
              <w:t>(a)</w:t>
            </w:r>
          </w:p>
        </w:tc>
        <w:tc>
          <w:tcPr>
            <w:tcW w:w="5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Right-of-use-assets</w:t>
            </w:r>
          </w:p>
        </w:tc>
        <w:tc>
          <w:tcPr>
            <w:tcW w:w="5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5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1"/>
        </w:trPr>
        <w:tc>
          <w:tcPr>
            <w:tcW w:w="8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5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67"/>
        </w:trPr>
        <w:tc>
          <w:tcPr>
            <w:tcW w:w="8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227"/>
        </w:trPr>
        <w:tc>
          <w:tcPr>
            <w:tcW w:w="842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(b)</w:t>
            </w:r>
          </w:p>
        </w:tc>
        <w:tc>
          <w:tcPr>
            <w:tcW w:w="5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Long-term lease liabilities</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56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0"/>
        </w:trPr>
        <w:tc>
          <w:tcPr>
            <w:tcW w:w="8420" w:type="dxa"/>
            <w:vAlign w:val="bottom"/>
            <w:tcBorders>
              <w:bottom w:val="single" w:sz="8" w:color="CCEEFF"/>
            </w:tcBorders>
          </w:tcPr>
          <w:p>
            <w:pPr>
              <w:ind w:left="260"/>
              <w:spacing w:after="0" w:line="220" w:lineRule="exact"/>
              <w:rPr>
                <w:sz w:val="20"/>
                <w:szCs w:val="20"/>
                <w:color w:val="auto"/>
              </w:rPr>
            </w:pPr>
            <w:r>
              <w:rPr>
                <w:rFonts w:ascii="Arial" w:cs="Arial" w:eastAsia="Arial" w:hAnsi="Arial"/>
                <w:sz w:val="18"/>
                <w:szCs w:val="18"/>
                <w:color w:val="auto"/>
              </w:rPr>
              <w:t xml:space="preserve">Total liabilities assumed </w:t>
            </w:r>
            <w:r>
              <w:rPr>
                <w:rFonts w:ascii="Arial" w:cs="Arial" w:eastAsia="Arial" w:hAnsi="Arial"/>
                <w:sz w:val="23"/>
                <w:szCs w:val="23"/>
                <w:color w:val="auto"/>
                <w:vertAlign w:val="superscript"/>
              </w:rPr>
              <w:t>(c)</w:t>
            </w:r>
          </w:p>
        </w:tc>
        <w:tc>
          <w:tcPr>
            <w:tcW w:w="5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45"/>
        </w:trPr>
        <w:tc>
          <w:tcPr>
            <w:tcW w:w="8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firstLine="7"/>
        <w:spacing w:after="0" w:line="247" w:lineRule="auto"/>
        <w:tabs>
          <w:tab w:leader="none" w:pos="151" w:val="left"/>
        </w:tabs>
        <w:numPr>
          <w:ilvl w:val="0"/>
          <w:numId w:val="46"/>
        </w:numPr>
        <w:rPr>
          <w:rFonts w:ascii="Arial" w:cs="Arial" w:eastAsia="Arial" w:hAnsi="Arial"/>
          <w:sz w:val="17"/>
          <w:szCs w:val="17"/>
          <w:color w:val="auto"/>
          <w:vertAlign w:val="superscript"/>
        </w:rPr>
      </w:pPr>
      <w:r>
        <w:rPr>
          <w:rFonts w:ascii="Arial" w:cs="Arial" w:eastAsia="Arial" w:hAnsi="Arial"/>
          <w:sz w:val="12"/>
          <w:szCs w:val="12"/>
          <w:color w:val="auto"/>
        </w:rPr>
        <w:t>Includes $35 million reserved for project completion costs included in restricted cash on the Company's balance sheet at acquisition date, which is included within the $133 million contributed by CEG described above.</w:t>
      </w:r>
    </w:p>
    <w:p>
      <w:pPr>
        <w:spacing w:after="0" w:line="29" w:lineRule="exact"/>
        <w:rPr>
          <w:rFonts w:ascii="Arial" w:cs="Arial" w:eastAsia="Arial" w:hAnsi="Arial"/>
          <w:sz w:val="17"/>
          <w:szCs w:val="17"/>
          <w:color w:val="auto"/>
          <w:vertAlign w:val="superscript"/>
        </w:rPr>
      </w:pPr>
    </w:p>
    <w:p>
      <w:pPr>
        <w:jc w:val="both"/>
        <w:ind w:firstLine="7"/>
        <w:spacing w:after="0" w:line="364" w:lineRule="auto"/>
        <w:tabs>
          <w:tab w:leader="none" w:pos="144"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Repaid at acquisition date utilizing $56 million contributed by the tax equity investor, $36 million from the cash equity investor and $61 million contributed by CEG, all recorded as contributions in noncontrolling interest, as well as $37 million of the Company's acquisition price. Of the $190 million contributed, $186 million was utilized to pay down the acquired debt and $4 million was utilized to pay associated fees. The $61 million contributed by CEG and the Company’s initial acquisition price of $37 million are also included within the $133 million contributed by CEG described above.</w:t>
      </w:r>
    </w:p>
    <w:p>
      <w:pPr>
        <w:spacing w:after="0" w:line="30" w:lineRule="exact"/>
        <w:rPr>
          <w:rFonts w:ascii="Arial" w:cs="Arial" w:eastAsia="Arial" w:hAnsi="Arial"/>
          <w:sz w:val="16"/>
          <w:szCs w:val="16"/>
          <w:color w:val="auto"/>
          <w:vertAlign w:val="superscript"/>
        </w:rPr>
      </w:pPr>
    </w:p>
    <w:p>
      <w:pPr>
        <w:ind w:firstLine="7"/>
        <w:spacing w:after="0" w:line="236" w:lineRule="auto"/>
        <w:tabs>
          <w:tab w:leader="none" w:pos="153" w:val="left"/>
        </w:tabs>
        <w:numPr>
          <w:ilvl w:val="0"/>
          <w:numId w:val="46"/>
        </w:numPr>
        <w:rPr>
          <w:rFonts w:ascii="Arial" w:cs="Arial" w:eastAsia="Arial" w:hAnsi="Arial"/>
          <w:sz w:val="18"/>
          <w:szCs w:val="18"/>
          <w:color w:val="auto"/>
          <w:vertAlign w:val="superscript"/>
        </w:rPr>
      </w:pPr>
      <w:r>
        <w:rPr>
          <w:rFonts w:ascii="Arial" w:cs="Arial" w:eastAsia="Arial" w:hAnsi="Arial"/>
          <w:sz w:val="12"/>
          <w:szCs w:val="12"/>
          <w:color w:val="auto"/>
        </w:rPr>
        <w:t>Total liabilities assumed excludes amounts due to CEG as of December 31, 2021 for the remaining turbines that became operational in January 2022. The liabilities totaled $83 million, of which $59 million was received from the tax equity and cash equity investors and was held in escrow accounts as of December 31, 2021.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6" w:name="page97"/>
    <w:bookmarkEnd w:id="96"/>
    <w:p>
      <w:pPr>
        <w:jc w:val="both"/>
        <w:ind w:firstLine="400"/>
        <w:spacing w:after="0" w:line="264" w:lineRule="auto"/>
        <w:rPr>
          <w:sz w:val="20"/>
          <w:szCs w:val="20"/>
          <w:color w:val="auto"/>
        </w:rPr>
      </w:pPr>
      <w:r>
        <w:rPr>
          <w:rFonts w:ascii="Arial" w:cs="Arial" w:eastAsia="Arial" w:hAnsi="Arial"/>
          <w:sz w:val="17"/>
          <w:szCs w:val="17"/>
          <w:b w:val="1"/>
          <w:bCs w:val="1"/>
          <w:i w:val="1"/>
          <w:iCs w:val="1"/>
          <w:color w:val="auto"/>
        </w:rPr>
        <w:t xml:space="preserve">Mesquite Sky Drop Down — </w:t>
      </w:r>
      <w:r>
        <w:rPr>
          <w:rFonts w:ascii="Arial" w:cs="Arial" w:eastAsia="Arial" w:hAnsi="Arial"/>
          <w:sz w:val="17"/>
          <w:szCs w:val="17"/>
          <w:color w:val="auto"/>
        </w:rPr>
        <w:t>On December 17, 2021, the Company, through its indirect subsidiary Lighthouse Renewable Holdco 2 LLC, acquired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Class B membership interests of Mesquite Sky Holding LLC from Clearway Renew LLC, a subsidiary of CEG, for $61 million in cash consideration. Lighthouse Renewable Holdco 2 LLC is a partnership between the Company and a third-party investor. The third-party investor also contributed cash consideration utilized to acquire their portion of the Class B membership interests. The Class A membership interests of Mesquite Sky Holding LLC were acquired by another third-party investor in 2020. Mesquite Sky Holding LLC, through its wholly-owned subsidiary, Mesquite Sky Class B Holdco LLC, is the primary beneficiary and consolidates its interests in a tax equity fund, Mesquite Sky TE Holdco LLC, that holds the Mesquite Sky wind project, a 340 MW utility scale wind project located in Callahan County, Texas, which achieved commercial operations in December 2021, as further described in Note 5, </w:t>
      </w:r>
      <w:r>
        <w:rPr>
          <w:rFonts w:ascii="Arial" w:cs="Arial" w:eastAsia="Arial" w:hAnsi="Arial"/>
          <w:sz w:val="17"/>
          <w:szCs w:val="17"/>
          <w:i w:val="1"/>
          <w:iCs w:val="1"/>
          <w:color w:val="auto"/>
        </w:rPr>
        <w:t>Investments Accounted for by the Equity Method and Variable Interest Entities</w:t>
      </w:r>
      <w:r>
        <w:rPr>
          <w:rFonts w:ascii="Arial" w:cs="Arial" w:eastAsia="Arial" w:hAnsi="Arial"/>
          <w:sz w:val="17"/>
          <w:szCs w:val="17"/>
          <w:color w:val="auto"/>
        </w:rPr>
        <w:t xml:space="preserve">. A majority of the project’s output is backed by contracts with investment-grade counterparties with a 12-year weighted average contract life. The Mesquite Sky operations are reflected in the Company's Renewables segment and the acquisition was funded with existing sources of liquidity. The acquisition was determined to be an asset acquisition and not a business combination, therefore the Company consolidated the financial information for Mesquite Sky on a prospective basis. The assets and liabilities transferred to the Company relate to interests under common control by GIP and were recorded at historical cost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sum of the cash paid of $61 million and the historical cost of the Company's net liabilities assumed of $7 million was recorded as an adjustment to CEG's noncontrolling interest balance. The difference between cash paid, interests acquired, and the balance in equity is capital reserved for project completion. In addition, the Company reflected additional contributions paid by CEG and the portion of the Company’s purchase price utilized to repay long-term debt, totaling $52 million, as contributions from CEG in the statement of stockholders’ equity, and as an impact of the Mesquite Sky drop down in noncontrolling interest.</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December 17, 2021: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852"/>
              <w:spacing w:after="0"/>
              <w:rPr>
                <w:sz w:val="20"/>
                <w:szCs w:val="20"/>
                <w:color w:val="auto"/>
              </w:rPr>
            </w:pPr>
            <w:r>
              <w:rPr>
                <w:rFonts w:ascii="Arial" w:cs="Arial" w:eastAsia="Arial" w:hAnsi="Arial"/>
                <w:sz w:val="16"/>
                <w:szCs w:val="16"/>
                <w:b w:val="1"/>
                <w:bCs w:val="1"/>
                <w:color w:val="auto"/>
              </w:rPr>
              <w:t>Mesquite Sky</w:t>
            </w:r>
          </w:p>
        </w:tc>
      </w:tr>
      <w:tr>
        <w:trPr>
          <w:trHeight w:val="223"/>
        </w:trPr>
        <w:tc>
          <w:tcPr>
            <w:tcW w:w="8420" w:type="dxa"/>
            <w:vAlign w:val="bottom"/>
            <w:shd w:val="clear" w:color="auto" w:fill="CCEEFF"/>
          </w:tcPr>
          <w:p>
            <w:pPr>
              <w:ind w:left="140"/>
              <w:spacing w:after="0" w:line="222"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3"/>
                <w:szCs w:val="23"/>
                <w:color w:val="auto"/>
                <w:vertAlign w:val="superscript"/>
              </w:rPr>
              <w:t>(a)</w:t>
            </w: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 use assets</w:t>
            </w:r>
          </w:p>
        </w:tc>
        <w:tc>
          <w:tcPr>
            <w:tcW w:w="5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6"/>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5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1"/>
        </w:trPr>
        <w:tc>
          <w:tcPr>
            <w:tcW w:w="8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5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67"/>
        </w:trPr>
        <w:tc>
          <w:tcPr>
            <w:tcW w:w="8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227"/>
        </w:trPr>
        <w:tc>
          <w:tcPr>
            <w:tcW w:w="842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(b)</w:t>
            </w:r>
          </w:p>
        </w:tc>
        <w:tc>
          <w:tcPr>
            <w:tcW w:w="5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Long-term lease liabilities</w:t>
            </w:r>
          </w:p>
        </w:tc>
        <w:tc>
          <w:tcPr>
            <w:tcW w:w="5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liabilities</w:t>
            </w:r>
          </w:p>
        </w:tc>
        <w:tc>
          <w:tcPr>
            <w:tcW w:w="5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6"/>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5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1"/>
        </w:trPr>
        <w:tc>
          <w:tcPr>
            <w:tcW w:w="8420" w:type="dxa"/>
            <w:vAlign w:val="bottom"/>
            <w:shd w:val="clear" w:color="auto" w:fill="CCEEFF"/>
          </w:tcPr>
          <w:p>
            <w:pPr>
              <w:ind w:left="260"/>
              <w:spacing w:after="0" w:line="221" w:lineRule="exact"/>
              <w:rPr>
                <w:sz w:val="20"/>
                <w:szCs w:val="20"/>
                <w:color w:val="auto"/>
              </w:rPr>
            </w:pPr>
            <w:r>
              <w:rPr>
                <w:rFonts w:ascii="Arial" w:cs="Arial" w:eastAsia="Arial" w:hAnsi="Arial"/>
                <w:sz w:val="18"/>
                <w:szCs w:val="18"/>
                <w:color w:val="auto"/>
              </w:rPr>
              <w:t xml:space="preserve">Total liabilities assumed </w:t>
            </w:r>
            <w:r>
              <w:rPr>
                <w:rFonts w:ascii="Arial" w:cs="Arial" w:eastAsia="Arial" w:hAnsi="Arial"/>
                <w:sz w:val="23"/>
                <w:szCs w:val="23"/>
                <w:color w:val="auto"/>
                <w:vertAlign w:val="superscript"/>
              </w:rPr>
              <w:t>(c)</w:t>
            </w:r>
          </w:p>
        </w:tc>
        <w:tc>
          <w:tcPr>
            <w:tcW w:w="52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20"/>
        </w:trPr>
        <w:tc>
          <w:tcPr>
            <w:tcW w:w="8420" w:type="dxa"/>
            <w:vAlign w:val="bottom"/>
          </w:tcPr>
          <w:p>
            <w:pPr>
              <w:ind w:left="260"/>
              <w:spacing w:after="0"/>
              <w:rPr>
                <w:sz w:val="20"/>
                <w:szCs w:val="20"/>
                <w:color w:val="auto"/>
              </w:rPr>
            </w:pPr>
            <w:r>
              <w:rPr>
                <w:rFonts w:ascii="Arial" w:cs="Arial" w:eastAsia="Arial" w:hAnsi="Arial"/>
                <w:sz w:val="18"/>
                <w:szCs w:val="18"/>
                <w:color w:val="auto"/>
              </w:rPr>
              <w:t>Net liabilities assumed</w:t>
            </w:r>
          </w:p>
        </w:tc>
        <w:tc>
          <w:tcPr>
            <w:tcW w:w="5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7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8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firstLine="7"/>
        <w:spacing w:after="0"/>
        <w:tabs>
          <w:tab w:leader="none" w:pos="138"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Includes $44 million reserved for project completion costs included in restricted cash on the Company's balance sheet at acquisition date, which is included within the $52 million contributed by CEG described above.</w:t>
      </w:r>
    </w:p>
    <w:p>
      <w:pPr>
        <w:spacing w:after="0" w:line="215" w:lineRule="exact"/>
        <w:rPr>
          <w:rFonts w:ascii="Arial" w:cs="Arial" w:eastAsia="Arial" w:hAnsi="Arial"/>
          <w:sz w:val="16"/>
          <w:szCs w:val="16"/>
          <w:color w:val="auto"/>
          <w:vertAlign w:val="superscript"/>
        </w:rPr>
      </w:pPr>
    </w:p>
    <w:p>
      <w:pPr>
        <w:jc w:val="both"/>
        <w:ind w:firstLine="7"/>
        <w:spacing w:after="0" w:line="248" w:lineRule="auto"/>
        <w:tabs>
          <w:tab w:leader="none" w:pos="161" w:val="left"/>
        </w:tabs>
        <w:numPr>
          <w:ilvl w:val="0"/>
          <w:numId w:val="47"/>
        </w:numPr>
        <w:rPr>
          <w:rFonts w:ascii="Arial" w:cs="Arial" w:eastAsia="Arial" w:hAnsi="Arial"/>
          <w:sz w:val="18"/>
          <w:szCs w:val="18"/>
          <w:color w:val="auto"/>
          <w:vertAlign w:val="superscript"/>
        </w:rPr>
      </w:pPr>
      <w:r>
        <w:rPr>
          <w:rFonts w:ascii="Arial" w:cs="Arial" w:eastAsia="Arial" w:hAnsi="Arial"/>
          <w:sz w:val="12"/>
          <w:szCs w:val="12"/>
          <w:color w:val="auto"/>
        </w:rPr>
        <w:t>Repaid at acquisition date utilizing $241 million contributed by the tax equity investor and $107 million contributed by the cash equity investor, both recorded as contributions in noncontrolling interest, as well as the Company's $61 million acquisition price. Of the $409 million contributed, $355 million was utilized to pay down the acquired debt and $1 million was utilized to pay associated fees. The remaining $53 million was distributed to CEG for the acquisition. The net of the Company’s $61 million acquisition price and the distribution to CEG of $53 million are included within the $52 million contributed by CEG described above.</w:t>
      </w:r>
    </w:p>
    <w:p>
      <w:pPr>
        <w:spacing w:after="0" w:line="193" w:lineRule="exact"/>
        <w:rPr>
          <w:rFonts w:ascii="Arial" w:cs="Arial" w:eastAsia="Arial" w:hAnsi="Arial"/>
          <w:sz w:val="18"/>
          <w:szCs w:val="18"/>
          <w:color w:val="auto"/>
          <w:vertAlign w:val="superscript"/>
        </w:rPr>
      </w:pPr>
    </w:p>
    <w:p>
      <w:pPr>
        <w:ind w:firstLine="7"/>
        <w:spacing w:after="0" w:line="222" w:lineRule="auto"/>
        <w:tabs>
          <w:tab w:leader="none" w:pos="157" w:val="left"/>
        </w:tabs>
        <w:numPr>
          <w:ilvl w:val="0"/>
          <w:numId w:val="47"/>
        </w:numPr>
        <w:rPr>
          <w:rFonts w:ascii="Arial" w:cs="Arial" w:eastAsia="Arial" w:hAnsi="Arial"/>
          <w:sz w:val="19"/>
          <w:szCs w:val="19"/>
          <w:color w:val="auto"/>
          <w:vertAlign w:val="superscript"/>
        </w:rPr>
      </w:pPr>
      <w:r>
        <w:rPr>
          <w:rFonts w:ascii="Arial" w:cs="Arial" w:eastAsia="Arial" w:hAnsi="Arial"/>
          <w:sz w:val="13"/>
          <w:szCs w:val="13"/>
          <w:color w:val="auto"/>
        </w:rPr>
        <w:t>Total liabilities assumed excludes amounts due to CEG as of December 31, 2021 of $6 million, of which $5 million was received from the tax equity and cash equity investors and was held in escrow accounts as of December 31, 2021.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7" w:name="page98"/>
    <w:bookmarkEnd w:id="97"/>
    <w:p>
      <w:pPr>
        <w:jc w:val="both"/>
        <w:ind w:firstLine="400"/>
        <w:spacing w:after="0" w:line="266" w:lineRule="auto"/>
        <w:rPr>
          <w:sz w:val="20"/>
          <w:szCs w:val="20"/>
          <w:color w:val="auto"/>
        </w:rPr>
      </w:pPr>
      <w:r>
        <w:rPr>
          <w:rFonts w:ascii="Arial" w:cs="Arial" w:eastAsia="Arial" w:hAnsi="Arial"/>
          <w:sz w:val="17"/>
          <w:szCs w:val="17"/>
          <w:b w:val="1"/>
          <w:bCs w:val="1"/>
          <w:i w:val="1"/>
          <w:iCs w:val="1"/>
          <w:color w:val="auto"/>
        </w:rPr>
        <w:t xml:space="preserve">Utah Solar Portfolio Acquisition </w:t>
      </w:r>
      <w:r>
        <w:rPr>
          <w:rFonts w:ascii="Arial" w:cs="Arial" w:eastAsia="Arial" w:hAnsi="Arial"/>
          <w:sz w:val="17"/>
          <w:szCs w:val="17"/>
          <w:color w:val="auto"/>
        </w:rPr>
        <w:t>— On December 1, 2021, the Company acquired the remaining 50% equity interest in the Utah Solar Portfolio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Dominion Solar Projects III, Inc., for approximately $335 million before working capital and purchase price adjustments in the net amount of $5 million, representing total net consideration of $330 million. The Utah Solar Portfolio consists of seven utility-scale solar farms located in Utah, representing 530 MW of capacity. The assets within the portfolio sell power subject to 20-year PPAs with PacifiCorp that have approximately 15 years remaining under the agreements. Following the close of the transaction, the Company owns 100% of the membership interests in the Utah Solar Portfolio and consolidates the Utah Solar Portfolio. The Utah Solar Portfolio operations are included in the Company's Renewables segment. The acquisition was determined to be an asset acquisition and the cash consideration of $330 million, net of restricted cash acquired of $8 million, represented a net cash outflow of $322 million, which was allocated to the fair value of the assets acquired and liabilities assumed on the acquisition date. The acquisition was funded with the borrowings under the Bridge Loan Agreement, as described in Note 10, </w:t>
      </w:r>
      <w:r>
        <w:rPr>
          <w:rFonts w:ascii="Arial" w:cs="Arial" w:eastAsia="Arial" w:hAnsi="Arial"/>
          <w:sz w:val="17"/>
          <w:szCs w:val="17"/>
          <w:i w:val="1"/>
          <w:iCs w:val="1"/>
          <w:color w:val="auto"/>
        </w:rPr>
        <w:t>Long-term Debt.</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December 1,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Utah Solar Portfolio</w:t>
            </w:r>
          </w:p>
        </w:tc>
      </w:tr>
      <w:tr>
        <w:trPr>
          <w:trHeight w:val="223"/>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6"/>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4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27"/>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for power purchase agreement</w:t>
            </w:r>
          </w:p>
        </w:tc>
        <w:tc>
          <w:tcPr>
            <w:tcW w:w="4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26"/>
        </w:trPr>
        <w:tc>
          <w:tcPr>
            <w:tcW w:w="8380" w:type="dxa"/>
            <w:vAlign w:val="bottom"/>
          </w:tcPr>
          <w:p>
            <w:pPr>
              <w:ind w:left="140"/>
              <w:spacing w:after="0"/>
              <w:rPr>
                <w:sz w:val="20"/>
                <w:szCs w:val="20"/>
                <w:color w:val="auto"/>
              </w:rPr>
            </w:pPr>
            <w:r>
              <w:rPr>
                <w:rFonts w:ascii="Arial" w:cs="Arial" w:eastAsia="Arial" w:hAnsi="Arial"/>
                <w:sz w:val="18"/>
                <w:szCs w:val="18"/>
                <w:color w:val="auto"/>
              </w:rPr>
              <w:t>Other intangible assets</w:t>
            </w:r>
          </w:p>
        </w:tc>
        <w:tc>
          <w:tcPr>
            <w:tcW w:w="4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7"/>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 use assets</w:t>
            </w:r>
          </w:p>
        </w:tc>
        <w:tc>
          <w:tcPr>
            <w:tcW w:w="40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19"/>
        </w:trPr>
        <w:tc>
          <w:tcPr>
            <w:tcW w:w="838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4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67"/>
        </w:trPr>
        <w:tc>
          <w:tcPr>
            <w:tcW w:w="83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r>
      <w:tr>
        <w:trPr>
          <w:trHeight w:val="226"/>
        </w:trPr>
        <w:tc>
          <w:tcPr>
            <w:tcW w:w="8380" w:type="dxa"/>
            <w:vAlign w:val="bottom"/>
          </w:tcPr>
          <w:p>
            <w:pPr>
              <w:ind w:left="140"/>
              <w:spacing w:after="0"/>
              <w:rPr>
                <w:sz w:val="20"/>
                <w:szCs w:val="20"/>
                <w:color w:val="auto"/>
              </w:rPr>
            </w:pPr>
            <w:r>
              <w:rPr>
                <w:rFonts w:ascii="Arial" w:cs="Arial" w:eastAsia="Arial" w:hAnsi="Arial"/>
                <w:sz w:val="18"/>
                <w:szCs w:val="18"/>
                <w:color w:val="auto"/>
              </w:rPr>
              <w:t>Long-term lease liabilities</w:t>
            </w:r>
          </w:p>
        </w:tc>
        <w:tc>
          <w:tcPr>
            <w:tcW w:w="4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27"/>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9"/>
        </w:trPr>
        <w:tc>
          <w:tcPr>
            <w:tcW w:w="83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liabilities assumed</w:t>
            </w:r>
          </w:p>
        </w:tc>
        <w:tc>
          <w:tcPr>
            <w:tcW w:w="4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2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 removed</w:t>
            </w:r>
          </w:p>
        </w:tc>
        <w:tc>
          <w:tcPr>
            <w:tcW w:w="40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1"/>
        </w:trPr>
        <w:tc>
          <w:tcPr>
            <w:tcW w:w="838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0"/>
        </w:trPr>
        <w:tc>
          <w:tcPr>
            <w:tcW w:w="8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b w:val="1"/>
          <w:bCs w:val="1"/>
          <w:i w:val="1"/>
          <w:iCs w:val="1"/>
          <w:color w:val="auto"/>
        </w:rPr>
        <w:t xml:space="preserve">Mt. Storm Wind Acquisition — </w:t>
      </w:r>
      <w:r>
        <w:rPr>
          <w:rFonts w:ascii="Arial" w:cs="Arial" w:eastAsia="Arial" w:hAnsi="Arial"/>
          <w:sz w:val="17"/>
          <w:szCs w:val="17"/>
          <w:color w:val="auto"/>
        </w:rPr>
        <w:t>On April 23, 2021, the Company acquired 100% of the equity interests in NedPower Mount Storm LLC, or Mt. Storm,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Castleton Commodities International for approximately $96 million before working capital and purchase price adjustments in the net amount of $4 million, representing a total net consideration of $100 million. Mt. Storm is a 264 MW wind project located in Grant County, West Virginia. Mt. Storm has a 10-year energy hedge with an investment-grade counterparty. The acquisition was determined to be an asset acquisition and the purchase price was allocated to the fair value of the assets acquired and liabilities assumed on the acquisition date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972"/>
              <w:spacing w:after="0"/>
              <w:rPr>
                <w:sz w:val="20"/>
                <w:szCs w:val="20"/>
                <w:color w:val="auto"/>
              </w:rPr>
            </w:pPr>
            <w:r>
              <w:rPr>
                <w:rFonts w:ascii="Arial" w:cs="Arial" w:eastAsia="Arial" w:hAnsi="Arial"/>
                <w:sz w:val="16"/>
                <w:szCs w:val="16"/>
                <w:b w:val="1"/>
                <w:bCs w:val="1"/>
                <w:color w:val="auto"/>
              </w:rPr>
              <w:t>Mt. Storm</w:t>
            </w:r>
          </w:p>
        </w:tc>
      </w:tr>
      <w:tr>
        <w:trPr>
          <w:trHeight w:val="223"/>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7"/>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5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9"/>
        </w:trPr>
        <w:tc>
          <w:tcPr>
            <w:tcW w:w="83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 acquired</w:t>
            </w:r>
          </w:p>
        </w:tc>
        <w:tc>
          <w:tcPr>
            <w:tcW w:w="5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47"/>
        </w:trPr>
        <w:tc>
          <w:tcPr>
            <w:tcW w:w="83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r>
      <w:tr>
        <w:trPr>
          <w:trHeight w:val="226"/>
        </w:trPr>
        <w:tc>
          <w:tcPr>
            <w:tcW w:w="8380" w:type="dxa"/>
            <w:vAlign w:val="bottom"/>
          </w:tcPr>
          <w:p>
            <w:pPr>
              <w:ind w:left="140"/>
              <w:spacing w:after="0"/>
              <w:rPr>
                <w:sz w:val="20"/>
                <w:szCs w:val="20"/>
                <w:color w:val="auto"/>
              </w:rPr>
            </w:pPr>
            <w:r>
              <w:rPr>
                <w:rFonts w:ascii="Arial" w:cs="Arial" w:eastAsia="Arial" w:hAnsi="Arial"/>
                <w:sz w:val="18"/>
                <w:szCs w:val="18"/>
                <w:color w:val="auto"/>
              </w:rPr>
              <w:t>Derivative instruments</w:t>
            </w:r>
          </w:p>
        </w:tc>
        <w:tc>
          <w:tcPr>
            <w:tcW w:w="5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7"/>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5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9"/>
        </w:trPr>
        <w:tc>
          <w:tcPr>
            <w:tcW w:w="83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liabilities assumed</w:t>
            </w:r>
          </w:p>
        </w:tc>
        <w:tc>
          <w:tcPr>
            <w:tcW w:w="5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6"/>
        </w:trPr>
        <w:tc>
          <w:tcPr>
            <w:tcW w:w="8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8" w:name="page99"/>
    <w:bookmarkEnd w:id="98"/>
    <w:p>
      <w:pPr>
        <w:jc w:val="both"/>
        <w:ind w:firstLine="320"/>
        <w:spacing w:after="0" w:line="286" w:lineRule="auto"/>
        <w:rPr>
          <w:sz w:val="20"/>
          <w:szCs w:val="20"/>
          <w:color w:val="auto"/>
        </w:rPr>
      </w:pPr>
      <w:r>
        <w:rPr>
          <w:rFonts w:ascii="Arial" w:cs="Arial" w:eastAsia="Arial" w:hAnsi="Arial"/>
          <w:sz w:val="16"/>
          <w:szCs w:val="16"/>
          <w:b w:val="1"/>
          <w:bCs w:val="1"/>
          <w:i w:val="1"/>
          <w:iCs w:val="1"/>
          <w:color w:val="auto"/>
        </w:rPr>
        <w:t xml:space="preserve">Agua Caliente Acquisition — </w:t>
      </w:r>
      <w:r>
        <w:rPr>
          <w:rFonts w:ascii="Arial" w:cs="Arial" w:eastAsia="Arial" w:hAnsi="Arial"/>
          <w:sz w:val="16"/>
          <w:szCs w:val="16"/>
          <w:color w:val="auto"/>
        </w:rPr>
        <w:t>On February 3, 2021, the Company acquired an additional 35% equity interest in the Agua Caliente solar project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NRG Energy, Inc. for $202 million. Agua Caliente is a 290 MW solar project located in Dateland, Arizona in which Clearway previously owned a 16% equity interest. The project has a 25-year PPA with PG&amp;E, with approximately 17 years remaining under the agreement. Following the close of the transaction, the Company owns a 51% equity interest in Agua Caliente. The Agua Caliente operations are included in the Company's Renewables segment. The acquisition was determined to be an asset acquisition and the cash consideration of $202 million, net of restricted cash acquired of $91 million, represented a net cash outflow of $111 million, which was allocated to the fair value of the assets acquired and liabilities assumed on the acquisition date. A third-party investor holds the remaining 49% equity interest in Agua Caliente, which is reflected in noncontrolling interest at fair value at the acquisition date.</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assets and liabilities obtained in connection with the acquisition as of February 3,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832"/>
              <w:spacing w:after="0"/>
              <w:rPr>
                <w:sz w:val="20"/>
                <w:szCs w:val="20"/>
                <w:color w:val="auto"/>
              </w:rPr>
            </w:pPr>
            <w:r>
              <w:rPr>
                <w:rFonts w:ascii="Arial" w:cs="Arial" w:eastAsia="Arial" w:hAnsi="Arial"/>
                <w:sz w:val="16"/>
                <w:szCs w:val="16"/>
                <w:b w:val="1"/>
                <w:bCs w:val="1"/>
                <w:color w:val="auto"/>
              </w:rPr>
              <w:t>Agua Caliente</w:t>
            </w:r>
          </w:p>
        </w:tc>
      </w:tr>
      <w:tr>
        <w:trPr>
          <w:trHeight w:val="223"/>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for power purchase agreement</w:t>
            </w:r>
          </w:p>
        </w:tc>
        <w:tc>
          <w:tcPr>
            <w:tcW w:w="5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26"/>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5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1"/>
        </w:trPr>
        <w:tc>
          <w:tcPr>
            <w:tcW w:w="8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5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67"/>
        </w:trPr>
        <w:tc>
          <w:tcPr>
            <w:tcW w:w="8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5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26"/>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5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1"/>
        </w:trPr>
        <w:tc>
          <w:tcPr>
            <w:tcW w:w="8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52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19"/>
        </w:trPr>
        <w:tc>
          <w:tcPr>
            <w:tcW w:w="842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5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 removed</w:t>
            </w:r>
          </w:p>
        </w:tc>
        <w:tc>
          <w:tcPr>
            <w:tcW w:w="52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1"/>
        </w:trPr>
        <w:tc>
          <w:tcPr>
            <w:tcW w:w="8420" w:type="dxa"/>
            <w:vAlign w:val="bottom"/>
          </w:tcPr>
          <w:p>
            <w:pPr>
              <w:ind w:left="260"/>
              <w:spacing w:after="0"/>
              <w:rPr>
                <w:sz w:val="20"/>
                <w:szCs w:val="20"/>
                <w:color w:val="auto"/>
              </w:rPr>
            </w:pPr>
            <w:r>
              <w:rPr>
                <w:rFonts w:ascii="Arial" w:cs="Arial" w:eastAsia="Arial" w:hAnsi="Arial"/>
                <w:sz w:val="18"/>
                <w:szCs w:val="18"/>
                <w:color w:val="auto"/>
              </w:rPr>
              <w:t>Net assets acquired less noncontrolling interest</w:t>
            </w:r>
          </w:p>
        </w:tc>
        <w:tc>
          <w:tcPr>
            <w:tcW w:w="5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7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8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400"/>
        <w:spacing w:after="0" w:line="284" w:lineRule="auto"/>
        <w:rPr>
          <w:sz w:val="20"/>
          <w:szCs w:val="20"/>
          <w:color w:val="auto"/>
        </w:rPr>
      </w:pPr>
      <w:r>
        <w:rPr>
          <w:rFonts w:ascii="Arial" w:cs="Arial" w:eastAsia="Arial" w:hAnsi="Arial"/>
          <w:sz w:val="16"/>
          <w:szCs w:val="16"/>
          <w:b w:val="1"/>
          <w:bCs w:val="1"/>
          <w:i w:val="1"/>
          <w:iCs w:val="1"/>
          <w:color w:val="auto"/>
        </w:rPr>
        <w:t xml:space="preserve">Rattlesnake Drop Down — </w:t>
      </w:r>
      <w:r>
        <w:rPr>
          <w:rFonts w:ascii="Arial" w:cs="Arial" w:eastAsia="Arial" w:hAnsi="Arial"/>
          <w:sz w:val="16"/>
          <w:szCs w:val="16"/>
          <w:color w:val="auto"/>
        </w:rPr>
        <w:t>On January 12, 2021, the Company acquired CEG's equity interest and a third-party investor's minority interest in CWSP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Rattlesnake Holding, LLC for $132 million in cash consideration. CWSP Rattlesnake Holding LLC indirectly consolidates the Rattlesnake wind project, a 160 MW wind facility with 144 MW of deliverable capacity in Adams County, Washington, as further described in Note 5, </w:t>
      </w:r>
      <w:r>
        <w:rPr>
          <w:rFonts w:ascii="Arial" w:cs="Arial" w:eastAsia="Arial" w:hAnsi="Arial"/>
          <w:sz w:val="16"/>
          <w:szCs w:val="16"/>
          <w:i w:val="1"/>
          <w:iCs w:val="1"/>
          <w:color w:val="auto"/>
        </w:rPr>
        <w:t>Investments Accounted for by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Method and Variable Interest Entities. </w:t>
      </w:r>
      <w:r>
        <w:rPr>
          <w:rFonts w:ascii="Arial" w:cs="Arial" w:eastAsia="Arial" w:hAnsi="Arial"/>
          <w:sz w:val="16"/>
          <w:szCs w:val="16"/>
          <w:color w:val="auto"/>
        </w:rPr>
        <w:t>The project has a 20-year PPA with Avista Corporation, which began when the facility reached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operations in December 2020. The Rattlesnake operations are included in the Company's Renewables segment. The acquisition was determined to be an asset acquisition and not a business combination, therefore, the Company consolidated the financial information for Rattlesnake on a prospective basis. The assets and liabilities transferred to the Company relate to interests under common control by GIP and were recorded at historical cost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difference between the cash paid of $132 million and the historical cost of the Company's acquired interests of $14 million was recorded as an adjustment to CEG's noncontrolling interest balance.</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January 12, 2021: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912"/>
              <w:spacing w:after="0"/>
              <w:rPr>
                <w:sz w:val="20"/>
                <w:szCs w:val="20"/>
                <w:color w:val="auto"/>
              </w:rPr>
            </w:pPr>
            <w:r>
              <w:rPr>
                <w:rFonts w:ascii="Arial" w:cs="Arial" w:eastAsia="Arial" w:hAnsi="Arial"/>
                <w:sz w:val="16"/>
                <w:szCs w:val="16"/>
                <w:b w:val="1"/>
                <w:bCs w:val="1"/>
                <w:color w:val="auto"/>
              </w:rPr>
              <w:t>Rattlesnake</w:t>
            </w:r>
          </w:p>
        </w:tc>
      </w:tr>
      <w:tr>
        <w:trPr>
          <w:trHeight w:val="223"/>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assets</w:t>
            </w:r>
          </w:p>
        </w:tc>
        <w:tc>
          <w:tcPr>
            <w:tcW w:w="56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9"/>
        </w:trPr>
        <w:tc>
          <w:tcPr>
            <w:tcW w:w="842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67"/>
        </w:trPr>
        <w:tc>
          <w:tcPr>
            <w:tcW w:w="8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r>
      <w:tr>
        <w:trPr>
          <w:trHeight w:val="227"/>
        </w:trPr>
        <w:tc>
          <w:tcPr>
            <w:tcW w:w="8420" w:type="dxa"/>
            <w:vAlign w:val="bottom"/>
          </w:tcPr>
          <w:p>
            <w:pPr>
              <w:ind w:left="140"/>
              <w:spacing w:after="0" w:line="226"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(a)</w:t>
            </w:r>
          </w:p>
        </w:tc>
        <w:tc>
          <w:tcPr>
            <w:tcW w:w="5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lease liabilities</w:t>
            </w:r>
          </w:p>
        </w:tc>
        <w:tc>
          <w:tcPr>
            <w:tcW w:w="5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6"/>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5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0"/>
        </w:trPr>
        <w:tc>
          <w:tcPr>
            <w:tcW w:w="8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56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1"/>
        </w:trPr>
        <w:tc>
          <w:tcPr>
            <w:tcW w:w="842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5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8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right="20" w:firstLine="7"/>
        <w:spacing w:after="0" w:line="222" w:lineRule="auto"/>
        <w:tabs>
          <w:tab w:leader="none" w:pos="169" w:val="left"/>
        </w:tabs>
        <w:numPr>
          <w:ilvl w:val="0"/>
          <w:numId w:val="48"/>
        </w:numPr>
        <w:rPr>
          <w:rFonts w:ascii="Arial" w:cs="Arial" w:eastAsia="Arial" w:hAnsi="Arial"/>
          <w:sz w:val="19"/>
          <w:szCs w:val="19"/>
          <w:color w:val="auto"/>
          <w:vertAlign w:val="superscript"/>
        </w:rPr>
      </w:pPr>
      <w:r>
        <w:rPr>
          <w:rFonts w:ascii="Arial" w:cs="Arial" w:eastAsia="Arial" w:hAnsi="Arial"/>
          <w:sz w:val="13"/>
          <w:szCs w:val="13"/>
          <w:color w:val="auto"/>
        </w:rPr>
        <w:t>Repaid at acquisition date utilizing $107 million contributed by tax equity investor and $103 million contributed by CEG, both recorded as contributions in noncontrolling interest. Of the $210 million contributed, $176 million was utilized to pay down the acquired debt, $29 million was utilized to fund project reserve accounts and $5 million was utilized to pay associated fees.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9" w:name="page100"/>
    <w:bookmarkEnd w:id="99"/>
    <w:p>
      <w:pPr>
        <w:jc w:val="both"/>
        <w:ind w:firstLine="400"/>
        <w:spacing w:after="0" w:line="266" w:lineRule="auto"/>
        <w:rPr>
          <w:sz w:val="20"/>
          <w:szCs w:val="20"/>
          <w:color w:val="auto"/>
        </w:rPr>
      </w:pPr>
      <w:r>
        <w:rPr>
          <w:rFonts w:ascii="Arial" w:cs="Arial" w:eastAsia="Arial" w:hAnsi="Arial"/>
          <w:sz w:val="17"/>
          <w:szCs w:val="17"/>
          <w:b w:val="1"/>
          <w:bCs w:val="1"/>
          <w:i w:val="1"/>
          <w:iCs w:val="1"/>
          <w:color w:val="auto"/>
        </w:rPr>
        <w:t xml:space="preserve">Langford Drop Down — </w:t>
      </w:r>
      <w:r>
        <w:rPr>
          <w:rFonts w:ascii="Arial" w:cs="Arial" w:eastAsia="Arial" w:hAnsi="Arial"/>
          <w:sz w:val="17"/>
          <w:szCs w:val="17"/>
          <w:color w:val="auto"/>
        </w:rPr>
        <w:t>On November 20, 2020, the Company acquired 100% of the Class B membership interest in Langford Holding LLC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CEG for $55 million as well as a minority interest from a third-party investor for $9 million. Langford Holding LLC indirectly consolidates its interest in the Langford wind project as further described in Note 5, </w:t>
      </w:r>
      <w:r>
        <w:rPr>
          <w:rFonts w:ascii="Arial" w:cs="Arial" w:eastAsia="Arial" w:hAnsi="Arial"/>
          <w:sz w:val="17"/>
          <w:szCs w:val="17"/>
          <w:i w:val="1"/>
          <w:iCs w:val="1"/>
          <w:color w:val="auto"/>
        </w:rPr>
        <w:t>Investments Accounted for by the Equity Method and Variable Interest Entities.</w:t>
      </w:r>
      <w:r>
        <w:rPr>
          <w:rFonts w:ascii="Arial" w:cs="Arial" w:eastAsia="Arial" w:hAnsi="Arial"/>
          <w:sz w:val="17"/>
          <w:szCs w:val="17"/>
          <w:color w:val="auto"/>
        </w:rPr>
        <w:t xml:space="preserve"> The Langford project is a 160 MW wind project located in West Texas which achieved repowering commercial operations in November 2020. The Langford operations are included in the Company's Renewables segment and the acquisition was funded with cash on hand. The acquisition was determined to be an asset acquisition and not a business combination, therefore the Company consolidated the financial information for Langford on a prospective basis. The assets and liabilities transferred to the Company relate to interests under common control by GIP and were recorded at historical cost in accordance with ASC 805-50,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 - Related Issues</w:t>
      </w:r>
      <w:r>
        <w:rPr>
          <w:rFonts w:ascii="Arial" w:cs="Arial" w:eastAsia="Arial" w:hAnsi="Arial"/>
          <w:sz w:val="17"/>
          <w:szCs w:val="17"/>
          <w:color w:val="auto"/>
        </w:rPr>
        <w:t>. The difference between the cash paid of $64 million and the historical value of the Company's acquired interests of $21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was recorded as an adjustment to noncontrolling interest.</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November 20, 2020: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6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992"/>
              <w:spacing w:after="0"/>
              <w:rPr>
                <w:sz w:val="20"/>
                <w:szCs w:val="20"/>
                <w:color w:val="auto"/>
              </w:rPr>
            </w:pPr>
            <w:r>
              <w:rPr>
                <w:rFonts w:ascii="Arial" w:cs="Arial" w:eastAsia="Arial" w:hAnsi="Arial"/>
                <w:sz w:val="16"/>
                <w:szCs w:val="16"/>
                <w:b w:val="1"/>
                <w:bCs w:val="1"/>
                <w:color w:val="auto"/>
              </w:rPr>
              <w:t>Langford</w:t>
            </w:r>
          </w:p>
        </w:tc>
      </w:tr>
      <w:tr>
        <w:trPr>
          <w:trHeight w:val="223"/>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6"/>
        </w:trPr>
        <w:tc>
          <w:tcPr>
            <w:tcW w:w="84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6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7"/>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6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9"/>
        </w:trPr>
        <w:tc>
          <w:tcPr>
            <w:tcW w:w="84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 acquired</w:t>
            </w:r>
          </w:p>
        </w:tc>
        <w:tc>
          <w:tcPr>
            <w:tcW w:w="6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47"/>
        </w:trPr>
        <w:tc>
          <w:tcPr>
            <w:tcW w:w="84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r>
      <w:tr>
        <w:trPr>
          <w:trHeight w:val="226"/>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6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1"/>
        </w:trPr>
        <w:tc>
          <w:tcPr>
            <w:tcW w:w="8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6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9"/>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6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46"/>
        </w:trPr>
        <w:tc>
          <w:tcPr>
            <w:tcW w:w="8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 less noncontrolling interests</w:t>
            </w: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b w:val="1"/>
          <w:bCs w:val="1"/>
          <w:i w:val="1"/>
          <w:iCs w:val="1"/>
          <w:color w:val="auto"/>
        </w:rPr>
        <w:t xml:space="preserve">Rosamond Central Drop Down — </w:t>
      </w:r>
      <w:r>
        <w:rPr>
          <w:rFonts w:ascii="Arial" w:cs="Arial" w:eastAsia="Arial" w:hAnsi="Arial"/>
          <w:sz w:val="17"/>
          <w:szCs w:val="17"/>
          <w:color w:val="auto"/>
        </w:rPr>
        <w:t>On December 21, 2020, Rosamond Solar Investment LLC, a subsidiary of the Company, acquired 100%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Class A membership interests of Rosie TargetCo LLC from Renew Development HoldCo LLC, a subsidiary of CEG, for $23 million in cash consideration and an additional $1 million adjustment concurrent with the tax equity investor's final funding which was paid in January 2021. Rosie Target Co LLC is the primary beneficiary and consolidates its interest in a tax equity fund that owns the 192 MW Rosamond Central solar project, located in Kern County, California as further described in Note 5, </w:t>
      </w:r>
      <w:r>
        <w:rPr>
          <w:rFonts w:ascii="Arial" w:cs="Arial" w:eastAsia="Arial" w:hAnsi="Arial"/>
          <w:sz w:val="17"/>
          <w:szCs w:val="17"/>
          <w:i w:val="1"/>
          <w:iCs w:val="1"/>
          <w:color w:val="auto"/>
        </w:rPr>
        <w:t>Investments Accounted for by the Equity Method and Variable Interest Entities</w:t>
      </w:r>
      <w:r>
        <w:rPr>
          <w:rFonts w:ascii="Arial" w:cs="Arial" w:eastAsia="Arial" w:hAnsi="Arial"/>
          <w:sz w:val="17"/>
          <w:szCs w:val="17"/>
          <w:color w:val="auto"/>
        </w:rPr>
        <w:t xml:space="preserve">. The Rosamond Central operations are included in the Company's Renewables segment. The acquisition was determined to be an asset acquisition and not a business combination, and therefore, the Company consolidated the financial information for Rosamond Central on a prospective basis. The assets and liabilities transferred to the Company relate to interests under common control by GIP and were recorded at historical cost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difference between the cash paid of $24 million and the historical value of the Company's acquired interests of $28 million was recorded as an adjustment to noncontrolling interest.</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December 21, 2020: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38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Rosamond Central</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4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6"/>
        </w:trPr>
        <w:tc>
          <w:tcPr>
            <w:tcW w:w="45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3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38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45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 acquired</w:t>
            </w:r>
          </w:p>
        </w:tc>
        <w:tc>
          <w:tcPr>
            <w:tcW w:w="38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7"/>
        </w:trPr>
        <w:tc>
          <w:tcPr>
            <w:tcW w:w="458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58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3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38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9"/>
        </w:trPr>
        <w:tc>
          <w:tcPr>
            <w:tcW w:w="45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liabilities assumed</w:t>
            </w:r>
          </w:p>
        </w:tc>
        <w:tc>
          <w:tcPr>
            <w:tcW w:w="38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38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1"/>
        </w:trPr>
        <w:tc>
          <w:tcPr>
            <w:tcW w:w="4580" w:type="dxa"/>
            <w:vAlign w:val="bottom"/>
          </w:tcPr>
          <w:p>
            <w:pPr>
              <w:ind w:left="260"/>
              <w:spacing w:after="0"/>
              <w:rPr>
                <w:sz w:val="20"/>
                <w:szCs w:val="20"/>
                <w:color w:val="auto"/>
              </w:rPr>
            </w:pPr>
            <w:r>
              <w:rPr>
                <w:rFonts w:ascii="Arial" w:cs="Arial" w:eastAsia="Arial" w:hAnsi="Arial"/>
                <w:sz w:val="18"/>
                <w:szCs w:val="18"/>
                <w:color w:val="auto"/>
              </w:rPr>
              <w:t>Net assets acquired less noncontrolling interests</w:t>
            </w:r>
          </w:p>
        </w:tc>
        <w:tc>
          <w:tcPr>
            <w:tcW w:w="4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840" w:type="dxa"/>
            <w:vAlign w:val="bottom"/>
            <w:vMerge w:val="restart"/>
          </w:tcPr>
          <w:p>
            <w:pPr>
              <w:jc w:val="right"/>
              <w:ind w:right="2571"/>
              <w:spacing w:after="0"/>
              <w:rPr>
                <w:sz w:val="20"/>
                <w:szCs w:val="20"/>
                <w:color w:val="auto"/>
              </w:rPr>
            </w:pPr>
            <w:r>
              <w:rPr>
                <w:rFonts w:ascii="Arial" w:cs="Arial" w:eastAsia="Arial" w:hAnsi="Arial"/>
                <w:sz w:val="18"/>
                <w:szCs w:val="18"/>
                <w:color w:val="auto"/>
              </w:rPr>
              <w:t>100</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2"/>
        </w:trPr>
        <w:tc>
          <w:tcPr>
            <w:tcW w:w="458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0" w:name="page101"/>
    <w:bookmarkEnd w:id="100"/>
    <w:p>
      <w:pPr>
        <w:jc w:val="both"/>
        <w:ind w:firstLine="400"/>
        <w:spacing w:after="0" w:line="265" w:lineRule="auto"/>
        <w:rPr>
          <w:sz w:val="20"/>
          <w:szCs w:val="20"/>
          <w:color w:val="auto"/>
        </w:rPr>
      </w:pPr>
      <w:r>
        <w:rPr>
          <w:rFonts w:ascii="Arial" w:cs="Arial" w:eastAsia="Arial" w:hAnsi="Arial"/>
          <w:sz w:val="17"/>
          <w:szCs w:val="17"/>
          <w:b w:val="1"/>
          <w:bCs w:val="1"/>
          <w:i w:val="1"/>
          <w:iCs w:val="1"/>
          <w:color w:val="auto"/>
        </w:rPr>
        <w:t xml:space="preserve">Mesquite Star Drop Down — </w:t>
      </w:r>
      <w:r>
        <w:rPr>
          <w:rFonts w:ascii="Arial" w:cs="Arial" w:eastAsia="Arial" w:hAnsi="Arial"/>
          <w:sz w:val="17"/>
          <w:szCs w:val="17"/>
          <w:color w:val="auto"/>
        </w:rPr>
        <w:t>On September 1, 2020, the Company, through its indirect subsidiary Lighthouse Renewable Class A LLC, acquired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Class A membership interests in Lighthouse Renewable Holdco LLC (formerly Mesquite Star Pledgor LLC) from Clearway Renew LLC, a subsidiary of CEG, for $74 million in cash consideration inclusive of a purchase price adjustment received in the fourth quarter of 2020 concurrent with the partnership amendment referenced below. Lighthouse Renewable Holdco LLC indirectly owns 100% of the Class B membership interests in Mesquite Star Tax Equity Holdco LLC, a tax equity partnership that it consolidates as the primary beneficiary, and owns the Mesquite Star wind project, a 419 MW utility scale wind project located in Fisher County, Texas. A majority of the project's output is backed by contracts with investment-grade counterparties with a 12 year weighted average contract life. The Mesquite Star operations are reflected in the Company's Renewables segment and the acquisition was funded with cash on hand. The Company initially recorded its interest in Lighthouse Renewable Class A LLC as an equity method investment. The assets and liabilities transferred to the Company relate to interests under common control by GIP and were recorded at historical cost in accordance with ASC 805-50,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 - Related Issues</w:t>
      </w:r>
      <w:r>
        <w:rPr>
          <w:rFonts w:ascii="Arial" w:cs="Arial" w:eastAsia="Arial" w:hAnsi="Arial"/>
          <w:sz w:val="17"/>
          <w:szCs w:val="17"/>
          <w:color w:val="auto"/>
        </w:rPr>
        <w:t>. The difference between the $74 million cash paid and the historical value of the Company's acquired interests of $83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was recorded as an adjustment to noncontrolling interest.</w:t>
      </w:r>
    </w:p>
    <w:p>
      <w:pPr>
        <w:spacing w:after="0" w:line="131" w:lineRule="exact"/>
        <w:rPr>
          <w:sz w:val="20"/>
          <w:szCs w:val="20"/>
          <w:color w:val="auto"/>
        </w:rPr>
      </w:pPr>
    </w:p>
    <w:p>
      <w:pPr>
        <w:jc w:val="both"/>
        <w:ind w:firstLine="400"/>
        <w:spacing w:after="0" w:line="288" w:lineRule="auto"/>
        <w:rPr>
          <w:sz w:val="20"/>
          <w:szCs w:val="20"/>
          <w:color w:val="auto"/>
        </w:rPr>
      </w:pPr>
      <w:r>
        <w:rPr>
          <w:rFonts w:ascii="Arial" w:cs="Arial" w:eastAsia="Arial" w:hAnsi="Arial"/>
          <w:sz w:val="16"/>
          <w:szCs w:val="16"/>
          <w:color w:val="auto"/>
        </w:rPr>
        <w:t xml:space="preserve">On December 21, 2020, Clearway Renew LLC sold the Class B membership interest in Lighthouse Renewable Holdco LLC to a third-party investor as further described in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The investor and the Company amended the terms of the related partnership and as a result, the Company now consolidates its interest in the Mesquite Star wind project, through its consolidation of Lighthouse Renewable Holdco LLC. The membership interests acquired by the Company relate to interests under common control by GIP and were recorded at historical cost. The difference between the carrying value of the Company's equity method investment of $58 million and the historical value of the net assets consolidated for Mesquite Star of $63 million was recorded as an adjustment to noncontrolling interest.</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the balances that were consolidated effective on December 21, 2020:</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6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jc w:val="right"/>
              <w:ind w:right="1032"/>
              <w:spacing w:after="0"/>
              <w:rPr>
                <w:sz w:val="20"/>
                <w:szCs w:val="20"/>
                <w:color w:val="auto"/>
              </w:rPr>
            </w:pPr>
            <w:r>
              <w:rPr>
                <w:rFonts w:ascii="Arial" w:cs="Arial" w:eastAsia="Arial" w:hAnsi="Arial"/>
                <w:sz w:val="16"/>
                <w:szCs w:val="16"/>
                <w:b w:val="1"/>
                <w:bCs w:val="1"/>
                <w:color w:val="auto"/>
              </w:rPr>
              <w:t>Mesquite Star</w:t>
            </w:r>
          </w:p>
        </w:tc>
      </w:tr>
      <w:tr>
        <w:trPr>
          <w:trHeight w:val="22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6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6"/>
        </w:trPr>
        <w:tc>
          <w:tcPr>
            <w:tcW w:w="80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620" w:type="dxa"/>
            <w:vAlign w:val="bottom"/>
          </w:tcPr>
          <w:p>
            <w:pPr>
              <w:spacing w:after="0"/>
              <w:rPr>
                <w:sz w:val="19"/>
                <w:szCs w:val="19"/>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27"/>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620" w:type="dxa"/>
            <w:vAlign w:val="bottom"/>
            <w:tcBorders>
              <w:bottom w:val="single" w:sz="8" w:color="auto"/>
            </w:tcBorders>
            <w:shd w:val="clear" w:color="auto" w:fill="CCEEFF"/>
          </w:tcPr>
          <w:p>
            <w:pPr>
              <w:spacing w:after="0"/>
              <w:rPr>
                <w:sz w:val="19"/>
                <w:szCs w:val="19"/>
                <w:color w:val="auto"/>
              </w:rPr>
            </w:pP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9"/>
        </w:trPr>
        <w:tc>
          <w:tcPr>
            <w:tcW w:w="80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 acquired</w:t>
            </w:r>
          </w:p>
        </w:tc>
        <w:tc>
          <w:tcPr>
            <w:tcW w:w="6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r>
      <w:tr>
        <w:trPr>
          <w:trHeight w:val="247"/>
        </w:trPr>
        <w:tc>
          <w:tcPr>
            <w:tcW w:w="80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r>
      <w:tr>
        <w:trPr>
          <w:trHeight w:val="226"/>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6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1"/>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620" w:type="dxa"/>
            <w:vAlign w:val="bottom"/>
            <w:tcBorders>
              <w:bottom w:val="single" w:sz="8" w:color="auto"/>
            </w:tcBorders>
            <w:shd w:val="clear" w:color="auto" w:fill="CCEEFF"/>
          </w:tcPr>
          <w:p>
            <w:pPr>
              <w:spacing w:after="0"/>
              <w:rPr>
                <w:sz w:val="19"/>
                <w:szCs w:val="19"/>
                <w:color w:val="auto"/>
              </w:rPr>
            </w:pP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 and redeemable noncontrolling interests</w:t>
            </w:r>
          </w:p>
        </w:tc>
        <w:tc>
          <w:tcPr>
            <w:tcW w:w="6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r>
      <w:tr>
        <w:trPr>
          <w:trHeight w:val="246"/>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 less noncontrolling interests</w:t>
            </w:r>
          </w:p>
        </w:tc>
        <w:tc>
          <w:tcPr>
            <w:tcW w:w="6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w w:val="79"/>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6"/>
          <w:szCs w:val="16"/>
          <w:b w:val="1"/>
          <w:bCs w:val="1"/>
          <w:i w:val="1"/>
          <w:iCs w:val="1"/>
          <w:color w:val="auto"/>
        </w:rPr>
        <w:t xml:space="preserve">DG Residual Interest and SREC Contract Drop Down — </w:t>
      </w:r>
      <w:r>
        <w:rPr>
          <w:rFonts w:ascii="Arial" w:cs="Arial" w:eastAsia="Arial" w:hAnsi="Arial"/>
          <w:sz w:val="16"/>
          <w:szCs w:val="16"/>
          <w:color w:val="auto"/>
        </w:rPr>
        <w:t>On November 2, 2020, the Company acquired the Class B membership interests in DGPV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Holdco 1, DGPV Holdco 2 and DGPV Holdco 3, or DGPV Holdco Entities, from Renew DG Holdings LLC, a subsidiary of CEG, for approximately $20 million in cash consideration and an SREC contract for approximately $24 million in cash consideration. The Company previously held the Class A membership interests in the DGPV Holdco Entities and accounted for its interests in DGPV Holdco 1 and DGPV Holdco 2 as equity method investments, while DGPV Holdco 3 was consolidated by the Company effective May 29, 2020 as further described in Note 5, </w:t>
      </w:r>
      <w:r>
        <w:rPr>
          <w:rFonts w:ascii="Arial" w:cs="Arial" w:eastAsia="Arial" w:hAnsi="Arial"/>
          <w:sz w:val="16"/>
          <w:szCs w:val="16"/>
          <w:i w:val="1"/>
          <w:iCs w:val="1"/>
          <w:color w:val="auto"/>
        </w:rPr>
        <w:t>Investments Accounted for by the 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and Variable Interest Entities</w:t>
      </w:r>
      <w:r>
        <w:rPr>
          <w:rFonts w:ascii="Arial" w:cs="Arial" w:eastAsia="Arial" w:hAnsi="Arial"/>
          <w:sz w:val="16"/>
          <w:szCs w:val="16"/>
          <w:color w:val="auto"/>
        </w:rPr>
        <w:t>. Subsequent to the acquisition of the remaining interests in the DGPV Holdco Entities, the Company transferred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interests to DG-CS Master Borrower LLC, and issued debt that was utilized to repay existing project-level debt outstanding and unwind interest rate swaps for certain of the tax equity arrangements related to the underlying project funds, as further described in Note 10,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The acquired SREC contract is a contract to receive incremental cash flows related to renewable energy credits from certain underlying solar projects. The assets and liabilities transferred to the Company relate to interests under common control by GIP and were recorded at historical cost in accordance with ASC 805-50,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 Related Issues</w:t>
      </w:r>
      <w:r>
        <w:rPr>
          <w:rFonts w:ascii="Arial" w:cs="Arial" w:eastAsia="Arial" w:hAnsi="Arial"/>
          <w:sz w:val="16"/>
          <w:szCs w:val="16"/>
          <w:color w:val="auto"/>
        </w:rPr>
        <w:t>. The difference between the cash paid for the residual interest of the DGPV Holdco Entities and the historical value of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assets consolidated less the carrying value of the equity method investments was recorded as an adjustment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1" w:name="page102"/>
    <w:bookmarkEnd w:id="101"/>
    <w:p>
      <w:pPr>
        <w:ind w:left="400"/>
        <w:spacing w:after="0"/>
        <w:rPr>
          <w:sz w:val="20"/>
          <w:szCs w:val="20"/>
          <w:color w:val="auto"/>
        </w:rPr>
      </w:pPr>
      <w:r>
        <w:rPr>
          <w:rFonts w:ascii="Arial" w:cs="Arial" w:eastAsia="Arial" w:hAnsi="Arial"/>
          <w:sz w:val="18"/>
          <w:szCs w:val="18"/>
          <w:color w:val="auto"/>
        </w:rPr>
        <w:t>The following table shows the balances that were consolidated: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5"/>
                <w:szCs w:val="15"/>
                <w:color w:val="auto"/>
              </w:rPr>
            </w:pPr>
          </w:p>
        </w:tc>
        <w:tc>
          <w:tcPr>
            <w:tcW w:w="1940" w:type="dxa"/>
            <w:vAlign w:val="bottom"/>
          </w:tcPr>
          <w:p>
            <w:pPr>
              <w:jc w:val="right"/>
              <w:ind w:right="160"/>
              <w:spacing w:after="0"/>
              <w:rPr>
                <w:sz w:val="20"/>
                <w:szCs w:val="20"/>
                <w:color w:val="auto"/>
              </w:rPr>
            </w:pPr>
            <w:r>
              <w:rPr>
                <w:rFonts w:ascii="Arial" w:cs="Arial" w:eastAsia="Arial" w:hAnsi="Arial"/>
                <w:sz w:val="14"/>
                <w:szCs w:val="14"/>
                <w:b w:val="1"/>
                <w:bCs w:val="1"/>
                <w:color w:val="auto"/>
              </w:rPr>
              <w:t>November 2, 2020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tcPr>
          <w:p>
            <w:pPr>
              <w:jc w:val="right"/>
              <w:ind w:right="654"/>
              <w:spacing w:after="0"/>
              <w:rPr>
                <w:sz w:val="20"/>
                <w:szCs w:val="20"/>
                <w:color w:val="auto"/>
              </w:rPr>
            </w:pPr>
            <w:r>
              <w:rPr>
                <w:rFonts w:ascii="Arial" w:cs="Arial" w:eastAsia="Arial" w:hAnsi="Arial"/>
                <w:sz w:val="14"/>
                <w:szCs w:val="14"/>
                <w:b w:val="1"/>
                <w:bCs w:val="1"/>
                <w:color w:val="auto"/>
              </w:rPr>
              <w:t>May 29, 2020</w:t>
            </w:r>
          </w:p>
        </w:tc>
      </w:tr>
      <w:tr>
        <w:trPr>
          <w:trHeight w:val="19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9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4"/>
                <w:szCs w:val="14"/>
                <w:b w:val="1"/>
                <w:bCs w:val="1"/>
                <w:color w:val="auto"/>
              </w:rPr>
              <w:t xml:space="preserve">DGPV Holdco 1 and 2 </w:t>
            </w:r>
            <w:r>
              <w:rPr>
                <w:rFonts w:ascii="Arial" w:cs="Arial" w:eastAsia="Arial" w:hAnsi="Arial"/>
                <w:sz w:val="18"/>
                <w:szCs w:val="18"/>
                <w:b w:val="1"/>
                <w:bCs w:val="1"/>
                <w:color w:val="auto"/>
                <w:vertAlign w:val="superscript"/>
              </w:rPr>
              <w:t>(a)</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494"/>
              <w:spacing w:after="0" w:line="199" w:lineRule="exact"/>
              <w:rPr>
                <w:sz w:val="20"/>
                <w:szCs w:val="20"/>
                <w:color w:val="auto"/>
              </w:rPr>
            </w:pPr>
            <w:r>
              <w:rPr>
                <w:rFonts w:ascii="Arial" w:cs="Arial" w:eastAsia="Arial" w:hAnsi="Arial"/>
                <w:sz w:val="14"/>
                <w:szCs w:val="14"/>
                <w:b w:val="1"/>
                <w:bCs w:val="1"/>
                <w:color w:val="auto"/>
              </w:rPr>
              <w:t xml:space="preserve">DGPV Holdco 3 </w:t>
            </w:r>
            <w:r>
              <w:rPr>
                <w:rFonts w:ascii="Arial" w:cs="Arial" w:eastAsia="Arial" w:hAnsi="Arial"/>
                <w:sz w:val="18"/>
                <w:szCs w:val="18"/>
                <w:b w:val="1"/>
                <w:bCs w:val="1"/>
                <w:color w:val="auto"/>
                <w:vertAlign w:val="superscript"/>
              </w:rPr>
              <w:t>(b)</w:t>
            </w:r>
          </w:p>
        </w:tc>
      </w:tr>
      <w:tr>
        <w:trPr>
          <w:trHeight w:val="220"/>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1940" w:type="dxa"/>
            <w:vAlign w:val="bottom"/>
            <w:shd w:val="clear" w:color="auto" w:fill="CCEEFF"/>
          </w:tcPr>
          <w:p>
            <w:pPr>
              <w:jc w:val="right"/>
              <w:ind w:right="176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6"/>
        </w:trPr>
        <w:tc>
          <w:tcPr>
            <w:tcW w:w="654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1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27"/>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6"/>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19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0"/>
        </w:trPr>
        <w:tc>
          <w:tcPr>
            <w:tcW w:w="6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19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47"/>
        </w:trPr>
        <w:tc>
          <w:tcPr>
            <w:tcW w:w="65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27"/>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6"/>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19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21"/>
        </w:trPr>
        <w:tc>
          <w:tcPr>
            <w:tcW w:w="6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19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19"/>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 and redeemable noncontrolling interests</w:t>
            </w:r>
          </w:p>
        </w:tc>
        <w:tc>
          <w:tcPr>
            <w:tcW w:w="19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6"/>
        </w:trPr>
        <w:tc>
          <w:tcPr>
            <w:tcW w:w="6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 less noncontrolling interests</w:t>
            </w:r>
          </w:p>
        </w:tc>
        <w:tc>
          <w:tcPr>
            <w:tcW w:w="1940" w:type="dxa"/>
            <w:vAlign w:val="bottom"/>
            <w:tcBorders>
              <w:bottom w:val="single" w:sz="8" w:color="auto"/>
            </w:tcBorders>
            <w:shd w:val="clear" w:color="auto" w:fill="CCEEFF"/>
          </w:tcPr>
          <w:p>
            <w:pPr>
              <w:jc w:val="right"/>
              <w:ind w:right="176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160" w:hanging="153"/>
        <w:spacing w:after="0"/>
        <w:tabs>
          <w:tab w:leader="none" w:pos="160" w:val="left"/>
        </w:tabs>
        <w:numPr>
          <w:ilvl w:val="0"/>
          <w:numId w:val="49"/>
        </w:numPr>
        <w:rPr>
          <w:rFonts w:ascii="Arial" w:cs="Arial" w:eastAsia="Arial" w:hAnsi="Arial"/>
          <w:sz w:val="18"/>
          <w:szCs w:val="18"/>
          <w:color w:val="auto"/>
          <w:vertAlign w:val="superscript"/>
        </w:rPr>
      </w:pPr>
      <w:r>
        <w:rPr>
          <w:rFonts w:ascii="Arial" w:cs="Arial" w:eastAsia="Arial" w:hAnsi="Arial"/>
          <w:sz w:val="12"/>
          <w:szCs w:val="12"/>
          <w:color w:val="auto"/>
        </w:rPr>
        <w:t>Includes DGPV 1, LLC, DGPV 2, LLC, CA Fund, LLC, DGPV 4 Borrower LLC and Puma Class B LLC</w:t>
      </w:r>
    </w:p>
    <w:p>
      <w:pPr>
        <w:spacing w:after="0" w:line="44" w:lineRule="exact"/>
        <w:rPr>
          <w:rFonts w:ascii="Arial" w:cs="Arial" w:eastAsia="Arial" w:hAnsi="Arial"/>
          <w:sz w:val="18"/>
          <w:szCs w:val="18"/>
          <w:color w:val="auto"/>
          <w:vertAlign w:val="superscript"/>
        </w:rPr>
      </w:pPr>
    </w:p>
    <w:p>
      <w:pPr>
        <w:ind w:left="160" w:hanging="153"/>
        <w:spacing w:after="0" w:line="202" w:lineRule="auto"/>
        <w:tabs>
          <w:tab w:leader="none" w:pos="16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I</w:t>
      </w:r>
      <w:r>
        <w:rPr>
          <w:rFonts w:ascii="Arial" w:cs="Arial" w:eastAsia="Arial" w:hAnsi="Arial"/>
          <w:sz w:val="12"/>
          <w:szCs w:val="12"/>
          <w:color w:val="auto"/>
        </w:rPr>
        <w:t>ncludes Renew Solar CS4 Fund LLC and Chestnut Fund LLC</w:t>
      </w:r>
    </w:p>
    <w:p>
      <w:pPr>
        <w:spacing w:after="0" w:line="140"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The fair value of property, plant and equipment determined at GIP's acquisition date was determined primarily based on an income method using discounted cash flows and validated using a cost approach based on the replacement cost of the assets less economic depreciation. This methodology was utilized as the forecasted cash flows incorporate specific attributes of each asset including age, useful life, equipment condition and technology. The fair value of intangible assets was determined utilizing a variation of the income approach determined by discounting incremental cash flows associated with the contracts to present value. Primary assumptions utilized included estimates of generation, contractual prices, operating expenses and the weighted average cost of capital reflective of a market participant. These assumptions are considered to be a Level 3 measurement as defined in ASC 820, as they utilize inputs that are not observable in the market.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166" w:lineRule="exact"/>
        <w:rPr>
          <w:sz w:val="20"/>
          <w:szCs w:val="20"/>
          <w:color w:val="auto"/>
        </w:rPr>
      </w:pPr>
    </w:p>
    <w:p>
      <w:pPr>
        <w:jc w:val="both"/>
        <w:ind w:firstLine="400"/>
        <w:spacing w:after="0" w:line="285" w:lineRule="auto"/>
        <w:rPr>
          <w:sz w:val="20"/>
          <w:szCs w:val="20"/>
          <w:color w:val="auto"/>
        </w:rPr>
      </w:pPr>
      <w:r>
        <w:rPr>
          <w:rFonts w:ascii="Arial" w:cs="Arial" w:eastAsia="Arial" w:hAnsi="Arial"/>
          <w:sz w:val="16"/>
          <w:szCs w:val="16"/>
          <w:b w:val="1"/>
          <w:bCs w:val="1"/>
          <w:i w:val="1"/>
          <w:iCs w:val="1"/>
          <w:color w:val="auto"/>
        </w:rPr>
        <w:t xml:space="preserve">Thermal Disposition </w:t>
      </w:r>
      <w:r>
        <w:rPr>
          <w:rFonts w:ascii="Arial" w:cs="Arial" w:eastAsia="Arial" w:hAnsi="Arial"/>
          <w:sz w:val="16"/>
          <w:szCs w:val="16"/>
          <w:color w:val="auto"/>
        </w:rPr>
        <w:t>— On October 22, 2021, Clearway Energy Operating LLC entered into a binding agreement to sell the Thermal Business to KKR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total consideration of $1.9 billion, subject to customary closing adjustments. The closing of the transaction is subject to various customary closing conditions, approvals and consents and is expected to close in the first half of 2022. Effective with the approval by the Board of Directors and signing of the agreement to sell the Thermal Business, the Company concluded that all entities that are included within the Thermal Business will be treated as held for sale on a prospective basis, resulting in the assets and liabilities being reported as separate held for sale line items on the Company’s consolidated balance sheet as of December 31, 2021. Property, plant and equipment represents 78% and intangible assets represents 9% of assets classified as held for sale while long-term debt represents 85% of liabilities classified as held for sale. The Company expects to recognize a gain upon the completion of the Thermal Disposition. The Company's Thermal segment is comprised solely of the Thermal Business's results of operations.</w:t>
      </w:r>
    </w:p>
    <w:p>
      <w:pPr>
        <w:spacing w:after="0" w:line="118"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b w:val="1"/>
          <w:bCs w:val="1"/>
          <w:i w:val="1"/>
          <w:iCs w:val="1"/>
          <w:color w:val="auto"/>
        </w:rPr>
        <w:t xml:space="preserve">Sale of RPV Holdco 1 LLC </w:t>
      </w:r>
      <w:r>
        <w:rPr>
          <w:rFonts w:ascii="Arial" w:cs="Arial" w:eastAsia="Arial" w:hAnsi="Arial"/>
          <w:sz w:val="18"/>
          <w:szCs w:val="18"/>
          <w:color w:val="auto"/>
        </w:rPr>
        <w:t>— On May 14, 2020, the Company sold its interests in RPV Holdco 1 LLC, or RPV Holdco, to Spruce Power for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of approximately $75 million. The Company previously accounted for its interest in RPV Holdco as an equity method investment. The sale of the investment resulted in a gain of approximately $49 million.</w:t>
      </w:r>
    </w:p>
    <w:p>
      <w:pPr>
        <w:spacing w:after="0" w:line="135"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b w:val="1"/>
          <w:bCs w:val="1"/>
          <w:i w:val="1"/>
          <w:iCs w:val="1"/>
          <w:color w:val="auto"/>
        </w:rPr>
        <w:t xml:space="preserve">Sale of Energy Center Dover LLC and Energy Center Smyrna LLC Assets </w:t>
      </w:r>
      <w:r>
        <w:rPr>
          <w:rFonts w:ascii="Arial" w:cs="Arial" w:eastAsia="Arial" w:hAnsi="Arial"/>
          <w:sz w:val="18"/>
          <w:szCs w:val="18"/>
          <w:color w:val="auto"/>
        </w:rPr>
        <w:t>— On March 3, 2020, the Company, through Clearway Thermal LLC, sold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 of its interests in Energy Center Dover LLC and Energy Center Smyrna LLC to DB Energy Assets, LLC for cash proceeds of approximately $15 million.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Note 4 — Property, Plant and Equipment</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major classes of property, plant, and equipment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December 31, 2021</w:t>
            </w:r>
          </w:p>
        </w:tc>
        <w:tc>
          <w:tcPr>
            <w:tcW w:w="4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December 31, 2020</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Depreciable Lives</w:t>
            </w:r>
          </w:p>
        </w:tc>
      </w:tr>
      <w:tr>
        <w:trPr>
          <w:trHeight w:val="185"/>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(In millions)</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8"/>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and equipment</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2 - 40 Years</w:t>
            </w:r>
          </w:p>
        </w:tc>
      </w:tr>
      <w:tr>
        <w:trPr>
          <w:trHeight w:val="226"/>
        </w:trPr>
        <w:tc>
          <w:tcPr>
            <w:tcW w:w="4980" w:type="dxa"/>
            <w:vAlign w:val="bottom"/>
          </w:tcPr>
          <w:p>
            <w:pPr>
              <w:ind w:left="20"/>
              <w:spacing w:after="0"/>
              <w:rPr>
                <w:sz w:val="20"/>
                <w:szCs w:val="20"/>
                <w:color w:val="auto"/>
              </w:rPr>
            </w:pPr>
            <w:r>
              <w:rPr>
                <w:rFonts w:ascii="Arial" w:cs="Arial" w:eastAsia="Arial" w:hAnsi="Arial"/>
                <w:sz w:val="18"/>
                <w:szCs w:val="18"/>
                <w:color w:val="auto"/>
              </w:rPr>
              <w:t>Land and improvements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7"/>
        </w:trPr>
        <w:tc>
          <w:tcPr>
            <w:tcW w:w="498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Construction in progress </w:t>
            </w:r>
            <w:r>
              <w:rPr>
                <w:rFonts w:ascii="Arial" w:cs="Arial" w:eastAsia="Arial" w:hAnsi="Arial"/>
                <w:sz w:val="23"/>
                <w:szCs w:val="23"/>
                <w:color w:val="auto"/>
                <w:vertAlign w:val="superscript"/>
              </w:rPr>
              <w:t>(a)</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9"/>
        </w:trPr>
        <w:tc>
          <w:tcPr>
            <w:tcW w:w="4980" w:type="dxa"/>
            <w:vAlign w:val="bottom"/>
          </w:tcPr>
          <w:p>
            <w:pPr>
              <w:ind w:left="220"/>
              <w:spacing w:after="0"/>
              <w:rPr>
                <w:sz w:val="20"/>
                <w:szCs w:val="20"/>
                <w:color w:val="auto"/>
              </w:rPr>
            </w:pPr>
            <w:r>
              <w:rPr>
                <w:rFonts w:ascii="Arial" w:cs="Arial" w:eastAsia="Arial" w:hAnsi="Arial"/>
                <w:sz w:val="18"/>
                <w:szCs w:val="18"/>
                <w:color w:val="auto"/>
              </w:rPr>
              <w:t>Total property, plant and equipment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9,540</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1"/>
        </w:trPr>
        <w:tc>
          <w:tcPr>
            <w:tcW w:w="4980" w:type="dxa"/>
            <w:vAlign w:val="bottom"/>
          </w:tcPr>
          <w:p>
            <w:pPr>
              <w:ind w:left="220"/>
              <w:spacing w:after="0"/>
              <w:rPr>
                <w:sz w:val="20"/>
                <w:szCs w:val="20"/>
                <w:color w:val="auto"/>
              </w:rPr>
            </w:pPr>
            <w:r>
              <w:rPr>
                <w:rFonts w:ascii="Arial" w:cs="Arial" w:eastAsia="Arial" w:hAnsi="Arial"/>
                <w:sz w:val="18"/>
                <w:szCs w:val="18"/>
                <w:color w:val="auto"/>
              </w:rPr>
              <w:t>Net property, plant and equipment</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7,217</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37" w:lineRule="exact"/>
        <w:rPr>
          <w:sz w:val="20"/>
          <w:szCs w:val="20"/>
          <w:color w:val="auto"/>
        </w:rPr>
      </w:pPr>
    </w:p>
    <w:p>
      <w:pPr>
        <w:ind w:firstLine="7"/>
        <w:spacing w:after="0" w:line="233" w:lineRule="auto"/>
        <w:tabs>
          <w:tab w:leader="none" w:pos="170" w:val="left"/>
        </w:tabs>
        <w:numPr>
          <w:ilvl w:val="0"/>
          <w:numId w:val="50"/>
        </w:numPr>
        <w:rPr>
          <w:rFonts w:ascii="Arial" w:cs="Arial" w:eastAsia="Arial" w:hAnsi="Arial"/>
          <w:sz w:val="20"/>
          <w:szCs w:val="20"/>
          <w:color w:val="auto"/>
          <w:vertAlign w:val="superscript"/>
        </w:rPr>
      </w:pPr>
      <w:r>
        <w:rPr>
          <w:rFonts w:ascii="Arial" w:cs="Arial" w:eastAsia="Arial" w:hAnsi="Arial"/>
          <w:sz w:val="15"/>
          <w:szCs w:val="15"/>
          <w:color w:val="auto"/>
        </w:rPr>
        <w:t>As of December 31, 2021 and 2020, construction in progress includes $17 million and $14 million, respectively, of capital expenditures that relate to prepaid long-term service agreements in the Conventional segment.</w:t>
      </w:r>
    </w:p>
    <w:p>
      <w:pPr>
        <w:spacing w:after="0" w:line="140"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Depreciation expense related to property, plant and equipment during the years ended December 31, 2021, 2020 and 2019 was $499 million, $420 million and $395 million, respectively. The Company accelerated depreciation of the Pinnacle wind project in connection with the repowering project, which resulted in additional depreciation expense in the amount of $34 million in 2021 and $9 million in 2020.</w:t>
      </w:r>
    </w:p>
    <w:p>
      <w:pPr>
        <w:spacing w:after="0" w:line="135"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 xml:space="preserve">The Company recorded long-lived asset impairments during each of the years ended December 31, 2021 and December 31, 2020, as further described in Note 9, </w:t>
      </w:r>
      <w:r>
        <w:rPr>
          <w:rFonts w:ascii="Arial" w:cs="Arial" w:eastAsia="Arial" w:hAnsi="Arial"/>
          <w:sz w:val="18"/>
          <w:szCs w:val="18"/>
          <w:i w:val="1"/>
          <w:iCs w:val="1"/>
          <w:color w:val="auto"/>
        </w:rPr>
        <w:t>Asset Impairments.</w:t>
      </w:r>
    </w:p>
    <w:p>
      <w:pPr>
        <w:spacing w:after="0" w:line="120" w:lineRule="exact"/>
        <w:rPr>
          <w:sz w:val="20"/>
          <w:szCs w:val="20"/>
          <w:color w:val="auto"/>
        </w:rPr>
      </w:pPr>
    </w:p>
    <w:p>
      <w:pPr>
        <w:ind w:right="4440"/>
        <w:spacing w:after="0" w:line="436" w:lineRule="auto"/>
        <w:rPr>
          <w:sz w:val="20"/>
          <w:szCs w:val="20"/>
          <w:color w:val="auto"/>
        </w:rPr>
      </w:pPr>
      <w:r>
        <w:rPr>
          <w:rFonts w:ascii="Arial" w:cs="Arial" w:eastAsia="Arial" w:hAnsi="Arial"/>
          <w:sz w:val="18"/>
          <w:szCs w:val="18"/>
          <w:b w:val="1"/>
          <w:bCs w:val="1"/>
          <w:color w:val="auto"/>
        </w:rPr>
        <w:t>Note 5 — Investments Accounted for by the Equity Method and Variable Interest Entities Equity Method Investments</w:t>
      </w:r>
    </w:p>
    <w:p>
      <w:pPr>
        <w:jc w:val="both"/>
        <w:ind w:firstLine="400"/>
        <w:spacing w:after="0" w:line="267" w:lineRule="auto"/>
        <w:rPr>
          <w:sz w:val="20"/>
          <w:szCs w:val="20"/>
          <w:color w:val="auto"/>
        </w:rPr>
      </w:pPr>
      <w:r>
        <w:rPr>
          <w:rFonts w:ascii="Arial" w:cs="Arial" w:eastAsia="Arial" w:hAnsi="Arial"/>
          <w:sz w:val="18"/>
          <w:szCs w:val="18"/>
          <w:color w:val="auto"/>
        </w:rPr>
        <w:t>The Company's maximum exposure to loss as of December 31, 2021 is limited to its equity investment in the unconsolidated entities, as further summarized in the table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720" w:type="dxa"/>
            <w:vAlign w:val="bottom"/>
            <w:tcBorders>
              <w:bottom w:val="single" w:sz="8" w:color="auto"/>
            </w:tcBorders>
          </w:tcPr>
          <w:p>
            <w:pPr>
              <w:ind w:left="2860"/>
              <w:spacing w:after="0"/>
              <w:rPr>
                <w:sz w:val="20"/>
                <w:szCs w:val="20"/>
                <w:color w:val="auto"/>
              </w:rPr>
            </w:pPr>
            <w:r>
              <w:rPr>
                <w:rFonts w:ascii="Arial" w:cs="Arial" w:eastAsia="Arial" w:hAnsi="Arial"/>
                <w:sz w:val="14"/>
                <w:szCs w:val="14"/>
                <w:b w:val="1"/>
                <w:bCs w:val="1"/>
                <w:color w:val="auto"/>
              </w:rPr>
              <w:t>Economic Interest</w:t>
            </w:r>
          </w:p>
        </w:tc>
        <w:tc>
          <w:tcPr>
            <w:tcW w:w="3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Investment Balance</w:t>
            </w:r>
          </w:p>
        </w:tc>
      </w:tr>
      <w:tr>
        <w:trPr>
          <w:trHeight w:val="185"/>
        </w:trPr>
        <w:tc>
          <w:tcPr>
            <w:tcW w:w="41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tcPr>
          <w:p>
            <w:pPr>
              <w:jc w:val="right"/>
              <w:ind w:right="756"/>
              <w:spacing w:after="0"/>
              <w:rPr>
                <w:sz w:val="20"/>
                <w:szCs w:val="20"/>
                <w:color w:val="auto"/>
              </w:rPr>
            </w:pPr>
            <w:r>
              <w:rPr>
                <w:rFonts w:ascii="Arial" w:cs="Arial" w:eastAsia="Arial" w:hAnsi="Arial"/>
                <w:sz w:val="14"/>
                <w:szCs w:val="14"/>
                <w:b w:val="1"/>
                <w:bCs w:val="1"/>
                <w:color w:val="auto"/>
              </w:rPr>
              <w:t>(In millions)</w:t>
            </w:r>
          </w:p>
        </w:tc>
      </w:tr>
      <w:tr>
        <w:trPr>
          <w:trHeight w:val="228"/>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Avenal</w:t>
            </w:r>
          </w:p>
        </w:tc>
        <w:tc>
          <w:tcPr>
            <w:tcW w:w="4720" w:type="dxa"/>
            <w:vAlign w:val="bottom"/>
            <w:shd w:val="clear" w:color="auto" w:fill="CCEEFF"/>
          </w:tcPr>
          <w:p>
            <w:pPr>
              <w:jc w:val="center"/>
              <w:ind w:left="2034"/>
              <w:spacing w:after="0"/>
              <w:rPr>
                <w:sz w:val="20"/>
                <w:szCs w:val="20"/>
                <w:color w:val="auto"/>
              </w:rPr>
            </w:pPr>
            <w:r>
              <w:rPr>
                <w:rFonts w:ascii="Arial" w:cs="Arial" w:eastAsia="Arial" w:hAnsi="Arial"/>
                <w:sz w:val="18"/>
                <w:szCs w:val="18"/>
                <w:color w:val="auto"/>
                <w:w w:val="88"/>
              </w:rPr>
              <w:t>50%</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6"/>
        </w:trPr>
        <w:tc>
          <w:tcPr>
            <w:tcW w:w="4100" w:type="dxa"/>
            <w:vAlign w:val="bottom"/>
          </w:tcPr>
          <w:p>
            <w:pPr>
              <w:ind w:left="140"/>
              <w:spacing w:after="0"/>
              <w:rPr>
                <w:sz w:val="20"/>
                <w:szCs w:val="20"/>
                <w:color w:val="auto"/>
              </w:rPr>
            </w:pPr>
            <w:r>
              <w:rPr>
                <w:rFonts w:ascii="Arial" w:cs="Arial" w:eastAsia="Arial" w:hAnsi="Arial"/>
                <w:sz w:val="18"/>
                <w:szCs w:val="18"/>
                <w:color w:val="auto"/>
              </w:rPr>
              <w:t>Desert Sunlight</w:t>
            </w:r>
          </w:p>
        </w:tc>
        <w:tc>
          <w:tcPr>
            <w:tcW w:w="4720" w:type="dxa"/>
            <w:vAlign w:val="bottom"/>
          </w:tcPr>
          <w:p>
            <w:pPr>
              <w:jc w:val="center"/>
              <w:ind w:left="2034"/>
              <w:spacing w:after="0"/>
              <w:rPr>
                <w:sz w:val="20"/>
                <w:szCs w:val="20"/>
                <w:color w:val="auto"/>
              </w:rPr>
            </w:pPr>
            <w:r>
              <w:rPr>
                <w:rFonts w:ascii="Arial" w:cs="Arial" w:eastAsia="Arial" w:hAnsi="Arial"/>
                <w:sz w:val="18"/>
                <w:szCs w:val="18"/>
                <w:color w:val="auto"/>
                <w:w w:val="88"/>
              </w:rPr>
              <w:t>25%</w:t>
            </w:r>
          </w:p>
        </w:tc>
        <w:tc>
          <w:tcPr>
            <w:tcW w:w="3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27"/>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Elkhorn Ridge</w:t>
            </w:r>
          </w:p>
        </w:tc>
        <w:tc>
          <w:tcPr>
            <w:tcW w:w="4720" w:type="dxa"/>
            <w:vAlign w:val="bottom"/>
            <w:shd w:val="clear" w:color="auto" w:fill="CCEEFF"/>
          </w:tcPr>
          <w:p>
            <w:pPr>
              <w:jc w:val="center"/>
              <w:ind w:left="2014"/>
              <w:spacing w:after="0"/>
              <w:rPr>
                <w:sz w:val="20"/>
                <w:szCs w:val="20"/>
                <w:color w:val="auto"/>
              </w:rPr>
            </w:pPr>
            <w:r>
              <w:rPr>
                <w:rFonts w:ascii="Arial" w:cs="Arial" w:eastAsia="Arial" w:hAnsi="Arial"/>
                <w:sz w:val="18"/>
                <w:szCs w:val="18"/>
                <w:color w:val="auto"/>
                <w:w w:val="90"/>
              </w:rPr>
              <w:t>66.7%</w:t>
            </w:r>
          </w:p>
        </w:tc>
        <w:tc>
          <w:tcPr>
            <w:tcW w:w="3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7"/>
        </w:trPr>
        <w:tc>
          <w:tcPr>
            <w:tcW w:w="4100" w:type="dxa"/>
            <w:vAlign w:val="bottom"/>
          </w:tcPr>
          <w:p>
            <w:pPr>
              <w:ind w:left="140"/>
              <w:spacing w:after="0" w:line="226" w:lineRule="exact"/>
              <w:rPr>
                <w:sz w:val="20"/>
                <w:szCs w:val="20"/>
                <w:color w:val="auto"/>
              </w:rPr>
            </w:pPr>
            <w:r>
              <w:rPr>
                <w:rFonts w:ascii="Arial" w:cs="Arial" w:eastAsia="Arial" w:hAnsi="Arial"/>
                <w:sz w:val="18"/>
                <w:szCs w:val="18"/>
                <w:color w:val="auto"/>
              </w:rPr>
              <w:t xml:space="preserve">GenConn </w:t>
            </w:r>
            <w:r>
              <w:rPr>
                <w:rFonts w:ascii="Arial" w:cs="Arial" w:eastAsia="Arial" w:hAnsi="Arial"/>
                <w:sz w:val="23"/>
                <w:szCs w:val="23"/>
                <w:color w:val="auto"/>
                <w:vertAlign w:val="superscript"/>
              </w:rPr>
              <w:t>(a)</w:t>
            </w:r>
          </w:p>
        </w:tc>
        <w:tc>
          <w:tcPr>
            <w:tcW w:w="4720" w:type="dxa"/>
            <w:vAlign w:val="bottom"/>
          </w:tcPr>
          <w:p>
            <w:pPr>
              <w:jc w:val="center"/>
              <w:ind w:left="2034"/>
              <w:spacing w:after="0"/>
              <w:rPr>
                <w:sz w:val="20"/>
                <w:szCs w:val="20"/>
                <w:color w:val="auto"/>
              </w:rPr>
            </w:pPr>
            <w:r>
              <w:rPr>
                <w:rFonts w:ascii="Arial" w:cs="Arial" w:eastAsia="Arial" w:hAnsi="Arial"/>
                <w:sz w:val="18"/>
                <w:szCs w:val="18"/>
                <w:color w:val="auto"/>
                <w:w w:val="88"/>
              </w:rPr>
              <w:t>50%</w:t>
            </w:r>
          </w:p>
        </w:tc>
        <w:tc>
          <w:tcPr>
            <w:tcW w:w="3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6"/>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San Juan Mesa</w:t>
            </w:r>
          </w:p>
        </w:tc>
        <w:tc>
          <w:tcPr>
            <w:tcW w:w="4720" w:type="dxa"/>
            <w:vAlign w:val="bottom"/>
            <w:shd w:val="clear" w:color="auto" w:fill="CCEEFF"/>
          </w:tcPr>
          <w:p>
            <w:pPr>
              <w:jc w:val="center"/>
              <w:ind w:left="2034"/>
              <w:spacing w:after="0"/>
              <w:rPr>
                <w:sz w:val="20"/>
                <w:szCs w:val="20"/>
                <w:color w:val="auto"/>
              </w:rPr>
            </w:pPr>
            <w:r>
              <w:rPr>
                <w:rFonts w:ascii="Arial" w:cs="Arial" w:eastAsia="Arial" w:hAnsi="Arial"/>
                <w:sz w:val="18"/>
                <w:szCs w:val="18"/>
                <w:color w:val="auto"/>
                <w:w w:val="88"/>
              </w:rPr>
              <w:t>75%</w:t>
            </w:r>
          </w:p>
        </w:tc>
        <w:tc>
          <w:tcPr>
            <w:tcW w:w="3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0"/>
        </w:trPr>
        <w:tc>
          <w:tcPr>
            <w:tcW w:w="41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1"/>
        </w:trPr>
        <w:tc>
          <w:tcPr>
            <w:tcW w:w="41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140" w:hanging="133"/>
        <w:spacing w:after="0"/>
        <w:tabs>
          <w:tab w:leader="none" w:pos="140" w:val="left"/>
        </w:tabs>
        <w:numPr>
          <w:ilvl w:val="0"/>
          <w:numId w:val="51"/>
        </w:numPr>
        <w:rPr>
          <w:rFonts w:ascii="Arial" w:cs="Arial" w:eastAsia="Arial" w:hAnsi="Arial"/>
          <w:sz w:val="16"/>
          <w:szCs w:val="16"/>
          <w:color w:val="auto"/>
          <w:vertAlign w:val="superscript"/>
        </w:rPr>
      </w:pPr>
      <w:r>
        <w:rPr>
          <w:rFonts w:ascii="Arial" w:cs="Arial" w:eastAsia="Arial" w:hAnsi="Arial"/>
          <w:sz w:val="12"/>
          <w:szCs w:val="12"/>
          <w:color w:val="auto"/>
        </w:rPr>
        <w:t>GenConn is a variable interest entity.</w:t>
      </w:r>
    </w:p>
    <w:p>
      <w:pPr>
        <w:spacing w:after="0" w:line="160"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As of December 31, 2021 and 2020, the Company had $14 million and $10 million, respectively, of undistributed earnings from its equity method investments.</w:t>
      </w:r>
    </w:p>
    <w:p>
      <w:pPr>
        <w:spacing w:after="0" w:line="12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The Company acquired its interest in Desert Sunlight on June 30, 2015, for $285 million, which resulted in a difference between the purchase price and the basis of the acquired assets and liabilities of $171 million. The difference is attributable to the fair value of the property, plant and equipment and power purchase agreements. The Company is amortizing the related basis differences to equity in earnings of unconsolidated subsidiaries over the related useful life of the underlying assets acquired.</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pro-rata share of non-recourse debt held by unconsolidated affiliates was $345 million as of December 31, 2021.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03" w:name="page104"/>
    <w:bookmarkEnd w:id="103"/>
    <w:p>
      <w:pPr>
        <w:ind w:left="400"/>
        <w:spacing w:after="0"/>
        <w:rPr>
          <w:sz w:val="20"/>
          <w:szCs w:val="20"/>
          <w:color w:val="auto"/>
        </w:rPr>
      </w:pPr>
      <w:r>
        <w:rPr>
          <w:rFonts w:ascii="Arial" w:cs="Arial" w:eastAsia="Arial" w:hAnsi="Arial"/>
          <w:sz w:val="18"/>
          <w:szCs w:val="18"/>
          <w:color w:val="auto"/>
        </w:rPr>
        <w:t>The following tables present summarized financial information for the Company's equity method investments: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07"/>
        </w:trPr>
        <w:tc>
          <w:tcPr>
            <w:tcW w:w="6380" w:type="dxa"/>
            <w:vAlign w:val="bottom"/>
          </w:tcPr>
          <w:p>
            <w:pPr>
              <w:spacing w:after="0"/>
              <w:rPr>
                <w:sz w:val="18"/>
                <w:szCs w:val="18"/>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89"/>
              </w:rPr>
              <w:t>2020</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r>
      <w:tr>
        <w:trPr>
          <w:trHeight w:val="195"/>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center"/>
              <w:ind w:right="222"/>
              <w:spacing w:after="0"/>
              <w:rPr>
                <w:sz w:val="20"/>
                <w:szCs w:val="20"/>
                <w:color w:val="auto"/>
              </w:rPr>
            </w:pPr>
            <w:r>
              <w:rPr>
                <w:rFonts w:ascii="Arial" w:cs="Arial" w:eastAsia="Arial" w:hAnsi="Arial"/>
                <w:sz w:val="14"/>
                <w:szCs w:val="14"/>
                <w:b w:val="1"/>
                <w:bCs w:val="1"/>
                <w:color w:val="auto"/>
                <w:w w:val="94"/>
              </w:rPr>
              <w:t>(In millions)</w:t>
            </w: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GenConn</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6"/>
        </w:trPr>
        <w:tc>
          <w:tcPr>
            <w:tcW w:w="638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1080" w:type="dxa"/>
            <w:vAlign w:val="bottom"/>
          </w:tcPr>
          <w:p>
            <w:pPr>
              <w:jc w:val="right"/>
              <w:ind w:right="9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55</w:t>
            </w:r>
          </w:p>
        </w:tc>
        <w:tc>
          <w:tcPr>
            <w:tcW w:w="260" w:type="dxa"/>
            <w:vAlign w:val="bottom"/>
          </w:tcPr>
          <w:p>
            <w:pPr>
              <w:jc w:val="right"/>
              <w:ind w:right="83"/>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60</w:t>
            </w:r>
          </w:p>
        </w:tc>
        <w:tc>
          <w:tcPr>
            <w:tcW w:w="62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2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22</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26</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26"/>
        </w:trPr>
        <w:tc>
          <w:tcPr>
            <w:tcW w:w="6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Pr>
          <w:p>
            <w:pPr>
              <w:spacing w:after="0"/>
              <w:rPr>
                <w:sz w:val="19"/>
                <w:szCs w:val="19"/>
                <w:color w:val="auto"/>
              </w:rPr>
            </w:pP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9"/>
                <w:szCs w:val="19"/>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17</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4"/>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Desert Sunlight</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6"/>
        </w:trPr>
        <w:tc>
          <w:tcPr>
            <w:tcW w:w="638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1080" w:type="dxa"/>
            <w:vAlign w:val="bottom"/>
          </w:tcPr>
          <w:p>
            <w:pPr>
              <w:spacing w:after="0"/>
              <w:rPr>
                <w:sz w:val="19"/>
                <w:szCs w:val="19"/>
                <w:color w:val="auto"/>
              </w:rPr>
            </w:pP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205</w:t>
            </w:r>
          </w:p>
        </w:tc>
        <w:tc>
          <w:tcPr>
            <w:tcW w:w="260" w:type="dxa"/>
            <w:vAlign w:val="bottom"/>
          </w:tcPr>
          <w:p>
            <w:pPr>
              <w:spacing w:after="0"/>
              <w:rPr>
                <w:sz w:val="19"/>
                <w:szCs w:val="19"/>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209</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2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146</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142</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26"/>
        </w:trPr>
        <w:tc>
          <w:tcPr>
            <w:tcW w:w="6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Pr>
          <w:p>
            <w:pPr>
              <w:spacing w:after="0"/>
              <w:rPr>
                <w:sz w:val="19"/>
                <w:szCs w:val="19"/>
                <w:color w:val="auto"/>
              </w:rPr>
            </w:pP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112</w:t>
            </w:r>
          </w:p>
        </w:tc>
        <w:tc>
          <w:tcPr>
            <w:tcW w:w="260" w:type="dxa"/>
            <w:vAlign w:val="bottom"/>
          </w:tcPr>
          <w:p>
            <w:pPr>
              <w:spacing w:after="0"/>
              <w:rPr>
                <w:sz w:val="19"/>
                <w:szCs w:val="19"/>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88</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4"/>
        </w:trPr>
        <w:tc>
          <w:tcPr>
            <w:tcW w:w="6380" w:type="dxa"/>
            <w:vAlign w:val="bottom"/>
            <w:shd w:val="clear" w:color="auto" w:fill="CCEEFF"/>
          </w:tcPr>
          <w:p>
            <w:pPr>
              <w:ind w:left="20"/>
              <w:spacing w:after="0" w:line="214" w:lineRule="exact"/>
              <w:rPr>
                <w:sz w:val="20"/>
                <w:szCs w:val="20"/>
                <w:color w:val="auto"/>
              </w:rPr>
            </w:pPr>
            <w:r>
              <w:rPr>
                <w:rFonts w:ascii="Arial" w:cs="Arial" w:eastAsia="Arial" w:hAnsi="Arial"/>
                <w:sz w:val="24"/>
                <w:szCs w:val="24"/>
                <w:b w:val="1"/>
                <w:bCs w:val="1"/>
                <w:color w:val="auto"/>
                <w:vertAlign w:val="subscript"/>
              </w:rPr>
              <w:t>Other</w:t>
            </w:r>
            <w:r>
              <w:rPr>
                <w:rFonts w:ascii="Arial" w:cs="Arial" w:eastAsia="Arial" w:hAnsi="Arial"/>
                <w:sz w:val="9"/>
                <w:szCs w:val="9"/>
                <w:b w:val="1"/>
                <w:bCs w:val="1"/>
                <w:color w:val="auto"/>
              </w:rPr>
              <w:t xml:space="preserve"> (a) (b)</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6"/>
        </w:trPr>
        <w:tc>
          <w:tcPr>
            <w:tcW w:w="638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1080" w:type="dxa"/>
            <w:vAlign w:val="bottom"/>
          </w:tcPr>
          <w:p>
            <w:pPr>
              <w:spacing w:after="0"/>
              <w:rPr>
                <w:sz w:val="19"/>
                <w:szCs w:val="19"/>
                <w:color w:val="auto"/>
              </w:rPr>
            </w:pP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49</w:t>
            </w:r>
          </w:p>
        </w:tc>
        <w:tc>
          <w:tcPr>
            <w:tcW w:w="260" w:type="dxa"/>
            <w:vAlign w:val="bottom"/>
          </w:tcPr>
          <w:p>
            <w:pPr>
              <w:spacing w:after="0"/>
              <w:rPr>
                <w:sz w:val="19"/>
                <w:szCs w:val="19"/>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299</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2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138</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7"/>
        </w:trPr>
        <w:tc>
          <w:tcPr>
            <w:tcW w:w="6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Pr>
          <w:p>
            <w:pPr>
              <w:spacing w:after="0"/>
              <w:rPr>
                <w:sz w:val="18"/>
                <w:szCs w:val="18"/>
                <w:color w:val="auto"/>
              </w:rPr>
            </w:pP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8"/>
                <w:szCs w:val="18"/>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60</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90"/>
        </w:trPr>
        <w:tc>
          <w:tcPr>
            <w:tcW w:w="6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4"/>
        </w:trPr>
        <w:tc>
          <w:tcPr>
            <w:tcW w:w="6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89"/>
              </w:rPr>
              <w:t>2021</w:t>
            </w:r>
          </w:p>
        </w:tc>
        <w:tc>
          <w:tcPr>
            <w:tcW w:w="6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r>
      <w:tr>
        <w:trPr>
          <w:trHeight w:val="190"/>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r>
      <w:tr>
        <w:trPr>
          <w:trHeight w:val="216"/>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GenConn</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38</w:t>
            </w:r>
          </w:p>
        </w:tc>
        <w:tc>
          <w:tcPr>
            <w:tcW w:w="62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26"/>
        </w:trPr>
        <w:tc>
          <w:tcPr>
            <w:tcW w:w="63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328</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2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15</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26"/>
        </w:trPr>
        <w:tc>
          <w:tcPr>
            <w:tcW w:w="63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178</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4"/>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Desert Sunlight</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6"/>
        </w:trPr>
        <w:tc>
          <w:tcPr>
            <w:tcW w:w="6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131</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2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1,228</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w:t>
            </w:r>
          </w:p>
        </w:tc>
      </w:tr>
      <w:tr>
        <w:trPr>
          <w:trHeight w:val="226"/>
        </w:trPr>
        <w:tc>
          <w:tcPr>
            <w:tcW w:w="63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64</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2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904</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r>
      <w:tr>
        <w:trPr>
          <w:trHeight w:val="213"/>
        </w:trPr>
        <w:tc>
          <w:tcPr>
            <w:tcW w:w="6380" w:type="dxa"/>
            <w:vAlign w:val="bottom"/>
          </w:tcPr>
          <w:p>
            <w:pPr>
              <w:ind w:left="20"/>
              <w:spacing w:after="0" w:line="213" w:lineRule="exact"/>
              <w:rPr>
                <w:sz w:val="20"/>
                <w:szCs w:val="20"/>
                <w:color w:val="auto"/>
              </w:rPr>
            </w:pPr>
            <w:r>
              <w:rPr>
                <w:rFonts w:ascii="Arial" w:cs="Arial" w:eastAsia="Arial" w:hAnsi="Arial"/>
                <w:sz w:val="24"/>
                <w:szCs w:val="24"/>
                <w:b w:val="1"/>
                <w:bCs w:val="1"/>
                <w:color w:val="auto"/>
                <w:vertAlign w:val="subscript"/>
              </w:rPr>
              <w:t>Other</w:t>
            </w:r>
            <w:r>
              <w:rPr>
                <w:rFonts w:ascii="Arial" w:cs="Arial" w:eastAsia="Arial" w:hAnsi="Arial"/>
                <w:sz w:val="9"/>
                <w:szCs w:val="9"/>
                <w:b w:val="1"/>
                <w:bCs w:val="1"/>
                <w:color w:val="auto"/>
              </w:rPr>
              <w:t xml:space="preserve"> (a) (b)</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26</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26"/>
        </w:trPr>
        <w:tc>
          <w:tcPr>
            <w:tcW w:w="63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172</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2,201</w:t>
            </w:r>
          </w:p>
        </w:tc>
      </w:tr>
      <w:tr>
        <w:trPr>
          <w:trHeight w:val="22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24</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25"/>
        </w:trPr>
        <w:tc>
          <w:tcPr>
            <w:tcW w:w="63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98</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29616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229" w:lineRule="exact"/>
        <w:rPr>
          <w:sz w:val="20"/>
          <w:szCs w:val="20"/>
          <w:color w:val="auto"/>
        </w:rPr>
      </w:pPr>
    </w:p>
    <w:p>
      <w:pPr>
        <w:ind w:right="20" w:firstLine="7"/>
        <w:spacing w:after="0" w:line="267" w:lineRule="auto"/>
        <w:tabs>
          <w:tab w:leader="none" w:pos="125" w:val="left"/>
        </w:tabs>
        <w:numPr>
          <w:ilvl w:val="0"/>
          <w:numId w:val="52"/>
        </w:numPr>
        <w:rPr>
          <w:rFonts w:ascii="Arial" w:cs="Arial" w:eastAsia="Arial" w:hAnsi="Arial"/>
          <w:sz w:val="9"/>
          <w:szCs w:val="9"/>
          <w:color w:val="auto"/>
        </w:rPr>
      </w:pPr>
      <w:r>
        <w:rPr>
          <w:rFonts w:ascii="Arial" w:cs="Arial" w:eastAsia="Arial" w:hAnsi="Arial"/>
          <w:sz w:val="14"/>
          <w:szCs w:val="14"/>
          <w:color w:val="auto"/>
        </w:rPr>
        <w:t>Includes Avenal, Elkhorn Ridge, San Juan Mesa, DGPV Holdco 1, DGPV Holdco 2 and DGPV Holdco 3. DGPV Holdco 1, DGPV Holdco 2 and DGPV Holdco 3 were consolidated by the Company during 2020 and are therefore excluded from the summarized balance sheet data as of December 31, 2020.</w:t>
      </w:r>
    </w:p>
    <w:p>
      <w:pPr>
        <w:spacing w:after="0" w:line="14" w:lineRule="exact"/>
        <w:rPr>
          <w:rFonts w:ascii="Arial" w:cs="Arial" w:eastAsia="Arial" w:hAnsi="Arial"/>
          <w:sz w:val="9"/>
          <w:szCs w:val="9"/>
          <w:color w:val="auto"/>
        </w:rPr>
      </w:pPr>
    </w:p>
    <w:p>
      <w:pPr>
        <w:jc w:val="both"/>
        <w:ind w:firstLine="7"/>
        <w:spacing w:after="0" w:line="281" w:lineRule="auto"/>
        <w:tabs>
          <w:tab w:leader="none" w:pos="131" w:val="left"/>
        </w:tabs>
        <w:numPr>
          <w:ilvl w:val="0"/>
          <w:numId w:val="52"/>
        </w:numPr>
        <w:rPr>
          <w:rFonts w:ascii="Arial" w:cs="Arial" w:eastAsia="Arial" w:hAnsi="Arial"/>
          <w:sz w:val="9"/>
          <w:szCs w:val="9"/>
          <w:color w:val="auto"/>
        </w:rPr>
      </w:pPr>
      <w:r>
        <w:rPr>
          <w:rFonts w:ascii="Arial" w:cs="Arial" w:eastAsia="Arial" w:hAnsi="Arial"/>
          <w:sz w:val="13"/>
          <w:szCs w:val="13"/>
          <w:color w:val="auto"/>
        </w:rPr>
        <w:t>On February 3, 2021, the Company acquired an additional 35% equity interest in Agua Caliente and removed its equity investment in Agua Caliente and, on December 1, 2021, the Company acquired the remaining 50% equity investment in the Utah Solar Portfolio and removed its equity investment in the Utah Solar Portfolio. As a result, both Agua Caliente and the Utah Solar Portfolio are excluded from the summarized balance sheet data as of December 31, 2021 and from the summarized income statement data for the year ended December 31,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 or VIEs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Consolidated</w:t>
      </w:r>
    </w:p>
    <w:p>
      <w:pPr>
        <w:spacing w:after="0" w:line="16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and solar facilities and are further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4" w:name="page105"/>
    <w:bookmarkEnd w:id="104"/>
    <w:p>
      <w:pPr>
        <w:ind w:left="40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December 31, 2021:</w:t>
      </w:r>
    </w:p>
    <w:p>
      <w:pPr>
        <w:spacing w:after="0" w:line="81"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2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Buckthorn</w:t>
            </w: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Kawailoa</w:t>
            </w:r>
          </w:p>
        </w:tc>
        <w:tc>
          <w:tcPr>
            <w:tcW w:w="2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Langford TE</w:t>
            </w:r>
          </w:p>
        </w:tc>
        <w:tc>
          <w:tcPr>
            <w:tcW w:w="240" w:type="dxa"/>
            <w:vAlign w:val="bottom"/>
          </w:tcPr>
          <w:p>
            <w:pPr>
              <w:spacing w:after="0"/>
              <w:rPr>
                <w:sz w:val="12"/>
                <w:szCs w:val="12"/>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Lighthouse</w:t>
            </w:r>
          </w:p>
        </w:tc>
        <w:tc>
          <w:tcPr>
            <w:tcW w:w="260" w:type="dxa"/>
            <w:vAlign w:val="bottom"/>
          </w:tcPr>
          <w:p>
            <w:pPr>
              <w:spacing w:after="0"/>
              <w:rPr>
                <w:sz w:val="12"/>
                <w:szCs w:val="12"/>
                <w:color w:val="auto"/>
              </w:rPr>
            </w:pPr>
          </w:p>
        </w:tc>
        <w:tc>
          <w:tcPr>
            <w:tcW w:w="940" w:type="dxa"/>
            <w:vAlign w:val="bottom"/>
          </w:tcPr>
          <w:p>
            <w:pPr>
              <w:jc w:val="right"/>
              <w:ind w:right="179"/>
              <w:spacing w:after="0"/>
              <w:rPr>
                <w:sz w:val="20"/>
                <w:szCs w:val="20"/>
                <w:color w:val="auto"/>
              </w:rPr>
            </w:pPr>
            <w:r>
              <w:rPr>
                <w:rFonts w:ascii="Arial" w:cs="Arial" w:eastAsia="Arial" w:hAnsi="Arial"/>
                <w:sz w:val="12"/>
                <w:szCs w:val="12"/>
                <w:b w:val="1"/>
                <w:bCs w:val="1"/>
                <w:color w:val="auto"/>
              </w:rPr>
              <w:t>Lighthouse</w:t>
            </w:r>
          </w:p>
        </w:tc>
        <w:tc>
          <w:tcPr>
            <w:tcW w:w="0" w:type="dxa"/>
            <w:vAlign w:val="bottom"/>
          </w:tcPr>
          <w:p>
            <w:pPr>
              <w:spacing w:after="0"/>
              <w:rPr>
                <w:sz w:val="1"/>
                <w:szCs w:val="1"/>
                <w:color w:val="auto"/>
              </w:rPr>
            </w:pPr>
          </w:p>
        </w:tc>
      </w:tr>
      <w:tr>
        <w:trPr>
          <w:trHeight w:val="120"/>
        </w:trPr>
        <w:tc>
          <w:tcPr>
            <w:tcW w:w="28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Alta TE Holdco</w:t>
            </w:r>
          </w:p>
        </w:tc>
        <w:tc>
          <w:tcPr>
            <w:tcW w:w="2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DGPV Funds</w:t>
            </w:r>
            <w:r>
              <w:rPr>
                <w:rFonts w:ascii="Arial" w:cs="Arial" w:eastAsia="Arial" w:hAnsi="Arial"/>
                <w:sz w:val="16"/>
                <w:szCs w:val="16"/>
                <w:b w:val="1"/>
                <w:bCs w:val="1"/>
                <w:color w:val="auto"/>
                <w:vertAlign w:val="superscript"/>
              </w:rPr>
              <w:t>(a)</w:t>
            </w:r>
          </w:p>
        </w:tc>
        <w:tc>
          <w:tcPr>
            <w:tcW w:w="2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2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3"/>
              </w:rPr>
              <w:t>Renewable Holdco</w:t>
            </w:r>
          </w:p>
        </w:tc>
        <w:tc>
          <w:tcPr>
            <w:tcW w:w="1200" w:type="dxa"/>
            <w:vAlign w:val="bottom"/>
            <w:gridSpan w:val="2"/>
          </w:tcPr>
          <w:p>
            <w:pPr>
              <w:jc w:val="right"/>
              <w:spacing w:after="0" w:line="120" w:lineRule="exact"/>
              <w:rPr>
                <w:sz w:val="20"/>
                <w:szCs w:val="20"/>
                <w:color w:val="auto"/>
              </w:rPr>
            </w:pPr>
            <w:r>
              <w:rPr>
                <w:rFonts w:ascii="Arial" w:cs="Arial" w:eastAsia="Arial" w:hAnsi="Arial"/>
                <w:sz w:val="12"/>
                <w:szCs w:val="12"/>
                <w:b w:val="1"/>
                <w:bCs w:val="1"/>
                <w:color w:val="auto"/>
                <w:w w:val="95"/>
              </w:rPr>
              <w:t>Renewable Holdco 2</w:t>
            </w:r>
          </w:p>
        </w:tc>
        <w:tc>
          <w:tcPr>
            <w:tcW w:w="0" w:type="dxa"/>
            <w:vAlign w:val="bottom"/>
          </w:tcPr>
          <w:p>
            <w:pPr>
              <w:spacing w:after="0"/>
              <w:rPr>
                <w:sz w:val="1"/>
                <w:szCs w:val="1"/>
                <w:color w:val="auto"/>
              </w:rPr>
            </w:pPr>
          </w:p>
        </w:tc>
      </w:tr>
      <w:tr>
        <w:trPr>
          <w:trHeight w:val="173"/>
        </w:trPr>
        <w:tc>
          <w:tcPr>
            <w:tcW w:w="2820" w:type="dxa"/>
            <w:vAlign w:val="bottom"/>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Renewables, LLC</w:t>
            </w:r>
          </w:p>
        </w:tc>
        <w:tc>
          <w:tcPr>
            <w:tcW w:w="12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Partnership</w:t>
            </w:r>
          </w:p>
        </w:tc>
        <w:tc>
          <w:tcPr>
            <w:tcW w:w="1240" w:type="dxa"/>
            <w:vAlign w:val="bottom"/>
            <w:gridSpan w:val="3"/>
          </w:tcPr>
          <w:p>
            <w:pPr>
              <w:ind w:left="120"/>
              <w:spacing w:after="0"/>
              <w:rPr>
                <w:sz w:val="20"/>
                <w:szCs w:val="20"/>
                <w:color w:val="auto"/>
              </w:rPr>
            </w:pPr>
            <w:r>
              <w:rPr>
                <w:rFonts w:ascii="Arial" w:cs="Arial" w:eastAsia="Arial" w:hAnsi="Arial"/>
                <w:sz w:val="12"/>
                <w:szCs w:val="12"/>
                <w:b w:val="1"/>
                <w:bCs w:val="1"/>
                <w:color w:val="auto"/>
              </w:rPr>
              <w:t>Partnership LLC</w:t>
            </w:r>
          </w:p>
        </w:tc>
        <w:tc>
          <w:tcPr>
            <w:tcW w:w="240" w:type="dxa"/>
            <w:vAlign w:val="bottom"/>
          </w:tcPr>
          <w:p>
            <w:pPr>
              <w:spacing w:after="0"/>
              <w:rPr>
                <w:sz w:val="15"/>
                <w:szCs w:val="15"/>
                <w:color w:val="auto"/>
              </w:rPr>
            </w:pPr>
          </w:p>
        </w:tc>
        <w:tc>
          <w:tcPr>
            <w:tcW w:w="980" w:type="dxa"/>
            <w:vAlign w:val="bottom"/>
            <w:gridSpan w:val="2"/>
          </w:tcPr>
          <w:p>
            <w:pPr>
              <w:jc w:val="center"/>
              <w:ind w:right="340"/>
              <w:spacing w:after="0" w:line="173" w:lineRule="exact"/>
              <w:rPr>
                <w:sz w:val="20"/>
                <w:szCs w:val="20"/>
                <w:color w:val="auto"/>
              </w:rPr>
            </w:pPr>
            <w:r>
              <w:rPr>
                <w:rFonts w:ascii="Arial" w:cs="Arial" w:eastAsia="Arial" w:hAnsi="Arial"/>
                <w:sz w:val="20"/>
                <w:szCs w:val="20"/>
                <w:b w:val="1"/>
                <w:bCs w:val="1"/>
                <w:color w:val="auto"/>
                <w:vertAlign w:val="subscript"/>
              </w:rPr>
              <w:t>LLC</w:t>
            </w:r>
            <w:r>
              <w:rPr>
                <w:rFonts w:ascii="Arial" w:cs="Arial" w:eastAsia="Arial" w:hAnsi="Arial"/>
                <w:sz w:val="7"/>
                <w:szCs w:val="7"/>
                <w:b w:val="1"/>
                <w:bCs w:val="1"/>
                <w:color w:val="auto"/>
              </w:rPr>
              <w:t>(b)</w:t>
            </w:r>
          </w:p>
        </w:tc>
        <w:tc>
          <w:tcPr>
            <w:tcW w:w="260" w:type="dxa"/>
            <w:vAlign w:val="bottom"/>
          </w:tcPr>
          <w:p>
            <w:pPr>
              <w:spacing w:after="0"/>
              <w:rPr>
                <w:sz w:val="15"/>
                <w:szCs w:val="15"/>
                <w:color w:val="auto"/>
              </w:rPr>
            </w:pPr>
          </w:p>
        </w:tc>
        <w:tc>
          <w:tcPr>
            <w:tcW w:w="940" w:type="dxa"/>
            <w:vAlign w:val="bottom"/>
          </w:tcPr>
          <w:p>
            <w:pPr>
              <w:jc w:val="right"/>
              <w:ind w:right="339"/>
              <w:spacing w:after="0" w:line="173" w:lineRule="exact"/>
              <w:rPr>
                <w:sz w:val="20"/>
                <w:szCs w:val="20"/>
                <w:color w:val="auto"/>
              </w:rPr>
            </w:pPr>
            <w:r>
              <w:rPr>
                <w:rFonts w:ascii="Arial" w:cs="Arial" w:eastAsia="Arial" w:hAnsi="Arial"/>
                <w:sz w:val="20"/>
                <w:szCs w:val="20"/>
                <w:b w:val="1"/>
                <w:bCs w:val="1"/>
                <w:color w:val="auto"/>
                <w:vertAlign w:val="subscript"/>
              </w:rPr>
              <w:t>LLC</w:t>
            </w:r>
            <w:r>
              <w:rPr>
                <w:rFonts w:ascii="Arial" w:cs="Arial" w:eastAsia="Arial" w:hAnsi="Arial"/>
                <w:sz w:val="7"/>
                <w:szCs w:val="7"/>
                <w:b w:val="1"/>
                <w:bCs w:val="1"/>
                <w:color w:val="auto"/>
              </w:rPr>
              <w:t>(c)</w:t>
            </w:r>
          </w:p>
        </w:tc>
        <w:tc>
          <w:tcPr>
            <w:tcW w:w="0" w:type="dxa"/>
            <w:vAlign w:val="bottom"/>
          </w:tcPr>
          <w:p>
            <w:pPr>
              <w:spacing w:after="0"/>
              <w:rPr>
                <w:sz w:val="1"/>
                <w:szCs w:val="1"/>
                <w:color w:val="auto"/>
              </w:rPr>
            </w:pPr>
          </w:p>
        </w:tc>
      </w:tr>
      <w:tr>
        <w:trPr>
          <w:trHeight w:val="220"/>
        </w:trPr>
        <w:tc>
          <w:tcPr>
            <w:tcW w:w="28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1"/>
              </w:rPr>
              <w:t>Other current and non-current assets</w:t>
            </w:r>
          </w:p>
        </w:tc>
        <w:tc>
          <w:tcPr>
            <w:tcW w:w="42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6"/>
        </w:trPr>
        <w:tc>
          <w:tcPr>
            <w:tcW w:w="2820" w:type="dxa"/>
            <w:vAlign w:val="bottom"/>
          </w:tcPr>
          <w:p>
            <w:pPr>
              <w:ind w:left="100"/>
              <w:spacing w:after="0"/>
              <w:rPr>
                <w:sz w:val="20"/>
                <w:szCs w:val="20"/>
                <w:color w:val="auto"/>
              </w:rPr>
            </w:pPr>
            <w:r>
              <w:rPr>
                <w:rFonts w:ascii="Arial" w:cs="Arial" w:eastAsia="Arial" w:hAnsi="Arial"/>
                <w:sz w:val="18"/>
                <w:szCs w:val="18"/>
                <w:color w:val="auto"/>
              </w:rPr>
              <w:t>Property, plant and equipment</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7"/>
        </w:trPr>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8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7"/>
        </w:trPr>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and non-current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9"/>
        </w:trPr>
        <w:tc>
          <w:tcPr>
            <w:tcW w:w="282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7"/>
        </w:trPr>
        <w:tc>
          <w:tcPr>
            <w:tcW w:w="2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154"/>
        </w:trPr>
        <w:tc>
          <w:tcPr>
            <w:tcW w:w="2820" w:type="dxa"/>
            <w:vAlign w:val="bottom"/>
          </w:tcPr>
          <w:p>
            <w:pPr>
              <w:ind w:left="220"/>
              <w:spacing w:after="0" w:line="154" w:lineRule="exact"/>
              <w:rPr>
                <w:sz w:val="20"/>
                <w:szCs w:val="20"/>
                <w:color w:val="auto"/>
              </w:rPr>
            </w:pPr>
            <w:r>
              <w:rPr>
                <w:rFonts w:ascii="Arial" w:cs="Arial" w:eastAsia="Arial" w:hAnsi="Arial"/>
                <w:sz w:val="17"/>
                <w:szCs w:val="17"/>
                <w:color w:val="auto"/>
              </w:rPr>
              <w:t>Net assets less noncontrolling</w:t>
            </w:r>
          </w:p>
        </w:tc>
        <w:tc>
          <w:tcPr>
            <w:tcW w:w="420" w:type="dxa"/>
            <w:vAlign w:val="bottom"/>
            <w:vMerge w:val="restart"/>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3"/>
                <w:szCs w:val="13"/>
                <w:color w:val="auto"/>
              </w:rPr>
            </w:pPr>
          </w:p>
        </w:tc>
        <w:tc>
          <w:tcPr>
            <w:tcW w:w="2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3"/>
                <w:szCs w:val="13"/>
                <w:color w:val="auto"/>
              </w:rPr>
            </w:pPr>
          </w:p>
        </w:tc>
        <w:tc>
          <w:tcPr>
            <w:tcW w:w="460" w:type="dxa"/>
            <w:vAlign w:val="bottom"/>
            <w:vMerge w:val="restart"/>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3"/>
                <w:szCs w:val="13"/>
                <w:color w:val="auto"/>
              </w:rPr>
            </w:pPr>
          </w:p>
        </w:tc>
        <w:tc>
          <w:tcPr>
            <w:tcW w:w="2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4"/>
        </w:trPr>
        <w:tc>
          <w:tcPr>
            <w:tcW w:w="2820" w:type="dxa"/>
            <w:vAlign w:val="bottom"/>
          </w:tcPr>
          <w:p>
            <w:pPr>
              <w:ind w:left="140"/>
              <w:spacing w:after="0" w:line="199" w:lineRule="exact"/>
              <w:rPr>
                <w:sz w:val="20"/>
                <w:szCs w:val="20"/>
                <w:color w:val="auto"/>
              </w:rPr>
            </w:pPr>
            <w:r>
              <w:rPr>
                <w:rFonts w:ascii="Arial" w:cs="Arial" w:eastAsia="Arial" w:hAnsi="Arial"/>
                <w:sz w:val="18"/>
                <w:szCs w:val="18"/>
                <w:color w:val="auto"/>
              </w:rPr>
              <w:t>interests</w:t>
            </w:r>
          </w:p>
        </w:tc>
        <w:tc>
          <w:tcPr>
            <w:tcW w:w="4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80" w:hanging="173"/>
        <w:spacing w:after="0"/>
        <w:tabs>
          <w:tab w:leader="none" w:pos="180" w:val="left"/>
        </w:tabs>
        <w:numPr>
          <w:ilvl w:val="0"/>
          <w:numId w:val="53"/>
        </w:numPr>
        <w:rPr>
          <w:rFonts w:ascii="Arial" w:cs="Arial" w:eastAsia="Arial" w:hAnsi="Arial"/>
          <w:sz w:val="21"/>
          <w:szCs w:val="21"/>
          <w:color w:val="auto"/>
          <w:vertAlign w:val="superscript"/>
        </w:rPr>
      </w:pPr>
      <w:r>
        <w:rPr>
          <w:rFonts w:ascii="Arial" w:cs="Arial" w:eastAsia="Arial" w:hAnsi="Arial"/>
          <w:sz w:val="13"/>
          <w:szCs w:val="13"/>
          <w:color w:val="auto"/>
        </w:rPr>
        <w:t>DGPV Funds is comprised of DGPV Fund 2 LLC, Clearway &amp; EFS Distributed Solar LLC, DGPV Fund 4 LLC, Golden Puma Fund LLC, Renew Solar CS4 Fund LLC and Chestnut Fund LLC.</w:t>
      </w:r>
    </w:p>
    <w:p>
      <w:pPr>
        <w:spacing w:after="0" w:line="71" w:lineRule="exact"/>
        <w:rPr>
          <w:rFonts w:ascii="Arial" w:cs="Arial" w:eastAsia="Arial" w:hAnsi="Arial"/>
          <w:sz w:val="21"/>
          <w:szCs w:val="21"/>
          <w:color w:val="auto"/>
          <w:vertAlign w:val="superscript"/>
        </w:rPr>
      </w:pPr>
    </w:p>
    <w:p>
      <w:pPr>
        <w:ind w:left="180" w:hanging="173"/>
        <w:spacing w:after="0" w:line="185" w:lineRule="auto"/>
        <w:tabs>
          <w:tab w:leader="none" w:pos="180" w:val="left"/>
        </w:tabs>
        <w:numPr>
          <w:ilvl w:val="0"/>
          <w:numId w:val="53"/>
        </w:numPr>
        <w:rPr>
          <w:rFonts w:ascii="Arial" w:cs="Arial" w:eastAsia="Arial" w:hAnsi="Arial"/>
          <w:sz w:val="19"/>
          <w:szCs w:val="19"/>
          <w:color w:val="auto"/>
          <w:vertAlign w:val="superscript"/>
        </w:rPr>
      </w:pPr>
      <w:r>
        <w:rPr>
          <w:rFonts w:ascii="Arial" w:cs="Arial" w:eastAsia="Arial" w:hAnsi="Arial"/>
          <w:sz w:val="12"/>
          <w:szCs w:val="12"/>
          <w:color w:val="auto"/>
        </w:rPr>
        <w:t>Lighthouse Renewable Holdco LLC consolidates Mesquite Star Tax Equity Holdco LLC and Black Rock TE Holdco LLC, which are also consolidated VIEs.</w:t>
      </w:r>
    </w:p>
    <w:p>
      <w:pPr>
        <w:spacing w:after="0" w:line="44" w:lineRule="exact"/>
        <w:rPr>
          <w:rFonts w:ascii="Arial" w:cs="Arial" w:eastAsia="Arial" w:hAnsi="Arial"/>
          <w:sz w:val="19"/>
          <w:szCs w:val="19"/>
          <w:color w:val="auto"/>
          <w:vertAlign w:val="superscript"/>
        </w:rPr>
      </w:pPr>
    </w:p>
    <w:p>
      <w:pPr>
        <w:ind w:left="180" w:hanging="173"/>
        <w:spacing w:after="0" w:line="185" w:lineRule="auto"/>
        <w:tabs>
          <w:tab w:leader="none" w:pos="180" w:val="left"/>
        </w:tabs>
        <w:numPr>
          <w:ilvl w:val="0"/>
          <w:numId w:val="53"/>
        </w:numPr>
        <w:rPr>
          <w:rFonts w:ascii="Arial" w:cs="Arial" w:eastAsia="Arial" w:hAnsi="Arial"/>
          <w:sz w:val="19"/>
          <w:szCs w:val="19"/>
          <w:color w:val="auto"/>
          <w:vertAlign w:val="superscript"/>
        </w:rPr>
      </w:pPr>
      <w:r>
        <w:rPr>
          <w:rFonts w:ascii="Arial" w:cs="Arial" w:eastAsia="Arial" w:hAnsi="Arial"/>
          <w:sz w:val="12"/>
          <w:szCs w:val="12"/>
          <w:color w:val="auto"/>
        </w:rPr>
        <w:t>Lighthouse Renewable Holdco 2 LLC consolidates Mesquite Sky TE Holdco LLC, which is also a consolidated VIE.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Oahu</w:t>
            </w:r>
          </w:p>
        </w:tc>
        <w:tc>
          <w:tcPr>
            <w:tcW w:w="13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2"/>
              </w:rPr>
              <w:t>Pinnacle Repowering</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Rattlesnake TE Holdco</w:t>
            </w:r>
          </w:p>
        </w:tc>
        <w:tc>
          <w:tcPr>
            <w:tcW w:w="140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Rosie Target Co LLC</w:t>
            </w: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Wildorado TE Holdco</w:t>
            </w:r>
          </w:p>
        </w:tc>
        <w:tc>
          <w:tcPr>
            <w:tcW w:w="280" w:type="dxa"/>
            <w:vAlign w:val="bottom"/>
          </w:tcPr>
          <w:p>
            <w:pPr>
              <w:spacing w:after="0"/>
              <w:rPr>
                <w:sz w:val="12"/>
                <w:szCs w:val="12"/>
                <w:color w:val="auto"/>
              </w:rPr>
            </w:pPr>
          </w:p>
        </w:tc>
        <w:tc>
          <w:tcPr>
            <w:tcW w:w="1020" w:type="dxa"/>
            <w:vAlign w:val="bottom"/>
            <w:vMerge w:val="restart"/>
          </w:tcPr>
          <w:p>
            <w:pPr>
              <w:jc w:val="right"/>
              <w:ind w:right="354"/>
              <w:spacing w:after="0"/>
              <w:rPr>
                <w:sz w:val="20"/>
                <w:szCs w:val="20"/>
                <w:color w:val="auto"/>
              </w:rPr>
            </w:pPr>
            <w:r>
              <w:rPr>
                <w:rFonts w:ascii="Arial" w:cs="Arial" w:eastAsia="Arial" w:hAnsi="Arial"/>
                <w:sz w:val="12"/>
                <w:szCs w:val="12"/>
                <w:b w:val="1"/>
                <w:bCs w:val="1"/>
                <w:color w:val="auto"/>
              </w:rPr>
              <w:t>Other</w:t>
            </w:r>
            <w:r>
              <w:rPr>
                <w:rFonts w:ascii="Arial" w:cs="Arial" w:eastAsia="Arial" w:hAnsi="Arial"/>
                <w:sz w:val="16"/>
                <w:szCs w:val="16"/>
                <w:b w:val="1"/>
                <w:bCs w:val="1"/>
                <w:color w:val="auto"/>
                <w:vertAlign w:val="superscript"/>
              </w:rPr>
              <w:t>(a)</w:t>
            </w:r>
          </w:p>
        </w:tc>
        <w:tc>
          <w:tcPr>
            <w:tcW w:w="0" w:type="dxa"/>
            <w:vAlign w:val="bottom"/>
          </w:tcPr>
          <w:p>
            <w:pPr>
              <w:spacing w:after="0"/>
              <w:rPr>
                <w:sz w:val="1"/>
                <w:szCs w:val="1"/>
                <w:color w:val="auto"/>
              </w:rPr>
            </w:pPr>
          </w:p>
        </w:tc>
      </w:tr>
      <w:tr>
        <w:trPr>
          <w:trHeight w:val="173"/>
        </w:trPr>
        <w:tc>
          <w:tcPr>
            <w:tcW w:w="3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Solar Partnership</w:t>
            </w: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Partnership LLC</w:t>
            </w:r>
          </w:p>
        </w:tc>
        <w:tc>
          <w:tcPr>
            <w:tcW w:w="320" w:type="dxa"/>
            <w:vAlign w:val="bottom"/>
          </w:tcPr>
          <w:p>
            <w:pPr>
              <w:spacing w:after="0"/>
              <w:rPr>
                <w:sz w:val="15"/>
                <w:szCs w:val="15"/>
                <w:color w:val="auto"/>
              </w:rPr>
            </w:pPr>
          </w:p>
        </w:tc>
        <w:tc>
          <w:tcPr>
            <w:tcW w:w="1060" w:type="dxa"/>
            <w:vAlign w:val="bottom"/>
            <w:gridSpan w:val="2"/>
          </w:tcPr>
          <w:p>
            <w:pPr>
              <w:ind w:left="200"/>
              <w:spacing w:after="0"/>
              <w:rPr>
                <w:sz w:val="20"/>
                <w:szCs w:val="20"/>
                <w:color w:val="auto"/>
              </w:rPr>
            </w:pPr>
            <w:r>
              <w:rPr>
                <w:rFonts w:ascii="Arial" w:cs="Arial" w:eastAsia="Arial" w:hAnsi="Arial"/>
                <w:sz w:val="12"/>
                <w:szCs w:val="12"/>
                <w:b w:val="1"/>
                <w:bCs w:val="1"/>
                <w:color w:val="auto"/>
              </w:rPr>
              <w:t>LLC</w:t>
            </w:r>
          </w:p>
        </w:tc>
        <w:tc>
          <w:tcPr>
            <w:tcW w:w="1400" w:type="dxa"/>
            <w:vAlign w:val="bottom"/>
            <w:gridSpan w:val="3"/>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6"/>
        </w:trPr>
        <w:tc>
          <w:tcPr>
            <w:tcW w:w="30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304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9"/>
        </w:trPr>
        <w:tc>
          <w:tcPr>
            <w:tcW w:w="304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7"/>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1"/>
        </w:trPr>
        <w:tc>
          <w:tcPr>
            <w:tcW w:w="3040" w:type="dxa"/>
            <w:vAlign w:val="bottom"/>
          </w:tcPr>
          <w:p>
            <w:pPr>
              <w:ind w:left="140"/>
              <w:spacing w:after="0"/>
              <w:rPr>
                <w:sz w:val="20"/>
                <w:szCs w:val="20"/>
                <w:color w:val="auto"/>
              </w:rPr>
            </w:pPr>
            <w:r>
              <w:rPr>
                <w:rFonts w:ascii="Arial" w:cs="Arial" w:eastAsia="Arial" w:hAnsi="Arial"/>
                <w:sz w:val="18"/>
                <w:szCs w:val="18"/>
                <w:color w:val="auto"/>
                <w:w w:val="92"/>
              </w:rPr>
              <w:t>Net assets less noncontrolling interests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80" w:hanging="173"/>
        <w:spacing w:after="0"/>
        <w:tabs>
          <w:tab w:leader="none" w:pos="180" w:val="left"/>
        </w:tabs>
        <w:numPr>
          <w:ilvl w:val="0"/>
          <w:numId w:val="54"/>
        </w:numPr>
        <w:rPr>
          <w:rFonts w:ascii="Arial" w:cs="Arial" w:eastAsia="Arial" w:hAnsi="Arial"/>
          <w:sz w:val="21"/>
          <w:szCs w:val="21"/>
          <w:color w:val="auto"/>
          <w:vertAlign w:val="superscript"/>
        </w:rPr>
      </w:pPr>
      <w:r>
        <w:rPr>
          <w:rFonts w:ascii="Arial" w:cs="Arial" w:eastAsia="Arial" w:hAnsi="Arial"/>
          <w:sz w:val="13"/>
          <w:szCs w:val="13"/>
          <w:color w:val="auto"/>
        </w:rPr>
        <w:t>Other is comprised of Crosswind Transmission, LLC, Hardin Hilltop Wind LLC, Elbow Creek TE Holdco and Spring Canyon TE Holdco projects.</w:t>
      </w:r>
    </w:p>
    <w:p>
      <w:pPr>
        <w:spacing w:after="0" w:line="159" w:lineRule="exact"/>
        <w:rPr>
          <w:sz w:val="20"/>
          <w:szCs w:val="20"/>
          <w:color w:val="auto"/>
        </w:rPr>
      </w:pPr>
    </w:p>
    <w:p>
      <w:pPr>
        <w:jc w:val="both"/>
        <w:ind w:right="80" w:firstLine="400"/>
        <w:spacing w:after="0" w:line="283" w:lineRule="auto"/>
        <w:rPr>
          <w:sz w:val="20"/>
          <w:szCs w:val="20"/>
          <w:color w:val="auto"/>
        </w:rPr>
      </w:pPr>
      <w:r>
        <w:rPr>
          <w:rFonts w:ascii="Arial" w:cs="Arial" w:eastAsia="Arial" w:hAnsi="Arial"/>
          <w:sz w:val="16"/>
          <w:szCs w:val="16"/>
          <w:b w:val="1"/>
          <w:bCs w:val="1"/>
          <w:i w:val="1"/>
          <w:iCs w:val="1"/>
          <w:color w:val="auto"/>
        </w:rPr>
        <w:t xml:space="preserve">Pinnacle Repowering Partnership LLC — </w:t>
      </w:r>
      <w:r>
        <w:rPr>
          <w:rFonts w:ascii="Arial" w:cs="Arial" w:eastAsia="Arial" w:hAnsi="Arial"/>
          <w:sz w:val="16"/>
          <w:szCs w:val="16"/>
          <w:color w:val="auto"/>
        </w:rPr>
        <w:t>On February 26, 2021, the Company entered into an amended agreement with CWSP Pinnacle Holding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LLC, an indirect subsidiary of CEG, with respect to Pinnacle Repowering Partnership LLC in order to facilitate the repowering of the Pinnacle wind project, a 54 MW wind facility located in Mineral County, West Virginia. On March 10, 2021, the Company contributed its interest in the Pinnacle wind project to Pinnacle Repowering Partnership LLC concurrent with entering into a financing agreement as further described in Note 7, </w:t>
      </w:r>
      <w:r>
        <w:rPr>
          <w:rFonts w:ascii="Arial" w:cs="Arial" w:eastAsia="Arial" w:hAnsi="Arial"/>
          <w:sz w:val="16"/>
          <w:szCs w:val="16"/>
          <w:i w:val="1"/>
          <w:iCs w:val="1"/>
          <w:color w:val="auto"/>
        </w:rPr>
        <w:t>Long-term Debt</w:t>
      </w:r>
      <w:r>
        <w:rPr>
          <w:rFonts w:ascii="Arial" w:cs="Arial" w:eastAsia="Arial" w:hAnsi="Arial"/>
          <w:sz w:val="16"/>
          <w:szCs w:val="16"/>
          <w:color w:val="auto"/>
        </w:rPr>
        <w:t>. The Company owns 100% of the Class A membership interests in Pinnacle Repowering Partnership LLC, which is a VIE, and the Company consolidates its interest as the primary beneficiary and managing member. CWSP Pinnacle Holding LLC owns 100% of the Class B membership interests in Pinnacle Repowering Partnership LLC and is entitled to allocations of 15% of the cash distributions from the partnership. On March 10, 2021, CWSP Pinnacle Holding LLC contributed $27 million in equipment to the partnership, which was a transfer of assets under common control and recorded at historical cost in property, plant and equipment, with a corresponding non-cash contribution in Pinnacle Repowering Partnership LLC's noncontrolling interests. Additionally, on March 10, 2021, the Pinnacle wind project acquired equipment from CEG for $21 million in cash consideration.</w:t>
      </w:r>
    </w:p>
    <w:p>
      <w:pPr>
        <w:spacing w:after="0" w:line="123" w:lineRule="exact"/>
        <w:rPr>
          <w:sz w:val="20"/>
          <w:szCs w:val="20"/>
          <w:color w:val="auto"/>
        </w:rPr>
      </w:pPr>
    </w:p>
    <w:p>
      <w:pPr>
        <w:jc w:val="both"/>
        <w:ind w:right="80" w:firstLine="400"/>
        <w:spacing w:after="0" w:line="268" w:lineRule="auto"/>
        <w:rPr>
          <w:sz w:val="20"/>
          <w:szCs w:val="20"/>
          <w:color w:val="auto"/>
        </w:rPr>
      </w:pPr>
      <w:r>
        <w:rPr>
          <w:rFonts w:ascii="Arial" w:cs="Arial" w:eastAsia="Arial" w:hAnsi="Arial"/>
          <w:sz w:val="17"/>
          <w:szCs w:val="17"/>
          <w:color w:val="auto"/>
        </w:rPr>
        <w:t>On December 15, 2021, in connection with the completion of the repowering of the project, a third-party tax equity investor acquired the Class A membership interests in Pinnacle Tax Equity Holdco LLC, which is a tax equity fund, and the holder of the Pinnacle wind project, for $48 million. The Company consolidates Pinnacle Tax Equity Holdco LLC, as primary beneficiary through its consolidated subsidiary Pinnacle Repowering Partnership LLC, who acts as managing member. In addition, upon completion of the repowering, the Company made a payment of $64 million, which was utilized along with the proceeds of the tax equity investment to repay the outstanding debt under the financing agreement referenced above. The Company utilizes the HLBV method to determine the net income or loss allocated to tax equity noncontrolling interest.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887" w:right="259" w:bottom="1440" w:gutter="0" w:footer="0" w:header="0"/>
        </w:sectPr>
      </w:pPr>
    </w:p>
    <w:bookmarkStart w:id="105" w:name="page106"/>
    <w:bookmarkEnd w:id="105"/>
    <w:p>
      <w:pPr>
        <w:jc w:val="both"/>
        <w:ind w:firstLine="400"/>
        <w:spacing w:after="0" w:line="266" w:lineRule="auto"/>
        <w:rPr>
          <w:sz w:val="20"/>
          <w:szCs w:val="20"/>
          <w:color w:val="auto"/>
        </w:rPr>
      </w:pPr>
      <w:r>
        <w:rPr>
          <w:rFonts w:ascii="Arial" w:cs="Arial" w:eastAsia="Arial" w:hAnsi="Arial"/>
          <w:sz w:val="17"/>
          <w:szCs w:val="17"/>
          <w:b w:val="1"/>
          <w:bCs w:val="1"/>
          <w:i w:val="1"/>
          <w:iCs w:val="1"/>
          <w:color w:val="auto"/>
        </w:rPr>
        <w:t xml:space="preserve">Rattlesnake TE Holdco LLC — </w:t>
      </w:r>
      <w:r>
        <w:rPr>
          <w:rFonts w:ascii="Arial" w:cs="Arial" w:eastAsia="Arial" w:hAnsi="Arial"/>
          <w:sz w:val="17"/>
          <w:szCs w:val="17"/>
          <w:color w:val="auto"/>
        </w:rPr>
        <w:t>As described in Note 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on January 12, 2021, the Company acquired CEG's equity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and a third-party investor's minority interest in CWSP Rattlesnake Holding LLC for $132 million. CWSP Rattlesnake Holding LLC owns Rattlesnake Class B LLC, which owns the Class B membership interests in Rattlesnake TE Holdco LLC, which is a VIE. Rattlesnake Class B LLC is the primary beneficiary and managing member and consolidates its interest in Rattlesnake TE Holdco LLC, which owns the Rattlesnake wind project. Subsequent to the acquisition, on January 12, 2021 the third-party tax equity investor contributed $107 million into Rattlesnake TE Holdco LLC in exchange for the Class A membership interests. The proceeds from the tax equity contribution along with cash contributed by CEG were used to repay a portion of the $176 million of the outstanding principal under the Rattlesnake Class B LLC credit facility. The Company utilizes the HLBV method to determine the net income or loss allocated to tax equity noncontrolling interest.</w:t>
      </w:r>
    </w:p>
    <w:p>
      <w:pPr>
        <w:spacing w:after="0" w:line="133" w:lineRule="exact"/>
        <w:rPr>
          <w:sz w:val="20"/>
          <w:szCs w:val="20"/>
          <w:color w:val="auto"/>
        </w:rPr>
      </w:pPr>
    </w:p>
    <w:p>
      <w:pPr>
        <w:jc w:val="both"/>
        <w:ind w:firstLine="400"/>
        <w:spacing w:after="0" w:line="284" w:lineRule="auto"/>
        <w:rPr>
          <w:sz w:val="20"/>
          <w:szCs w:val="20"/>
          <w:color w:val="auto"/>
        </w:rPr>
      </w:pPr>
      <w:r>
        <w:rPr>
          <w:rFonts w:ascii="Arial" w:cs="Arial" w:eastAsia="Arial" w:hAnsi="Arial"/>
          <w:sz w:val="16"/>
          <w:szCs w:val="16"/>
          <w:b w:val="1"/>
          <w:bCs w:val="1"/>
          <w:i w:val="1"/>
          <w:iCs w:val="1"/>
          <w:color w:val="auto"/>
        </w:rPr>
        <w:t xml:space="preserve">DGPV Holdco 3 Consolidation — </w:t>
      </w:r>
      <w:r>
        <w:rPr>
          <w:rFonts w:ascii="Arial" w:cs="Arial" w:eastAsia="Arial" w:hAnsi="Arial"/>
          <w:sz w:val="16"/>
          <w:szCs w:val="16"/>
          <w:color w:val="auto"/>
        </w:rPr>
        <w:t>DGPV Holdco 3 LLC or DGPV Holdco 3 owned approximately 113 MW of Distributed Solar capacity,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cash to be distributed, with a weighted average remaining contract life of approximately 21 years. On May 29, 2020, the final construction projects for DGPV Holdco 3 were placed in service which resulted in a reconsideration event for consolidation of the entity. Upon the reconsideration event, the Company determined that it was the primary beneficiary of DGPV Holdco 3, as it is entitled to 99% of allocations of income and cash distributions from the entity. As such, effective on May 29, 2020, the Company consolidates DGPV Holdco 3, and records the interest owned by CEG as noncontrolling interest. DGPV Holdco 3 owns an interest in two tax equity funds with tax equity investors, both of which are consolidated by DGPV Holdco 3, and the interests owned by the tax equity investors are shown as noncontrolling interests. The Company removed its equity method investment in DGPV Holdco 3 of $155 million as of May 29, 2020 and recorded the difference between the net assets consolidated and the investment balance as a reduction to noncontrolling interests. The Company acquired CEG's interest in DGPV Holdco 3 on November 2, 2020 as further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xml:space="preserve"> and below</w:t>
      </w:r>
      <w:r>
        <w:rPr>
          <w:rFonts w:ascii="Arial" w:cs="Arial" w:eastAsia="Arial" w:hAnsi="Arial"/>
          <w:sz w:val="16"/>
          <w:szCs w:val="16"/>
          <w:i w:val="1"/>
          <w:iCs w:val="1"/>
          <w:color w:val="auto"/>
        </w:rPr>
        <w:t>.</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Prior to the reconsideration event described above, the Company invested $10 million of cash in DGPV Holdco 3 during the first half of 2020.</w:t>
      </w:r>
    </w:p>
    <w:p>
      <w:pPr>
        <w:spacing w:after="0" w:line="178" w:lineRule="exact"/>
        <w:rPr>
          <w:sz w:val="20"/>
          <w:szCs w:val="20"/>
          <w:color w:val="auto"/>
        </w:rPr>
      </w:pPr>
    </w:p>
    <w:p>
      <w:pPr>
        <w:jc w:val="both"/>
        <w:ind w:firstLine="400"/>
        <w:spacing w:after="0" w:line="283" w:lineRule="auto"/>
        <w:rPr>
          <w:sz w:val="20"/>
          <w:szCs w:val="20"/>
          <w:color w:val="auto"/>
        </w:rPr>
      </w:pPr>
      <w:r>
        <w:rPr>
          <w:rFonts w:ascii="Arial" w:cs="Arial" w:eastAsia="Arial" w:hAnsi="Arial"/>
          <w:sz w:val="16"/>
          <w:szCs w:val="16"/>
          <w:b w:val="1"/>
          <w:bCs w:val="1"/>
          <w:i w:val="1"/>
          <w:iCs w:val="1"/>
          <w:color w:val="auto"/>
        </w:rPr>
        <w:t xml:space="preserve">DGPV Tax Equity Funds —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on November 2, 2020, the Company acquired the Class 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membership interests in DGPV Holdco 1, DGPV Holdco 2 and DGPV Holdco 3, or the DGPV Holdco Entities, from Renew DG Holdings LLC, a subsidiary of CEG. The Company previously held the Class A membership interests in the DGPV Holdco Entities and accounted for its interests in DGPV Holdco 1 and DGPV Holdco 2 as equity method investments, while DGPV Holdco 3 was consolidated by the Company effective May 29, 2020 as further described above. Concurrent with the acquisition, the Company transferred its interests to DG-CS Master Borrower LLC. Effective with the acquisition of the Class B membership interests of the DGPV Holdco Entities, the Company consolidates all of the DGPV Holdco Entities, including DG-CS Master Borrower LLC, and its subsidiaries, which consist of seven projects including six tax equity funds that collectively own approximately 172 distributed solar projects with a combined 286 MW of capacity. Each of the six tax equity funds is a VIE, where the Company is the primary beneficiary and consolidates the fund, with the tax equity investor's interest shown as noncontrolling interest or redeemable noncontrolling interest. The Company utilizes the HLBV method to determine its share of the income or losses in the investees. The Company removed its equity method investments in DGPV Holdco 1 and DGPV Holdco 2 of $144 million as of November 2, 2020 and recorded the difference between the net assets consolidated and the investment balance as a reduction to noncontrolling interests.</w:t>
      </w:r>
    </w:p>
    <w:p>
      <w:pPr>
        <w:spacing w:after="0" w:line="119" w:lineRule="exact"/>
        <w:rPr>
          <w:sz w:val="20"/>
          <w:szCs w:val="20"/>
          <w:color w:val="auto"/>
        </w:rPr>
      </w:pPr>
    </w:p>
    <w:p>
      <w:pPr>
        <w:jc w:val="both"/>
        <w:ind w:firstLine="400"/>
        <w:spacing w:after="0" w:line="285" w:lineRule="auto"/>
        <w:rPr>
          <w:sz w:val="20"/>
          <w:szCs w:val="20"/>
          <w:color w:val="auto"/>
        </w:rPr>
      </w:pPr>
      <w:r>
        <w:rPr>
          <w:rFonts w:ascii="Arial" w:cs="Arial" w:eastAsia="Arial" w:hAnsi="Arial"/>
          <w:sz w:val="16"/>
          <w:szCs w:val="16"/>
          <w:b w:val="1"/>
          <w:bCs w:val="1"/>
          <w:i w:val="1"/>
          <w:iCs w:val="1"/>
          <w:color w:val="auto"/>
        </w:rPr>
        <w:t xml:space="preserve">Langford Tax Equity Partnership, LLC </w:t>
      </w:r>
      <w:r>
        <w:rPr>
          <w:rFonts w:ascii="Arial" w:cs="Arial" w:eastAsia="Arial" w:hAnsi="Arial"/>
          <w:sz w:val="16"/>
          <w:szCs w:val="16"/>
          <w:color w:val="auto"/>
        </w:rPr>
        <w:t>— 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on November 20, 2020, the Company acquired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100% of the Class B membership interest in Langford Holding LLC from CEG for $55 million as well as 100% of the Class A membership interests in Langford Holding LLC from a third-party investor for $9 million. Langford Holding LLC owns 100% of the membership interests in Langford Class B Holdco LLC, which owns 100% of the Class B interest in Langford Tax Equity Partnership LLC, which indirectly owns 100% of the interest in a 160 MW wind project. Langford Tax Equity Partnership LLC is a variable interest entity. The Company is the primary beneficiary, through its position as managing member, and indirectly consolidates Langford Tax Equity Partnership LLC, through Langford Class B Holdco LLC. The Class A member is a tax equity investor whose interest is reflected as noncontrolling interest on the Company's consolidated balance sheet. The project achieved repowering COD in November 2020. The Company utilizes the HLBV method for income or loss allocation to the tax equity investor's noncontrolling interest.</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Lighthouse Partnership Arrangements</w:t>
      </w:r>
    </w:p>
    <w:p>
      <w:pPr>
        <w:spacing w:after="0" w:line="166" w:lineRule="exact"/>
        <w:rPr>
          <w:sz w:val="20"/>
          <w:szCs w:val="20"/>
          <w:color w:val="auto"/>
        </w:rPr>
      </w:pPr>
    </w:p>
    <w:p>
      <w:pPr>
        <w:jc w:val="both"/>
        <w:ind w:firstLine="640"/>
        <w:spacing w:after="0" w:line="295" w:lineRule="auto"/>
        <w:rPr>
          <w:sz w:val="20"/>
          <w:szCs w:val="20"/>
          <w:color w:val="auto"/>
        </w:rPr>
      </w:pPr>
      <w:r>
        <w:rPr>
          <w:rFonts w:ascii="Arial" w:cs="Arial" w:eastAsia="Arial" w:hAnsi="Arial"/>
          <w:sz w:val="16"/>
          <w:szCs w:val="16"/>
          <w:b w:val="1"/>
          <w:bCs w:val="1"/>
          <w:i w:val="1"/>
          <w:iCs w:val="1"/>
          <w:color w:val="auto"/>
        </w:rPr>
        <w:t xml:space="preserve">Lighthouse Renewable Holdco LLC —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on September 1, 2020, the Company, through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indirect subsidiary Lighthouse Renewable Class A LLC, acquired the Class A membership interests in Lighthouse Renewable Holdco LLC (formerly Mesquite Star Pledgor LLC) from Clearway Renew LLC, a subsidiary of CEG. Lighthouse Renewable Holdco LLC is a VIE and at the time of the acquisition the Company was not the primary beneficiary. Accordingly, the Company recorded the acquired interest as an equity method investment.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6" w:name="page107"/>
    <w:bookmarkEnd w:id="106"/>
    <w:p>
      <w:pPr>
        <w:jc w:val="both"/>
        <w:ind w:firstLine="640"/>
        <w:spacing w:after="0" w:line="264" w:lineRule="auto"/>
        <w:rPr>
          <w:sz w:val="20"/>
          <w:szCs w:val="20"/>
          <w:color w:val="auto"/>
        </w:rPr>
      </w:pPr>
      <w:r>
        <w:rPr>
          <w:rFonts w:ascii="Arial" w:cs="Arial" w:eastAsia="Arial" w:hAnsi="Arial"/>
          <w:sz w:val="17"/>
          <w:szCs w:val="17"/>
          <w:color w:val="auto"/>
        </w:rPr>
        <w:t xml:space="preserve">On December 21, 2020, CEG sold its Class B membership interest in Lighthouse Renewable Holdco LLC to a third-party investor which resulted in a reconsideration event for consolidation of the entity. Upon the reconsideration event, the Company determined that it was the primary beneficiary of Lighthouse Renewable Holdco LLC. As such, effective on December 21, 2020, the Company consolidates Lighthouse Renewable Holdco LLC, and shows the Class B interests owned by the third-party investor as noncontrolling interests on the Company’s consolidated balance sheet. Through its Class A membership interests, the Company receives 50.01% of income and distributable cash. In addition, Lighthouse Renewable Holdco LLC holds the Class B interests in a tax equity fund, Mesquite Star Tax Equity Holdco LLC, that holds the Mesquite Star project. The tax equity investor's interest is shown as noncontrolling interest. The HLBV method is utilized to allocate the income or losses of Mesquite Star Tax Equity Holdco LLC. As described in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on December 29, 2021, Lighthouse Renewable Holdco LLC, through its indirect wholly-owned subsidiary, Lighthouse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Renewable Holding Sub LLC, acquired the Class B interests in a partnership, Black Rock Wind Holding LLC, which consolidates, as the direct owner of the primary beneficiary, a tax equity fund, Black Rock TE Holdco LLC, that holds the Black Rock wind project. The tax equity investor’s interest is shown as noncontrolling interest and the HLBV method is utilized to allocate the income or losses of Black Rock TE Holdco LLC. As described in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the third-party investor in Lighthouse Renewable Holdco LLC also acquired and contributed an interest in Black Rock Wind</w:t>
      </w:r>
      <w:r>
        <w:rPr>
          <w:rFonts w:ascii="Arial" w:cs="Arial" w:eastAsia="Arial" w:hAnsi="Arial"/>
          <w:sz w:val="17"/>
          <w:szCs w:val="17"/>
          <w:i w:val="1"/>
          <w:iCs w:val="1"/>
          <w:color w:val="auto"/>
        </w:rPr>
        <w:t xml:space="preserve"> </w:t>
      </w:r>
      <w:r>
        <w:rPr>
          <w:rFonts w:ascii="Arial" w:cs="Arial" w:eastAsia="Arial" w:hAnsi="Arial"/>
          <w:sz w:val="17"/>
          <w:szCs w:val="17"/>
          <w:color w:val="auto"/>
        </w:rPr>
        <w:t>Holding LLC to Lighthouse Renewable Holdco LLC. The Company recorded the related noncontrolling interest at historical carrying amount, with the offset to additional paid-in capital.</w:t>
      </w:r>
    </w:p>
    <w:p>
      <w:pPr>
        <w:spacing w:after="0" w:line="135"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b w:val="1"/>
          <w:bCs w:val="1"/>
          <w:i w:val="1"/>
          <w:iCs w:val="1"/>
          <w:color w:val="auto"/>
        </w:rPr>
        <w:t xml:space="preserve">Lighthouse Renewable Holdco 2 LLC — </w:t>
      </w:r>
      <w:r>
        <w:rPr>
          <w:rFonts w:ascii="Arial" w:cs="Arial" w:eastAsia="Arial" w:hAnsi="Arial"/>
          <w:sz w:val="16"/>
          <w:szCs w:val="16"/>
          <w:color w:val="auto"/>
        </w:rPr>
        <w:t>On December 17, 2021, the Company formed Lighthouse Renewable Holdco 2 LLC, a partnership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between the Company and a third-party investor. Lighthouse Renewable Holdco 2 LLC is a VIE and the Company is the primary beneficiary, through its role as managing member. As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xml:space="preserve">, on December 17, 2021, Lighthouse Renewable Holdco 2 LLC acquired the Class B interests in a partnership, Mesquite Sky Holding LLC, which consolidates, as the direct owner of the primary beneficiary, a tax equity fund, Mesquite Sky TE Holdco LLC, that holds the Mesquite Sky wind project. The tax equity investor’s interest is shown as noncontrolling interest and the HLBV method is utilized to allocate the income or losses of Mesquite Sky TE Holdco LLC. As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the third-party investor in Lighthouse Renewable Holdco 2 LLC also acquired and contributed an interest in Mesquite Sky Holding LLC to Lighthouse Renewable Holdco 2 LLC. The Company recorded the related noncontrolling interest at historical carrying amount, with the offset to additional paid-in capital.</w:t>
      </w:r>
    </w:p>
    <w:p>
      <w:pPr>
        <w:spacing w:after="0" w:line="118" w:lineRule="exact"/>
        <w:rPr>
          <w:sz w:val="20"/>
          <w:szCs w:val="20"/>
          <w:color w:val="auto"/>
        </w:rPr>
      </w:pPr>
    </w:p>
    <w:p>
      <w:pPr>
        <w:jc w:val="both"/>
        <w:ind w:firstLine="640"/>
        <w:spacing w:after="0" w:line="286" w:lineRule="auto"/>
        <w:rPr>
          <w:sz w:val="20"/>
          <w:szCs w:val="20"/>
          <w:color w:val="auto"/>
        </w:rPr>
      </w:pPr>
      <w:r>
        <w:rPr>
          <w:rFonts w:ascii="Arial" w:cs="Arial" w:eastAsia="Arial" w:hAnsi="Arial"/>
          <w:sz w:val="16"/>
          <w:szCs w:val="16"/>
          <w:b w:val="1"/>
          <w:bCs w:val="1"/>
          <w:i w:val="1"/>
          <w:iCs w:val="1"/>
          <w:color w:val="auto"/>
        </w:rPr>
        <w:t xml:space="preserve">Rosie TargetCo LLC —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on December 21, 2020, the Company acquired 100% of CEG's Class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membership interests of Rosie TargetCo LLC which owns 100% interest in Rosie Class B LLC, which in turn owns 100% of the Class B membership interest of Rosie TE Holdco LLC. The Company consolidates Rosie TargetCo LLC as a VIE as the Company is the primary beneficiary, through its role as managing member. The Class B membership interest of Rosie TargetCo LLC is owned by a third-party investor and is reflected as noncontrolling interest on the Company’s consolidated balance sheet. Through its Class A membership interests in Rosie TargetCo LLC, the Company receives 50% of income and distributable cash. Rosie TargetCo indirectly consolidates Rosie TE Holdco LLC, which is also a VIE. The tax equity investor's interest is shown as noncontrolling interest. The HLBV method is utilized to allocate the income or losses of Rosie TE Holdco LLC.</w:t>
      </w:r>
    </w:p>
    <w:p>
      <w:pPr>
        <w:spacing w:after="0" w:line="112" w:lineRule="exact"/>
        <w:rPr>
          <w:sz w:val="20"/>
          <w:szCs w:val="20"/>
          <w:color w:val="auto"/>
        </w:rPr>
      </w:pPr>
    </w:p>
    <w:p>
      <w:pPr>
        <w:jc w:val="both"/>
        <w:ind w:firstLine="400"/>
        <w:spacing w:after="0" w:line="283" w:lineRule="auto"/>
        <w:rPr>
          <w:sz w:val="20"/>
          <w:szCs w:val="20"/>
          <w:color w:val="auto"/>
        </w:rPr>
      </w:pPr>
      <w:r>
        <w:rPr>
          <w:rFonts w:ascii="Arial" w:cs="Arial" w:eastAsia="Arial" w:hAnsi="Arial"/>
          <w:sz w:val="16"/>
          <w:szCs w:val="16"/>
          <w:b w:val="1"/>
          <w:bCs w:val="1"/>
          <w:i w:val="1"/>
          <w:iCs w:val="1"/>
          <w:color w:val="auto"/>
        </w:rPr>
        <w:t xml:space="preserve">Kawailoa Partnership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August 31, 2018, the Company entered into an agreement with Clearway Renew LLC, a subsidiary of CEG, to acquire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A membership interests in the Kawailoa Solar Partnership LLC, or Kawailoa Partnership, for $9 million in cash consideration. The purpose of the partnership is to own, finance, operate, and maintain the Kawailoa Solar project, a 49 MW utility-scale solar generation project, an indirect subsidiary of the Kawailoa Partnership, located in Oahu, Hawaii. The Kawailoa Solar project is contracted to sell power under a 22-year PPA with Hawaiian Electric Company, or HECO. The Kawailoa Solar project is 51% owned by the Kawailoa Partnership, with the remaining 49% owned by a third-party investor. The Kawailoa Partnership consolidates the Kawailoa Solar project through its controlling majority interest. On May 7, 2019, the Company made an initial capital contribution of $2 million, which represents 20% of its total anticipated capital contributions. The Company assumed non-recourse debt of $120 million, as further described in Note 10</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and non-controlling interests attributable to third parties in the amount of $21 million. Effective May 1, 2019, the Company, as a Class A member, is the primary beneficiary through its position as managing member and consolidates Kawailoa Partnership. Allocations of income and taxable items are equal to the distributions of available cash, which is currently 95% to the Company and 5% to Clearway Renew LLC. The Company's acquisition of the Class A membership interests in the Kawailoa Partnership was accounted for as a transfer of assets under common control and was recorded at historical cost in accordance with ASC 805-50,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Issues</w:t>
      </w:r>
      <w:r>
        <w:rPr>
          <w:rFonts w:ascii="Arial" w:cs="Arial" w:eastAsia="Arial" w:hAnsi="Arial"/>
          <w:sz w:val="16"/>
          <w:szCs w:val="16"/>
          <w:color w:val="auto"/>
        </w:rPr>
        <w:t>. The difference between the cash paid and payable recorded and the historical value of the assets was recorded as a distribution to CEG and decreased the balance of its noncontrolling interest.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7" w:name="page108"/>
    <w:bookmarkEnd w:id="107"/>
    <w:p>
      <w:pPr>
        <w:jc w:val="both"/>
        <w:ind w:firstLine="400"/>
        <w:spacing w:after="0" w:line="267" w:lineRule="auto"/>
        <w:rPr>
          <w:sz w:val="20"/>
          <w:szCs w:val="20"/>
          <w:color w:val="auto"/>
        </w:rPr>
      </w:pPr>
      <w:r>
        <w:rPr>
          <w:rFonts w:ascii="Arial" w:cs="Arial" w:eastAsia="Arial" w:hAnsi="Arial"/>
          <w:sz w:val="17"/>
          <w:szCs w:val="17"/>
          <w:color w:val="auto"/>
        </w:rPr>
        <w:t>Upon reaching COD in November of 2019, the Kawailoa Solar project's fixed assets were placed in service and began to depreciate. On December 22, 2019, Kawailoa Solar Holdings LLC, a tax equity fund, received its final equity contribution of $61 million. The proceeds were utilized to repay the ITC bridge loan in the amount of $57 million, and the construction debt was converted to term debt (and upsized, with an additional $5 million drawn). Distributions were paid to the third-party investor and Clearway Renew LLC, funded by the excess of the tax equity investment and the term loan upsizing above the amount of the bridge loan repayment and related fees. On December 27, 2019, the Company made its substantial completion contribution of $7 million into the Kawailoa Partnership, which was also utilized to make a distribution to Clearway Renew LLC. In addition, the Company started applying HLBV to allocate income attributable to the tax equity investor during the fourth quarter of 2019.</w:t>
      </w:r>
    </w:p>
    <w:p>
      <w:pPr>
        <w:spacing w:after="0" w:line="124" w:lineRule="exact"/>
        <w:rPr>
          <w:sz w:val="20"/>
          <w:szCs w:val="20"/>
          <w:color w:val="auto"/>
        </w:rPr>
      </w:pPr>
    </w:p>
    <w:p>
      <w:pPr>
        <w:jc w:val="both"/>
        <w:ind w:firstLine="400"/>
        <w:spacing w:after="0" w:line="283" w:lineRule="auto"/>
        <w:rPr>
          <w:sz w:val="20"/>
          <w:szCs w:val="20"/>
          <w:color w:val="auto"/>
        </w:rPr>
      </w:pPr>
      <w:r>
        <w:rPr>
          <w:rFonts w:ascii="Arial" w:cs="Arial" w:eastAsia="Arial" w:hAnsi="Arial"/>
          <w:sz w:val="16"/>
          <w:szCs w:val="16"/>
          <w:b w:val="1"/>
          <w:bCs w:val="1"/>
          <w:i w:val="1"/>
          <w:iCs w:val="1"/>
          <w:color w:val="auto"/>
        </w:rPr>
        <w:t xml:space="preserve">Oahu Partnership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August 31, 2018, the Company entered into an agreement with Clearway Renew LLC, a subsidiary of CEG, to acquire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A membership interests in the Zephyr Oahu Partnership LLC, or Oahu Partnership, for $20 million in cash consideration. The purpose of the partnership is to own, finance, operate, and maintain the Oahu Solar projects, which consist of Lanikuhana and Waipio, utility-scale solar generation projects with rated capacity of 15 MW and 46 MW, respectively, the indirect subsidiaries of the Oahu Partnership, located in Oahu, Hawaii. The Oahu Solar projects are contracted to sell power under a 22-year PPA with HECO. The Oahu Partnership consolidates the Oahu Solar projects through its controlling majority interest. On March 8, 2019, the Company made an initial capital contribution of $4 million, which represents 20% of its total anticipated capital contributions. The Company also assumed non-recourse debt of $143 million, as further described in Note 10</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and $18 million of non-controlling interest attributable to a tax equity investor's initial contribution. Effective March 8, 2019, the Company, as a Class A member, is the primary beneficiary through its position as managing member and consolidates Oahu Partnership. Allocations of income and taxable items are equal to the distributions of available cash, which is currently 95% to the Company and 5% to Clearway Renew LLC. The Company's acquisition of the Class A membership interests in the Oahu Partnership was accounted for as a transfer of assets under common control and was recorded at historical cost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difference between the cash paid and payable recorded and the historical value of the assets was recorded as a contribution from CEG and increased the balance of its noncontrolling interest.</w:t>
      </w:r>
    </w:p>
    <w:p>
      <w:pPr>
        <w:spacing w:after="0" w:line="118"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auto"/>
        </w:rPr>
        <w:t>Upon reaching COD in September 2019, the Oahu Solar projects' fixed assets were placed in service and began to depreciate. On November 12, 2019, the tax equity investor made its final tax-equity contribution of $71 million and the proceeds were utilized to repay the related ITC bridge loan in the amount of $67 million, and the construction loan was converted to term debt. The Company paid the remaining 80% of the equity commitment in the amount of $16 million to Clearway Renew LLC when the Oahu Solar projects reached certain milestones in December 2019. In addition, the Company started applying HLBV to allocate income attributable to the tax equity investor during the third quarter of 2019.</w:t>
      </w:r>
    </w:p>
    <w:p>
      <w:pPr>
        <w:spacing w:after="0" w:line="121"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b w:val="1"/>
          <w:bCs w:val="1"/>
          <w:i w:val="1"/>
          <w:iCs w:val="1"/>
          <w:color w:val="auto"/>
        </w:rPr>
        <w:t xml:space="preserve">Repowering Partnership II LLC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August 30, 2018, Wind TE Holdco, an indirect subsidiary of the Company, formed Repowering Partnership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with Clearway Renew LLC, an indirect subsidiary of CEG, in order to facilitate the repowering of wind facilities of two of its indirect subsidiaries, Elbow Creek Wind Project LLC, or Elbow Creek, and Wildorado Wind LLC, or Wildorado Wind. Wind TE Holdco contributed its interests in the two facilities and Clearway Renew LLC contributed a turbine supply agreement, including title to certain components that qualify for production tax credits. Wind TE Holdco is the managing member of the partnership and consolidates the entity, which is a VIE. Clearway Renew LLC is initially entitled to allocations of 21% of income, which is reflected in Wind TE Holdco’s noncontrolling interests.</w:t>
      </w:r>
    </w:p>
    <w:p>
      <w:pPr>
        <w:spacing w:after="0" w:line="12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 xml:space="preserve">On June 14, 2019, Repowering Partnership LLC was replaced with Repowering Partnership II LLC as the owner of the Elbow Creek and Wildorado Wind projects as well as Repowering Partnership Holdco LLC, which concurrently entered into a financing agreement for construction debt commitment totaling $352 million, as further described in Note 10, </w:t>
      </w:r>
      <w:r>
        <w:rPr>
          <w:rFonts w:ascii="Arial" w:cs="Arial" w:eastAsia="Arial" w:hAnsi="Arial"/>
          <w:sz w:val="18"/>
          <w:szCs w:val="18"/>
          <w:i w:val="1"/>
          <w:iCs w:val="1"/>
          <w:color w:val="auto"/>
        </w:rPr>
        <w:t>Long-term Debt</w:t>
      </w:r>
      <w:r>
        <w:rPr>
          <w:rFonts w:ascii="Arial" w:cs="Arial" w:eastAsia="Arial" w:hAnsi="Arial"/>
          <w:sz w:val="18"/>
          <w:szCs w:val="18"/>
          <w:color w:val="auto"/>
        </w:rPr>
        <w:t>.</w:t>
      </w:r>
    </w:p>
    <w:p>
      <w:pPr>
        <w:spacing w:after="0" w:line="135"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Repowering of the Elbow Creek project was completed and on November 26, 2019, a third-party tax equity investor purchased 100% of the Class A membership interests in Elbow Creek Repowering Tax Equity Holdco LLC, or Elbow TE Holdco for $89 million pursuant to a membership interest purchase agreement dated June 14, 2019. The Company also contributed $4 million. In connection with the completion of the Elbow Creek repowering, the construction loan of $93 million was repaid with the proceeds from the combined proceeds from the tax equity investor and the Company. The Company began applying HLBV during the fourth quarter to allocate income between the partners of Elbow TE Holdco. In connection with the closing, the allocations of income at Repowering Partnership II LLC (which indirectly consolidates both projects) changed to 59.63% for Wind TE Holdco LLC (the Company member) and 40.37% for CWSP Wildorado Elbow Holding LLC (the CEG member). In addition, approximately half of the repowered Wildorado equipment was placed in service in December 2019, with the remaining equipment being placed in service in January of 2020. In connection with repowering of the projects, the Company revised the remaining useful life of the property, plant and equipment that was replaced, resulting in additional expense of $54 million during the year ended December 31, 2019 related to accelerated depreciation.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8" w:name="page109"/>
    <w:bookmarkEnd w:id="108"/>
    <w:p>
      <w:pPr>
        <w:jc w:val="both"/>
        <w:ind w:firstLine="400"/>
        <w:spacing w:after="0" w:line="284" w:lineRule="auto"/>
        <w:rPr>
          <w:sz w:val="20"/>
          <w:szCs w:val="20"/>
          <w:color w:val="auto"/>
        </w:rPr>
      </w:pPr>
      <w:r>
        <w:rPr>
          <w:rFonts w:ascii="Arial" w:cs="Arial" w:eastAsia="Arial" w:hAnsi="Arial"/>
          <w:sz w:val="16"/>
          <w:szCs w:val="16"/>
          <w:color w:val="auto"/>
        </w:rPr>
        <w:t xml:space="preserve">On February 7, 2020, a third-party tax equity investor purchased 100% of the Class A membership interests in Wildorado TE Holdco, for $148 million. In addition, the Company contributed $112 million to Wildorado TE Holdco. The combined proceeds were used to repay construction debt under the Repowering Partnership Holdco credit agreement, as described in Note 10, </w:t>
      </w:r>
      <w:r>
        <w:rPr>
          <w:rFonts w:ascii="Arial" w:cs="Arial" w:eastAsia="Arial" w:hAnsi="Arial"/>
          <w:sz w:val="16"/>
          <w:szCs w:val="16"/>
          <w:i w:val="1"/>
          <w:iCs w:val="1"/>
          <w:color w:val="auto"/>
        </w:rPr>
        <w:t>Long-term Debt</w:t>
      </w:r>
      <w:r>
        <w:rPr>
          <w:rFonts w:ascii="Arial" w:cs="Arial" w:eastAsia="Arial" w:hAnsi="Arial"/>
          <w:sz w:val="16"/>
          <w:szCs w:val="16"/>
          <w:color w:val="auto"/>
        </w:rPr>
        <w:t>. The third-party tax equity investor, or Wildorado Investor, will receive 99% of allocations of taxable income and other items until the Wildorado Investor obtains a specified return on its initial investment, or the last day of the PTC period, whichever occurs sooner. At such time, the allocations to the Wildorado Investor will change to 5%. Until such time, the Wildorado Investor will receive a variable percentage of cash distributions. Wildorado TE Holdco is a VIE and the Repowering Partnership II LLC is the primary beneficiary through its position as managing member. As a result, the Company consolidates Wildorado TE Holdco, with the Wildorado Investor's interest shown as noncontrolling interest. In connection with the Wildorado TE Holdco closing, the allocations of income at Repowering Partnership II LLC changed to 60.14% for Wind TE Holdco LLC (the Company member) and 39.86% for CWSP Wildorado Elbow Holding LLC (the CEG member).</w:t>
      </w:r>
    </w:p>
    <w:p>
      <w:pPr>
        <w:spacing w:after="0" w:line="120"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 xml:space="preserve">On May 11, 2020, the Company acquired CEG's interest in Repowering Partnership II LLC, for cash consideration of $70 million. Repowering Partnership II LLC is no longer a VIE and subsequent to the acquisition, is a wholly-owned subsidiary of the Company. Repowering Partnership II LLC continues to own interests in two VIEs, Wildorado Repowering Tax Equity Holdco LLC, or Wildorado TE Holdco, and Elbow Creek Repowering Tax Equity Holdco LLC, or Elbow Creek TE Holdco. </w:t>
      </w:r>
      <w:r>
        <w:rPr>
          <w:rFonts w:ascii="Arial" w:cs="Arial" w:eastAsia="Arial" w:hAnsi="Arial"/>
          <w:sz w:val="17"/>
          <w:szCs w:val="17"/>
          <w:color w:val="231F20"/>
        </w:rPr>
        <w:t>The Company removed the related noncontrolling interest balance of $8 million and recorded the difference</w:t>
      </w:r>
      <w:r>
        <w:rPr>
          <w:rFonts w:ascii="Arial" w:cs="Arial" w:eastAsia="Arial" w:hAnsi="Arial"/>
          <w:sz w:val="17"/>
          <w:szCs w:val="17"/>
          <w:color w:val="auto"/>
        </w:rPr>
        <w:t xml:space="preserve"> </w:t>
      </w:r>
      <w:r>
        <w:rPr>
          <w:rFonts w:ascii="Arial" w:cs="Arial" w:eastAsia="Arial" w:hAnsi="Arial"/>
          <w:sz w:val="17"/>
          <w:szCs w:val="17"/>
          <w:color w:val="231F20"/>
        </w:rPr>
        <w:t xml:space="preserve">between the cash paid and the noncontrolling interest balance removed as a reduction to noncontrolling interests. </w:t>
      </w:r>
      <w:r>
        <w:rPr>
          <w:rFonts w:ascii="Arial" w:cs="Arial" w:eastAsia="Arial" w:hAnsi="Arial"/>
          <w:sz w:val="17"/>
          <w:szCs w:val="17"/>
          <w:color w:val="000000"/>
        </w:rPr>
        <w:t>The Company utilizes the HLBV method to</w:t>
      </w:r>
      <w:r>
        <w:rPr>
          <w:rFonts w:ascii="Arial" w:cs="Arial" w:eastAsia="Arial" w:hAnsi="Arial"/>
          <w:sz w:val="17"/>
          <w:szCs w:val="17"/>
          <w:color w:val="231F20"/>
        </w:rPr>
        <w:t xml:space="preserve"> </w:t>
      </w:r>
      <w:r>
        <w:rPr>
          <w:rFonts w:ascii="Arial" w:cs="Arial" w:eastAsia="Arial" w:hAnsi="Arial"/>
          <w:sz w:val="17"/>
          <w:szCs w:val="17"/>
          <w:color w:val="000000"/>
        </w:rPr>
        <w:t>determine the net income or loss allocated to tax equity noncontrolling interest.</w:t>
      </w:r>
    </w:p>
    <w:p>
      <w:pPr>
        <w:spacing w:after="0" w:line="124"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b w:val="1"/>
          <w:bCs w:val="1"/>
          <w:i w:val="1"/>
          <w:iCs w:val="1"/>
          <w:color w:val="auto"/>
        </w:rPr>
        <w:t xml:space="preserve">Alta TE Holdco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June 30, 2015, the Company sold an economic interest in Alta TE Holdco to a financial institution in order to monetize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tax attributes, primarily PTCs. The financial institution, or Alta Investor, receives 99% of allocations of taxable income and other items until the flip point, which occurs when the Alta Investor obtains a specified return on its initial investment, at which time the allocations to the Alta Investor change to 5%. The Company receives 94.34% until the flip point, at which time the allocations to the Company of distributable cash will change to 97.12%, unless the flip point will not have occurred by a specified date, which would result in 100% of distributable cash allocated to the Alta Investor until the flip point occurs. Alta TE Holdco is a VIE and the Company is the primary beneficiary through its position as managing member, and therefore consolidates Alta TE Holdco, with the Alta Investor's interest shown as noncontrolling interest. The Company utilizes the HLBV method to determine the net income or loss allocated to the noncontrolling interest.</w:t>
      </w:r>
    </w:p>
    <w:p>
      <w:pPr>
        <w:spacing w:after="0" w:line="134" w:lineRule="exact"/>
        <w:rPr>
          <w:sz w:val="20"/>
          <w:szCs w:val="20"/>
          <w:color w:val="auto"/>
        </w:rPr>
      </w:pPr>
    </w:p>
    <w:p>
      <w:pPr>
        <w:jc w:val="both"/>
        <w:ind w:firstLine="400"/>
        <w:spacing w:after="0" w:line="286" w:lineRule="auto"/>
        <w:rPr>
          <w:sz w:val="20"/>
          <w:szCs w:val="20"/>
          <w:color w:val="auto"/>
        </w:rPr>
      </w:pPr>
      <w:r>
        <w:rPr>
          <w:rFonts w:ascii="Arial" w:cs="Arial" w:eastAsia="Arial" w:hAnsi="Arial"/>
          <w:sz w:val="16"/>
          <w:szCs w:val="16"/>
          <w:b w:val="1"/>
          <w:bCs w:val="1"/>
          <w:i w:val="1"/>
          <w:iCs w:val="1"/>
          <w:color w:val="auto"/>
        </w:rPr>
        <w:t xml:space="preserve">Spring Canyon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holds 90.1% of the Class B interests in Spring Canyon II, a 32 MW wind facility, and Spring Canyon III, a 28 MW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wind facility, each located in Logan County, Colorado, and Invenergy Wind Global LLC owns 9.9% of the Class B interests. The projects are financed with a partnership flip tax-equity structure with a financial institution, who owns the Class A interests, to monetize certain cash and tax attributes, primarily PTCs. Until the flip point, the Class A member receives a variable percentage of cash distributions based on the projects’ production level during the prior year. After the flip point, cash distributions are allocated 5% to the Class A member and 95% to the Company and Invenergy. Spring Canyon is a VIE and the Company is the primary beneficiary through its position as managing member, and therefore consolidates Spring Canyon. The Class A member and Invenergy's interests are shown as noncontrolling interest. The Company utilizes the HLBV method to determine the net income or loss allocated to the Class A member. Net income or loss attributable to the Class B interests is allocated to Invenergy's noncontrolling interest based on its 9.9% ownership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of Financial Instruments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3" w:lineRule="exact"/>
        <w:rPr>
          <w:sz w:val="20"/>
          <w:szCs w:val="20"/>
          <w:color w:val="auto"/>
        </w:rPr>
      </w:pPr>
    </w:p>
    <w:p>
      <w:pPr>
        <w:ind w:left="1200" w:hanging="234"/>
        <w:spacing w:after="0" w:line="267" w:lineRule="auto"/>
        <w:tabs>
          <w:tab w:leader="none" w:pos="11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19" w:lineRule="exact"/>
        <w:rPr>
          <w:rFonts w:ascii="Arial" w:cs="Arial" w:eastAsia="Arial" w:hAnsi="Arial"/>
          <w:sz w:val="18"/>
          <w:szCs w:val="18"/>
          <w:color w:val="auto"/>
        </w:rPr>
      </w:pPr>
    </w:p>
    <w:p>
      <w:pPr>
        <w:ind w:left="1200" w:hanging="234"/>
        <w:spacing w:after="0" w:line="267" w:lineRule="auto"/>
        <w:tabs>
          <w:tab w:leader="none" w:pos="11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19" w:lineRule="exact"/>
        <w:rPr>
          <w:rFonts w:ascii="Arial" w:cs="Arial" w:eastAsia="Arial" w:hAnsi="Arial"/>
          <w:sz w:val="18"/>
          <w:szCs w:val="18"/>
          <w:color w:val="auto"/>
        </w:rPr>
      </w:pPr>
    </w:p>
    <w:p>
      <w:pPr>
        <w:ind w:left="1200" w:hanging="234"/>
        <w:spacing w:after="0" w:line="267" w:lineRule="auto"/>
        <w:tabs>
          <w:tab w:leader="none" w:pos="11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73"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2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For cash and cash equivalents, restricted cash, accounts receivable — trade, accounts payable — trade, accounts payable — affiliates and accrued expenses and current other liabilities, the carrying amounts approximates fair value because of the short-term maturity of those instruments and are classified as Level 1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9" w:name="page110"/>
    <w:bookmarkEnd w:id="109"/>
    <w:p>
      <w:pPr>
        <w:ind w:firstLine="400"/>
        <w:spacing w:after="0" w:line="267" w:lineRule="auto"/>
        <w:rPr>
          <w:sz w:val="20"/>
          <w:szCs w:val="20"/>
          <w:color w:val="auto"/>
        </w:rPr>
      </w:pPr>
      <w:r>
        <w:rPr>
          <w:rFonts w:ascii="Arial" w:cs="Arial" w:eastAsia="Arial" w:hAnsi="Arial"/>
          <w:sz w:val="18"/>
          <w:szCs w:val="18"/>
          <w:color w:val="auto"/>
        </w:rPr>
        <w:t>The carrying amounts and estimated fair values of the Company’s recorded financial instruments not carried at fair market value or that do not approximate fair value are as follows:</w:t>
      </w:r>
    </w:p>
    <w:p>
      <w:pPr>
        <w:spacing w:after="0" w:line="49" w:lineRule="exact"/>
        <w:rPr>
          <w:sz w:val="20"/>
          <w:szCs w:val="20"/>
          <w:color w:val="auto"/>
        </w:rPr>
      </w:pPr>
    </w:p>
    <w:tbl>
      <w:tblPr>
        <w:tblLayout w:type="fixed"/>
        <w:tblInd w:w="6100" w:type="dxa"/>
        <w:tblCellMar>
          <w:top w:w="0" w:type="dxa"/>
          <w:left w:w="0" w:type="dxa"/>
          <w:bottom w:w="0" w:type="dxa"/>
          <w:right w:w="0" w:type="dxa"/>
        </w:tblCellMar>
      </w:tblPr>
      <w:tr>
        <w:trPr>
          <w:trHeight w:val="190"/>
        </w:trPr>
        <w:tc>
          <w:tcPr>
            <w:tcW w:w="2640" w:type="dxa"/>
            <w:vAlign w:val="bottom"/>
            <w:gridSpan w:val="3"/>
          </w:tcPr>
          <w:p>
            <w:pPr>
              <w:ind w:left="520"/>
              <w:spacing w:after="0"/>
              <w:rPr>
                <w:sz w:val="20"/>
                <w:szCs w:val="20"/>
                <w:color w:val="auto"/>
              </w:rPr>
            </w:pPr>
            <w:r>
              <w:rPr>
                <w:rFonts w:ascii="Arial" w:cs="Arial" w:eastAsia="Arial" w:hAnsi="Arial"/>
                <w:sz w:val="14"/>
                <w:szCs w:val="14"/>
                <w:b w:val="1"/>
                <w:bCs w:val="1"/>
                <w:color w:val="auto"/>
              </w:rPr>
              <w:t>As of December 31, 2021</w:t>
            </w:r>
          </w:p>
        </w:tc>
        <w:tc>
          <w:tcPr>
            <w:tcW w:w="2500" w:type="dxa"/>
            <w:vAlign w:val="bottom"/>
            <w:gridSpan w:val="2"/>
          </w:tcPr>
          <w:p>
            <w:pPr>
              <w:ind w:left="500"/>
              <w:spacing w:after="0"/>
              <w:rPr>
                <w:sz w:val="20"/>
                <w:szCs w:val="20"/>
                <w:color w:val="auto"/>
              </w:rPr>
            </w:pPr>
            <w:r>
              <w:rPr>
                <w:rFonts w:ascii="Arial" w:cs="Arial" w:eastAsia="Arial" w:hAnsi="Arial"/>
                <w:sz w:val="14"/>
                <w:szCs w:val="14"/>
                <w:b w:val="1"/>
                <w:bCs w:val="1"/>
                <w:color w:val="auto"/>
              </w:rPr>
              <w:t>As of December 31, 2020</w:t>
            </w:r>
          </w:p>
        </w:tc>
      </w:tr>
      <w:tr>
        <w:trPr>
          <w:trHeight w:val="185"/>
        </w:trPr>
        <w:tc>
          <w:tcPr>
            <w:tcW w:w="13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Carrying Amount</w:t>
            </w:r>
          </w:p>
        </w:tc>
        <w:tc>
          <w:tcPr>
            <w:tcW w:w="11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Carrying Amount</w:t>
            </w:r>
          </w:p>
        </w:tc>
        <w:tc>
          <w:tcPr>
            <w:tcW w:w="11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Fair Value</w:t>
            </w:r>
          </w:p>
        </w:tc>
      </w:tr>
      <w:tr>
        <w:trPr>
          <w:trHeight w:val="179"/>
        </w:trPr>
        <w:tc>
          <w:tcPr>
            <w:tcW w:w="1380" w:type="dxa"/>
            <w:vAlign w:val="bottom"/>
          </w:tcPr>
          <w:p>
            <w:pPr>
              <w:spacing w:after="0"/>
              <w:rPr>
                <w:sz w:val="15"/>
                <w:szCs w:val="15"/>
                <w:color w:val="auto"/>
              </w:rPr>
            </w:pPr>
          </w:p>
        </w:tc>
        <w:tc>
          <w:tcPr>
            <w:tcW w:w="2620" w:type="dxa"/>
            <w:vAlign w:val="bottom"/>
            <w:gridSpan w:val="3"/>
          </w:tcPr>
          <w:p>
            <w:pPr>
              <w:ind w:left="82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5"/>
                <w:szCs w:val="15"/>
                <w:color w:val="auto"/>
              </w:rPr>
            </w:pPr>
          </w:p>
        </w:tc>
      </w:tr>
    </w:tbl>
    <w:p>
      <w:pPr>
        <w:ind w:left="2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7134225" cy="144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40"/>
        <w:spacing w:after="0"/>
        <w:tabs>
          <w:tab w:leader="none" w:pos="6100" w:val="left"/>
          <w:tab w:leader="none" w:pos="6800" w:val="left"/>
          <w:tab w:leader="none" w:pos="7420" w:val="left"/>
          <w:tab w:leader="none" w:pos="8140" w:val="left"/>
          <w:tab w:leader="none" w:pos="8740" w:val="left"/>
          <w:tab w:leader="none" w:pos="9440" w:val="left"/>
          <w:tab w:leader="none" w:pos="10040" w:val="left"/>
          <w:tab w:leader="none" w:pos="10760" w:val="left"/>
        </w:tabs>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3"/>
          <w:szCs w:val="23"/>
          <w:color w:val="auto"/>
          <w:vertAlign w:val="superscript"/>
        </w:rPr>
        <w:t>(a)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7,782</w:t>
        <w:tab/>
        <w:t>$</w:t>
      </w:r>
      <w:r>
        <w:rPr>
          <w:sz w:val="20"/>
          <w:szCs w:val="20"/>
          <w:color w:val="auto"/>
        </w:rPr>
        <w:tab/>
      </w:r>
      <w:r>
        <w:rPr>
          <w:rFonts w:ascii="Arial" w:cs="Arial" w:eastAsia="Arial" w:hAnsi="Arial"/>
          <w:sz w:val="18"/>
          <w:szCs w:val="18"/>
          <w:color w:val="auto"/>
        </w:rPr>
        <w:t>7,997</w:t>
        <w:tab/>
        <w:t>$</w:t>
      </w:r>
      <w:r>
        <w:rPr>
          <w:sz w:val="20"/>
          <w:szCs w:val="20"/>
          <w:color w:val="auto"/>
        </w:rPr>
        <w:tab/>
      </w:r>
      <w:r>
        <w:rPr>
          <w:rFonts w:ascii="Arial" w:cs="Arial" w:eastAsia="Arial" w:hAnsi="Arial"/>
          <w:sz w:val="18"/>
          <w:szCs w:val="18"/>
          <w:color w:val="auto"/>
        </w:rPr>
        <w:t>7,048</w:t>
        <w:tab/>
        <w:t>$</w:t>
      </w:r>
      <w:r>
        <w:rPr>
          <w:sz w:val="20"/>
          <w:szCs w:val="20"/>
          <w:color w:val="auto"/>
        </w:rPr>
        <w:tab/>
      </w:r>
      <w:r>
        <w:rPr>
          <w:rFonts w:ascii="Arial" w:cs="Arial" w:eastAsia="Arial" w:hAnsi="Arial"/>
          <w:sz w:val="14"/>
          <w:szCs w:val="14"/>
          <w:color w:val="auto"/>
        </w:rPr>
        <w:t>7,020</w:t>
      </w:r>
    </w:p>
    <w:p>
      <w:pPr>
        <w:spacing w:after="0" w:line="98" w:lineRule="exact"/>
        <w:rPr>
          <w:sz w:val="20"/>
          <w:szCs w:val="20"/>
          <w:color w:val="auto"/>
        </w:rPr>
      </w:pPr>
    </w:p>
    <w:p>
      <w:pPr>
        <w:ind w:left="160" w:hanging="153"/>
        <w:spacing w:after="0"/>
        <w:tabs>
          <w:tab w:leader="none" w:pos="16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Excludes net debt issuance costs, which are recorded as a reduction to long-term debt on the Company's consolidated balance sheets.</w:t>
      </w:r>
    </w:p>
    <w:p>
      <w:pPr>
        <w:spacing w:after="0" w:line="140"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December 31, 2021 and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ind w:left="260"/>
              <w:spacing w:after="0"/>
              <w:rPr>
                <w:sz w:val="20"/>
                <w:szCs w:val="20"/>
                <w:color w:val="auto"/>
              </w:rPr>
            </w:pPr>
            <w:r>
              <w:rPr>
                <w:rFonts w:ascii="Arial" w:cs="Arial" w:eastAsia="Arial" w:hAnsi="Arial"/>
                <w:sz w:val="14"/>
                <w:szCs w:val="14"/>
                <w:b w:val="1"/>
                <w:bCs w:val="1"/>
                <w:color w:val="auto"/>
              </w:rPr>
              <w:t>As of December 31, 2021</w:t>
            </w:r>
          </w:p>
        </w:tc>
        <w:tc>
          <w:tcPr>
            <w:tcW w:w="340" w:type="dxa"/>
            <w:vAlign w:val="bottom"/>
          </w:tcPr>
          <w:p>
            <w:pPr>
              <w:spacing w:after="0"/>
              <w:rPr>
                <w:sz w:val="16"/>
                <w:szCs w:val="16"/>
                <w:color w:val="auto"/>
              </w:rPr>
            </w:pPr>
          </w:p>
        </w:tc>
        <w:tc>
          <w:tcPr>
            <w:tcW w:w="2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9"/>
              </w:rPr>
              <w:t>As of December 31, 2020</w:t>
            </w:r>
          </w:p>
        </w:tc>
      </w:tr>
      <w:tr>
        <w:trPr>
          <w:trHeight w:val="185"/>
        </w:trPr>
        <w:tc>
          <w:tcPr>
            <w:tcW w:w="6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Level 2</w:t>
            </w:r>
          </w:p>
        </w:tc>
        <w:tc>
          <w:tcPr>
            <w:tcW w:w="3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w w:val="96"/>
              </w:rPr>
              <w:t>Level 2</w:t>
            </w:r>
          </w:p>
        </w:tc>
        <w:tc>
          <w:tcPr>
            <w:tcW w:w="3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Level 3</w:t>
            </w:r>
          </w:p>
        </w:tc>
      </w:tr>
      <w:tr>
        <w:trPr>
          <w:trHeight w:val="180"/>
        </w:trPr>
        <w:tc>
          <w:tcPr>
            <w:tcW w:w="6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8"/>
        </w:trPr>
        <w:tc>
          <w:tcPr>
            <w:tcW w:w="6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2,159</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1,905</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6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ectPr>
          <w:pgSz w:w="11900" w:h="16838" w:orient="portrait"/>
          <w:cols w:equalWidth="0" w:num="1">
            <w:col w:w="11240"/>
          </w:cols>
          <w:pgMar w:left="320" w:top="887" w:right="339" w:bottom="1440" w:gutter="0" w:footer="0" w:header="0"/>
        </w:sectPr>
      </w:pPr>
    </w:p>
    <w:p>
      <w:pPr>
        <w:spacing w:after="0" w:line="58" w:lineRule="exact"/>
        <w:rPr>
          <w:sz w:val="20"/>
          <w:szCs w:val="20"/>
          <w:color w:val="auto"/>
        </w:rPr>
      </w:pPr>
    </w:p>
    <w:p>
      <w:pPr>
        <w:ind w:left="4300"/>
        <w:spacing w:after="0"/>
        <w:rPr>
          <w:sz w:val="20"/>
          <w:szCs w:val="20"/>
          <w:color w:val="auto"/>
        </w:rPr>
      </w:pPr>
      <w:r>
        <w:rPr>
          <w:rFonts w:ascii="Arial" w:cs="Arial" w:eastAsia="Arial" w:hAnsi="Arial"/>
          <w:sz w:val="14"/>
          <w:szCs w:val="14"/>
          <w:b w:val="1"/>
          <w:bCs w:val="1"/>
          <w:color w:val="auto"/>
        </w:rPr>
        <w:t>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1917065</wp:posOffset>
            </wp:positionH>
            <wp:positionV relativeFrom="paragraph">
              <wp:posOffset>22225</wp:posOffset>
            </wp:positionV>
            <wp:extent cx="25723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spacing w:after="0" w:line="19" w:lineRule="exact"/>
        <w:rPr>
          <w:sz w:val="20"/>
          <w:szCs w:val="20"/>
          <w:color w:val="auto"/>
        </w:rPr>
      </w:pPr>
    </w:p>
    <w:p>
      <w:pPr>
        <w:ind w:left="3680"/>
        <w:spacing w:after="0"/>
        <w:tabs>
          <w:tab w:leader="none" w:pos="5680" w:val="left"/>
        </w:tabs>
        <w:rPr>
          <w:sz w:val="20"/>
          <w:szCs w:val="20"/>
          <w:color w:val="auto"/>
        </w:rPr>
      </w:pPr>
      <w:r>
        <w:rPr>
          <w:rFonts w:ascii="Arial" w:cs="Arial" w:eastAsia="Arial" w:hAnsi="Arial"/>
          <w:sz w:val="14"/>
          <w:szCs w:val="14"/>
          <w:b w:val="1"/>
          <w:bCs w:val="1"/>
          <w:color w:val="auto"/>
        </w:rPr>
        <w:t>Fair Value</w:t>
      </w:r>
      <w:r>
        <w:rPr>
          <w:sz w:val="20"/>
          <w:szCs w:val="20"/>
          <w:color w:val="auto"/>
        </w:rPr>
        <w:tab/>
      </w:r>
      <w:r>
        <w:rPr>
          <w:rFonts w:ascii="Arial" w:cs="Arial" w:eastAsia="Arial" w:hAnsi="Arial"/>
          <w:sz w:val="13"/>
          <w:szCs w:val="13"/>
          <w:b w:val="1"/>
          <w:bCs w:val="1"/>
          <w:color w:val="auto"/>
        </w:rPr>
        <w:t xml:space="preserve">Fair Value </w:t>
      </w:r>
      <w:r>
        <w:rPr>
          <w:rFonts w:ascii="Arial" w:cs="Arial" w:eastAsia="Arial" w:hAnsi="Arial"/>
          <w:sz w:val="8"/>
          <w:szCs w:val="8"/>
          <w:b w:val="1"/>
          <w:bCs w:val="1"/>
          <w:color w:val="auto"/>
        </w:rPr>
        <w:t>(a)</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22225</wp:posOffset>
            </wp:positionV>
            <wp:extent cx="25812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81275" cy="8255"/>
                    </a:xfrm>
                    <a:prstGeom prst="rect">
                      <a:avLst/>
                    </a:prstGeom>
                    <a:noFill/>
                  </pic:spPr>
                </pic:pic>
              </a:graphicData>
            </a:graphic>
          </wp:anchor>
        </w:drawing>
      </w:r>
    </w:p>
    <w:p>
      <w:pPr>
        <w:spacing w:after="0" w:line="19" w:lineRule="exact"/>
        <w:rPr>
          <w:sz w:val="20"/>
          <w:szCs w:val="20"/>
          <w:color w:val="auto"/>
        </w:rPr>
      </w:pPr>
    </w:p>
    <w:p>
      <w:pPr>
        <w:spacing w:after="0"/>
        <w:tabs>
          <w:tab w:leader="none" w:pos="2000" w:val="left"/>
        </w:tabs>
        <w:rPr>
          <w:sz w:val="20"/>
          <w:szCs w:val="20"/>
          <w:color w:val="auto"/>
        </w:rPr>
      </w:pPr>
      <w:r>
        <w:rPr>
          <w:rFonts w:ascii="Arial" w:cs="Arial" w:eastAsia="Arial" w:hAnsi="Arial"/>
          <w:sz w:val="14"/>
          <w:szCs w:val="14"/>
          <w:b w:val="1"/>
          <w:bCs w:val="1"/>
          <w:color w:val="auto"/>
        </w:rPr>
        <w:t>Fair Value</w:t>
      </w:r>
      <w:r>
        <w:rPr>
          <w:sz w:val="20"/>
          <w:szCs w:val="20"/>
          <w:color w:val="auto"/>
        </w:rPr>
        <w:tab/>
      </w:r>
      <w:r>
        <w:rPr>
          <w:rFonts w:ascii="Arial" w:cs="Arial" w:eastAsia="Arial" w:hAnsi="Arial"/>
          <w:sz w:val="13"/>
          <w:szCs w:val="13"/>
          <w:b w:val="1"/>
          <w:bCs w:val="1"/>
          <w:color w:val="auto"/>
        </w:rPr>
        <w:t xml:space="preserve">Fair Value </w:t>
      </w:r>
      <w:r>
        <w:rPr>
          <w:rFonts w:ascii="Arial" w:cs="Arial" w:eastAsia="Arial" w:hAnsi="Arial"/>
          <w:sz w:val="8"/>
          <w:szCs w:val="8"/>
          <w:b w:val="1"/>
          <w:bCs w:val="1"/>
          <w:color w:val="auto"/>
        </w:rPr>
        <w:t>(a)</w:t>
      </w:r>
    </w:p>
    <w:p>
      <w:pPr>
        <w:spacing w:after="0" w:line="24" w:lineRule="exact"/>
        <w:rPr>
          <w:sz w:val="20"/>
          <w:szCs w:val="20"/>
          <w:color w:val="auto"/>
        </w:rPr>
      </w:pPr>
    </w:p>
    <w:p>
      <w:pPr>
        <w:sectPr>
          <w:pgSz w:w="11900" w:h="16838" w:orient="portrait"/>
          <w:cols w:equalWidth="0" w:num="2">
            <w:col w:w="7120" w:space="720"/>
            <w:col w:w="340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4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ind w:left="320"/>
              <w:spacing w:after="0"/>
              <w:rPr>
                <w:sz w:val="20"/>
                <w:szCs w:val="20"/>
                <w:color w:val="auto"/>
              </w:rPr>
            </w:pPr>
            <w:r>
              <w:rPr>
                <w:rFonts w:ascii="Arial" w:cs="Arial" w:eastAsia="Arial" w:hAnsi="Arial"/>
                <w:sz w:val="14"/>
                <w:szCs w:val="14"/>
                <w:b w:val="1"/>
                <w:bCs w:val="1"/>
                <w:color w:val="auto"/>
              </w:rPr>
              <w:t>Level 3</w:t>
            </w:r>
          </w:p>
        </w:tc>
      </w:tr>
      <w:tr>
        <w:trPr>
          <w:trHeight w:val="207"/>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4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26"/>
        </w:trPr>
        <w:tc>
          <w:tcPr>
            <w:tcW w:w="3020" w:type="dxa"/>
            <w:vAlign w:val="bottom"/>
          </w:tcPr>
          <w:p>
            <w:pPr>
              <w:ind w:left="340"/>
              <w:spacing w:after="0"/>
              <w:rPr>
                <w:sz w:val="20"/>
                <w:szCs w:val="20"/>
                <w:color w:val="auto"/>
              </w:rPr>
            </w:pPr>
            <w:r>
              <w:rPr>
                <w:rFonts w:ascii="Arial" w:cs="Arial" w:eastAsia="Arial" w:hAnsi="Arial"/>
                <w:sz w:val="18"/>
                <w:szCs w:val="18"/>
                <w:color w:val="auto"/>
              </w:rPr>
              <w:t>Interest rate contracts</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540" w:type="dxa"/>
            <w:vAlign w:val="bottom"/>
          </w:tcPr>
          <w:p>
            <w:pPr>
              <w:ind w:left="1300"/>
              <w:spacing w:after="0"/>
              <w:rPr>
                <w:sz w:val="20"/>
                <w:szCs w:val="20"/>
                <w:color w:val="auto"/>
              </w:rPr>
            </w:pPr>
            <w:r>
              <w:rPr>
                <w:rFonts w:ascii="Arial" w:cs="Arial" w:eastAsia="Arial" w:hAnsi="Arial"/>
                <w:sz w:val="18"/>
                <w:szCs w:val="18"/>
                <w:color w:val="auto"/>
              </w:rPr>
              <w:t>—</w:t>
            </w:r>
          </w:p>
        </w:tc>
      </w:tr>
      <w:tr>
        <w:trPr>
          <w:trHeight w:val="227"/>
        </w:trPr>
        <w:tc>
          <w:tcPr>
            <w:tcW w:w="30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Other financial instruments </w:t>
            </w:r>
            <w:r>
              <w:rPr>
                <w:rFonts w:ascii="Arial" w:cs="Arial" w:eastAsia="Arial" w:hAnsi="Arial"/>
                <w:sz w:val="23"/>
                <w:szCs w:val="23"/>
                <w:color w:val="auto"/>
                <w:vertAlign w:val="superscript"/>
              </w:rPr>
              <w:t>(b)</w:t>
            </w:r>
          </w:p>
        </w:tc>
        <w:tc>
          <w:tcPr>
            <w:tcW w:w="4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29</w:t>
            </w:r>
          </w:p>
        </w:tc>
      </w:tr>
      <w:tr>
        <w:trPr>
          <w:trHeight w:val="220"/>
        </w:trPr>
        <w:tc>
          <w:tcPr>
            <w:tcW w:w="3020" w:type="dxa"/>
            <w:vAlign w:val="bottom"/>
          </w:tcPr>
          <w:p>
            <w:pPr>
              <w:ind w:left="54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29</w:t>
            </w: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3"/>
        </w:trPr>
        <w:tc>
          <w:tcPr>
            <w:tcW w:w="302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b w:val="1"/>
                <w:bCs w:val="1"/>
                <w:color w:val="auto"/>
              </w:rPr>
              <w:t>Derivative liabilities</w:t>
            </w:r>
          </w:p>
        </w:tc>
        <w:tc>
          <w:tcPr>
            <w:tcW w:w="4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26"/>
        </w:trPr>
        <w:tc>
          <w:tcPr>
            <w:tcW w:w="3020" w:type="dxa"/>
            <w:vAlign w:val="bottom"/>
          </w:tcPr>
          <w:p>
            <w:pPr>
              <w:ind w:left="180"/>
              <w:spacing w:after="0"/>
              <w:rPr>
                <w:sz w:val="20"/>
                <w:szCs w:val="20"/>
                <w:color w:val="auto"/>
              </w:rPr>
            </w:pPr>
            <w:r>
              <w:rPr>
                <w:rFonts w:ascii="Arial" w:cs="Arial" w:eastAsia="Arial" w:hAnsi="Arial"/>
                <w:sz w:val="18"/>
                <w:szCs w:val="18"/>
                <w:color w:val="auto"/>
              </w:rPr>
              <w:t>Commodity contracts</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540" w:type="dxa"/>
            <w:vAlign w:val="bottom"/>
          </w:tcPr>
          <w:p>
            <w:pPr>
              <w:ind w:left="1300"/>
              <w:spacing w:after="0"/>
              <w:rPr>
                <w:sz w:val="20"/>
                <w:szCs w:val="20"/>
                <w:color w:val="auto"/>
              </w:rPr>
            </w:pPr>
            <w:r>
              <w:rPr>
                <w:rFonts w:ascii="Arial" w:cs="Arial" w:eastAsia="Arial" w:hAnsi="Arial"/>
                <w:sz w:val="18"/>
                <w:szCs w:val="18"/>
                <w:color w:val="auto"/>
              </w:rPr>
              <w:t>44</w:t>
            </w:r>
          </w:p>
        </w:tc>
      </w:tr>
      <w:tr>
        <w:trPr>
          <w:trHeight w:val="227"/>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contracts</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21"/>
        </w:trPr>
        <w:tc>
          <w:tcPr>
            <w:tcW w:w="3020" w:type="dxa"/>
            <w:vAlign w:val="bottom"/>
          </w:tcPr>
          <w:p>
            <w:pPr>
              <w:ind w:left="540"/>
              <w:spacing w:after="0"/>
              <w:rPr>
                <w:sz w:val="20"/>
                <w:szCs w:val="20"/>
                <w:color w:val="auto"/>
              </w:rPr>
            </w:pPr>
            <w:r>
              <w:rPr>
                <w:rFonts w:ascii="Arial" w:cs="Arial" w:eastAsia="Arial" w:hAnsi="Arial"/>
                <w:sz w:val="18"/>
                <w:szCs w:val="18"/>
                <w:b w:val="1"/>
                <w:bCs w:val="1"/>
                <w:color w:val="auto"/>
              </w:rPr>
              <w:t>Total liabilities</w:t>
            </w: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44</w:t>
            </w:r>
          </w:p>
        </w:tc>
      </w:tr>
      <w:tr>
        <w:trPr>
          <w:trHeight w:val="20"/>
        </w:trPr>
        <w:tc>
          <w:tcPr>
            <w:tcW w:w="3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left="140" w:hanging="133"/>
        <w:spacing w:after="0"/>
        <w:tabs>
          <w:tab w:leader="none" w:pos="140" w:val="left"/>
        </w:tabs>
        <w:numPr>
          <w:ilvl w:val="0"/>
          <w:numId w:val="57"/>
        </w:numPr>
        <w:rPr>
          <w:rFonts w:ascii="Arial" w:cs="Arial" w:eastAsia="Arial" w:hAnsi="Arial"/>
          <w:sz w:val="16"/>
          <w:szCs w:val="16"/>
          <w:color w:val="auto"/>
          <w:vertAlign w:val="superscript"/>
        </w:rPr>
      </w:pPr>
      <w:r>
        <w:rPr>
          <w:rFonts w:ascii="Arial" w:cs="Arial" w:eastAsia="Arial" w:hAnsi="Arial"/>
          <w:sz w:val="12"/>
          <w:szCs w:val="12"/>
          <w:color w:val="auto"/>
        </w:rPr>
        <w:t>There were no derivative assets classified as Level 1 or Level 3 and no liabilities classified as Level 1 as of December 31, 2021 and December 31, 2020.</w:t>
      </w:r>
    </w:p>
    <w:p>
      <w:pPr>
        <w:spacing w:after="0" w:line="69" w:lineRule="exact"/>
        <w:rPr>
          <w:rFonts w:ascii="Arial" w:cs="Arial" w:eastAsia="Arial" w:hAnsi="Arial"/>
          <w:sz w:val="16"/>
          <w:szCs w:val="16"/>
          <w:color w:val="auto"/>
          <w:vertAlign w:val="superscript"/>
        </w:rPr>
      </w:pPr>
    </w:p>
    <w:p>
      <w:pPr>
        <w:ind w:left="160" w:hanging="153"/>
        <w:spacing w:after="0" w:line="220" w:lineRule="auto"/>
        <w:tabs>
          <w:tab w:leader="none" w:pos="16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SREC contract acquired on November 2, 2020.</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10" w:name="page111"/>
    <w:bookmarkEnd w:id="110"/>
    <w:p>
      <w:pPr>
        <w:jc w:val="both"/>
        <w:ind w:firstLine="400"/>
        <w:spacing w:after="0" w:line="267"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consolidated financial statements using significant unobservable inputs: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8"/>
        </w:trPr>
        <w:tc>
          <w:tcPr>
            <w:tcW w:w="68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 millions)</w:t>
            </w:r>
          </w:p>
        </w:tc>
        <w:tc>
          <w:tcPr>
            <w:tcW w:w="4280" w:type="dxa"/>
            <w:vAlign w:val="bottom"/>
            <w:gridSpan w:val="5"/>
          </w:tcPr>
          <w:p>
            <w:pPr>
              <w:jc w:val="center"/>
              <w:spacing w:after="0" w:line="128" w:lineRule="exact"/>
              <w:rPr>
                <w:sz w:val="20"/>
                <w:szCs w:val="20"/>
                <w:color w:val="auto"/>
              </w:rPr>
            </w:pPr>
            <w:r>
              <w:rPr>
                <w:rFonts w:ascii="Arial" w:cs="Arial" w:eastAsia="Arial" w:hAnsi="Arial"/>
                <w:sz w:val="14"/>
                <w:szCs w:val="14"/>
                <w:b w:val="1"/>
                <w:bCs w:val="1"/>
                <w:color w:val="auto"/>
                <w:w w:val="92"/>
              </w:rPr>
              <w:t>Fair Value Measurement Using Significant Unobservable Inputs</w:t>
            </w:r>
          </w:p>
        </w:tc>
        <w:tc>
          <w:tcPr>
            <w:tcW w:w="0" w:type="dxa"/>
            <w:vAlign w:val="bottom"/>
          </w:tcPr>
          <w:p>
            <w:pPr>
              <w:spacing w:after="0"/>
              <w:rPr>
                <w:sz w:val="1"/>
                <w:szCs w:val="1"/>
                <w:color w:val="auto"/>
              </w:rPr>
            </w:pPr>
          </w:p>
        </w:tc>
      </w:tr>
      <w:tr>
        <w:trPr>
          <w:trHeight w:val="186"/>
        </w:trPr>
        <w:tc>
          <w:tcPr>
            <w:tcW w:w="6800" w:type="dxa"/>
            <w:vAlign w:val="bottom"/>
            <w:gridSpan w:val="2"/>
            <w:vMerge w:val="continue"/>
          </w:tcPr>
          <w:p>
            <w:pPr>
              <w:spacing w:after="0"/>
              <w:rPr>
                <w:sz w:val="16"/>
                <w:szCs w:val="16"/>
                <w:color w:val="auto"/>
              </w:rPr>
            </w:pPr>
          </w:p>
        </w:tc>
        <w:tc>
          <w:tcPr>
            <w:tcW w:w="128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78"/>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6"/>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Total losses for the period included in earnings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Contracts acquired</w:t>
            </w:r>
          </w:p>
        </w:tc>
        <w:tc>
          <w:tcPr>
            <w:tcW w:w="1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6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Settlements</w:t>
            </w:r>
          </w:p>
        </w:tc>
        <w:tc>
          <w:tcPr>
            <w:tcW w:w="1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6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1280" w:type="dxa"/>
            <w:vAlign w:val="bottom"/>
            <w:tcBorders>
              <w:bottom w:val="single" w:sz="8" w:color="auto"/>
            </w:tcBorders>
            <w:shd w:val="clear" w:color="auto" w:fill="CCEEFF"/>
          </w:tcPr>
          <w:p>
            <w:pPr>
              <w:jc w:val="right"/>
              <w:ind w:right="1078"/>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gridSpan w:val="2"/>
            <w:vMerge w:val="restart"/>
          </w:tcPr>
          <w:p>
            <w:pPr>
              <w:ind w:left="180"/>
              <w:spacing w:after="0" w:line="161" w:lineRule="exact"/>
              <w:rPr>
                <w:sz w:val="20"/>
                <w:szCs w:val="20"/>
                <w:color w:val="auto"/>
              </w:rPr>
            </w:pPr>
            <w:r>
              <w:rPr>
                <w:rFonts w:ascii="Arial" w:cs="Arial" w:eastAsia="Arial" w:hAnsi="Arial"/>
                <w:sz w:val="18"/>
                <w:szCs w:val="18"/>
                <w:color w:val="auto"/>
                <w:w w:val="99"/>
              </w:rPr>
              <w:t>Change in unrealized losses included in earnings for derivatives and other financial</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800" w:type="dxa"/>
            <w:vAlign w:val="bottom"/>
            <w:gridSpan w:val="2"/>
            <w:vMerge w:val="continue"/>
          </w:tcPr>
          <w:p>
            <w:pPr>
              <w:spacing w:after="0"/>
              <w:rPr>
                <w:sz w:val="10"/>
                <w:szCs w:val="10"/>
                <w:color w:val="auto"/>
              </w:rPr>
            </w:pPr>
          </w:p>
        </w:tc>
        <w:tc>
          <w:tcPr>
            <w:tcW w:w="1280" w:type="dxa"/>
            <w:vAlign w:val="bottom"/>
            <w:vMerge w:val="restart"/>
          </w:tcPr>
          <w:p>
            <w:pPr>
              <w:jc w:val="right"/>
              <w:ind w:right="1078"/>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0"/>
                <w:szCs w:val="10"/>
                <w:color w:val="auto"/>
              </w:rPr>
            </w:pPr>
          </w:p>
        </w:tc>
        <w:tc>
          <w:tcPr>
            <w:tcW w:w="820" w:type="dxa"/>
            <w:vAlign w:val="bottom"/>
            <w:vMerge w:val="restart"/>
          </w:tcPr>
          <w:p>
            <w:pPr>
              <w:jc w:val="right"/>
              <w:ind w:right="611"/>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instruments held as of December 31,</w:t>
            </w:r>
          </w:p>
        </w:tc>
        <w:tc>
          <w:tcPr>
            <w:tcW w:w="12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Financial Instruments Fair Value Measurements</w:t>
      </w:r>
    </w:p>
    <w:p>
      <w:pPr>
        <w:spacing w:after="0" w:line="16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The Company's contracts are non-exchange-traded and valued using prices provided by external sources. The Company uses quoted observable forward prices to value its energy contracts. To the extent that observable forward prices are not available, the quoted prices reflect the average of the forward prices from the prior year, adjusted for inflation. As of December 31, 2021, contracts valued with prices provided by models and other valuation techniques make up 74% of derivative liabilities and 100% of other financial instruments.</w:t>
      </w:r>
    </w:p>
    <w:p>
      <w:pPr>
        <w:spacing w:after="0" w:line="140"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The Company’s significant positions classified as Level 3 include physical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140"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The following table quantifies the significant unobservable inputs used in developing the fair value of the Company's Level 3 positions as of December 31, 2021: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December 31, 2021</w:t>
            </w: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1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2"/>
              </w:rPr>
              <w:t>Input/Range</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Assets</w:t>
            </w:r>
          </w:p>
        </w:tc>
        <w:tc>
          <w:tcPr>
            <w:tcW w:w="440" w:type="dxa"/>
            <w:vAlign w:val="bottom"/>
          </w:tcPr>
          <w:p>
            <w:pPr>
              <w:spacing w:after="0"/>
              <w:rPr>
                <w:sz w:val="13"/>
                <w:szCs w:val="13"/>
                <w:color w:val="auto"/>
              </w:rPr>
            </w:pPr>
          </w:p>
        </w:tc>
        <w:tc>
          <w:tcPr>
            <w:tcW w:w="96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w w:val="97"/>
              </w:rPr>
              <w:t>Liabilities</w:t>
            </w:r>
          </w:p>
        </w:tc>
        <w:tc>
          <w:tcPr>
            <w:tcW w:w="1300" w:type="dxa"/>
            <w:vAlign w:val="bottom"/>
          </w:tcPr>
          <w:p>
            <w:pPr>
              <w:spacing w:after="0"/>
              <w:rPr>
                <w:sz w:val="13"/>
                <w:szCs w:val="13"/>
                <w:color w:val="auto"/>
              </w:rPr>
            </w:pPr>
          </w:p>
        </w:tc>
        <w:tc>
          <w:tcPr>
            <w:tcW w:w="1620" w:type="dxa"/>
            <w:vAlign w:val="bottom"/>
          </w:tcPr>
          <w:p>
            <w:pPr>
              <w:jc w:val="center"/>
              <w:ind w:left="80"/>
              <w:spacing w:after="0" w:line="156" w:lineRule="exact"/>
              <w:rPr>
                <w:sz w:val="20"/>
                <w:szCs w:val="20"/>
                <w:color w:val="auto"/>
              </w:rPr>
            </w:pPr>
            <w:r>
              <w:rPr>
                <w:rFonts w:ascii="Arial" w:cs="Arial" w:eastAsia="Arial" w:hAnsi="Arial"/>
                <w:sz w:val="16"/>
                <w:szCs w:val="16"/>
                <w:b w:val="1"/>
                <w:bCs w:val="1"/>
                <w:color w:val="auto"/>
                <w:w w:val="90"/>
              </w:rPr>
              <w:t>Significant</w:t>
            </w:r>
          </w:p>
        </w:tc>
        <w:tc>
          <w:tcPr>
            <w:tcW w:w="260" w:type="dxa"/>
            <w:vAlign w:val="bottom"/>
          </w:tcPr>
          <w:p>
            <w:pPr>
              <w:spacing w:after="0"/>
              <w:rPr>
                <w:sz w:val="13"/>
                <w:szCs w:val="13"/>
                <w:color w:val="auto"/>
              </w:rPr>
            </w:pPr>
          </w:p>
        </w:tc>
        <w:tc>
          <w:tcPr>
            <w:tcW w:w="1040" w:type="dxa"/>
            <w:vAlign w:val="bottom"/>
            <w:vMerge w:val="restart"/>
          </w:tcPr>
          <w:p>
            <w:pPr>
              <w:jc w:val="right"/>
              <w:ind w:right="420"/>
              <w:spacing w:after="0"/>
              <w:rPr>
                <w:sz w:val="20"/>
                <w:szCs w:val="20"/>
                <w:color w:val="auto"/>
              </w:rPr>
            </w:pPr>
            <w:r>
              <w:rPr>
                <w:rFonts w:ascii="Arial" w:cs="Arial" w:eastAsia="Arial" w:hAnsi="Arial"/>
                <w:sz w:val="16"/>
                <w:szCs w:val="16"/>
                <w:b w:val="1"/>
                <w:bCs w:val="1"/>
                <w:color w:val="auto"/>
              </w:rPr>
              <w:t>Low</w:t>
            </w:r>
          </w:p>
        </w:tc>
        <w:tc>
          <w:tcPr>
            <w:tcW w:w="160" w:type="dxa"/>
            <w:vAlign w:val="bottom"/>
          </w:tcPr>
          <w:p>
            <w:pPr>
              <w:spacing w:after="0"/>
              <w:rPr>
                <w:sz w:val="13"/>
                <w:szCs w:val="13"/>
                <w:color w:val="auto"/>
              </w:rPr>
            </w:pPr>
          </w:p>
        </w:tc>
        <w:tc>
          <w:tcPr>
            <w:tcW w:w="1160" w:type="dxa"/>
            <w:vAlign w:val="bottom"/>
            <w:vMerge w:val="restart"/>
          </w:tcPr>
          <w:p>
            <w:pPr>
              <w:jc w:val="center"/>
              <w:ind w:right="60"/>
              <w:spacing w:after="0"/>
              <w:rPr>
                <w:sz w:val="20"/>
                <w:szCs w:val="20"/>
                <w:color w:val="auto"/>
              </w:rPr>
            </w:pPr>
            <w:r>
              <w:rPr>
                <w:rFonts w:ascii="Arial" w:cs="Arial" w:eastAsia="Arial" w:hAnsi="Arial"/>
                <w:sz w:val="16"/>
                <w:szCs w:val="16"/>
                <w:b w:val="1"/>
                <w:bCs w:val="1"/>
                <w:color w:val="auto"/>
                <w:w w:val="95"/>
              </w:rPr>
              <w:t>High</w:t>
            </w: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211"/>
        </w:trPr>
        <w:tc>
          <w:tcPr>
            <w:tcW w:w="220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2"/>
              </w:rPr>
              <w:t>Valuation Technique Unobservable Input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0" w:type="dxa"/>
            <w:vAlign w:val="bottom"/>
          </w:tcPr>
          <w:p>
            <w:pPr>
              <w:spacing w:after="0"/>
              <w:rPr>
                <w:sz w:val="17"/>
                <w:szCs w:val="17"/>
                <w:color w:val="auto"/>
              </w:rPr>
            </w:pPr>
          </w:p>
        </w:tc>
        <w:tc>
          <w:tcPr>
            <w:tcW w:w="22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(In millions)</w:t>
            </w:r>
          </w:p>
        </w:tc>
        <w:tc>
          <w:tcPr>
            <w:tcW w:w="1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20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Commodity Contracts</w:t>
            </w:r>
          </w:p>
        </w:tc>
        <w:tc>
          <w:tcPr>
            <w:tcW w:w="800" w:type="dxa"/>
            <w:vAlign w:val="bottom"/>
            <w:vMerge w:val="restart"/>
            <w:shd w:val="clear" w:color="auto" w:fill="CCEEFF"/>
          </w:tcPr>
          <w:p>
            <w:pPr>
              <w:jc w:val="right"/>
              <w:ind w:right="620"/>
              <w:spacing w:after="0"/>
              <w:rPr>
                <w:sz w:val="20"/>
                <w:szCs w:val="20"/>
                <w:color w:val="auto"/>
              </w:rPr>
            </w:pPr>
            <w:r>
              <w:rPr>
                <w:rFonts w:ascii="Arial" w:cs="Arial" w:eastAsia="Arial" w:hAnsi="Arial"/>
                <w:sz w:val="16"/>
                <w:szCs w:val="16"/>
                <w:color w:val="auto"/>
                <w:w w:val="89"/>
              </w:rPr>
              <w:t>$</w:t>
            </w:r>
          </w:p>
        </w:tc>
        <w:tc>
          <w:tcPr>
            <w:tcW w:w="440" w:type="dxa"/>
            <w:vAlign w:val="bottom"/>
            <w:vMerge w:val="restart"/>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30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Discounted Cash</w:t>
            </w:r>
          </w:p>
        </w:tc>
        <w:tc>
          <w:tcPr>
            <w:tcW w:w="1620" w:type="dxa"/>
            <w:vAlign w:val="bottom"/>
            <w:shd w:val="clear" w:color="auto" w:fill="CCEEFF"/>
          </w:tcPr>
          <w:p>
            <w:pPr>
              <w:jc w:val="center"/>
              <w:ind w:left="80"/>
              <w:spacing w:after="0" w:line="166" w:lineRule="exact"/>
              <w:rPr>
                <w:sz w:val="20"/>
                <w:szCs w:val="20"/>
                <w:color w:val="auto"/>
              </w:rPr>
            </w:pPr>
            <w:r>
              <w:rPr>
                <w:rFonts w:ascii="Arial" w:cs="Arial" w:eastAsia="Arial" w:hAnsi="Arial"/>
                <w:sz w:val="16"/>
                <w:szCs w:val="16"/>
                <w:color w:val="auto"/>
                <w:w w:val="92"/>
              </w:rPr>
              <w:t>Forward Market Price</w:t>
            </w:r>
          </w:p>
        </w:tc>
        <w:tc>
          <w:tcPr>
            <w:tcW w:w="2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56.06</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0" w:type="dxa"/>
            <w:vAlign w:val="bottom"/>
          </w:tcPr>
          <w:p>
            <w:pPr>
              <w:spacing w:after="0"/>
              <w:rPr>
                <w:sz w:val="1"/>
                <w:szCs w:val="1"/>
                <w:color w:val="auto"/>
              </w:rPr>
            </w:pPr>
          </w:p>
        </w:tc>
      </w:tr>
      <w:tr>
        <w:trPr>
          <w:trHeight w:val="210"/>
        </w:trPr>
        <w:tc>
          <w:tcPr>
            <w:tcW w:w="2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Flow</w:t>
            </w:r>
          </w:p>
        </w:tc>
        <w:tc>
          <w:tcPr>
            <w:tcW w:w="162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97"/>
              </w:rPr>
              <w:t>(per MWh)</w:t>
            </w:r>
          </w:p>
        </w:tc>
        <w:tc>
          <w:tcPr>
            <w:tcW w:w="2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jc w:val="center"/>
              <w:ind w:left="80"/>
              <w:spacing w:after="0" w:line="164" w:lineRule="exact"/>
              <w:rPr>
                <w:sz w:val="20"/>
                <w:szCs w:val="20"/>
                <w:color w:val="auto"/>
              </w:rPr>
            </w:pPr>
            <w:r>
              <w:rPr>
                <w:rFonts w:ascii="Arial" w:cs="Arial" w:eastAsia="Arial" w:hAnsi="Arial"/>
                <w:sz w:val="16"/>
                <w:szCs w:val="16"/>
                <w:color w:val="auto"/>
                <w:w w:val="88"/>
              </w:rPr>
              <w:t>Forecast annual</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00" w:type="dxa"/>
            <w:vAlign w:val="bottom"/>
            <w:vMerge w:val="restart"/>
          </w:tcPr>
          <w:p>
            <w:pPr>
              <w:spacing w:after="0"/>
              <w:rPr>
                <w:sz w:val="20"/>
                <w:szCs w:val="20"/>
                <w:color w:val="auto"/>
              </w:rPr>
            </w:pPr>
            <w:r>
              <w:rPr>
                <w:rFonts w:ascii="Arial" w:cs="Arial" w:eastAsia="Arial" w:hAnsi="Arial"/>
                <w:sz w:val="16"/>
                <w:szCs w:val="16"/>
                <w:color w:val="auto"/>
              </w:rPr>
              <w:t>Discounted Cash</w:t>
            </w:r>
          </w:p>
        </w:tc>
        <w:tc>
          <w:tcPr>
            <w:tcW w:w="1620" w:type="dxa"/>
            <w:vAlign w:val="bottom"/>
          </w:tcPr>
          <w:p>
            <w:pPr>
              <w:jc w:val="center"/>
              <w:ind w:left="80"/>
              <w:spacing w:after="0" w:line="160" w:lineRule="exact"/>
              <w:rPr>
                <w:sz w:val="20"/>
                <w:szCs w:val="20"/>
                <w:color w:val="auto"/>
              </w:rPr>
            </w:pPr>
            <w:r>
              <w:rPr>
                <w:rFonts w:ascii="Arial" w:cs="Arial" w:eastAsia="Arial" w:hAnsi="Arial"/>
                <w:sz w:val="16"/>
                <w:szCs w:val="16"/>
                <w:color w:val="auto"/>
                <w:w w:val="90"/>
              </w:rPr>
              <w:t>generation levels of</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Other Financial Instruments</w:t>
            </w:r>
          </w:p>
        </w:tc>
        <w:tc>
          <w:tcPr>
            <w:tcW w:w="800" w:type="dxa"/>
            <w:vAlign w:val="bottom"/>
          </w:tcPr>
          <w:p>
            <w:pPr>
              <w:spacing w:after="0"/>
              <w:rPr>
                <w:sz w:val="13"/>
                <w:szCs w:val="13"/>
                <w:color w:val="auto"/>
              </w:rPr>
            </w:pPr>
          </w:p>
        </w:tc>
        <w:tc>
          <w:tcPr>
            <w:tcW w:w="440" w:type="dxa"/>
            <w:vAlign w:val="bottom"/>
            <w:vMerge w:val="restart"/>
          </w:tcPr>
          <w:p>
            <w:pPr>
              <w:ind w:left="60"/>
              <w:spacing w:after="0"/>
              <w:rPr>
                <w:sz w:val="20"/>
                <w:szCs w:val="20"/>
                <w:color w:val="auto"/>
              </w:rPr>
            </w:pPr>
            <w:r>
              <w:rPr>
                <w:rFonts w:ascii="Arial" w:cs="Arial" w:eastAsia="Arial" w:hAnsi="Arial"/>
                <w:sz w:val="16"/>
                <w:szCs w:val="16"/>
                <w:color w:val="auto"/>
              </w:rPr>
              <w:t>25</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continue"/>
          </w:tcPr>
          <w:p>
            <w:pPr>
              <w:spacing w:after="0"/>
              <w:rPr>
                <w:sz w:val="13"/>
                <w:szCs w:val="13"/>
                <w:color w:val="auto"/>
              </w:rPr>
            </w:pPr>
          </w:p>
        </w:tc>
        <w:tc>
          <w:tcPr>
            <w:tcW w:w="1620" w:type="dxa"/>
            <w:vAlign w:val="bottom"/>
          </w:tcPr>
          <w:p>
            <w:pPr>
              <w:jc w:val="center"/>
              <w:ind w:left="80"/>
              <w:spacing w:after="0" w:line="160" w:lineRule="exact"/>
              <w:rPr>
                <w:sz w:val="20"/>
                <w:szCs w:val="20"/>
                <w:color w:val="auto"/>
              </w:rPr>
            </w:pPr>
            <w:r>
              <w:rPr>
                <w:rFonts w:ascii="Arial" w:cs="Arial" w:eastAsia="Arial" w:hAnsi="Arial"/>
                <w:sz w:val="16"/>
                <w:szCs w:val="16"/>
                <w:color w:val="auto"/>
                <w:w w:val="91"/>
              </w:rPr>
              <w:t>certain DG solar</w:t>
            </w: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80,872 MWh</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129,913 MWh</w:t>
            </w:r>
          </w:p>
        </w:tc>
        <w:tc>
          <w:tcPr>
            <w:tcW w:w="2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124,783 MWh</w:t>
            </w:r>
          </w:p>
        </w:tc>
        <w:tc>
          <w:tcPr>
            <w:tcW w:w="0" w:type="dxa"/>
            <w:vAlign w:val="bottom"/>
          </w:tcPr>
          <w:p>
            <w:pPr>
              <w:spacing w:after="0"/>
              <w:rPr>
                <w:sz w:val="1"/>
                <w:szCs w:val="1"/>
                <w:color w:val="auto"/>
              </w:rPr>
            </w:pPr>
          </w:p>
        </w:tc>
      </w:tr>
      <w:tr>
        <w:trPr>
          <w:trHeight w:val="204"/>
        </w:trPr>
        <w:tc>
          <w:tcPr>
            <w:tcW w:w="22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300" w:type="dxa"/>
            <w:vAlign w:val="bottom"/>
          </w:tcPr>
          <w:p>
            <w:pPr>
              <w:spacing w:after="0"/>
              <w:rPr>
                <w:sz w:val="20"/>
                <w:szCs w:val="20"/>
                <w:color w:val="auto"/>
              </w:rPr>
            </w:pPr>
            <w:r>
              <w:rPr>
                <w:rFonts w:ascii="Arial" w:cs="Arial" w:eastAsia="Arial" w:hAnsi="Arial"/>
                <w:sz w:val="16"/>
                <w:szCs w:val="16"/>
                <w:color w:val="auto"/>
              </w:rPr>
              <w:t>Flow</w:t>
            </w:r>
          </w:p>
        </w:tc>
        <w:tc>
          <w:tcPr>
            <w:tcW w:w="1620" w:type="dxa"/>
            <w:vAlign w:val="bottom"/>
          </w:tcPr>
          <w:p>
            <w:pPr>
              <w:jc w:val="center"/>
              <w:ind w:left="80"/>
              <w:spacing w:after="0"/>
              <w:rPr>
                <w:sz w:val="20"/>
                <w:szCs w:val="20"/>
                <w:color w:val="auto"/>
              </w:rPr>
            </w:pPr>
            <w:r>
              <w:rPr>
                <w:rFonts w:ascii="Arial" w:cs="Arial" w:eastAsia="Arial" w:hAnsi="Arial"/>
                <w:sz w:val="16"/>
                <w:szCs w:val="16"/>
                <w:color w:val="auto"/>
                <w:w w:val="94"/>
              </w:rPr>
              <w:t>facilities</w:t>
            </w: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The following table provides the impact on the fair value measurements to increases/(decreases) in significant unobservable inputs as of December 31,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vMerge w:val="restart"/>
          </w:tcPr>
          <w:p>
            <w:pPr>
              <w:jc w:val="right"/>
              <w:ind w:right="920"/>
              <w:spacing w:after="0"/>
              <w:rPr>
                <w:sz w:val="20"/>
                <w:szCs w:val="20"/>
                <w:color w:val="auto"/>
              </w:rPr>
            </w:pPr>
            <w:r>
              <w:rPr>
                <w:rFonts w:ascii="Arial" w:cs="Arial" w:eastAsia="Arial" w:hAnsi="Arial"/>
                <w:sz w:val="16"/>
                <w:szCs w:val="16"/>
                <w:b w:val="1"/>
                <w:bCs w:val="1"/>
                <w:color w:val="auto"/>
              </w:rPr>
              <w:t>Significant Observable Input</w:t>
            </w:r>
          </w:p>
        </w:tc>
        <w:tc>
          <w:tcPr>
            <w:tcW w:w="2220" w:type="dxa"/>
            <w:vAlign w:val="bottom"/>
            <w:vMerge w:val="restart"/>
          </w:tcPr>
          <w:p>
            <w:pPr>
              <w:jc w:val="center"/>
              <w:ind w:left="260"/>
              <w:spacing w:after="0"/>
              <w:rPr>
                <w:sz w:val="20"/>
                <w:szCs w:val="20"/>
                <w:color w:val="auto"/>
              </w:rPr>
            </w:pPr>
            <w:r>
              <w:rPr>
                <w:rFonts w:ascii="Arial" w:cs="Arial" w:eastAsia="Arial" w:hAnsi="Arial"/>
                <w:sz w:val="16"/>
                <w:szCs w:val="16"/>
                <w:b w:val="1"/>
                <w:bCs w:val="1"/>
                <w:color w:val="auto"/>
                <w:w w:val="88"/>
              </w:rPr>
              <w:t>Position</w:t>
            </w:r>
          </w:p>
        </w:tc>
        <w:tc>
          <w:tcPr>
            <w:tcW w:w="2440" w:type="dxa"/>
            <w:vAlign w:val="bottom"/>
            <w:vMerge w:val="restart"/>
          </w:tcPr>
          <w:p>
            <w:pPr>
              <w:jc w:val="center"/>
              <w:ind w:left="100"/>
              <w:spacing w:after="0"/>
              <w:rPr>
                <w:sz w:val="20"/>
                <w:szCs w:val="20"/>
                <w:color w:val="auto"/>
              </w:rPr>
            </w:pPr>
            <w:r>
              <w:rPr>
                <w:rFonts w:ascii="Arial" w:cs="Arial" w:eastAsia="Arial" w:hAnsi="Arial"/>
                <w:sz w:val="16"/>
                <w:szCs w:val="16"/>
                <w:b w:val="1"/>
                <w:bCs w:val="1"/>
                <w:color w:val="auto"/>
                <w:w w:val="94"/>
              </w:rPr>
              <w:t>Change In Input</w:t>
            </w: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93"/>
              </w:rPr>
              <w:t>Impact on Fair Value</w:t>
            </w:r>
          </w:p>
        </w:tc>
        <w:tc>
          <w:tcPr>
            <w:tcW w:w="0" w:type="dxa"/>
            <w:vAlign w:val="bottom"/>
          </w:tcPr>
          <w:p>
            <w:pPr>
              <w:spacing w:after="0"/>
              <w:rPr>
                <w:sz w:val="1"/>
                <w:szCs w:val="1"/>
                <w:color w:val="auto"/>
              </w:rPr>
            </w:pPr>
          </w:p>
        </w:tc>
      </w:tr>
      <w:tr>
        <w:trPr>
          <w:trHeight w:val="211"/>
        </w:trPr>
        <w:tc>
          <w:tcPr>
            <w:tcW w:w="4160" w:type="dxa"/>
            <w:vAlign w:val="bottom"/>
            <w:tcBorders>
              <w:bottom w:val="single" w:sz="8" w:color="auto"/>
            </w:tcBorders>
            <w:vMerge w:val="continue"/>
          </w:tcPr>
          <w:p>
            <w:pPr>
              <w:spacing w:after="0"/>
              <w:rPr>
                <w:sz w:val="18"/>
                <w:szCs w:val="18"/>
                <w:color w:val="auto"/>
              </w:rPr>
            </w:pPr>
          </w:p>
        </w:tc>
        <w:tc>
          <w:tcPr>
            <w:tcW w:w="2220" w:type="dxa"/>
            <w:vAlign w:val="bottom"/>
            <w:tcBorders>
              <w:bottom w:val="single" w:sz="8" w:color="auto"/>
            </w:tcBorders>
            <w:vMerge w:val="continue"/>
          </w:tcPr>
          <w:p>
            <w:pPr>
              <w:spacing w:after="0"/>
              <w:rPr>
                <w:sz w:val="18"/>
                <w:szCs w:val="18"/>
                <w:color w:val="auto"/>
              </w:rPr>
            </w:pPr>
          </w:p>
        </w:tc>
        <w:tc>
          <w:tcPr>
            <w:tcW w:w="2440" w:type="dxa"/>
            <w:vAlign w:val="bottom"/>
            <w:tcBorders>
              <w:bottom w:val="single" w:sz="8" w:color="auto"/>
            </w:tcBorders>
            <w:vMerge w:val="continue"/>
          </w:tcPr>
          <w:p>
            <w:pPr>
              <w:spacing w:after="0"/>
              <w:rPr>
                <w:sz w:val="18"/>
                <w:szCs w:val="18"/>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Measurement</w:t>
            </w: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jc w:val="right"/>
              <w:ind w:right="920"/>
              <w:spacing w:after="0"/>
              <w:rPr>
                <w:sz w:val="20"/>
                <w:szCs w:val="20"/>
                <w:color w:val="auto"/>
              </w:rPr>
            </w:pPr>
            <w:r>
              <w:rPr>
                <w:rFonts w:ascii="Arial" w:cs="Arial" w:eastAsia="Arial" w:hAnsi="Arial"/>
                <w:sz w:val="16"/>
                <w:szCs w:val="16"/>
                <w:color w:val="auto"/>
              </w:rPr>
              <w:t>Forward Market Price Power</w:t>
            </w:r>
          </w:p>
        </w:tc>
        <w:tc>
          <w:tcPr>
            <w:tcW w:w="2220" w:type="dxa"/>
            <w:vAlign w:val="bottom"/>
            <w:shd w:val="clear" w:color="auto" w:fill="CCEEFF"/>
          </w:tcPr>
          <w:p>
            <w:pPr>
              <w:jc w:val="center"/>
              <w:ind w:left="280"/>
              <w:spacing w:after="0"/>
              <w:rPr>
                <w:sz w:val="20"/>
                <w:szCs w:val="20"/>
                <w:color w:val="auto"/>
              </w:rPr>
            </w:pPr>
            <w:r>
              <w:rPr>
                <w:rFonts w:ascii="Arial" w:cs="Arial" w:eastAsia="Arial" w:hAnsi="Arial"/>
                <w:sz w:val="16"/>
                <w:szCs w:val="16"/>
                <w:color w:val="auto"/>
                <w:w w:val="94"/>
              </w:rPr>
              <w:t>Buy</w:t>
            </w:r>
          </w:p>
        </w:tc>
        <w:tc>
          <w:tcPr>
            <w:tcW w:w="244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88"/>
              </w:rPr>
              <w:t>Increase/(Decrease)</w:t>
            </w:r>
          </w:p>
        </w:tc>
        <w:tc>
          <w:tcPr>
            <w:tcW w:w="2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Higher/(Lower)</w:t>
            </w:r>
          </w:p>
        </w:tc>
        <w:tc>
          <w:tcPr>
            <w:tcW w:w="0" w:type="dxa"/>
            <w:vAlign w:val="bottom"/>
          </w:tcPr>
          <w:p>
            <w:pPr>
              <w:spacing w:after="0"/>
              <w:rPr>
                <w:sz w:val="1"/>
                <w:szCs w:val="1"/>
                <w:color w:val="auto"/>
              </w:rPr>
            </w:pPr>
          </w:p>
        </w:tc>
      </w:tr>
      <w:tr>
        <w:trPr>
          <w:trHeight w:val="211"/>
        </w:trPr>
        <w:tc>
          <w:tcPr>
            <w:tcW w:w="4160" w:type="dxa"/>
            <w:vAlign w:val="bottom"/>
          </w:tcPr>
          <w:p>
            <w:pPr>
              <w:jc w:val="right"/>
              <w:ind w:right="920"/>
              <w:spacing w:after="0"/>
              <w:rPr>
                <w:sz w:val="20"/>
                <w:szCs w:val="20"/>
                <w:color w:val="auto"/>
              </w:rPr>
            </w:pPr>
            <w:r>
              <w:rPr>
                <w:rFonts w:ascii="Arial" w:cs="Arial" w:eastAsia="Arial" w:hAnsi="Arial"/>
                <w:sz w:val="16"/>
                <w:szCs w:val="16"/>
                <w:color w:val="auto"/>
              </w:rPr>
              <w:t>Forward Market Price Power</w:t>
            </w:r>
          </w:p>
        </w:tc>
        <w:tc>
          <w:tcPr>
            <w:tcW w:w="2220" w:type="dxa"/>
            <w:vAlign w:val="bottom"/>
          </w:tcPr>
          <w:p>
            <w:pPr>
              <w:jc w:val="center"/>
              <w:ind w:left="260"/>
              <w:spacing w:after="0"/>
              <w:rPr>
                <w:sz w:val="20"/>
                <w:szCs w:val="20"/>
                <w:color w:val="auto"/>
              </w:rPr>
            </w:pPr>
            <w:r>
              <w:rPr>
                <w:rFonts w:ascii="Arial" w:cs="Arial" w:eastAsia="Arial" w:hAnsi="Arial"/>
                <w:sz w:val="16"/>
                <w:szCs w:val="16"/>
                <w:color w:val="auto"/>
                <w:w w:val="89"/>
              </w:rPr>
              <w:t>Sell</w:t>
            </w:r>
          </w:p>
        </w:tc>
        <w:tc>
          <w:tcPr>
            <w:tcW w:w="2440" w:type="dxa"/>
            <w:vAlign w:val="bottom"/>
          </w:tcPr>
          <w:p>
            <w:pPr>
              <w:jc w:val="center"/>
              <w:ind w:left="80"/>
              <w:spacing w:after="0"/>
              <w:rPr>
                <w:sz w:val="20"/>
                <w:szCs w:val="20"/>
                <w:color w:val="auto"/>
              </w:rPr>
            </w:pPr>
            <w:r>
              <w:rPr>
                <w:rFonts w:ascii="Arial" w:cs="Arial" w:eastAsia="Arial" w:hAnsi="Arial"/>
                <w:sz w:val="16"/>
                <w:szCs w:val="16"/>
                <w:color w:val="auto"/>
                <w:w w:val="88"/>
              </w:rPr>
              <w:t>Increase/(Decrease)</w:t>
            </w:r>
          </w:p>
        </w:tc>
        <w:tc>
          <w:tcPr>
            <w:tcW w:w="2420" w:type="dxa"/>
            <w:vAlign w:val="bottom"/>
          </w:tcPr>
          <w:p>
            <w:pPr>
              <w:jc w:val="center"/>
              <w:spacing w:after="0"/>
              <w:rPr>
                <w:sz w:val="20"/>
                <w:szCs w:val="20"/>
                <w:color w:val="auto"/>
              </w:rPr>
            </w:pPr>
            <w:r>
              <w:rPr>
                <w:rFonts w:ascii="Arial" w:cs="Arial" w:eastAsia="Arial" w:hAnsi="Arial"/>
                <w:sz w:val="16"/>
                <w:szCs w:val="16"/>
                <w:color w:val="auto"/>
                <w:w w:val="96"/>
              </w:rPr>
              <w:t>Lower/(Higher)</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jc w:val="right"/>
              <w:ind w:right="1020"/>
              <w:spacing w:after="0"/>
              <w:rPr>
                <w:sz w:val="20"/>
                <w:szCs w:val="20"/>
                <w:color w:val="auto"/>
              </w:rPr>
            </w:pPr>
            <w:r>
              <w:rPr>
                <w:rFonts w:ascii="Arial" w:cs="Arial" w:eastAsia="Arial" w:hAnsi="Arial"/>
                <w:sz w:val="16"/>
                <w:szCs w:val="16"/>
                <w:color w:val="auto"/>
              </w:rPr>
              <w:t>Forecast Generation Levels</w:t>
            </w:r>
          </w:p>
        </w:tc>
        <w:tc>
          <w:tcPr>
            <w:tcW w:w="2220" w:type="dxa"/>
            <w:vAlign w:val="bottom"/>
            <w:shd w:val="clear" w:color="auto" w:fill="CCEEFF"/>
          </w:tcPr>
          <w:p>
            <w:pPr>
              <w:jc w:val="center"/>
              <w:ind w:left="260"/>
              <w:spacing w:after="0"/>
              <w:rPr>
                <w:sz w:val="20"/>
                <w:szCs w:val="20"/>
                <w:color w:val="auto"/>
              </w:rPr>
            </w:pPr>
            <w:r>
              <w:rPr>
                <w:rFonts w:ascii="Arial" w:cs="Arial" w:eastAsia="Arial" w:hAnsi="Arial"/>
                <w:sz w:val="16"/>
                <w:szCs w:val="16"/>
                <w:color w:val="auto"/>
                <w:w w:val="89"/>
              </w:rPr>
              <w:t>Sell</w:t>
            </w:r>
          </w:p>
        </w:tc>
        <w:tc>
          <w:tcPr>
            <w:tcW w:w="2440" w:type="dxa"/>
            <w:vAlign w:val="bottom"/>
            <w:shd w:val="clear" w:color="auto" w:fill="CCEEFF"/>
          </w:tcPr>
          <w:p>
            <w:pPr>
              <w:jc w:val="center"/>
              <w:ind w:left="80"/>
              <w:spacing w:after="0"/>
              <w:rPr>
                <w:sz w:val="20"/>
                <w:szCs w:val="20"/>
                <w:color w:val="auto"/>
              </w:rPr>
            </w:pPr>
            <w:r>
              <w:rPr>
                <w:rFonts w:ascii="Arial" w:cs="Arial" w:eastAsia="Arial" w:hAnsi="Arial"/>
                <w:sz w:val="16"/>
                <w:szCs w:val="16"/>
                <w:color w:val="auto"/>
                <w:w w:val="88"/>
              </w:rPr>
              <w:t>Increase/(Decrease)</w:t>
            </w:r>
          </w:p>
        </w:tc>
        <w:tc>
          <w:tcPr>
            <w:tcW w:w="2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Higher/(Lower)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1" w:name="page112"/>
    <w:bookmarkEnd w:id="111"/>
    <w:p>
      <w:pPr>
        <w:jc w:val="both"/>
        <w:ind w:firstLine="400"/>
        <w:spacing w:after="0" w:line="286" w:lineRule="auto"/>
        <w:rPr>
          <w:sz w:val="20"/>
          <w:szCs w:val="20"/>
          <w:color w:val="auto"/>
        </w:rPr>
      </w:pPr>
      <w:r>
        <w:rPr>
          <w:rFonts w:ascii="Arial" w:cs="Arial" w:eastAsia="Arial" w:hAnsi="Arial"/>
          <w:sz w:val="16"/>
          <w:szCs w:val="16"/>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2021, the non-performance reserve was a $17 million gain recorded primarily to total operating revenues in the consolidated statement of operations. It is possible that future market prices could vary from those used in recording assets and liabilities and such variations could be material.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6"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6"/>
          <w:szCs w:val="16"/>
          <w:color w:val="auto"/>
        </w:rPr>
        <w:t xml:space="preserve">In addition to the credit risk discussion as disclosed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w:t>
      </w:r>
    </w:p>
    <w:p>
      <w:pPr>
        <w:spacing w:after="0" w:line="2" w:lineRule="exact"/>
        <w:rPr>
          <w:sz w:val="20"/>
          <w:szCs w:val="20"/>
          <w:color w:val="auto"/>
        </w:rPr>
      </w:pPr>
    </w:p>
    <w:p>
      <w:pPr>
        <w:jc w:val="both"/>
        <w:ind w:firstLine="7"/>
        <w:spacing w:after="0" w:line="249" w:lineRule="auto"/>
        <w:tabs>
          <w:tab w:leader="none" w:pos="226"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41"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7"/>
          <w:szCs w:val="17"/>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Accounting for Derivative Instruments and Hedging Activities</w:t>
      </w:r>
    </w:p>
    <w:p>
      <w:pPr>
        <w:spacing w:after="0" w:line="172" w:lineRule="exact"/>
        <w:rPr>
          <w:sz w:val="20"/>
          <w:szCs w:val="20"/>
          <w:color w:val="auto"/>
        </w:rPr>
      </w:pPr>
    </w:p>
    <w:p>
      <w:pPr>
        <w:jc w:val="both"/>
        <w:ind w:firstLine="400"/>
        <w:spacing w:after="0" w:line="288" w:lineRule="auto"/>
        <w:rPr>
          <w:sz w:val="20"/>
          <w:szCs w:val="20"/>
          <w:color w:val="auto"/>
        </w:rPr>
      </w:pPr>
      <w:r>
        <w:rPr>
          <w:rFonts w:ascii="Arial" w:cs="Arial" w:eastAsia="Arial" w:hAnsi="Arial"/>
          <w:sz w:val="16"/>
          <w:szCs w:val="16"/>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 related commodity contracts and interest rate swaps.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66" w:lineRule="exact"/>
        <w:rPr>
          <w:sz w:val="20"/>
          <w:szCs w:val="20"/>
          <w:color w:val="auto"/>
        </w:rPr>
      </w:pPr>
    </w:p>
    <w:p>
      <w:pPr>
        <w:jc w:val="both"/>
        <w:ind w:firstLine="400"/>
        <w:spacing w:after="0" w:line="304" w:lineRule="auto"/>
        <w:rPr>
          <w:sz w:val="20"/>
          <w:szCs w:val="20"/>
          <w:color w:val="auto"/>
        </w:rPr>
      </w:pPr>
      <w:r>
        <w:rPr>
          <w:rFonts w:ascii="Arial" w:cs="Arial" w:eastAsia="Arial" w:hAnsi="Arial"/>
          <w:sz w:val="16"/>
          <w:szCs w:val="16"/>
          <w:color w:val="auto"/>
        </w:rPr>
        <w:t>The Company enters into interest rate swap agreements in order to hedge the variability of expected future cash interest payments. As of December 31, 2021, the Company had interest rate derivative instruments on non-recourse debt extending through 2031, a portion of which were designated as cash flow hedges. Under the interest rate swap agreements, the Company pays a fixed rate and the counterparties to the agreements pay a variable interest rate.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Related Commodities</w:t>
      </w:r>
    </w:p>
    <w:p>
      <w:pPr>
        <w:spacing w:after="0" w:line="16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As of December 31, 2021, the Company had energy-related derivative instruments extending through 2033. At December 31, 2021, these contracts were not designated as cash flow or fair value hedges.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Volumetric Underlying Derivative Transactions</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the net notional volume buy/(sell) of the Company's open derivative transactions broken out by commodity as of</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3"/>
          </w:tcPr>
          <w:p>
            <w:pPr>
              <w:jc w:val="right"/>
              <w:ind w:right="1396"/>
              <w:spacing w:after="0"/>
              <w:rPr>
                <w:sz w:val="20"/>
                <w:szCs w:val="20"/>
                <w:color w:val="auto"/>
              </w:rPr>
            </w:pPr>
            <w:r>
              <w:rPr>
                <w:rFonts w:ascii="Arial" w:cs="Arial" w:eastAsia="Arial" w:hAnsi="Arial"/>
                <w:sz w:val="14"/>
                <w:szCs w:val="14"/>
                <w:b w:val="1"/>
                <w:bCs w:val="1"/>
                <w:color w:val="auto"/>
              </w:rPr>
              <w:t>Total Volume</w:t>
            </w:r>
          </w:p>
        </w:tc>
      </w:tr>
      <w:tr>
        <w:trPr>
          <w:trHeight w:val="184"/>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0"/>
              </w:rPr>
              <w:t>December 31, 2020</w:t>
            </w:r>
          </w:p>
        </w:tc>
      </w:tr>
      <w:tr>
        <w:trPr>
          <w:trHeight w:val="142"/>
        </w:trPr>
        <w:tc>
          <w:tcPr>
            <w:tcW w:w="20" w:type="dxa"/>
            <w:vAlign w:val="bottom"/>
          </w:tcPr>
          <w:p>
            <w:pPr>
              <w:spacing w:after="0"/>
              <w:rPr>
                <w:sz w:val="12"/>
                <w:szCs w:val="12"/>
                <w:color w:val="auto"/>
              </w:rPr>
            </w:pPr>
          </w:p>
        </w:tc>
        <w:tc>
          <w:tcPr>
            <w:tcW w:w="1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Commodity</w:t>
            </w:r>
          </w:p>
        </w:tc>
        <w:tc>
          <w:tcPr>
            <w:tcW w:w="6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2040" w:type="dxa"/>
            <w:vAlign w:val="bottom"/>
            <w:gridSpan w:val="2"/>
          </w:tcPr>
          <w:p>
            <w:pPr>
              <w:ind w:left="128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500" w:type="dxa"/>
            <w:vAlign w:val="bottom"/>
          </w:tcPr>
          <w:p>
            <w:pPr>
              <w:spacing w:after="0"/>
              <w:rPr>
                <w:sz w:val="12"/>
                <w:szCs w:val="12"/>
                <w:color w:val="auto"/>
              </w:rPr>
            </w:pPr>
          </w:p>
        </w:tc>
      </w:tr>
      <w:tr>
        <w:trPr>
          <w:trHeight w:val="30"/>
        </w:trPr>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6"/>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Power</w:t>
            </w:r>
          </w:p>
        </w:tc>
        <w:tc>
          <w:tcPr>
            <w:tcW w:w="6100" w:type="dxa"/>
            <w:vAlign w:val="bottom"/>
            <w:gridSpan w:val="2"/>
          </w:tcPr>
          <w:p>
            <w:pPr>
              <w:spacing w:after="0"/>
              <w:rPr>
                <w:sz w:val="20"/>
                <w:szCs w:val="20"/>
                <w:color w:val="auto"/>
              </w:rPr>
            </w:pPr>
            <w:r>
              <w:rPr>
                <w:rFonts w:ascii="Arial" w:cs="Arial" w:eastAsia="Arial" w:hAnsi="Arial"/>
                <w:sz w:val="18"/>
                <w:szCs w:val="18"/>
                <w:color w:val="auto"/>
              </w:rPr>
              <w:t>MWh</w:t>
            </w:r>
          </w:p>
        </w:tc>
        <w:tc>
          <w:tcPr>
            <w:tcW w:w="220" w:type="dxa"/>
            <w:vAlign w:val="bottom"/>
          </w:tcPr>
          <w:p>
            <w:pPr>
              <w:spacing w:after="0"/>
              <w:rPr>
                <w:sz w:val="19"/>
                <w:szCs w:val="19"/>
                <w:color w:val="auto"/>
              </w:rPr>
            </w:pPr>
          </w:p>
        </w:tc>
        <w:tc>
          <w:tcPr>
            <w:tcW w:w="1660" w:type="dxa"/>
            <w:vAlign w:val="bottom"/>
          </w:tcPr>
          <w:p>
            <w:pPr>
              <w:ind w:left="128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7"/>
        </w:trPr>
        <w:tc>
          <w:tcPr>
            <w:tcW w:w="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Dollars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1,326</w:t>
            </w:r>
          </w:p>
        </w:tc>
        <w:tc>
          <w:tcPr>
            <w:tcW w:w="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consolidated balance sheets: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r>
      <w:tr>
        <w:trPr>
          <w:trHeight w:val="185"/>
        </w:trPr>
        <w:tc>
          <w:tcPr>
            <w:tcW w:w="57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4"/>
                <w:szCs w:val="14"/>
                <w:b w:val="1"/>
                <w:bCs w:val="1"/>
                <w:color w:val="auto"/>
              </w:rPr>
              <w:t>Derivative Assets</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Derivative Liabilities</w:t>
            </w:r>
          </w:p>
        </w:tc>
        <w:tc>
          <w:tcPr>
            <w:tcW w:w="520" w:type="dxa"/>
            <w:vAlign w:val="bottom"/>
            <w:tcBorders>
              <w:bottom w:val="single" w:sz="8" w:color="auto"/>
            </w:tcBorders>
          </w:tcPr>
          <w:p>
            <w:pPr>
              <w:spacing w:after="0"/>
              <w:rPr>
                <w:sz w:val="16"/>
                <w:szCs w:val="16"/>
                <w:color w:val="auto"/>
              </w:rPr>
            </w:pPr>
          </w:p>
        </w:tc>
      </w:tr>
      <w:tr>
        <w:trPr>
          <w:trHeight w:val="180"/>
        </w:trPr>
        <w:tc>
          <w:tcPr>
            <w:tcW w:w="5760" w:type="dxa"/>
            <w:vAlign w:val="bottom"/>
          </w:tcPr>
          <w:p>
            <w:pPr>
              <w:spacing w:after="0"/>
              <w:rPr>
                <w:sz w:val="15"/>
                <w:szCs w:val="15"/>
                <w:color w:val="auto"/>
              </w:rPr>
            </w:pPr>
          </w:p>
        </w:tc>
        <w:tc>
          <w:tcPr>
            <w:tcW w:w="13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w w:val="95"/>
              </w:rPr>
              <w:t>December 31, 2021</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December 31, 2020</w:t>
            </w: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2021</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2020</w:t>
            </w:r>
          </w:p>
        </w:tc>
      </w:tr>
      <w:tr>
        <w:trPr>
          <w:trHeight w:val="180"/>
        </w:trPr>
        <w:tc>
          <w:tcPr>
            <w:tcW w:w="5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28"/>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Cash Flow Hedges: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6"/>
        </w:trPr>
        <w:tc>
          <w:tcPr>
            <w:tcW w:w="576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34"/>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00" w:type="dxa"/>
            <w:vAlign w:val="bottom"/>
          </w:tcPr>
          <w:p>
            <w:pPr>
              <w:jc w:val="right"/>
              <w:ind w:right="61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7"/>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8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9"/>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800" w:type="dxa"/>
            <w:vAlign w:val="bottom"/>
          </w:tcPr>
          <w:p>
            <w:pPr>
              <w:jc w:val="right"/>
              <w:ind w:right="534"/>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800" w:type="dxa"/>
            <w:vAlign w:val="bottom"/>
          </w:tcPr>
          <w:p>
            <w:pPr>
              <w:jc w:val="right"/>
              <w:ind w:right="61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1"/>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4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r>
      <w:tr>
        <w:trPr>
          <w:trHeight w:val="226"/>
        </w:trPr>
        <w:tc>
          <w:tcPr>
            <w:tcW w:w="576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34"/>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800" w:type="dxa"/>
            <w:vAlign w:val="bottom"/>
          </w:tcPr>
          <w:p>
            <w:pPr>
              <w:jc w:val="right"/>
              <w:ind w:right="61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7"/>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6"/>
        </w:trPr>
        <w:tc>
          <w:tcPr>
            <w:tcW w:w="5760" w:type="dxa"/>
            <w:vAlign w:val="bottom"/>
          </w:tcPr>
          <w:p>
            <w:pPr>
              <w:ind w:left="140"/>
              <w:spacing w:after="0"/>
              <w:rPr>
                <w:sz w:val="20"/>
                <w:szCs w:val="20"/>
                <w:color w:val="auto"/>
              </w:rPr>
            </w:pPr>
            <w:r>
              <w:rPr>
                <w:rFonts w:ascii="Arial" w:cs="Arial" w:eastAsia="Arial" w:hAnsi="Arial"/>
                <w:sz w:val="18"/>
                <w:szCs w:val="18"/>
                <w:color w:val="auto"/>
              </w:rPr>
              <w:t>Commodity contracts current</w:t>
            </w:r>
          </w:p>
        </w:tc>
        <w:tc>
          <w:tcPr>
            <w:tcW w:w="46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 contracts long-term</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9"/>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4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8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46"/>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Derivatives</w:t>
            </w: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80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The Company has elected to present derivative assets and liabilities on the balance sheet on a trade-by-trade basis and does not offset amounts at the counterparty level. As of December 31, 2021 and 2020, there was no outstanding collateral paid or received. The following tables summarize the offsetting of derivatives by counterparty: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0" w:type="dxa"/>
            <w:vAlign w:val="bottom"/>
            <w:tcBorders>
              <w:bottom w:val="single" w:sz="8" w:color="auto"/>
            </w:tcBorders>
            <w:gridSpan w:val="6"/>
          </w:tcPr>
          <w:p>
            <w:pPr>
              <w:jc w:val="center"/>
              <w:ind w:left="1077"/>
              <w:spacing w:after="0"/>
              <w:rPr>
                <w:sz w:val="20"/>
                <w:szCs w:val="20"/>
                <w:color w:val="auto"/>
              </w:rPr>
            </w:pPr>
            <w:r>
              <w:rPr>
                <w:rFonts w:ascii="Arial" w:cs="Arial" w:eastAsia="Arial" w:hAnsi="Arial"/>
                <w:sz w:val="14"/>
                <w:szCs w:val="14"/>
                <w:b w:val="1"/>
                <w:bCs w:val="1"/>
                <w:color w:val="auto"/>
                <w:w w:val="91"/>
              </w:rPr>
              <w:t>Gross Amounts Not Offset in the Statement of Financial Position</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80" w:type="dxa"/>
            <w:vAlign w:val="bottom"/>
          </w:tcPr>
          <w:p>
            <w:pPr>
              <w:spacing w:after="0"/>
              <w:rPr>
                <w:sz w:val="11"/>
                <w:szCs w:val="11"/>
                <w:color w:val="auto"/>
              </w:rPr>
            </w:pPr>
          </w:p>
        </w:tc>
        <w:tc>
          <w:tcPr>
            <w:tcW w:w="256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8"/>
              </w:rPr>
              <w:t>Gross Amounts of Recognized</w:t>
            </w:r>
          </w:p>
        </w:tc>
        <w:tc>
          <w:tcPr>
            <w:tcW w:w="240" w:type="dxa"/>
            <w:vAlign w:val="bottom"/>
          </w:tcPr>
          <w:p>
            <w:pPr>
              <w:spacing w:after="0"/>
              <w:rPr>
                <w:sz w:val="11"/>
                <w:szCs w:val="11"/>
                <w:color w:val="auto"/>
              </w:rPr>
            </w:pPr>
          </w:p>
        </w:tc>
        <w:tc>
          <w:tcPr>
            <w:tcW w:w="2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Derivative Instruments</w:t>
            </w:r>
          </w:p>
        </w:tc>
        <w:tc>
          <w:tcPr>
            <w:tcW w:w="380" w:type="dxa"/>
            <w:vAlign w:val="bottom"/>
          </w:tcPr>
          <w:p>
            <w:pPr>
              <w:spacing w:after="0"/>
              <w:rPr>
                <w:sz w:val="11"/>
                <w:szCs w:val="11"/>
                <w:color w:val="auto"/>
              </w:rPr>
            </w:pPr>
          </w:p>
        </w:tc>
        <w:tc>
          <w:tcPr>
            <w:tcW w:w="14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6"/>
        </w:trPr>
        <w:tc>
          <w:tcPr>
            <w:tcW w:w="4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Assets/Liabilities</w:t>
            </w: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center"/>
              <w:ind w:right="1240"/>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1"/>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7"/>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28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1"/>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tcPr>
          <w:p>
            <w:pPr>
              <w:jc w:val="right"/>
              <w:ind w:right="1017"/>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00" w:type="dxa"/>
            <w:vAlign w:val="bottom"/>
            <w:tcBorders>
              <w:bottom w:val="single" w:sz="8" w:color="auto"/>
            </w:tcBorders>
            <w:gridSpan w:val="6"/>
          </w:tcPr>
          <w:p>
            <w:pPr>
              <w:jc w:val="right"/>
              <w:ind w:right="71"/>
              <w:spacing w:after="0"/>
              <w:rPr>
                <w:sz w:val="20"/>
                <w:szCs w:val="20"/>
                <w:color w:val="auto"/>
              </w:rPr>
            </w:pPr>
            <w:r>
              <w:rPr>
                <w:rFonts w:ascii="Arial" w:cs="Arial" w:eastAsia="Arial" w:hAnsi="Arial"/>
                <w:sz w:val="14"/>
                <w:szCs w:val="14"/>
                <w:b w:val="1"/>
                <w:bCs w:val="1"/>
                <w:color w:val="auto"/>
              </w:rPr>
              <w:t>Gross Amounts Not Offset in the Statement of Financial Position</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280" w:type="dxa"/>
            <w:vAlign w:val="bottom"/>
          </w:tcPr>
          <w:p>
            <w:pPr>
              <w:spacing w:after="0"/>
              <w:rPr>
                <w:sz w:val="11"/>
                <w:szCs w:val="11"/>
                <w:color w:val="auto"/>
              </w:rPr>
            </w:pPr>
          </w:p>
        </w:tc>
        <w:tc>
          <w:tcPr>
            <w:tcW w:w="256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8"/>
              </w:rPr>
              <w:t>Gross Amounts of Recognized</w:t>
            </w:r>
          </w:p>
        </w:tc>
        <w:tc>
          <w:tcPr>
            <w:tcW w:w="240" w:type="dxa"/>
            <w:vAlign w:val="bottom"/>
          </w:tcPr>
          <w:p>
            <w:pPr>
              <w:spacing w:after="0"/>
              <w:rPr>
                <w:sz w:val="11"/>
                <w:szCs w:val="11"/>
                <w:color w:val="auto"/>
              </w:rPr>
            </w:pPr>
          </w:p>
        </w:tc>
        <w:tc>
          <w:tcPr>
            <w:tcW w:w="2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Derivative Instruments</w:t>
            </w:r>
          </w:p>
        </w:tc>
        <w:tc>
          <w:tcPr>
            <w:tcW w:w="380" w:type="dxa"/>
            <w:vAlign w:val="bottom"/>
          </w:tcPr>
          <w:p>
            <w:pPr>
              <w:spacing w:after="0"/>
              <w:rPr>
                <w:sz w:val="11"/>
                <w:szCs w:val="11"/>
                <w:color w:val="auto"/>
              </w:rPr>
            </w:pPr>
          </w:p>
        </w:tc>
        <w:tc>
          <w:tcPr>
            <w:tcW w:w="14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6"/>
        </w:trPr>
        <w:tc>
          <w:tcPr>
            <w:tcW w:w="4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Assets/Liabilities</w:t>
            </w: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1"/>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22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7"/>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28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22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1"/>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6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 net of tax:</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71"/>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185"/>
        </w:trPr>
        <w:tc>
          <w:tcPr>
            <w:tcW w:w="76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r>
      <w:tr>
        <w:trPr>
          <w:trHeight w:val="180"/>
        </w:trPr>
        <w:tc>
          <w:tcPr>
            <w:tcW w:w="76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221"/>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OCL beginning balance</w:t>
            </w: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6"/>
        </w:trPr>
        <w:tc>
          <w:tcPr>
            <w:tcW w:w="7660" w:type="dxa"/>
            <w:vAlign w:val="bottom"/>
          </w:tcPr>
          <w:p>
            <w:pPr>
              <w:ind w:left="180"/>
              <w:spacing w:after="0"/>
              <w:rPr>
                <w:sz w:val="20"/>
                <w:szCs w:val="20"/>
                <w:color w:val="auto"/>
              </w:rPr>
            </w:pPr>
            <w:r>
              <w:rPr>
                <w:rFonts w:ascii="Arial" w:cs="Arial" w:eastAsia="Arial" w:hAnsi="Arial"/>
                <w:sz w:val="18"/>
                <w:szCs w:val="18"/>
                <w:color w:val="auto"/>
                <w:w w:val="97"/>
              </w:rPr>
              <w:t>Reclassified from accumulated OCL to income due to realization of previously deferred amounts</w:t>
            </w: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7"/>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Mark-to-market of cash flow hedge accounting contracts</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1"/>
        </w:trPr>
        <w:tc>
          <w:tcPr>
            <w:tcW w:w="7660" w:type="dxa"/>
            <w:vAlign w:val="bottom"/>
          </w:tcPr>
          <w:p>
            <w:pPr>
              <w:ind w:left="20"/>
              <w:spacing w:after="0"/>
              <w:rPr>
                <w:sz w:val="20"/>
                <w:szCs w:val="20"/>
                <w:color w:val="auto"/>
              </w:rPr>
            </w:pPr>
            <w:r>
              <w:rPr>
                <w:rFonts w:ascii="Arial" w:cs="Arial" w:eastAsia="Arial" w:hAnsi="Arial"/>
                <w:sz w:val="18"/>
                <w:szCs w:val="18"/>
                <w:color w:val="auto"/>
              </w:rPr>
              <w:t>Accumulated OCL ending balance, net of income tax benefit of $2, $5 and $6, respectively</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OCL attributable to noncontrolling interests</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1"/>
        </w:trPr>
        <w:tc>
          <w:tcPr>
            <w:tcW w:w="7660" w:type="dxa"/>
            <w:vAlign w:val="bottom"/>
          </w:tcPr>
          <w:p>
            <w:pPr>
              <w:ind w:left="20"/>
              <w:spacing w:after="0"/>
              <w:rPr>
                <w:sz w:val="20"/>
                <w:szCs w:val="20"/>
                <w:color w:val="auto"/>
              </w:rPr>
            </w:pPr>
            <w:r>
              <w:rPr>
                <w:rFonts w:ascii="Arial" w:cs="Arial" w:eastAsia="Arial" w:hAnsi="Arial"/>
                <w:sz w:val="18"/>
                <w:szCs w:val="18"/>
                <w:color w:val="auto"/>
              </w:rPr>
              <w:t>Accumulated OCL attributable to Clearway Energy, Inc.</w:t>
            </w:r>
          </w:p>
        </w:tc>
        <w:tc>
          <w:tcPr>
            <w:tcW w:w="76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0"/>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Losses expected to be realized from OCL during the next 12 months, net of income tax benefit of $2</w:t>
            </w: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bl>
    <w:p>
      <w:pPr>
        <w:spacing w:after="0" w:line="2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Amounts reclassified from accumulated OCL into income are recorded to interest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Consolidated Statements of Operations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Mark-to-market gains and losses related to the Company's derivatives are recorded in the consolidated statements of operations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ind w:left="17"/>
              <w:spacing w:after="0"/>
              <w:rPr>
                <w:sz w:val="20"/>
                <w:szCs w:val="20"/>
                <w:color w:val="auto"/>
              </w:rPr>
            </w:pPr>
            <w:r>
              <w:rPr>
                <w:rFonts w:ascii="Arial" w:cs="Arial" w:eastAsia="Arial" w:hAnsi="Arial"/>
                <w:sz w:val="14"/>
                <w:szCs w:val="14"/>
                <w:b w:val="1"/>
                <w:bCs w:val="1"/>
                <w:color w:val="auto"/>
                <w:w w:val="90"/>
              </w:rPr>
              <w:t>Year ended December 31,</w:t>
            </w:r>
          </w:p>
        </w:tc>
        <w:tc>
          <w:tcPr>
            <w:tcW w:w="860" w:type="dxa"/>
            <w:vAlign w:val="bottom"/>
            <w:tcBorders>
              <w:bottom w:val="single" w:sz="8" w:color="auto"/>
            </w:tcBorders>
          </w:tcPr>
          <w:p>
            <w:pPr>
              <w:spacing w:after="0"/>
              <w:rPr>
                <w:sz w:val="16"/>
                <w:szCs w:val="16"/>
                <w:color w:val="auto"/>
              </w:rPr>
            </w:pPr>
          </w:p>
        </w:tc>
      </w:tr>
      <w:tr>
        <w:trPr>
          <w:trHeight w:val="185"/>
        </w:trPr>
        <w:tc>
          <w:tcPr>
            <w:tcW w:w="76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r>
      <w:tr>
        <w:trPr>
          <w:trHeight w:val="180"/>
        </w:trPr>
        <w:tc>
          <w:tcPr>
            <w:tcW w:w="76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221"/>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 (Mark-to-market interest expense)</w:t>
            </w:r>
          </w:p>
        </w:tc>
        <w:tc>
          <w:tcPr>
            <w:tcW w:w="760" w:type="dxa"/>
            <w:vAlign w:val="bottom"/>
            <w:shd w:val="clear" w:color="auto" w:fill="CCEEFF"/>
          </w:tcPr>
          <w:p>
            <w:pPr>
              <w:jc w:val="right"/>
              <w:ind w:right="56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308"/>
        </w:trPr>
        <w:tc>
          <w:tcPr>
            <w:tcW w:w="7660" w:type="dxa"/>
            <w:vAlign w:val="bottom"/>
          </w:tcPr>
          <w:p>
            <w:pPr>
              <w:ind w:left="20"/>
              <w:spacing w:after="0"/>
              <w:rPr>
                <w:sz w:val="20"/>
                <w:szCs w:val="20"/>
                <w:color w:val="auto"/>
              </w:rPr>
            </w:pPr>
            <w:r>
              <w:rPr>
                <w:rFonts w:ascii="Arial" w:cs="Arial" w:eastAsia="Arial" w:hAnsi="Arial"/>
                <w:sz w:val="18"/>
                <w:szCs w:val="18"/>
                <w:color w:val="auto"/>
              </w:rPr>
              <w:t xml:space="preserve">Commodity Contracts (Mark-to-market for economic hedging activities) </w:t>
            </w:r>
            <w:r>
              <w:rPr>
                <w:rFonts w:ascii="Arial" w:cs="Arial" w:eastAsia="Arial" w:hAnsi="Arial"/>
                <w:sz w:val="23"/>
                <w:szCs w:val="23"/>
                <w:color w:val="auto"/>
                <w:vertAlign w:val="superscript"/>
              </w:rPr>
              <w:t>(a)</w:t>
            </w:r>
          </w:p>
        </w:tc>
        <w:tc>
          <w:tcPr>
            <w:tcW w:w="7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(83)</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242424"/>
              </w:rPr>
              <w:t>(4)</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46" w:lineRule="exact"/>
        <w:rPr>
          <w:sz w:val="20"/>
          <w:szCs w:val="20"/>
          <w:color w:val="auto"/>
        </w:rPr>
      </w:pPr>
    </w:p>
    <w:p>
      <w:pPr>
        <w:ind w:firstLine="7"/>
        <w:spacing w:after="0" w:line="251" w:lineRule="auto"/>
        <w:tabs>
          <w:tab w:leader="none" w:pos="139" w:val="left"/>
        </w:tabs>
        <w:numPr>
          <w:ilvl w:val="0"/>
          <w:numId w:val="59"/>
        </w:numPr>
        <w:rPr>
          <w:rFonts w:ascii="Arial" w:cs="Arial" w:eastAsia="Arial" w:hAnsi="Arial"/>
          <w:sz w:val="16"/>
          <w:szCs w:val="16"/>
          <w:color w:val="auto"/>
          <w:vertAlign w:val="superscript"/>
        </w:rPr>
      </w:pPr>
      <w:r>
        <w:rPr>
          <w:rFonts w:ascii="Arial" w:cs="Arial" w:eastAsia="Arial" w:hAnsi="Arial"/>
          <w:sz w:val="13"/>
          <w:szCs w:val="13"/>
          <w:color w:val="auto"/>
        </w:rPr>
        <w:t>Relates to long-term commodity contracts at Elbow Creek Wind Project LLC, or Elbow Creek, Mesquite Star, Mt. Storm and Mesquite Sky and gains or losses are recognized in operating revenues.</w:t>
      </w:r>
    </w:p>
    <w:p>
      <w:pPr>
        <w:spacing w:after="0" w:line="137"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Note 8 — Intangible Assets</w:t>
      </w:r>
    </w:p>
    <w:p>
      <w:pPr>
        <w:spacing w:after="0" w:line="172" w:lineRule="exact"/>
        <w:rPr>
          <w:sz w:val="20"/>
          <w:szCs w:val="20"/>
          <w:color w:val="auto"/>
        </w:rPr>
      </w:pPr>
    </w:p>
    <w:p>
      <w:pPr>
        <w:ind w:firstLine="400"/>
        <w:spacing w:after="0" w:line="267"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 The Company's intangible assets as of December 31, 2021 and 2020 primarily reflect intangible assets established from its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and are comprised of the following:</w:t>
      </w:r>
    </w:p>
    <w:p>
      <w:pPr>
        <w:spacing w:after="0" w:line="19" w:lineRule="exact"/>
        <w:rPr>
          <w:sz w:val="20"/>
          <w:szCs w:val="20"/>
          <w:color w:val="auto"/>
        </w:rPr>
      </w:pPr>
    </w:p>
    <w:p>
      <w:pPr>
        <w:jc w:val="both"/>
        <w:ind w:left="640" w:hanging="314"/>
        <w:spacing w:after="0" w:line="257" w:lineRule="auto"/>
        <w:tabs>
          <w:tab w:leader="none" w:pos="635"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PPAs </w:t>
      </w:r>
      <w:r>
        <w:rPr>
          <w:rFonts w:ascii="Arial" w:cs="Arial" w:eastAsia="Arial" w:hAnsi="Arial"/>
          <w:sz w:val="18"/>
          <w:szCs w:val="18"/>
          <w:color w:val="auto"/>
        </w:rPr>
        <w:t>— Established predominantly with the acquisitions of the Alta Wind Portfolio, Walnut Creek, Tapestry, Laredo Ridge, Carlsbad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Center, Agua Caliente and the Utah Solar Portfolio. These represent the fair value of the PPAs acquired. These are amortized on a straight-line basis, over the term of the PPA.</w:t>
      </w:r>
    </w:p>
    <w:p>
      <w:pPr>
        <w:spacing w:after="0" w:line="28" w:lineRule="exact"/>
        <w:rPr>
          <w:rFonts w:ascii="Arial" w:cs="Arial" w:eastAsia="Arial" w:hAnsi="Arial"/>
          <w:sz w:val="18"/>
          <w:szCs w:val="18"/>
          <w:i w:val="1"/>
          <w:iCs w:val="1"/>
          <w:color w:val="auto"/>
        </w:rPr>
      </w:pPr>
    </w:p>
    <w:p>
      <w:pPr>
        <w:jc w:val="both"/>
        <w:ind w:left="640" w:hanging="314"/>
        <w:spacing w:after="0" w:line="257"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Leasehold Rights </w:t>
      </w:r>
      <w:r>
        <w:rPr>
          <w:rFonts w:ascii="Arial" w:cs="Arial" w:eastAsia="Arial" w:hAnsi="Arial"/>
          <w:sz w:val="18"/>
          <w:szCs w:val="18"/>
          <w:color w:val="auto"/>
        </w:rPr>
        <w:t>— Established with the acquisition of the Alta Wind Portfolio, this represents the fair value of contractual rights to receive royalty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equal to a percentage of PPA revenue from certain projects. These are amortized as a reduction to operating revenue on a straight-line basis over the term of the PPAs.</w:t>
      </w:r>
    </w:p>
    <w:p>
      <w:pPr>
        <w:spacing w:after="0" w:line="28" w:lineRule="exact"/>
        <w:rPr>
          <w:rFonts w:ascii="Arial" w:cs="Arial" w:eastAsia="Arial" w:hAnsi="Arial"/>
          <w:sz w:val="18"/>
          <w:szCs w:val="18"/>
          <w:color w:val="auto"/>
        </w:rPr>
      </w:pPr>
    </w:p>
    <w:p>
      <w:pPr>
        <w:jc w:val="both"/>
        <w:ind w:left="640" w:hanging="314"/>
        <w:spacing w:after="0" w:line="273" w:lineRule="auto"/>
        <w:tabs>
          <w:tab w:leader="none" w:pos="635"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Customer relationships </w:t>
      </w:r>
      <w:r>
        <w:rPr>
          <w:rFonts w:ascii="Arial" w:cs="Arial" w:eastAsia="Arial" w:hAnsi="Arial"/>
          <w:sz w:val="17"/>
          <w:szCs w:val="17"/>
          <w:color w:val="auto"/>
        </w:rPr>
        <w:t>— Established with the acquisition of Energy Center Omaha and Energy Center Phoenix, these intangibles represent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at the acquisition date of the businesses' customer base. The customer relationships related to Energy Center Omaha are amortized as a reduction to operating revenue, which approximates the expected discounted future net cash flows by year. These intangible assets are included in the Thermal Business and were reclassified to held for sale during the fourth quarter of 2021.</w:t>
      </w:r>
    </w:p>
    <w:p>
      <w:pPr>
        <w:spacing w:after="0" w:line="16" w:lineRule="exact"/>
        <w:rPr>
          <w:rFonts w:ascii="Arial" w:cs="Arial" w:eastAsia="Arial" w:hAnsi="Arial"/>
          <w:sz w:val="17"/>
          <w:szCs w:val="17"/>
          <w:color w:val="auto"/>
        </w:rPr>
      </w:pPr>
    </w:p>
    <w:p>
      <w:pPr>
        <w:jc w:val="both"/>
        <w:ind w:left="640" w:hanging="314"/>
        <w:spacing w:after="0" w:line="282" w:lineRule="auto"/>
        <w:tabs>
          <w:tab w:leader="none" w:pos="635"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Customer contracts </w:t>
      </w:r>
      <w:r>
        <w:rPr>
          <w:rFonts w:ascii="Arial" w:cs="Arial" w:eastAsia="Arial" w:hAnsi="Arial"/>
          <w:sz w:val="16"/>
          <w:szCs w:val="16"/>
          <w:color w:val="auto"/>
        </w:rPr>
        <w:t>— Established with the acquisition of Energy Center Phoenix, these intangibles represent the fair value at the acquisition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that primarily provide chilled water, steam and electricity to its customers. These contracts are amortized to revenues based on expected volumes. These intangible assets are included in the Thermal Business and were reclassified to held for sale during the fourth quarter of 2021.</w:t>
      </w:r>
    </w:p>
    <w:p>
      <w:pPr>
        <w:spacing w:after="0" w:line="2" w:lineRule="exact"/>
        <w:rPr>
          <w:rFonts w:ascii="Arial" w:cs="Arial" w:eastAsia="Arial" w:hAnsi="Arial"/>
          <w:sz w:val="16"/>
          <w:szCs w:val="16"/>
          <w:color w:val="auto"/>
        </w:rPr>
      </w:pPr>
    </w:p>
    <w:p>
      <w:pPr>
        <w:jc w:val="both"/>
        <w:ind w:left="640" w:hanging="314"/>
        <w:spacing w:after="0" w:line="228"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Emission Allowances </w:t>
      </w:r>
      <w:r>
        <w:rPr>
          <w:rFonts w:ascii="Arial" w:cs="Arial" w:eastAsia="Arial" w:hAnsi="Arial"/>
          <w:sz w:val="18"/>
          <w:szCs w:val="18"/>
          <w:color w:val="auto"/>
        </w:rPr>
        <w:t>— These intangibles primarily consist of SO</w:t>
      </w:r>
      <w:r>
        <w:rPr>
          <w:rFonts w:ascii="Arial" w:cs="Arial" w:eastAsia="Arial" w:hAnsi="Arial"/>
          <w:sz w:val="23"/>
          <w:szCs w:val="23"/>
          <w:color w:val="auto"/>
          <w:vertAlign w:val="subscript"/>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4"/>
          <w:szCs w:val="14"/>
          <w:color w:val="auto"/>
        </w:rPr>
        <w:t>x</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 allowances established with the El Segundo, Walnut Creek</w:t>
      </w:r>
      <w:r>
        <w:rPr>
          <w:rFonts w:ascii="Arial" w:cs="Arial" w:eastAsia="Arial" w:hAnsi="Arial"/>
          <w:sz w:val="18"/>
          <w:szCs w:val="18"/>
          <w:i w:val="1"/>
          <w:iCs w:val="1"/>
          <w:color w:val="auto"/>
        </w:rPr>
        <w:t xml:space="preserve"> </w:t>
      </w:r>
      <w:r>
        <w:rPr>
          <w:rFonts w:ascii="Arial" w:cs="Arial" w:eastAsia="Arial" w:hAnsi="Arial"/>
          <w:sz w:val="18"/>
          <w:szCs w:val="18"/>
          <w:color w:val="auto"/>
        </w:rPr>
        <w:t>and Carlsbad Energy Center acquisitions. These emission allowances are held-for-use and are amortized to cost of operations, with NO</w:t>
      </w:r>
      <w:r>
        <w:rPr>
          <w:rFonts w:ascii="Arial" w:cs="Arial" w:eastAsia="Arial" w:hAnsi="Arial"/>
          <w:sz w:val="14"/>
          <w:szCs w:val="14"/>
          <w:color w:val="auto"/>
        </w:rPr>
        <w:t>x</w:t>
      </w:r>
      <w:r>
        <w:rPr>
          <w:rFonts w:ascii="Arial" w:cs="Arial" w:eastAsia="Arial" w:hAnsi="Arial"/>
          <w:sz w:val="18"/>
          <w:szCs w:val="18"/>
          <w:color w:val="auto"/>
        </w:rPr>
        <w:t xml:space="preserve"> allowances amortized on a straight-line basis and SO</w:t>
      </w:r>
      <w:r>
        <w:rPr>
          <w:rFonts w:ascii="Arial" w:cs="Arial" w:eastAsia="Arial" w:hAnsi="Arial"/>
          <w:sz w:val="23"/>
          <w:szCs w:val="23"/>
          <w:color w:val="auto"/>
          <w:vertAlign w:val="subscript"/>
        </w:rPr>
        <w:t>2</w:t>
      </w:r>
      <w:r>
        <w:rPr>
          <w:rFonts w:ascii="Arial" w:cs="Arial" w:eastAsia="Arial" w:hAnsi="Arial"/>
          <w:sz w:val="18"/>
          <w:szCs w:val="18"/>
          <w:color w:val="auto"/>
        </w:rPr>
        <w:t xml:space="preserve"> allowances amortized based on units of production.</w:t>
      </w:r>
    </w:p>
    <w:p>
      <w:pPr>
        <w:spacing w:after="0" w:line="36" w:lineRule="exact"/>
        <w:rPr>
          <w:rFonts w:ascii="Arial" w:cs="Arial" w:eastAsia="Arial" w:hAnsi="Arial"/>
          <w:sz w:val="18"/>
          <w:szCs w:val="18"/>
          <w:color w:val="auto"/>
        </w:rPr>
      </w:pPr>
    </w:p>
    <w:p>
      <w:pPr>
        <w:jc w:val="both"/>
        <w:ind w:left="640" w:hanging="314"/>
        <w:spacing w:after="0" w:line="253"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 Consists of a) the acquisition date fair value of the contractual rights to a ground lease for South Trent and to utilize certain interconnection facilities for Blythe as well as land rights acquired in connection with the acquisition of Elbow Creek and Langford Wind; b) development rights related to certain solar business acquisitions; c) RECs acquired in connection with the acquisition of the Utah Solar Portfolio; and d) favorable leases acquired in connection with the acquisition of the Utah Star Portfolio.</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summarize the components of intangible assets subject to amortization: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2021</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PPAs</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Leasehold</w:t>
            </w:r>
          </w:p>
        </w:tc>
        <w:tc>
          <w:tcPr>
            <w:tcW w:w="1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Customer</w:t>
            </w: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Customer</w:t>
            </w:r>
          </w:p>
        </w:tc>
        <w:tc>
          <w:tcPr>
            <w:tcW w:w="14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Emission</w:t>
            </w:r>
          </w:p>
        </w:tc>
        <w:tc>
          <w:tcPr>
            <w:tcW w:w="18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6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1"/>
              </w:rPr>
              <w:t>Rights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9"/>
              </w:rPr>
              <w:t>Relationships</w:t>
            </w:r>
          </w:p>
        </w:tc>
        <w:tc>
          <w:tcPr>
            <w:tcW w:w="160" w:type="dxa"/>
            <w:vAlign w:val="bottom"/>
          </w:tcPr>
          <w:p>
            <w:pPr>
              <w:spacing w:after="0"/>
              <w:rPr>
                <w:sz w:val="12"/>
                <w:szCs w:val="12"/>
                <w:color w:val="auto"/>
              </w:rPr>
            </w:pPr>
          </w:p>
        </w:tc>
        <w:tc>
          <w:tcPr>
            <w:tcW w:w="98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Contracts</w:t>
            </w:r>
          </w:p>
        </w:tc>
        <w:tc>
          <w:tcPr>
            <w:tcW w:w="140" w:type="dxa"/>
            <w:vAlign w:val="bottom"/>
          </w:tcPr>
          <w:p>
            <w:pPr>
              <w:spacing w:after="0"/>
              <w:rPr>
                <w:sz w:val="12"/>
                <w:szCs w:val="12"/>
                <w:color w:val="auto"/>
              </w:rPr>
            </w:pPr>
          </w:p>
        </w:tc>
        <w:tc>
          <w:tcPr>
            <w:tcW w:w="10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Allowances</w:t>
            </w: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6"/>
                <w:szCs w:val="16"/>
                <w:color w:val="auto"/>
              </w:rPr>
              <w:t>January 1, 2021</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1,661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center"/>
              <w:ind w:left="522"/>
              <w:spacing w:after="0"/>
              <w:rPr>
                <w:sz w:val="20"/>
                <w:szCs w:val="20"/>
                <w:color w:val="auto"/>
              </w:rPr>
            </w:pPr>
            <w:r>
              <w:rPr>
                <w:rFonts w:ascii="Arial" w:cs="Arial" w:eastAsia="Arial" w:hAnsi="Arial"/>
                <w:sz w:val="16"/>
                <w:szCs w:val="16"/>
                <w:color w:val="auto"/>
                <w:w w:val="89"/>
              </w:rPr>
              <w:t>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ind w:left="742"/>
              <w:spacing w:after="0"/>
              <w:rPr>
                <w:sz w:val="20"/>
                <w:szCs w:val="20"/>
                <w:color w:val="auto"/>
              </w:rPr>
            </w:pPr>
            <w:r>
              <w:rPr>
                <w:rFonts w:ascii="Arial" w:cs="Arial" w:eastAsia="Arial" w:hAnsi="Arial"/>
                <w:sz w:val="16"/>
                <w:szCs w:val="16"/>
                <w:color w:val="auto"/>
                <w:w w:val="89"/>
              </w:rPr>
              <w:t>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center"/>
              <w:ind w:left="522"/>
              <w:spacing w:after="0"/>
              <w:rPr>
                <w:sz w:val="20"/>
                <w:szCs w:val="20"/>
                <w:color w:val="auto"/>
              </w:rPr>
            </w:pPr>
            <w:r>
              <w:rPr>
                <w:rFonts w:ascii="Arial" w:cs="Arial" w:eastAsia="Arial" w:hAnsi="Arial"/>
                <w:sz w:val="16"/>
                <w:szCs w:val="16"/>
                <w:color w:val="auto"/>
                <w:w w:val="89"/>
              </w:rPr>
              <w:t>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70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1,857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Acquisitions </w:t>
            </w:r>
            <w:r>
              <w:rPr>
                <w:rFonts w:ascii="Arial" w:cs="Arial" w:eastAsia="Arial" w:hAnsi="Arial"/>
                <w:sz w:val="20"/>
                <w:szCs w:val="20"/>
                <w:color w:val="auto"/>
                <w:vertAlign w:val="superscript"/>
              </w:rPr>
              <w:t>(a)</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422"/>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642"/>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422"/>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gridSpan w:val="2"/>
          </w:tcPr>
          <w:p>
            <w:pPr>
              <w:spacing w:after="0" w:line="213" w:lineRule="exact"/>
              <w:rPr>
                <w:sz w:val="20"/>
                <w:szCs w:val="20"/>
                <w:color w:val="auto"/>
              </w:rPr>
            </w:pPr>
            <w:r>
              <w:rPr>
                <w:rFonts w:ascii="Arial" w:cs="Arial" w:eastAsia="Arial" w:hAnsi="Arial"/>
                <w:sz w:val="16"/>
                <w:szCs w:val="16"/>
                <w:color w:val="auto"/>
              </w:rPr>
              <w:t xml:space="preserve">Reclassified to held for sale </w:t>
            </w:r>
            <w:r>
              <w:rPr>
                <w:rFonts w:ascii="Arial" w:cs="Arial" w:eastAsia="Arial" w:hAnsi="Arial"/>
                <w:sz w:val="20"/>
                <w:szCs w:val="20"/>
                <w:color w:val="auto"/>
                <w:vertAlign w:val="superscript"/>
              </w:rPr>
              <w:t>(b)</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522"/>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702"/>
              <w:spacing w:after="0"/>
              <w:rPr>
                <w:sz w:val="20"/>
                <w:szCs w:val="20"/>
                <w:color w:val="auto"/>
              </w:rPr>
            </w:pPr>
            <w:r>
              <w:rPr>
                <w:rFonts w:ascii="Arial" w:cs="Arial" w:eastAsia="Arial" w:hAnsi="Arial"/>
                <w:sz w:val="16"/>
                <w:szCs w:val="16"/>
                <w:color w:val="auto"/>
                <w:w w:val="98"/>
              </w:rPr>
              <w:t>(66)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482"/>
              <w:spacing w:after="0"/>
              <w:rPr>
                <w:sz w:val="20"/>
                <w:szCs w:val="20"/>
                <w:color w:val="auto"/>
              </w:rPr>
            </w:pPr>
            <w:r>
              <w:rPr>
                <w:rFonts w:ascii="Arial" w:cs="Arial" w:eastAsia="Arial" w:hAnsi="Arial"/>
                <w:sz w:val="16"/>
                <w:szCs w:val="16"/>
                <w:color w:val="auto"/>
                <w:w w:val="98"/>
              </w:rPr>
              <w:t>(15)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center"/>
              <w:ind w:left="522"/>
              <w:spacing w:after="0"/>
              <w:rPr>
                <w:sz w:val="20"/>
                <w:szCs w:val="20"/>
                <w:color w:val="auto"/>
              </w:rPr>
            </w:pPr>
            <w:r>
              <w:rPr>
                <w:rFonts w:ascii="Arial" w:cs="Arial" w:eastAsia="Arial" w:hAnsi="Arial"/>
                <w:sz w:val="16"/>
                <w:szCs w:val="16"/>
                <w:color w:val="auto"/>
                <w:w w:val="89"/>
              </w:rPr>
              <w:t>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left="642"/>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422"/>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3,104</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Less accumulated amortization</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482"/>
              <w:spacing w:after="0"/>
              <w:rPr>
                <w:sz w:val="20"/>
                <w:szCs w:val="20"/>
                <w:color w:val="auto"/>
              </w:rPr>
            </w:pPr>
            <w:r>
              <w:rPr>
                <w:rFonts w:ascii="Arial" w:cs="Arial" w:eastAsia="Arial" w:hAnsi="Arial"/>
                <w:sz w:val="16"/>
                <w:szCs w:val="16"/>
                <w:color w:val="auto"/>
                <w:w w:val="98"/>
              </w:rPr>
              <w:t>(30)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742"/>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522"/>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carrying amount</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center"/>
              <w:ind w:left="522"/>
              <w:spacing w:after="0"/>
              <w:rPr>
                <w:sz w:val="20"/>
                <w:szCs w:val="20"/>
                <w:color w:val="auto"/>
              </w:rPr>
            </w:pPr>
            <w:r>
              <w:rPr>
                <w:rFonts w:ascii="Arial" w:cs="Arial" w:eastAsia="Arial" w:hAnsi="Arial"/>
                <w:sz w:val="16"/>
                <w:szCs w:val="16"/>
                <w:color w:val="auto"/>
                <w:w w:val="89"/>
              </w:rPr>
              <w:t>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center"/>
              <w:ind w:left="642"/>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center"/>
              <w:ind w:left="422"/>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140" w:hanging="133"/>
        <w:spacing w:after="0"/>
        <w:tabs>
          <w:tab w:leader="none" w:pos="140" w:val="left"/>
        </w:tabs>
        <w:numPr>
          <w:ilvl w:val="0"/>
          <w:numId w:val="61"/>
        </w:numPr>
        <w:rPr>
          <w:rFonts w:ascii="Arial" w:cs="Arial" w:eastAsia="Arial" w:hAnsi="Arial"/>
          <w:sz w:val="16"/>
          <w:szCs w:val="16"/>
          <w:color w:val="auto"/>
          <w:vertAlign w:val="superscript"/>
        </w:rPr>
      </w:pPr>
      <w:r>
        <w:rPr>
          <w:rFonts w:ascii="Arial" w:cs="Arial" w:eastAsia="Arial" w:hAnsi="Arial"/>
          <w:sz w:val="13"/>
          <w:szCs w:val="13"/>
          <w:color w:val="auto"/>
        </w:rPr>
        <w:t>The weighted average life of acquired intangibles was 17 years for PPAs, 15 years for RECs and 15 years for favorable leases.</w:t>
      </w:r>
    </w:p>
    <w:p>
      <w:pPr>
        <w:spacing w:after="0" w:line="44" w:lineRule="exact"/>
        <w:rPr>
          <w:rFonts w:ascii="Arial" w:cs="Arial" w:eastAsia="Arial" w:hAnsi="Arial"/>
          <w:sz w:val="16"/>
          <w:szCs w:val="16"/>
          <w:color w:val="auto"/>
          <w:vertAlign w:val="superscript"/>
        </w:rPr>
      </w:pPr>
    </w:p>
    <w:p>
      <w:pPr>
        <w:ind w:left="140" w:hanging="133"/>
        <w:spacing w:after="0" w:line="219" w:lineRule="auto"/>
        <w:tabs>
          <w:tab w:leader="none" w:pos="140" w:val="left"/>
        </w:tabs>
        <w:numPr>
          <w:ilvl w:val="0"/>
          <w:numId w:val="61"/>
        </w:numPr>
        <w:rPr>
          <w:rFonts w:ascii="Arial" w:cs="Arial" w:eastAsia="Arial" w:hAnsi="Arial"/>
          <w:sz w:val="16"/>
          <w:szCs w:val="16"/>
          <w:color w:val="auto"/>
          <w:vertAlign w:val="superscript"/>
        </w:rPr>
      </w:pPr>
      <w:r>
        <w:rPr>
          <w:rFonts w:ascii="Arial" w:cs="Arial" w:eastAsia="Arial" w:hAnsi="Arial"/>
          <w:sz w:val="13"/>
          <w:szCs w:val="13"/>
          <w:color w:val="auto"/>
        </w:rPr>
        <w:t>Thermal Business intangible assets were reclassified to held for sale during the fourth quarter of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2020</w:t>
            </w:r>
          </w:p>
        </w:tc>
        <w:tc>
          <w:tcPr>
            <w:tcW w:w="22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PPAs</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Leasehold</w:t>
            </w:r>
          </w:p>
        </w:tc>
        <w:tc>
          <w:tcPr>
            <w:tcW w:w="1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Customer</w:t>
            </w: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Customer</w:t>
            </w:r>
          </w:p>
        </w:tc>
        <w:tc>
          <w:tcPr>
            <w:tcW w:w="14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Emission</w:t>
            </w:r>
          </w:p>
        </w:tc>
        <w:tc>
          <w:tcPr>
            <w:tcW w:w="18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6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1"/>
              </w:rPr>
              <w:t>Rights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9"/>
              </w:rPr>
              <w:t>Relationships</w:t>
            </w:r>
          </w:p>
        </w:tc>
        <w:tc>
          <w:tcPr>
            <w:tcW w:w="160" w:type="dxa"/>
            <w:vAlign w:val="bottom"/>
          </w:tcPr>
          <w:p>
            <w:pPr>
              <w:spacing w:after="0"/>
              <w:rPr>
                <w:sz w:val="12"/>
                <w:szCs w:val="12"/>
                <w:color w:val="auto"/>
              </w:rPr>
            </w:pPr>
          </w:p>
        </w:tc>
        <w:tc>
          <w:tcPr>
            <w:tcW w:w="98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Contracts</w:t>
            </w:r>
          </w:p>
        </w:tc>
        <w:tc>
          <w:tcPr>
            <w:tcW w:w="140" w:type="dxa"/>
            <w:vAlign w:val="bottom"/>
          </w:tcPr>
          <w:p>
            <w:pPr>
              <w:spacing w:after="0"/>
              <w:rPr>
                <w:sz w:val="12"/>
                <w:szCs w:val="12"/>
                <w:color w:val="auto"/>
              </w:rPr>
            </w:pPr>
          </w:p>
        </w:tc>
        <w:tc>
          <w:tcPr>
            <w:tcW w:w="10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Allowances</w:t>
            </w: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6"/>
                <w:szCs w:val="16"/>
                <w:color w:val="auto"/>
              </w:rPr>
              <w:t>January 1, 2020</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1,630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center"/>
              <w:ind w:left="522"/>
              <w:spacing w:after="0"/>
              <w:rPr>
                <w:sz w:val="20"/>
                <w:szCs w:val="20"/>
                <w:color w:val="auto"/>
              </w:rPr>
            </w:pPr>
            <w:r>
              <w:rPr>
                <w:rFonts w:ascii="Arial" w:cs="Arial" w:eastAsia="Arial" w:hAnsi="Arial"/>
                <w:sz w:val="16"/>
                <w:szCs w:val="16"/>
                <w:color w:val="auto"/>
                <w:w w:val="89"/>
              </w:rPr>
              <w:t>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ind w:left="742"/>
              <w:spacing w:after="0"/>
              <w:rPr>
                <w:sz w:val="20"/>
                <w:szCs w:val="20"/>
                <w:color w:val="auto"/>
              </w:rPr>
            </w:pPr>
            <w:r>
              <w:rPr>
                <w:rFonts w:ascii="Arial" w:cs="Arial" w:eastAsia="Arial" w:hAnsi="Arial"/>
                <w:sz w:val="16"/>
                <w:szCs w:val="16"/>
                <w:color w:val="auto"/>
                <w:w w:val="89"/>
              </w:rPr>
              <w:t>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70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Consolidation of DGPV Holdco Entities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422"/>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642"/>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left="422"/>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200" w:type="dxa"/>
            <w:vAlign w:val="bottom"/>
            <w:gridSpan w:val="2"/>
          </w:tcPr>
          <w:p>
            <w:pPr>
              <w:jc w:val="center"/>
              <w:ind w:left="642"/>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December 31, 2020</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ind w:left="522"/>
              <w:spacing w:after="0"/>
              <w:rPr>
                <w:sz w:val="20"/>
                <w:szCs w:val="20"/>
                <w:color w:val="auto"/>
              </w:rPr>
            </w:pPr>
            <w:r>
              <w:rPr>
                <w:rFonts w:ascii="Arial" w:cs="Arial" w:eastAsia="Arial" w:hAnsi="Arial"/>
                <w:sz w:val="16"/>
                <w:szCs w:val="16"/>
                <w:color w:val="auto"/>
                <w:w w:val="89"/>
              </w:rPr>
              <w:t>86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left="742"/>
              <w:spacing w:after="0"/>
              <w:rPr>
                <w:sz w:val="20"/>
                <w:szCs w:val="20"/>
                <w:color w:val="auto"/>
              </w:rPr>
            </w:pPr>
            <w:r>
              <w:rPr>
                <w:rFonts w:ascii="Arial" w:cs="Arial" w:eastAsia="Arial" w:hAnsi="Arial"/>
                <w:sz w:val="16"/>
                <w:szCs w:val="16"/>
                <w:color w:val="auto"/>
                <w:w w:val="89"/>
              </w:rPr>
              <w:t>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1,857</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Less accumulated amortization</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482"/>
              <w:spacing w:after="0"/>
              <w:rPr>
                <w:sz w:val="20"/>
                <w:szCs w:val="20"/>
                <w:color w:val="auto"/>
              </w:rPr>
            </w:pPr>
            <w:r>
              <w:rPr>
                <w:rFonts w:ascii="Arial" w:cs="Arial" w:eastAsia="Arial" w:hAnsi="Arial"/>
                <w:sz w:val="16"/>
                <w:szCs w:val="16"/>
                <w:color w:val="auto"/>
                <w:w w:val="98"/>
              </w:rPr>
              <w:t>(26)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702"/>
              <w:spacing w:after="0"/>
              <w:rPr>
                <w:sz w:val="20"/>
                <w:szCs w:val="20"/>
                <w:color w:val="auto"/>
              </w:rPr>
            </w:pPr>
            <w:r>
              <w:rPr>
                <w:rFonts w:ascii="Arial" w:cs="Arial" w:eastAsia="Arial" w:hAnsi="Arial"/>
                <w:sz w:val="16"/>
                <w:szCs w:val="16"/>
                <w:color w:val="auto"/>
                <w:w w:val="98"/>
              </w:rPr>
              <w:t>(11)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1,230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center"/>
              <w:ind w:left="522"/>
              <w:spacing w:after="0"/>
              <w:rPr>
                <w:sz w:val="20"/>
                <w:szCs w:val="20"/>
                <w:color w:val="auto"/>
              </w:rPr>
            </w:pPr>
            <w:r>
              <w:rPr>
                <w:rFonts w:ascii="Arial" w:cs="Arial" w:eastAsia="Arial" w:hAnsi="Arial"/>
                <w:sz w:val="16"/>
                <w:szCs w:val="16"/>
                <w:color w:val="auto"/>
                <w:w w:val="89"/>
              </w:rPr>
              <w:t>60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center"/>
              <w:ind w:left="742"/>
              <w:spacing w:after="0"/>
              <w:rPr>
                <w:sz w:val="20"/>
                <w:szCs w:val="20"/>
                <w:color w:val="auto"/>
              </w:rPr>
            </w:pPr>
            <w:r>
              <w:rPr>
                <w:rFonts w:ascii="Arial" w:cs="Arial" w:eastAsia="Arial" w:hAnsi="Arial"/>
                <w:sz w:val="16"/>
                <w:szCs w:val="16"/>
                <w:color w:val="auto"/>
                <w:w w:val="89"/>
              </w:rPr>
              <w:t>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15" w:name="page116"/>
    <w:bookmarkEnd w:id="115"/>
    <w:p>
      <w:pPr>
        <w:jc w:val="both"/>
        <w:ind w:firstLine="400"/>
        <w:spacing w:after="0" w:line="270" w:lineRule="auto"/>
        <w:rPr>
          <w:sz w:val="20"/>
          <w:szCs w:val="20"/>
          <w:color w:val="auto"/>
        </w:rPr>
      </w:pPr>
      <w:r>
        <w:rPr>
          <w:rFonts w:ascii="Arial" w:cs="Arial" w:eastAsia="Arial" w:hAnsi="Arial"/>
          <w:sz w:val="17"/>
          <w:szCs w:val="17"/>
          <w:color w:val="auto"/>
        </w:rPr>
        <w:t>The Company recorded amortization expense of $143 million during the year ended December 31, 2021, $91 million for the year ended December 31, 2020 and $73 million for the year ended December 31, 2019. Of these amounts, $135 million for the year ended December 31, 2021, $88 million for the year ended December 31, 2020 and $72 million for the year ended December 31, 2019, were related to the amortization of intangible assets for power purchase agreements and were recorded to contract amortization expense, which reduced operating revenues in the consolidated statements of operations. The Company estimates the future amortization expense for its intangibles for the next five years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0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(In millions)</w:t>
            </w:r>
          </w:p>
        </w:tc>
      </w:tr>
      <w:tr>
        <w:trPr>
          <w:trHeight w:val="209"/>
        </w:trPr>
        <w:tc>
          <w:tcPr>
            <w:tcW w:w="9060" w:type="dxa"/>
            <w:vAlign w:val="bottom"/>
          </w:tcPr>
          <w:p>
            <w:pPr>
              <w:jc w:val="right"/>
              <w:ind w:right="8640"/>
              <w:spacing w:after="0"/>
              <w:rPr>
                <w:sz w:val="20"/>
                <w:szCs w:val="20"/>
                <w:color w:val="auto"/>
              </w:rPr>
            </w:pPr>
            <w:r>
              <w:rPr>
                <w:rFonts w:ascii="Arial" w:cs="Arial" w:eastAsia="Arial" w:hAnsi="Arial"/>
                <w:sz w:val="16"/>
                <w:szCs w:val="16"/>
                <w:color w:val="auto"/>
                <w:w w:val="89"/>
              </w:rPr>
              <w:t>2022</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16"/>
        </w:trPr>
        <w:tc>
          <w:tcPr>
            <w:tcW w:w="9060" w:type="dxa"/>
            <w:vAlign w:val="bottom"/>
            <w:shd w:val="clear" w:color="auto" w:fill="CCEEFF"/>
          </w:tcPr>
          <w:p>
            <w:pPr>
              <w:jc w:val="right"/>
              <w:ind w:right="8640"/>
              <w:spacing w:after="0"/>
              <w:rPr>
                <w:sz w:val="20"/>
                <w:szCs w:val="20"/>
                <w:color w:val="auto"/>
              </w:rPr>
            </w:pPr>
            <w:r>
              <w:rPr>
                <w:rFonts w:ascii="Arial" w:cs="Arial" w:eastAsia="Arial" w:hAnsi="Arial"/>
                <w:sz w:val="16"/>
                <w:szCs w:val="16"/>
                <w:color w:val="auto"/>
                <w:w w:val="89"/>
              </w:rPr>
              <w:t>2023</w:t>
            </w: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1"/>
        </w:trPr>
        <w:tc>
          <w:tcPr>
            <w:tcW w:w="9060" w:type="dxa"/>
            <w:vAlign w:val="bottom"/>
          </w:tcPr>
          <w:p>
            <w:pPr>
              <w:jc w:val="right"/>
              <w:ind w:right="8640"/>
              <w:spacing w:after="0"/>
              <w:rPr>
                <w:sz w:val="20"/>
                <w:szCs w:val="20"/>
                <w:color w:val="auto"/>
              </w:rPr>
            </w:pPr>
            <w:r>
              <w:rPr>
                <w:rFonts w:ascii="Arial" w:cs="Arial" w:eastAsia="Arial" w:hAnsi="Arial"/>
                <w:sz w:val="16"/>
                <w:szCs w:val="16"/>
                <w:color w:val="auto"/>
                <w:w w:val="89"/>
              </w:rPr>
              <w:t>2024</w:t>
            </w: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6"/>
        </w:trPr>
        <w:tc>
          <w:tcPr>
            <w:tcW w:w="9060" w:type="dxa"/>
            <w:vAlign w:val="bottom"/>
            <w:shd w:val="clear" w:color="auto" w:fill="CCEEFF"/>
          </w:tcPr>
          <w:p>
            <w:pPr>
              <w:jc w:val="right"/>
              <w:ind w:right="8640"/>
              <w:spacing w:after="0"/>
              <w:rPr>
                <w:sz w:val="20"/>
                <w:szCs w:val="20"/>
                <w:color w:val="auto"/>
              </w:rPr>
            </w:pPr>
            <w:r>
              <w:rPr>
                <w:rFonts w:ascii="Arial" w:cs="Arial" w:eastAsia="Arial" w:hAnsi="Arial"/>
                <w:sz w:val="16"/>
                <w:szCs w:val="16"/>
                <w:color w:val="auto"/>
                <w:w w:val="89"/>
              </w:rPr>
              <w:t>2025</w:t>
            </w: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08"/>
        </w:trPr>
        <w:tc>
          <w:tcPr>
            <w:tcW w:w="9060" w:type="dxa"/>
            <w:vAlign w:val="bottom"/>
          </w:tcPr>
          <w:p>
            <w:pPr>
              <w:jc w:val="right"/>
              <w:ind w:right="8640"/>
              <w:spacing w:after="0"/>
              <w:rPr>
                <w:sz w:val="20"/>
                <w:szCs w:val="20"/>
                <w:color w:val="auto"/>
              </w:rPr>
            </w:pPr>
            <w:r>
              <w:rPr>
                <w:rFonts w:ascii="Arial" w:cs="Arial" w:eastAsia="Arial" w:hAnsi="Arial"/>
                <w:sz w:val="16"/>
                <w:szCs w:val="16"/>
                <w:color w:val="auto"/>
                <w:w w:val="89"/>
              </w:rPr>
              <w:t>2026</w:t>
            </w: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153</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Asset Impairments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Impairment Losses</w:t>
      </w:r>
    </w:p>
    <w:p>
      <w:pPr>
        <w:spacing w:after="0" w:line="166"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During the fourth quarter of 2021 in preparation and review of its annual budget, the Company updated its long-term estimates of operating and capital expenditures and revised its assessment of long-term merchant power prices, which was primarily informed by present conditions and did not contemplate future policy changes, which could impact renewable energy power prices. The annual budget process coincides with the Company's annual impairment analysis of long-lived assets. The impairment analysis reviews certain qualitative factors as well as the fair value of the facilities against its carrying value to determine if impairment indicators are present. The impairment analysis indicated that the projected future cash flows for several wind projects within the Renewables segment no longer supported the recoverability of the carrying value of the related long-lived assets. As such, the Company recorded an impairment loss of $6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Impairment Losses</w:t>
      </w:r>
    </w:p>
    <w:p>
      <w:pPr>
        <w:spacing w:after="0" w:line="166"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During the fourth quarter of 2020 in preparation and review of its annual budget, the Company updated its long-term estimates of operating and capital expenditures and revised its assessment of long-term merchant power prices, which was primarily informed by present conditions and did not contemplate future policy changes, which could impact renewable energy power prices. The annual budget process coincides with the Company's annual impairment analysis of long-lived assets. The impairment analysis reviews certain qualitative factors as well as the fair value of the facilities against its carrying value to determine if impairment indicators are present. The impairment analysis indicated that the projected future cash flows for several wind projects within the Renewables segment no longer supported the recoverability of the carrying value of the related long-lived assets. As such, the Company recorded an impairment loss of $24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134" w:lineRule="exact"/>
        <w:rPr>
          <w:sz w:val="20"/>
          <w:szCs w:val="20"/>
          <w:color w:val="auto"/>
        </w:rPr>
      </w:pPr>
    </w:p>
    <w:p>
      <w:pPr>
        <w:jc w:val="both"/>
        <w:ind w:firstLine="400"/>
        <w:spacing w:after="0" w:line="288" w:lineRule="auto"/>
        <w:rPr>
          <w:sz w:val="20"/>
          <w:szCs w:val="20"/>
          <w:color w:val="auto"/>
        </w:rPr>
      </w:pPr>
      <w:r>
        <w:rPr>
          <w:rFonts w:ascii="Arial" w:cs="Arial" w:eastAsia="Arial" w:hAnsi="Arial"/>
          <w:sz w:val="16"/>
          <w:szCs w:val="16"/>
          <w:color w:val="auto"/>
        </w:rPr>
        <w:t>Additionally, during the fourth quarter of 2020, as the Company updated its estimated cash flows in connection with the preparation and review of the Company's annual budget, the Company determined that there was a significant decrease in the estimated future cash flows for its equity method investment in San Juan Mesa, a facility in the Renewables segment located in Elida, New Mexico. The decrease in the forecasted cash flows which was primarily driven by a decline in forecasted revenue in future merchant periods, was significant enough to be considered an indication of a decline in value of the investment that was not temporary. The Company concluded there was an other-than-temporary impairment of its investment and recorded an impairment loss of $8 million to reflect the investment at fair market value. The resulting fair value is a Level 3 fair value measurement.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t>2019 Impairment Losses</w:t>
      </w:r>
    </w:p>
    <w:p>
      <w:pPr>
        <w:spacing w:after="0" w:line="166" w:lineRule="exact"/>
        <w:rPr>
          <w:sz w:val="20"/>
          <w:szCs w:val="20"/>
          <w:color w:val="auto"/>
        </w:rPr>
      </w:pPr>
    </w:p>
    <w:p>
      <w:pPr>
        <w:jc w:val="both"/>
        <w:ind w:firstLine="400"/>
        <w:spacing w:after="0" w:line="288" w:lineRule="auto"/>
        <w:rPr>
          <w:sz w:val="20"/>
          <w:szCs w:val="20"/>
          <w:color w:val="auto"/>
        </w:rPr>
      </w:pPr>
      <w:r>
        <w:rPr>
          <w:rFonts w:ascii="Arial" w:cs="Arial" w:eastAsia="Arial" w:hAnsi="Arial"/>
          <w:sz w:val="16"/>
          <w:szCs w:val="16"/>
          <w:color w:val="auto"/>
        </w:rPr>
        <w:t xml:space="preserve">The Company recorded an impairment loss of $19 million related to a facility in the Thermal segment during the second quarter of 2019. The impairment was triggered by a potential sale negotiation with a third-party, which resulted in signing the purchase and sale agreement in September 2019, as further described in Note 3,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The fair value of the facility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w:t>
      </w:r>
    </w:p>
    <w:p>
      <w:pPr>
        <w:spacing w:after="0" w:line="115"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color w:val="auto"/>
        </w:rPr>
        <w:t>Additionally, during the fourth quarter of 2019, as a result of the preparation and review of its annual budget and assessment of long-term merchant power prices, the Company updated its estimated future cash flows and determined that the future cash flows for several wind projects within the Renewables segment no longer supported the recoverability of the related long-lived asset. The annual budget process coincides with the Company's annual impairment analysis of long-lived assets. The impairment analysis reviewed certain qualitative factors as well as the fair value of the facilities against its carrying value to determine if impairment indicators are present. As such, the Company recorded an impairment loss of $14 million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Note 10 — Long-term Debt</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borrowings, including short-term and long-term portions consisted of the following: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89"/>
              <w:spacing w:after="0"/>
              <w:rPr>
                <w:sz w:val="20"/>
                <w:szCs w:val="20"/>
                <w:color w:val="auto"/>
              </w:rPr>
            </w:pPr>
            <w:r>
              <w:rPr>
                <w:rFonts w:ascii="Arial" w:cs="Arial" w:eastAsia="Arial" w:hAnsi="Arial"/>
                <w:sz w:val="13"/>
                <w:szCs w:val="13"/>
                <w:b w:val="1"/>
                <w:bCs w:val="1"/>
                <w:color w:val="auto"/>
                <w:w w:val="95"/>
              </w:rPr>
              <w:t>Letters of Credit</w:t>
            </w:r>
          </w:p>
        </w:tc>
        <w:tc>
          <w:tcPr>
            <w:tcW w:w="0" w:type="dxa"/>
            <w:vAlign w:val="bottom"/>
          </w:tcPr>
          <w:p>
            <w:pPr>
              <w:spacing w:after="0"/>
              <w:rPr>
                <w:sz w:val="1"/>
                <w:szCs w:val="1"/>
                <w:color w:val="auto"/>
              </w:rPr>
            </w:pPr>
          </w:p>
        </w:tc>
      </w:tr>
      <w:tr>
        <w:trPr>
          <w:trHeight w:val="133"/>
        </w:trPr>
        <w:tc>
          <w:tcPr>
            <w:tcW w:w="5460" w:type="dxa"/>
            <w:vAlign w:val="bottom"/>
          </w:tcPr>
          <w:p>
            <w:pPr>
              <w:spacing w:after="0"/>
              <w:rPr>
                <w:sz w:val="11"/>
                <w:szCs w:val="11"/>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December 31, 2021</w:t>
            </w: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2020</w:t>
            </w:r>
          </w:p>
        </w:tc>
        <w:tc>
          <w:tcPr>
            <w:tcW w:w="17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 xml:space="preserve">Interest rate % </w:t>
            </w:r>
            <w:r>
              <w:rPr>
                <w:rFonts w:ascii="Arial" w:cs="Arial" w:eastAsia="Arial" w:hAnsi="Arial"/>
                <w:sz w:val="18"/>
                <w:szCs w:val="18"/>
                <w:b w:val="1"/>
                <w:bCs w:val="1"/>
                <w:color w:val="auto"/>
                <w:vertAlign w:val="superscript"/>
              </w:rPr>
              <w:t>(a)</w:t>
            </w:r>
          </w:p>
        </w:tc>
        <w:tc>
          <w:tcPr>
            <w:tcW w:w="160" w:type="dxa"/>
            <w:vAlign w:val="bottom"/>
          </w:tcPr>
          <w:p>
            <w:pPr>
              <w:spacing w:after="0"/>
              <w:rPr>
                <w:sz w:val="11"/>
                <w:szCs w:val="11"/>
                <w:color w:val="auto"/>
              </w:rPr>
            </w:pPr>
          </w:p>
        </w:tc>
        <w:tc>
          <w:tcPr>
            <w:tcW w:w="1360" w:type="dxa"/>
            <w:vAlign w:val="bottom"/>
          </w:tcPr>
          <w:p>
            <w:pPr>
              <w:jc w:val="center"/>
              <w:ind w:right="89"/>
              <w:spacing w:after="0" w:line="133" w:lineRule="exact"/>
              <w:rPr>
                <w:sz w:val="20"/>
                <w:szCs w:val="20"/>
                <w:color w:val="auto"/>
              </w:rPr>
            </w:pPr>
            <w:r>
              <w:rPr>
                <w:rFonts w:ascii="Arial" w:cs="Arial" w:eastAsia="Arial" w:hAnsi="Arial"/>
                <w:sz w:val="13"/>
                <w:szCs w:val="13"/>
                <w:b w:val="1"/>
                <w:bCs w:val="1"/>
                <w:color w:val="auto"/>
                <w:w w:val="91"/>
              </w:rPr>
              <w:t>Outstanding at</w:t>
            </w:r>
          </w:p>
        </w:tc>
        <w:tc>
          <w:tcPr>
            <w:tcW w:w="0" w:type="dxa"/>
            <w:vAlign w:val="bottom"/>
          </w:tcPr>
          <w:p>
            <w:pPr>
              <w:spacing w:after="0"/>
              <w:rPr>
                <w:sz w:val="1"/>
                <w:szCs w:val="1"/>
                <w:color w:val="auto"/>
              </w:rPr>
            </w:pPr>
          </w:p>
        </w:tc>
      </w:tr>
      <w:tr>
        <w:trPr>
          <w:trHeight w:val="186"/>
        </w:trPr>
        <w:tc>
          <w:tcPr>
            <w:tcW w:w="546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89"/>
              <w:spacing w:after="0"/>
              <w:rPr>
                <w:sz w:val="20"/>
                <w:szCs w:val="20"/>
                <w:color w:val="auto"/>
              </w:rPr>
            </w:pPr>
            <w:r>
              <w:rPr>
                <w:rFonts w:ascii="Arial" w:cs="Arial" w:eastAsia="Arial" w:hAnsi="Arial"/>
                <w:sz w:val="13"/>
                <w:szCs w:val="13"/>
                <w:b w:val="1"/>
                <w:bCs w:val="1"/>
                <w:color w:val="auto"/>
                <w:w w:val="92"/>
              </w:rPr>
              <w:t>December 31, 2021</w:t>
            </w:r>
          </w:p>
        </w:tc>
        <w:tc>
          <w:tcPr>
            <w:tcW w:w="0" w:type="dxa"/>
            <w:vAlign w:val="bottom"/>
          </w:tcPr>
          <w:p>
            <w:pPr>
              <w:spacing w:after="0"/>
              <w:rPr>
                <w:sz w:val="1"/>
                <w:szCs w:val="1"/>
                <w:color w:val="auto"/>
              </w:rPr>
            </w:pPr>
          </w:p>
        </w:tc>
      </w:tr>
      <w:tr>
        <w:trPr>
          <w:trHeight w:val="179"/>
        </w:trPr>
        <w:tc>
          <w:tcPr>
            <w:tcW w:w="54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(In millions, except rates)</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 Senior Notes</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68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w w:val="91"/>
              </w:rPr>
              <w:t>5.750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60" w:type="dxa"/>
            <w:vAlign w:val="bottom"/>
          </w:tcPr>
          <w:p>
            <w:pPr>
              <w:ind w:left="20"/>
              <w:spacing w:after="0"/>
              <w:rPr>
                <w:sz w:val="20"/>
                <w:szCs w:val="20"/>
                <w:color w:val="auto"/>
              </w:rPr>
            </w:pPr>
            <w:r>
              <w:rPr>
                <w:rFonts w:ascii="Arial" w:cs="Arial" w:eastAsia="Arial" w:hAnsi="Arial"/>
                <w:sz w:val="14"/>
                <w:szCs w:val="14"/>
                <w:color w:val="auto"/>
              </w:rPr>
              <w:t>2026 Senior Notes</w:t>
            </w:r>
          </w:p>
        </w:tc>
        <w:tc>
          <w:tcPr>
            <w:tcW w:w="4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350</w:t>
            </w:r>
          </w:p>
        </w:tc>
        <w:tc>
          <w:tcPr>
            <w:tcW w:w="1680" w:type="dxa"/>
            <w:vAlign w:val="bottom"/>
          </w:tcPr>
          <w:p>
            <w:pPr>
              <w:jc w:val="center"/>
              <w:ind w:left="1169"/>
              <w:spacing w:after="0"/>
              <w:rPr>
                <w:sz w:val="20"/>
                <w:szCs w:val="20"/>
                <w:color w:val="auto"/>
              </w:rPr>
            </w:pPr>
            <w:r>
              <w:rPr>
                <w:rFonts w:ascii="Arial" w:cs="Arial" w:eastAsia="Arial" w:hAnsi="Arial"/>
                <w:sz w:val="14"/>
                <w:szCs w:val="14"/>
                <w:color w:val="auto"/>
                <w:w w:val="91"/>
              </w:rPr>
              <w:t>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 Senior Notes</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68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w w:val="91"/>
              </w:rPr>
              <w:t>4.750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60" w:type="dxa"/>
            <w:vAlign w:val="bottom"/>
          </w:tcPr>
          <w:p>
            <w:pPr>
              <w:ind w:left="20"/>
              <w:spacing w:after="0"/>
              <w:rPr>
                <w:sz w:val="20"/>
                <w:szCs w:val="20"/>
                <w:color w:val="auto"/>
              </w:rPr>
            </w:pPr>
            <w:r>
              <w:rPr>
                <w:rFonts w:ascii="Arial" w:cs="Arial" w:eastAsia="Arial" w:hAnsi="Arial"/>
                <w:sz w:val="14"/>
                <w:szCs w:val="14"/>
                <w:color w:val="auto"/>
              </w:rPr>
              <w:t>2031 Senior Notes</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3.750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2032 Senior Notes</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460" w:type="dxa"/>
            <w:vAlign w:val="bottom"/>
          </w:tcPr>
          <w:p>
            <w:pPr>
              <w:ind w:left="20"/>
              <w:spacing w:after="0" w:line="133" w:lineRule="exact"/>
              <w:rPr>
                <w:sz w:val="20"/>
                <w:szCs w:val="20"/>
                <w:color w:val="auto"/>
              </w:rPr>
            </w:pPr>
            <w:r>
              <w:rPr>
                <w:rFonts w:ascii="Arial" w:cs="Arial" w:eastAsia="Arial" w:hAnsi="Arial"/>
                <w:sz w:val="14"/>
                <w:szCs w:val="14"/>
                <w:color w:val="auto"/>
                <w:w w:val="97"/>
              </w:rPr>
              <w:t>Clearway Energy LLC and Clearway Energy Operating LLC Revolving Credit Facility, due</w:t>
            </w:r>
          </w:p>
        </w:tc>
        <w:tc>
          <w:tcPr>
            <w:tcW w:w="4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7"/>
        </w:trPr>
        <w:tc>
          <w:tcPr>
            <w:tcW w:w="5460" w:type="dxa"/>
            <w:vAlign w:val="bottom"/>
          </w:tcPr>
          <w:p>
            <w:pPr>
              <w:ind w:left="20"/>
              <w:spacing w:after="0" w:line="187" w:lineRule="exact"/>
              <w:rPr>
                <w:sz w:val="20"/>
                <w:szCs w:val="20"/>
                <w:color w:val="auto"/>
              </w:rPr>
            </w:pPr>
            <w:r>
              <w:rPr>
                <w:rFonts w:ascii="Arial" w:cs="Arial" w:eastAsia="Arial" w:hAnsi="Arial"/>
                <w:sz w:val="14"/>
                <w:szCs w:val="14"/>
                <w:color w:val="auto"/>
              </w:rPr>
              <w:t xml:space="preserve">2023 </w:t>
            </w:r>
            <w:r>
              <w:rPr>
                <w:rFonts w:ascii="Arial" w:cs="Arial" w:eastAsia="Arial" w:hAnsi="Arial"/>
                <w:sz w:val="18"/>
                <w:szCs w:val="18"/>
                <w:color w:val="auto"/>
                <w:vertAlign w:val="superscript"/>
              </w:rPr>
              <w:t>(b)</w:t>
            </w:r>
          </w:p>
        </w:tc>
        <w:tc>
          <w:tcPr>
            <w:tcW w:w="4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60" w:type="dxa"/>
            <w:vAlign w:val="bottom"/>
            <w:shd w:val="clear" w:color="auto" w:fill="CCEEFF"/>
          </w:tcPr>
          <w:p>
            <w:pPr>
              <w:ind w:left="20"/>
              <w:spacing w:after="0" w:line="187" w:lineRule="exact"/>
              <w:rPr>
                <w:sz w:val="20"/>
                <w:szCs w:val="20"/>
                <w:color w:val="auto"/>
              </w:rPr>
            </w:pPr>
            <w:r>
              <w:rPr>
                <w:rFonts w:ascii="Arial" w:cs="Arial" w:eastAsia="Arial" w:hAnsi="Arial"/>
                <w:sz w:val="14"/>
                <w:szCs w:val="14"/>
                <w:color w:val="auto"/>
              </w:rPr>
              <w:t xml:space="preserve">Bridge Loan, due 2022 </w:t>
            </w:r>
            <w:r>
              <w:rPr>
                <w:rFonts w:ascii="Arial" w:cs="Arial" w:eastAsia="Arial" w:hAnsi="Arial"/>
                <w:sz w:val="18"/>
                <w:szCs w:val="18"/>
                <w:color w:val="auto"/>
                <w:vertAlign w:val="superscript"/>
              </w:rPr>
              <w:t>(c)</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S+1.000</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Project-level debt:</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Agua Caliente Solar LLC, due 2037</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2.395 - 3.633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45</w:t>
            </w:r>
          </w:p>
        </w:tc>
        <w:tc>
          <w:tcPr>
            <w:tcW w:w="0" w:type="dxa"/>
            <w:vAlign w:val="bottom"/>
          </w:tcPr>
          <w:p>
            <w:pPr>
              <w:spacing w:after="0"/>
              <w:rPr>
                <w:sz w:val="1"/>
                <w:szCs w:val="1"/>
                <w:color w:val="auto"/>
              </w:rPr>
            </w:pPr>
          </w:p>
        </w:tc>
      </w:tr>
      <w:tr>
        <w:trPr>
          <w:trHeight w:val="184"/>
        </w:trPr>
        <w:tc>
          <w:tcPr>
            <w:tcW w:w="5460" w:type="dxa"/>
            <w:vAlign w:val="bottom"/>
          </w:tcPr>
          <w:p>
            <w:pPr>
              <w:ind w:left="20"/>
              <w:spacing w:after="0"/>
              <w:rPr>
                <w:sz w:val="20"/>
                <w:szCs w:val="20"/>
                <w:color w:val="auto"/>
              </w:rPr>
            </w:pPr>
            <w:r>
              <w:rPr>
                <w:rFonts w:ascii="Arial" w:cs="Arial" w:eastAsia="Arial" w:hAnsi="Arial"/>
                <w:sz w:val="14"/>
                <w:szCs w:val="14"/>
                <w:color w:val="auto"/>
              </w:rPr>
              <w:t>Alta Wind Asset Management LLC, due 2031</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L+2.625</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Alta Wind I-V lease financing arrangements, due 2034 and 2035</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5.696 - 7.015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34</w:t>
            </w:r>
          </w:p>
        </w:tc>
        <w:tc>
          <w:tcPr>
            <w:tcW w:w="0" w:type="dxa"/>
            <w:vAlign w:val="bottom"/>
          </w:tcPr>
          <w:p>
            <w:pPr>
              <w:spacing w:after="0"/>
              <w:rPr>
                <w:sz w:val="1"/>
                <w:szCs w:val="1"/>
                <w:color w:val="auto"/>
              </w:rPr>
            </w:pPr>
          </w:p>
        </w:tc>
      </w:tr>
      <w:tr>
        <w:trPr>
          <w:trHeight w:val="184"/>
        </w:trPr>
        <w:tc>
          <w:tcPr>
            <w:tcW w:w="5460" w:type="dxa"/>
            <w:vAlign w:val="bottom"/>
          </w:tcPr>
          <w:p>
            <w:pPr>
              <w:ind w:left="20"/>
              <w:spacing w:after="0"/>
              <w:rPr>
                <w:sz w:val="20"/>
                <w:szCs w:val="20"/>
                <w:color w:val="auto"/>
              </w:rPr>
            </w:pPr>
            <w:r>
              <w:rPr>
                <w:rFonts w:ascii="Arial" w:cs="Arial" w:eastAsia="Arial" w:hAnsi="Arial"/>
                <w:sz w:val="14"/>
                <w:szCs w:val="14"/>
                <w:color w:val="auto"/>
              </w:rPr>
              <w:t>Alta Wind Realty Investments LLC, due 2031</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1680" w:type="dxa"/>
            <w:vAlign w:val="bottom"/>
          </w:tcPr>
          <w:p>
            <w:pPr>
              <w:jc w:val="right"/>
              <w:spacing w:after="0"/>
              <w:rPr>
                <w:sz w:val="20"/>
                <w:szCs w:val="20"/>
                <w:color w:val="auto"/>
              </w:rPr>
            </w:pPr>
            <w:r>
              <w:rPr>
                <w:rFonts w:ascii="Arial" w:cs="Arial" w:eastAsia="Arial" w:hAnsi="Arial"/>
                <w:sz w:val="14"/>
                <w:szCs w:val="14"/>
                <w:color w:val="auto"/>
              </w:rPr>
              <w:t>7.000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Borrego, due 2024 and 2038</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780" w:type="dxa"/>
            <w:vAlign w:val="bottom"/>
            <w:gridSpan w:val="2"/>
            <w:shd w:val="clear" w:color="auto" w:fill="CCEEFF"/>
          </w:tcPr>
          <w:p>
            <w:pPr>
              <w:jc w:val="center"/>
              <w:ind w:left="1029"/>
              <w:spacing w:after="0"/>
              <w:rPr>
                <w:sz w:val="20"/>
                <w:szCs w:val="20"/>
                <w:color w:val="auto"/>
              </w:rPr>
            </w:pPr>
            <w:r>
              <w:rPr>
                <w:rFonts w:ascii="Arial" w:cs="Arial" w:eastAsia="Arial" w:hAnsi="Arial"/>
                <w:sz w:val="14"/>
                <w:szCs w:val="14"/>
                <w:color w:val="auto"/>
                <w:w w:val="92"/>
              </w:rPr>
              <w:t>Various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4"/>
        </w:trPr>
        <w:tc>
          <w:tcPr>
            <w:tcW w:w="5460" w:type="dxa"/>
            <w:vAlign w:val="bottom"/>
          </w:tcPr>
          <w:p>
            <w:pPr>
              <w:ind w:left="20"/>
              <w:spacing w:after="0"/>
              <w:rPr>
                <w:sz w:val="20"/>
                <w:szCs w:val="20"/>
                <w:color w:val="auto"/>
              </w:rPr>
            </w:pPr>
            <w:r>
              <w:rPr>
                <w:rFonts w:ascii="Arial" w:cs="Arial" w:eastAsia="Arial" w:hAnsi="Arial"/>
                <w:sz w:val="14"/>
                <w:szCs w:val="14"/>
                <w:color w:val="auto"/>
              </w:rPr>
              <w:t>Buckthorn Solar, due 2025</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L+1.750</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21</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Carlsbad Energy Holdings LLC, due 2027</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L+1.625</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62</w:t>
            </w:r>
          </w:p>
        </w:tc>
        <w:tc>
          <w:tcPr>
            <w:tcW w:w="0" w:type="dxa"/>
            <w:vAlign w:val="bottom"/>
          </w:tcPr>
          <w:p>
            <w:pPr>
              <w:spacing w:after="0"/>
              <w:rPr>
                <w:sz w:val="1"/>
                <w:szCs w:val="1"/>
                <w:color w:val="auto"/>
              </w:rPr>
            </w:pPr>
          </w:p>
        </w:tc>
      </w:tr>
      <w:tr>
        <w:trPr>
          <w:trHeight w:val="184"/>
        </w:trPr>
        <w:tc>
          <w:tcPr>
            <w:tcW w:w="5460" w:type="dxa"/>
            <w:vAlign w:val="bottom"/>
          </w:tcPr>
          <w:p>
            <w:pPr>
              <w:ind w:left="20"/>
              <w:spacing w:after="0"/>
              <w:rPr>
                <w:sz w:val="20"/>
                <w:szCs w:val="20"/>
                <w:color w:val="auto"/>
              </w:rPr>
            </w:pPr>
            <w:r>
              <w:rPr>
                <w:rFonts w:ascii="Arial" w:cs="Arial" w:eastAsia="Arial" w:hAnsi="Arial"/>
                <w:sz w:val="14"/>
                <w:szCs w:val="14"/>
                <w:color w:val="auto"/>
              </w:rPr>
              <w:t>Carlsbad Energy Holdings LLC, due 2038</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407</w:t>
            </w:r>
          </w:p>
        </w:tc>
        <w:tc>
          <w:tcPr>
            <w:tcW w:w="1680" w:type="dxa"/>
            <w:vAlign w:val="bottom"/>
          </w:tcPr>
          <w:p>
            <w:pPr>
              <w:jc w:val="right"/>
              <w:spacing w:after="0"/>
              <w:rPr>
                <w:sz w:val="20"/>
                <w:szCs w:val="20"/>
                <w:color w:val="auto"/>
              </w:rPr>
            </w:pPr>
            <w:r>
              <w:rPr>
                <w:rFonts w:ascii="Arial" w:cs="Arial" w:eastAsia="Arial" w:hAnsi="Arial"/>
                <w:sz w:val="14"/>
                <w:szCs w:val="14"/>
                <w:color w:val="auto"/>
              </w:rPr>
              <w:t>4.120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Carlsbad Holdco, due 2038</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68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w w:val="91"/>
              </w:rPr>
              <w:t>4.210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6</w:t>
            </w:r>
          </w:p>
        </w:tc>
        <w:tc>
          <w:tcPr>
            <w:tcW w:w="0" w:type="dxa"/>
            <w:vAlign w:val="bottom"/>
          </w:tcPr>
          <w:p>
            <w:pPr>
              <w:spacing w:after="0"/>
              <w:rPr>
                <w:sz w:val="1"/>
                <w:szCs w:val="1"/>
                <w:color w:val="auto"/>
              </w:rPr>
            </w:pPr>
          </w:p>
        </w:tc>
      </w:tr>
      <w:tr>
        <w:trPr>
          <w:trHeight w:val="184"/>
        </w:trPr>
        <w:tc>
          <w:tcPr>
            <w:tcW w:w="5460" w:type="dxa"/>
            <w:vAlign w:val="bottom"/>
          </w:tcPr>
          <w:p>
            <w:pPr>
              <w:ind w:left="20"/>
              <w:spacing w:after="0"/>
              <w:rPr>
                <w:sz w:val="20"/>
                <w:szCs w:val="20"/>
                <w:color w:val="auto"/>
              </w:rPr>
            </w:pPr>
            <w:r>
              <w:rPr>
                <w:rFonts w:ascii="Arial" w:cs="Arial" w:eastAsia="Arial" w:hAnsi="Arial"/>
                <w:sz w:val="14"/>
                <w:szCs w:val="14"/>
                <w:color w:val="auto"/>
              </w:rPr>
              <w:t>CVSR, due 2037</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675</w:t>
            </w:r>
          </w:p>
        </w:tc>
        <w:tc>
          <w:tcPr>
            <w:tcW w:w="1680" w:type="dxa"/>
            <w:vAlign w:val="bottom"/>
          </w:tcPr>
          <w:p>
            <w:pPr>
              <w:jc w:val="right"/>
              <w:spacing w:after="0"/>
              <w:rPr>
                <w:sz w:val="20"/>
                <w:szCs w:val="20"/>
                <w:color w:val="auto"/>
              </w:rPr>
            </w:pPr>
            <w:r>
              <w:rPr>
                <w:rFonts w:ascii="Arial" w:cs="Arial" w:eastAsia="Arial" w:hAnsi="Arial"/>
                <w:sz w:val="14"/>
                <w:szCs w:val="14"/>
                <w:color w:val="auto"/>
              </w:rPr>
              <w:t>2.339 -3.775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CVSR Holdco Notes, due 2037</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68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w w:val="91"/>
              </w:rPr>
              <w:t>4.680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13</w:t>
            </w:r>
          </w:p>
        </w:tc>
        <w:tc>
          <w:tcPr>
            <w:tcW w:w="0" w:type="dxa"/>
            <w:vAlign w:val="bottom"/>
          </w:tcPr>
          <w:p>
            <w:pPr>
              <w:spacing w:after="0"/>
              <w:rPr>
                <w:sz w:val="1"/>
                <w:szCs w:val="1"/>
                <w:color w:val="auto"/>
              </w:rPr>
            </w:pPr>
          </w:p>
        </w:tc>
      </w:tr>
      <w:tr>
        <w:trPr>
          <w:trHeight w:val="184"/>
        </w:trPr>
        <w:tc>
          <w:tcPr>
            <w:tcW w:w="5460" w:type="dxa"/>
            <w:vAlign w:val="bottom"/>
          </w:tcPr>
          <w:p>
            <w:pPr>
              <w:ind w:left="20"/>
              <w:spacing w:after="0"/>
              <w:rPr>
                <w:sz w:val="20"/>
                <w:szCs w:val="20"/>
                <w:color w:val="auto"/>
              </w:rPr>
            </w:pPr>
            <w:r>
              <w:rPr>
                <w:rFonts w:ascii="Arial" w:cs="Arial" w:eastAsia="Arial" w:hAnsi="Arial"/>
                <w:sz w:val="14"/>
                <w:szCs w:val="14"/>
                <w:color w:val="auto"/>
              </w:rPr>
              <w:t>DG-CS Master Borrower LLC, due 2040</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467</w:t>
            </w:r>
          </w:p>
        </w:tc>
        <w:tc>
          <w:tcPr>
            <w:tcW w:w="1680" w:type="dxa"/>
            <w:vAlign w:val="bottom"/>
          </w:tcPr>
          <w:p>
            <w:pPr>
              <w:jc w:val="center"/>
              <w:ind w:left="1169"/>
              <w:spacing w:after="0"/>
              <w:rPr>
                <w:sz w:val="20"/>
                <w:szCs w:val="20"/>
                <w:color w:val="auto"/>
              </w:rPr>
            </w:pPr>
            <w:r>
              <w:rPr>
                <w:rFonts w:ascii="Arial" w:cs="Arial" w:eastAsia="Arial" w:hAnsi="Arial"/>
                <w:sz w:val="14"/>
                <w:szCs w:val="14"/>
                <w:color w:val="auto"/>
                <w:w w:val="91"/>
              </w:rPr>
              <w:t>3.510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30</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Duquesne, due 2059 </w:t>
            </w:r>
            <w:r>
              <w:rPr>
                <w:rFonts w:ascii="Arial" w:cs="Arial" w:eastAsia="Arial" w:hAnsi="Arial"/>
                <w:sz w:val="18"/>
                <w:szCs w:val="18"/>
                <w:color w:val="auto"/>
                <w:vertAlign w:val="superscript"/>
              </w:rPr>
              <w:t>(d)</w:t>
            </w:r>
          </w:p>
        </w:tc>
        <w:tc>
          <w:tcPr>
            <w:tcW w:w="4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68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w w:val="91"/>
              </w:rPr>
              <w:t>4.620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4"/>
        </w:trPr>
        <w:tc>
          <w:tcPr>
            <w:tcW w:w="5460" w:type="dxa"/>
            <w:vAlign w:val="bottom"/>
          </w:tcPr>
          <w:p>
            <w:pPr>
              <w:ind w:left="20"/>
              <w:spacing w:after="0"/>
              <w:rPr>
                <w:sz w:val="20"/>
                <w:szCs w:val="20"/>
                <w:color w:val="auto"/>
              </w:rPr>
            </w:pPr>
            <w:r>
              <w:rPr>
                <w:rFonts w:ascii="Arial" w:cs="Arial" w:eastAsia="Arial" w:hAnsi="Arial"/>
                <w:sz w:val="14"/>
                <w:szCs w:val="14"/>
                <w:color w:val="auto"/>
              </w:rPr>
              <w:t>El Segundo Energy Center, due 2023</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L+1.875 - L+2.500</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138</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Energy Center Minneapolis Series D, E, F, G, H Notes, due 2025-2037 </w:t>
            </w:r>
            <w:r>
              <w:rPr>
                <w:rFonts w:ascii="Arial" w:cs="Arial" w:eastAsia="Arial" w:hAnsi="Arial"/>
                <w:sz w:val="18"/>
                <w:szCs w:val="18"/>
                <w:color w:val="auto"/>
                <w:vertAlign w:val="superscript"/>
              </w:rPr>
              <w:t>(d)</w:t>
            </w:r>
          </w:p>
        </w:tc>
        <w:tc>
          <w:tcPr>
            <w:tcW w:w="4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780" w:type="dxa"/>
            <w:vAlign w:val="bottom"/>
            <w:gridSpan w:val="2"/>
            <w:shd w:val="clear" w:color="auto" w:fill="CCEEFF"/>
          </w:tcPr>
          <w:p>
            <w:pPr>
              <w:jc w:val="center"/>
              <w:ind w:left="1029"/>
              <w:spacing w:after="0"/>
              <w:rPr>
                <w:sz w:val="20"/>
                <w:szCs w:val="20"/>
                <w:color w:val="auto"/>
              </w:rPr>
            </w:pPr>
            <w:r>
              <w:rPr>
                <w:rFonts w:ascii="Arial" w:cs="Arial" w:eastAsia="Arial" w:hAnsi="Arial"/>
                <w:sz w:val="14"/>
                <w:szCs w:val="14"/>
                <w:color w:val="auto"/>
                <w:w w:val="92"/>
              </w:rPr>
              <w:t>Various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4"/>
        </w:trPr>
        <w:tc>
          <w:tcPr>
            <w:tcW w:w="5460" w:type="dxa"/>
            <w:vAlign w:val="bottom"/>
          </w:tcPr>
          <w:p>
            <w:pPr>
              <w:ind w:left="20"/>
              <w:spacing w:after="0"/>
              <w:rPr>
                <w:sz w:val="20"/>
                <w:szCs w:val="20"/>
                <w:color w:val="auto"/>
              </w:rPr>
            </w:pPr>
            <w:r>
              <w:rPr>
                <w:rFonts w:ascii="Arial" w:cs="Arial" w:eastAsia="Arial" w:hAnsi="Arial"/>
                <w:sz w:val="14"/>
                <w:szCs w:val="14"/>
                <w:color w:val="auto"/>
              </w:rPr>
              <w:t>Kawailoa Solar Portfolio LLC, due 2026</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L+1.375</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14</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Laredo Ridge, due 2028</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L+2.125</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3</w:t>
            </w:r>
          </w:p>
        </w:tc>
        <w:tc>
          <w:tcPr>
            <w:tcW w:w="0" w:type="dxa"/>
            <w:vAlign w:val="bottom"/>
          </w:tcPr>
          <w:p>
            <w:pPr>
              <w:spacing w:after="0"/>
              <w:rPr>
                <w:sz w:val="1"/>
                <w:szCs w:val="1"/>
                <w:color w:val="auto"/>
              </w:rPr>
            </w:pPr>
          </w:p>
        </w:tc>
      </w:tr>
      <w:tr>
        <w:trPr>
          <w:trHeight w:val="184"/>
        </w:trPr>
        <w:tc>
          <w:tcPr>
            <w:tcW w:w="5460" w:type="dxa"/>
            <w:vAlign w:val="bottom"/>
          </w:tcPr>
          <w:p>
            <w:pPr>
              <w:ind w:left="20"/>
              <w:spacing w:after="0"/>
              <w:rPr>
                <w:sz w:val="20"/>
                <w:szCs w:val="20"/>
                <w:color w:val="auto"/>
              </w:rPr>
            </w:pPr>
            <w:r>
              <w:rPr>
                <w:rFonts w:ascii="Arial" w:cs="Arial" w:eastAsia="Arial" w:hAnsi="Arial"/>
                <w:sz w:val="14"/>
                <w:szCs w:val="14"/>
                <w:color w:val="auto"/>
              </w:rPr>
              <w:t>Marsh Landing, due 2023</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L+2.375</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46</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NIMH Solar, due 2024</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L+2.000</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10</w:t>
            </w:r>
          </w:p>
        </w:tc>
        <w:tc>
          <w:tcPr>
            <w:tcW w:w="0" w:type="dxa"/>
            <w:vAlign w:val="bottom"/>
          </w:tcPr>
          <w:p>
            <w:pPr>
              <w:spacing w:after="0"/>
              <w:rPr>
                <w:sz w:val="1"/>
                <w:szCs w:val="1"/>
                <w:color w:val="auto"/>
              </w:rPr>
            </w:pPr>
          </w:p>
        </w:tc>
      </w:tr>
      <w:tr>
        <w:trPr>
          <w:trHeight w:val="184"/>
        </w:trPr>
        <w:tc>
          <w:tcPr>
            <w:tcW w:w="5460" w:type="dxa"/>
            <w:vAlign w:val="bottom"/>
          </w:tcPr>
          <w:p>
            <w:pPr>
              <w:ind w:left="20"/>
              <w:spacing w:after="0"/>
              <w:rPr>
                <w:sz w:val="20"/>
                <w:szCs w:val="20"/>
                <w:color w:val="auto"/>
              </w:rPr>
            </w:pPr>
            <w:r>
              <w:rPr>
                <w:rFonts w:ascii="Arial" w:cs="Arial" w:eastAsia="Arial" w:hAnsi="Arial"/>
                <w:sz w:val="14"/>
                <w:szCs w:val="14"/>
                <w:color w:val="auto"/>
              </w:rPr>
              <w:t>Oahu Solar Holdings LLC, due 2026</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L+1.375</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10</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Rosie Class B LLC, due 2027</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L+1.750</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17</w:t>
            </w:r>
          </w:p>
        </w:tc>
        <w:tc>
          <w:tcPr>
            <w:tcW w:w="0" w:type="dxa"/>
            <w:vAlign w:val="bottom"/>
          </w:tcPr>
          <w:p>
            <w:pPr>
              <w:spacing w:after="0"/>
              <w:rPr>
                <w:sz w:val="1"/>
                <w:szCs w:val="1"/>
                <w:color w:val="auto"/>
              </w:rPr>
            </w:pPr>
          </w:p>
        </w:tc>
      </w:tr>
      <w:tr>
        <w:trPr>
          <w:trHeight w:val="184"/>
        </w:trPr>
        <w:tc>
          <w:tcPr>
            <w:tcW w:w="5460" w:type="dxa"/>
            <w:vAlign w:val="bottom"/>
          </w:tcPr>
          <w:p>
            <w:pPr>
              <w:ind w:left="20"/>
              <w:spacing w:after="0"/>
              <w:rPr>
                <w:sz w:val="20"/>
                <w:szCs w:val="20"/>
                <w:color w:val="auto"/>
              </w:rPr>
            </w:pPr>
            <w:r>
              <w:rPr>
                <w:rFonts w:ascii="Arial" w:cs="Arial" w:eastAsia="Arial" w:hAnsi="Arial"/>
                <w:sz w:val="14"/>
                <w:szCs w:val="14"/>
                <w:color w:val="auto"/>
              </w:rPr>
              <w:t>Tapestry, due 2031</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143</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L+1.375</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12</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Utah Solar Holdings, due 2036</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680" w:type="dxa"/>
            <w:vAlign w:val="bottom"/>
            <w:shd w:val="clear" w:color="auto" w:fill="CCEEFF"/>
          </w:tcPr>
          <w:p>
            <w:pPr>
              <w:jc w:val="center"/>
              <w:ind w:left="1169"/>
              <w:spacing w:after="0"/>
              <w:rPr>
                <w:sz w:val="20"/>
                <w:szCs w:val="20"/>
                <w:color w:val="auto"/>
              </w:rPr>
            </w:pPr>
            <w:r>
              <w:rPr>
                <w:rFonts w:ascii="Arial" w:cs="Arial" w:eastAsia="Arial" w:hAnsi="Arial"/>
                <w:sz w:val="14"/>
                <w:szCs w:val="14"/>
                <w:color w:val="auto"/>
                <w:w w:val="91"/>
              </w:rPr>
              <w:t>3.590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10</w:t>
            </w:r>
          </w:p>
        </w:tc>
        <w:tc>
          <w:tcPr>
            <w:tcW w:w="0" w:type="dxa"/>
            <w:vAlign w:val="bottom"/>
          </w:tcPr>
          <w:p>
            <w:pPr>
              <w:spacing w:after="0"/>
              <w:rPr>
                <w:sz w:val="1"/>
                <w:szCs w:val="1"/>
                <w:color w:val="auto"/>
              </w:rPr>
            </w:pPr>
          </w:p>
        </w:tc>
      </w:tr>
      <w:tr>
        <w:trPr>
          <w:trHeight w:val="184"/>
        </w:trPr>
        <w:tc>
          <w:tcPr>
            <w:tcW w:w="5460" w:type="dxa"/>
            <w:vAlign w:val="bottom"/>
          </w:tcPr>
          <w:p>
            <w:pPr>
              <w:ind w:left="20"/>
              <w:spacing w:after="0"/>
              <w:rPr>
                <w:sz w:val="20"/>
                <w:szCs w:val="20"/>
                <w:color w:val="auto"/>
              </w:rPr>
            </w:pPr>
            <w:r>
              <w:rPr>
                <w:rFonts w:ascii="Arial" w:cs="Arial" w:eastAsia="Arial" w:hAnsi="Arial"/>
                <w:sz w:val="14"/>
                <w:szCs w:val="14"/>
                <w:color w:val="auto"/>
              </w:rPr>
              <w:t>Walnut Creek, due 2023</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L+1.750</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242424"/>
              </w:rPr>
              <w:t>116</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WCEP Holdings, LLC, due 2023</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L+3.000</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w:t>
            </w:r>
          </w:p>
        </w:tc>
        <w:tc>
          <w:tcPr>
            <w:tcW w:w="0" w:type="dxa"/>
            <w:vAlign w:val="bottom"/>
          </w:tcPr>
          <w:p>
            <w:pPr>
              <w:spacing w:after="0"/>
              <w:rPr>
                <w:sz w:val="1"/>
                <w:szCs w:val="1"/>
                <w:color w:val="auto"/>
              </w:rPr>
            </w:pPr>
          </w:p>
        </w:tc>
      </w:tr>
      <w:tr>
        <w:trPr>
          <w:trHeight w:val="184"/>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780" w:type="dxa"/>
            <w:vAlign w:val="bottom"/>
            <w:tcBorders>
              <w:bottom w:val="single" w:sz="8" w:color="CCEEFF"/>
            </w:tcBorders>
            <w:gridSpan w:val="2"/>
          </w:tcPr>
          <w:p>
            <w:pPr>
              <w:jc w:val="center"/>
              <w:ind w:left="1029"/>
              <w:spacing w:after="0"/>
              <w:rPr>
                <w:sz w:val="20"/>
                <w:szCs w:val="20"/>
                <w:color w:val="auto"/>
              </w:rPr>
            </w:pPr>
            <w:r>
              <w:rPr>
                <w:rFonts w:ascii="Arial" w:cs="Arial" w:eastAsia="Arial" w:hAnsi="Arial"/>
                <w:sz w:val="14"/>
                <w:szCs w:val="14"/>
                <w:color w:val="auto"/>
                <w:w w:val="92"/>
              </w:rPr>
              <w:t>Various</w:t>
            </w:r>
          </w:p>
        </w:tc>
        <w:tc>
          <w:tcPr>
            <w:tcW w:w="16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242424"/>
              </w:rPr>
              <w:t>201</w:t>
            </w:r>
          </w:p>
        </w:tc>
        <w:tc>
          <w:tcPr>
            <w:tcW w:w="0" w:type="dxa"/>
            <w:vAlign w:val="bottom"/>
          </w:tcPr>
          <w:p>
            <w:pPr>
              <w:spacing w:after="0"/>
              <w:rPr>
                <w:sz w:val="1"/>
                <w:szCs w:val="1"/>
                <w:color w:val="auto"/>
              </w:rPr>
            </w:pPr>
          </w:p>
        </w:tc>
      </w:tr>
      <w:tr>
        <w:trPr>
          <w:trHeight w:val="183"/>
        </w:trPr>
        <w:tc>
          <w:tcPr>
            <w:tcW w:w="5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Subtotal project-level debt</w:t>
            </w:r>
          </w:p>
        </w:tc>
        <w:tc>
          <w:tcPr>
            <w:tcW w:w="4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5,073</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5,243</w:t>
            </w: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460" w:type="dxa"/>
            <w:vAlign w:val="bottom"/>
          </w:tcPr>
          <w:p>
            <w:pPr>
              <w:ind w:left="340"/>
              <w:spacing w:after="0"/>
              <w:rPr>
                <w:sz w:val="20"/>
                <w:szCs w:val="20"/>
                <w:color w:val="auto"/>
              </w:rPr>
            </w:pPr>
            <w:r>
              <w:rPr>
                <w:rFonts w:ascii="Arial" w:cs="Arial" w:eastAsia="Arial" w:hAnsi="Arial"/>
                <w:sz w:val="14"/>
                <w:szCs w:val="14"/>
                <w:color w:val="auto"/>
              </w:rPr>
              <w:t>Total debt</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7,778</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7,043</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current maturities</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60" w:type="dxa"/>
            <w:vAlign w:val="bottom"/>
          </w:tcPr>
          <w:p>
            <w:pPr>
              <w:ind w:left="20"/>
              <w:spacing w:after="0"/>
              <w:rPr>
                <w:sz w:val="20"/>
                <w:szCs w:val="20"/>
                <w:color w:val="auto"/>
              </w:rPr>
            </w:pPr>
            <w:r>
              <w:rPr>
                <w:rFonts w:ascii="Arial" w:cs="Arial" w:eastAsia="Arial" w:hAnsi="Arial"/>
                <w:sz w:val="14"/>
                <w:szCs w:val="14"/>
                <w:color w:val="auto"/>
              </w:rPr>
              <w:t>Less net debt issuance costs</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Add premiums </w:t>
            </w:r>
            <w:r>
              <w:rPr>
                <w:rFonts w:ascii="Arial" w:cs="Arial" w:eastAsia="Arial" w:hAnsi="Arial"/>
                <w:sz w:val="18"/>
                <w:szCs w:val="18"/>
                <w:color w:val="auto"/>
                <w:vertAlign w:val="superscript"/>
              </w:rPr>
              <w:t>(e)</w:t>
            </w:r>
          </w:p>
        </w:tc>
        <w:tc>
          <w:tcPr>
            <w:tcW w:w="4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60" w:type="dxa"/>
            <w:vAlign w:val="bottom"/>
          </w:tcPr>
          <w:p>
            <w:pPr>
              <w:ind w:left="140"/>
              <w:spacing w:after="0"/>
              <w:rPr>
                <w:sz w:val="20"/>
                <w:szCs w:val="20"/>
                <w:color w:val="auto"/>
              </w:rPr>
            </w:pPr>
            <w:r>
              <w:rPr>
                <w:rFonts w:ascii="Arial" w:cs="Arial" w:eastAsia="Arial" w:hAnsi="Arial"/>
                <w:sz w:val="14"/>
                <w:szCs w:val="14"/>
                <w:color w:val="auto"/>
              </w:rPr>
              <w:t>Total long-term debt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6,939</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6,585</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firstLine="7"/>
        <w:spacing w:after="0" w:line="250" w:lineRule="auto"/>
        <w:tabs>
          <w:tab w:leader="none" w:pos="147" w:val="left"/>
        </w:tabs>
        <w:numPr>
          <w:ilvl w:val="0"/>
          <w:numId w:val="62"/>
        </w:numPr>
        <w:rPr>
          <w:rFonts w:ascii="Arial" w:cs="Arial" w:eastAsia="Arial" w:hAnsi="Arial"/>
          <w:sz w:val="17"/>
          <w:szCs w:val="17"/>
          <w:color w:val="auto"/>
          <w:vertAlign w:val="superscript"/>
        </w:rPr>
      </w:pPr>
      <w:r>
        <w:rPr>
          <w:rFonts w:ascii="Arial" w:cs="Arial" w:eastAsia="Arial" w:hAnsi="Arial"/>
          <w:sz w:val="13"/>
          <w:szCs w:val="13"/>
          <w:color w:val="auto"/>
        </w:rPr>
        <w:t>As of December 31, 2021, L+ equals 3 month LIBOR plus x%, except Clearway Energy Operating LLC Revolving Credit Facility, due 2023, Marsh Landing, due 2023, and Walnut Creek, due 2023, where L+ equals 1 month LIBOR plus x%</w:t>
      </w:r>
    </w:p>
    <w:p>
      <w:pPr>
        <w:ind w:left="140" w:hanging="133"/>
        <w:spacing w:after="0"/>
        <w:tabs>
          <w:tab w:leader="none" w:pos="140" w:val="left"/>
        </w:tabs>
        <w:numPr>
          <w:ilvl w:val="0"/>
          <w:numId w:val="62"/>
        </w:numPr>
        <w:rPr>
          <w:rFonts w:ascii="Arial" w:cs="Arial" w:eastAsia="Arial" w:hAnsi="Arial"/>
          <w:sz w:val="9"/>
          <w:szCs w:val="9"/>
          <w:color w:val="auto"/>
        </w:rPr>
      </w:pPr>
      <w:r>
        <w:rPr>
          <w:rFonts w:ascii="Arial" w:cs="Arial" w:eastAsia="Arial" w:hAnsi="Arial"/>
          <w:sz w:val="14"/>
          <w:szCs w:val="14"/>
          <w:color w:val="auto"/>
        </w:rPr>
        <w:t>Applicable rate is determined by the borrower leverage ratio, as defined in the credit agreement</w:t>
      </w:r>
    </w:p>
    <w:p>
      <w:pPr>
        <w:spacing w:after="0" w:line="24" w:lineRule="exact"/>
        <w:rPr>
          <w:rFonts w:ascii="Arial" w:cs="Arial" w:eastAsia="Arial" w:hAnsi="Arial"/>
          <w:sz w:val="9"/>
          <w:szCs w:val="9"/>
          <w:color w:val="auto"/>
        </w:rPr>
      </w:pPr>
    </w:p>
    <w:p>
      <w:pPr>
        <w:ind w:left="140" w:hanging="133"/>
        <w:spacing w:after="0"/>
        <w:tabs>
          <w:tab w:leader="none" w:pos="140" w:val="left"/>
        </w:tabs>
        <w:numPr>
          <w:ilvl w:val="0"/>
          <w:numId w:val="62"/>
        </w:numPr>
        <w:rPr>
          <w:rFonts w:ascii="Arial" w:cs="Arial" w:eastAsia="Arial" w:hAnsi="Arial"/>
          <w:sz w:val="17"/>
          <w:szCs w:val="17"/>
          <w:color w:val="auto"/>
          <w:vertAlign w:val="superscript"/>
        </w:rPr>
      </w:pPr>
      <w:r>
        <w:rPr>
          <w:rFonts w:ascii="Arial" w:cs="Arial" w:eastAsia="Arial" w:hAnsi="Arial"/>
          <w:sz w:val="13"/>
          <w:szCs w:val="13"/>
          <w:color w:val="auto"/>
        </w:rPr>
        <w:t>S+ equals SOFR, plus x%</w:t>
      </w:r>
    </w:p>
    <w:p>
      <w:pPr>
        <w:spacing w:after="0" w:line="31" w:lineRule="exact"/>
        <w:rPr>
          <w:rFonts w:ascii="Arial" w:cs="Arial" w:eastAsia="Arial" w:hAnsi="Arial"/>
          <w:sz w:val="17"/>
          <w:szCs w:val="17"/>
          <w:color w:val="auto"/>
          <w:vertAlign w:val="superscript"/>
        </w:rPr>
      </w:pPr>
    </w:p>
    <w:p>
      <w:pPr>
        <w:ind w:left="140" w:hanging="133"/>
        <w:spacing w:after="0" w:line="219" w:lineRule="auto"/>
        <w:tabs>
          <w:tab w:leader="none" w:pos="140" w:val="left"/>
        </w:tabs>
        <w:numPr>
          <w:ilvl w:val="0"/>
          <w:numId w:val="62"/>
        </w:numPr>
        <w:rPr>
          <w:rFonts w:ascii="Arial" w:cs="Arial" w:eastAsia="Arial" w:hAnsi="Arial"/>
          <w:sz w:val="16"/>
          <w:szCs w:val="16"/>
          <w:color w:val="auto"/>
          <w:vertAlign w:val="superscript"/>
        </w:rPr>
      </w:pPr>
      <w:r>
        <w:rPr>
          <w:rFonts w:ascii="Arial" w:cs="Arial" w:eastAsia="Arial" w:hAnsi="Arial"/>
          <w:sz w:val="13"/>
          <w:szCs w:val="13"/>
          <w:color w:val="auto"/>
        </w:rPr>
        <w:t>Thermal Business long-term debt reclassified to held for sale in the fourth quarter of 2021</w:t>
      </w:r>
    </w:p>
    <w:p>
      <w:pPr>
        <w:spacing w:after="0" w:line="18" w:lineRule="exact"/>
        <w:rPr>
          <w:rFonts w:ascii="Arial" w:cs="Arial" w:eastAsia="Arial" w:hAnsi="Arial"/>
          <w:sz w:val="16"/>
          <w:szCs w:val="16"/>
          <w:color w:val="auto"/>
          <w:vertAlign w:val="superscript"/>
        </w:rPr>
      </w:pPr>
    </w:p>
    <w:p>
      <w:pPr>
        <w:ind w:left="140" w:hanging="133"/>
        <w:spacing w:after="0"/>
        <w:tabs>
          <w:tab w:leader="none" w:pos="140" w:val="left"/>
        </w:tabs>
        <w:numPr>
          <w:ilvl w:val="0"/>
          <w:numId w:val="62"/>
        </w:numPr>
        <w:rPr>
          <w:rFonts w:ascii="Arial" w:cs="Arial" w:eastAsia="Arial" w:hAnsi="Arial"/>
          <w:sz w:val="9"/>
          <w:szCs w:val="9"/>
          <w:color w:val="auto"/>
        </w:rPr>
      </w:pPr>
      <w:r>
        <w:rPr>
          <w:rFonts w:ascii="Arial" w:cs="Arial" w:eastAsia="Arial" w:hAnsi="Arial"/>
          <w:sz w:val="14"/>
          <w:szCs w:val="14"/>
          <w:color w:val="auto"/>
        </w:rPr>
        <w:t>Premiums relate to the 2028 Senior Notes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8" w:name="page119"/>
    <w:bookmarkEnd w:id="118"/>
    <w:p>
      <w:pPr>
        <w:jc w:val="both"/>
        <w:ind w:firstLine="400"/>
        <w:spacing w:after="0" w:line="257" w:lineRule="auto"/>
        <w:rPr>
          <w:sz w:val="20"/>
          <w:szCs w:val="20"/>
          <w:color w:val="auto"/>
        </w:rPr>
      </w:pPr>
      <w:r>
        <w:rPr>
          <w:rFonts w:ascii="Arial" w:cs="Arial" w:eastAsia="Arial" w:hAnsi="Arial"/>
          <w:sz w:val="18"/>
          <w:szCs w:val="18"/>
          <w:color w:val="auto"/>
        </w:rPr>
        <w:t>The financing arrangements listed above contain certain covenants, including financial covenants that the Company is required to be in compliance with during the term of the respective arrangement. As of December 31, 2021, the Company was in compliance with all of the required principal, interest, sinking fund and redemption covenants.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Loan Agreement</w:t>
      </w:r>
    </w:p>
    <w:p>
      <w:pPr>
        <w:spacing w:after="0" w:line="166"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 xml:space="preserve">On November 30, 2021, Clearway Energy Operating LLC entered into a senior secured bridge credit agreement, or the Bridge Loan Agreement. The Bridge Loan Agreement provides for a senior secured term loan facility in an aggregate principal amount of $335 million. Borrowings under the term loan facility bear interest, at Clearway Energy Operating LLC’s option, at a rate per annum equal to either (a) term SOFR, plus a SOFR adjustment and a margin equal to 1.00% during the period from December 1, 2021 through May 31, 2022, and 1.25% thereafter or (b) a base rate plus a margin equal to 0.00% during the period from December 1, 2021 through May 31, 2022, and 0.25% thereafter. The Bridge Loan Agreement will mature no later than November 29, 2022 and the Company intends to use the proceeds from the Thermal Disposition to repay the outstanding principal balance of the term loans under the Bridge Loan Agreement. Borrowings under the Bridge Loan Agreement are guaranteed by Clearway Energy LLC and certain subsidiaries of Clearway Operating LLC, other than subsidiaries that are excluded project companies, and are secured by substantially all of the assets of Clearway Energy Operating LLC and its guarantor subsidiaries. The borrowings under the term loan facility were used to acquire the Utah Solar Portfolio on December 1, 2021, as further described in Note 3,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Clearway Energy LLC and Clearway Energy Operating LLC Revolving Credit Facility</w:t>
      </w:r>
    </w:p>
    <w:p>
      <w:pPr>
        <w:spacing w:after="0" w:line="153" w:lineRule="exact"/>
        <w:rPr>
          <w:sz w:val="20"/>
          <w:szCs w:val="20"/>
          <w:color w:val="auto"/>
        </w:rPr>
      </w:pPr>
    </w:p>
    <w:p>
      <w:pPr>
        <w:jc w:val="both"/>
        <w:ind w:firstLine="400"/>
        <w:spacing w:after="0" w:line="233" w:lineRule="auto"/>
        <w:rPr>
          <w:sz w:val="20"/>
          <w:szCs w:val="20"/>
          <w:color w:val="auto"/>
        </w:rPr>
      </w:pPr>
      <w:r>
        <w:rPr>
          <w:rFonts w:ascii="Arial" w:cs="Arial" w:eastAsia="Arial" w:hAnsi="Arial"/>
          <w:sz w:val="17"/>
          <w:szCs w:val="17"/>
          <w:color w:val="212529"/>
        </w:rPr>
        <w:t xml:space="preserve">On November 30, 2021, </w:t>
      </w:r>
      <w:r>
        <w:rPr>
          <w:rFonts w:ascii="Arial" w:cs="Arial" w:eastAsia="Arial" w:hAnsi="Arial"/>
          <w:sz w:val="17"/>
          <w:szCs w:val="17"/>
          <w:color w:val="000000"/>
        </w:rPr>
        <w:t>Clearway Energy Operating LLC</w:t>
      </w:r>
      <w:r>
        <w:rPr>
          <w:rFonts w:ascii="Arial" w:cs="Arial" w:eastAsia="Arial" w:hAnsi="Arial"/>
          <w:sz w:val="17"/>
          <w:szCs w:val="17"/>
          <w:color w:val="212529"/>
        </w:rPr>
        <w:t xml:space="preserve"> entered into the Sixth Amendment to Amended and Restated Credit Agreement, which amended the Company’s revolving credit facility to provide for an increase of the maximum permitted Borrower Leverage Ratio (as defined in the credit agreement governing the Company’s revolving credit facility) to 6.00 to 1.00 during the period commencing on November 30, 2021 and ending on the date which is the earliest of (i) two business days following the consummation of the Thermal Disposition, (ii) 120 days following the termination or expiration of the agreement entered into with KKR to sell the Thermal Business and (iii) the maturity date of the Bridge Loan Agreement, or the Leverage Period Termination Date. The Sixth Amendment also (i) permits the incurrence of the term loan facility under the Bridge Loan Agreement, (ii) permits the incurrence of hedging obligations, subject to certain conditions, and provides for a $40 million basket for cash collateral which may be provided to secure hedging obligations (iii) permits the prepayment of unsecured, junior or subordinated indebtedness at any time following the Leverage Period Termination Date, subject to certain conditions, including that, after giving effect to such payment, the Borrower Leverage Ratio would not be greater than 5.50 to 1.00 and the Borrower Interest Coverage Ratio (as defined in the credit agreement governing the Company's revolving credit facility) would not be less than 1.75 to 1.00 and (iv) implements certain other technical modifications.</w:t>
      </w:r>
    </w:p>
    <w:p>
      <w:pPr>
        <w:spacing w:after="0" w:line="138" w:lineRule="exact"/>
        <w:rPr>
          <w:sz w:val="20"/>
          <w:szCs w:val="20"/>
          <w:color w:val="auto"/>
        </w:rPr>
      </w:pPr>
    </w:p>
    <w:p>
      <w:pPr>
        <w:jc w:val="both"/>
        <w:ind w:firstLine="400"/>
        <w:spacing w:after="0" w:line="279" w:lineRule="auto"/>
        <w:rPr>
          <w:sz w:val="20"/>
          <w:szCs w:val="20"/>
          <w:color w:val="auto"/>
        </w:rPr>
      </w:pPr>
      <w:r>
        <w:rPr>
          <w:rFonts w:ascii="Arial" w:cs="Arial" w:eastAsia="Arial" w:hAnsi="Arial"/>
          <w:sz w:val="17"/>
          <w:szCs w:val="17"/>
          <w:color w:val="auto"/>
        </w:rPr>
        <w:t>As of December 31, 2021, the Company had $245 million in outstanding borrowings under the revolving credit facility and $83 million in letters of credit outstanding. During the year ended December 31, 2021, the Company borrowed $622 million under the revolving credit facility, and subsequently repaid $377 million utilizing cash on hand and proceeds from the issuance of the 2031 Senior Notes, as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2032 Senior Notes</w:t>
      </w:r>
    </w:p>
    <w:p>
      <w:pPr>
        <w:spacing w:after="0" w:line="166"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auto"/>
        </w:rPr>
        <w:t>On October 1, 2021, Clearway Energy Operating LLC completed the sale of $350 million of senior unsecured notes due 2032, or the 2032 Senior Notes. The 2032 Senior Notes bear interest at 3.750% and mature on January 15, 2032. Interest on the 2032 Senior Notes is payable semi-annually on January 15 and July 15 of each year. The 2032 Senior Notes are unsecured obligations of Clearway Energy Operating LLC and are guaranteed by Clearway Energy LLC and by certain of Clearway Energy Operating LLC's wholly-owned current and future subsidiaries. The net proceeds from the 2032 Senior Notes were used, together with existing corporate liquidity, to repurchase the 2026 Senior Notes, as described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Senior Notes Tender Offer and Redemption</w:t>
      </w:r>
    </w:p>
    <w:p>
      <w:pPr>
        <w:spacing w:after="0" w:line="166"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auto"/>
        </w:rPr>
        <w:t>In October 2021, the Company repurchased and redeemed an aggregate principal amount of $350 million of the 2026 Senior Notes, through the cash tender offer announced on September 24, 2021 and the redemption of the remaining principal amount of $227 million on October 25, 2021. The 2026 Senior Notes repurchased and redeemed in October 2021 were effectuated at a premium of approximately 103% for total consideration of $359 million and, as a result, the Company recorded a loss on extinguishment in the amount of $9 million. The Company recorded an additional $3 million loss on extinguishment to write off the remaining unamortized deferred financing fees related to the 2026 Senior Notes.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2031 Senior Notes</w:t>
      </w:r>
    </w:p>
    <w:p>
      <w:pPr>
        <w:spacing w:after="0" w:line="166"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The 2031 Senior Notes are unsecured obligations of Clearway Energy Operating LLC and are guaranteed by Clearway Energy LLC and by certain of Clearway Energy Operating LLC's wholly-owned current and future subsidiaries. The net proceeds from the 2031 Senior Notes were used to repurchase the 2025 Senior Notes, as described below, as well as to repay amounts outstanding under the Company’s revolving credit facility and for general corporate purposes.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 Tender Offer and Redemption</w:t>
      </w:r>
    </w:p>
    <w:p>
      <w:pPr>
        <w:spacing w:after="0" w:line="166"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auto"/>
        </w:rPr>
        <w:t>In March 2021, the Company repurchased and redeemed an aggregate principal amount of $600 million of the 2025 Senior Notes, through the cash tender offer announced on March 2, 2021 and the redemption of the remaining principal amount of $183 million on March 17, 2021. The 2025 Senior Notes repurchased and redeemed in March 2021 were effectuated at a premium of approximately 106% for total consideration of $636 million and, as a result, the Company recorded a loss on extinguishment in the amount of $36 million. The Company recorded an additional $5 million loss on extinguishment to write off the remaining unamortized deferred financing fees related to the 2025 Senior Notes.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Convertible Notes</w:t>
      </w:r>
    </w:p>
    <w:p>
      <w:pPr>
        <w:spacing w:after="0" w:line="16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The 2020 Convertible Notes matured on June 1, 2020 and the Company repaid the outstanding principal amount of $45 million. The repayment was funded by the issuance of the 2028 Senior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2028 Senior Notes</w:t>
      </w:r>
    </w:p>
    <w:p>
      <w:pPr>
        <w:spacing w:after="0" w:line="166" w:lineRule="exact"/>
        <w:rPr>
          <w:sz w:val="20"/>
          <w:szCs w:val="20"/>
          <w:color w:val="auto"/>
        </w:rPr>
      </w:pPr>
    </w:p>
    <w:p>
      <w:pPr>
        <w:jc w:val="both"/>
        <w:ind w:firstLine="400"/>
        <w:spacing w:after="0" w:line="250" w:lineRule="auto"/>
        <w:rPr>
          <w:sz w:val="20"/>
          <w:szCs w:val="20"/>
          <w:color w:val="auto"/>
        </w:rPr>
      </w:pPr>
      <w:r>
        <w:rPr>
          <w:rFonts w:ascii="Arial" w:cs="Arial" w:eastAsia="Arial" w:hAnsi="Arial"/>
          <w:sz w:val="18"/>
          <w:szCs w:val="18"/>
          <w:color w:val="auto"/>
        </w:rPr>
        <w:t>On May 21, 2020, the Company completed the issuance of an additional $250 million in aggregate principal amount of its 4.750% Senior Notes due 2028. The 2028 Senior Notes bear interest at 4.75% and mature on March 15, 2028. Interest on the 2028 Senior Notes is payable semi-annually on March 15 and September 15 of each year. The 2028 Senior Notes are unsecured obligations of Clearway Energy Operating, LLC and are guaranteed by Clearway Energy, LLC and by certain of Clearway Energy Operating LLC’s wholly-owned current and future subsidiaries. The notes were issued at a price of 102% of par plus accrued interest from December 11, 2019. The net proceeds were utilized to repay the $45 million outstanding principal amount of the Company's 2020 Convertible Notes on June 1, 2020, as well as to repay amounts outstanding under the Company’s revolving credit facility and for general corporate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Notes Redemption</w:t>
      </w:r>
    </w:p>
    <w:p>
      <w:pPr>
        <w:spacing w:after="0" w:line="16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On January 3, 2020, the Company redeemed the $88 million aggregate principal amount of the 2024 Senior Notes that remained outstanding following the Company's tender offer for the 2024 Senior Notes in December 2019. The redemption was effectuated at a premium of 102.7% for a total consideration of $90 million and as a result, the Company recorded a loss on debt extinguishment in the amount of $3 million, which also included the write off of previously deferred financing fees related to the 2024 Senior Notes.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level Debt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Agua Caliente Solar LLC</w:t>
      </w:r>
    </w:p>
    <w:p>
      <w:pPr>
        <w:spacing w:after="0" w:line="166" w:lineRule="exact"/>
        <w:rPr>
          <w:sz w:val="20"/>
          <w:szCs w:val="20"/>
          <w:color w:val="auto"/>
        </w:rPr>
      </w:pPr>
    </w:p>
    <w:p>
      <w:pPr>
        <w:jc w:val="both"/>
        <w:ind w:firstLine="400"/>
        <w:spacing w:after="0" w:line="304" w:lineRule="auto"/>
        <w:rPr>
          <w:sz w:val="20"/>
          <w:szCs w:val="20"/>
          <w:color w:val="auto"/>
        </w:rPr>
      </w:pPr>
      <w:r>
        <w:rPr>
          <w:rFonts w:ascii="Arial" w:cs="Arial" w:eastAsia="Arial" w:hAnsi="Arial"/>
          <w:sz w:val="16"/>
          <w:szCs w:val="16"/>
          <w:color w:val="auto"/>
        </w:rPr>
        <w:t xml:space="preserve">As part of the acquisition of Agua Caliente Borrower 1 LLC and the consolidation of Agua Caliente, as further described in Note 3, </w:t>
      </w:r>
      <w:r>
        <w:rPr>
          <w:rFonts w:ascii="Arial" w:cs="Arial" w:eastAsia="Arial" w:hAnsi="Arial"/>
          <w:sz w:val="16"/>
          <w:szCs w:val="16"/>
          <w:i w:val="1"/>
          <w:iCs w:val="1"/>
          <w:color w:val="auto"/>
        </w:rPr>
        <w:t>Acquisitions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Dispositions</w:t>
      </w:r>
      <w:r>
        <w:rPr>
          <w:rFonts w:ascii="Arial" w:cs="Arial" w:eastAsia="Arial" w:hAnsi="Arial"/>
          <w:sz w:val="16"/>
          <w:szCs w:val="16"/>
          <w:color w:val="auto"/>
        </w:rPr>
        <w:t>, the Company consolidated non-recourse debt of $716 million related to Agua Caliente Solar, LLC on February 3, 2021. The debt consists of a</w:t>
      </w:r>
      <w:r>
        <w:rPr>
          <w:rFonts w:ascii="Arial" w:cs="Arial" w:eastAsia="Arial" w:hAnsi="Arial"/>
          <w:sz w:val="16"/>
          <w:szCs w:val="16"/>
          <w:i w:val="1"/>
          <w:iCs w:val="1"/>
          <w:color w:val="auto"/>
        </w:rPr>
        <w:t xml:space="preserve"> </w:t>
      </w:r>
      <w:r>
        <w:rPr>
          <w:rFonts w:ascii="Arial" w:cs="Arial" w:eastAsia="Arial" w:hAnsi="Arial"/>
          <w:sz w:val="16"/>
          <w:szCs w:val="16"/>
          <w:color w:val="auto"/>
        </w:rPr>
        <w:t>credit agreement with the Federal Financing Bank and accrues interest at fixed rates between 2.395% and 3.633%, which matures in 2037.</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Pinnacle Repowering Partnership HoldCo LLC</w:t>
      </w:r>
    </w:p>
    <w:p>
      <w:pPr>
        <w:spacing w:after="0" w:line="166"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Wind LLC financing agreement, which related to the Pinnacle wind project, to pay vendor invoices and fees and to acquire certain equipment from Clearway Renew LLC to be utilized in the repowering project. On December 15, 2021, the Company repaid the outstanding principal amount of $117 million.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0" w:name="page121"/>
    <w:bookmarkEnd w:id="120"/>
    <w:p>
      <w:pPr>
        <w:ind w:left="400"/>
        <w:spacing w:after="0"/>
        <w:rPr>
          <w:sz w:val="20"/>
          <w:szCs w:val="20"/>
          <w:color w:val="auto"/>
        </w:rPr>
      </w:pPr>
      <w:r>
        <w:rPr>
          <w:rFonts w:ascii="Arial" w:cs="Arial" w:eastAsia="Arial" w:hAnsi="Arial"/>
          <w:sz w:val="18"/>
          <w:szCs w:val="18"/>
          <w:i w:val="1"/>
          <w:iCs w:val="1"/>
          <w:color w:val="auto"/>
        </w:rPr>
        <w:t>Rosamond Central (Rosie Class B LLC)</w:t>
      </w:r>
    </w:p>
    <w:p>
      <w:pPr>
        <w:spacing w:after="0" w:line="16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 xml:space="preserve">On December 21, 2020, as part of the acquisition of Rosie TargetCo LLC, as further descried in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the Company assumed the Amended and Restated Financing Agreement, which provided for a construction loan of up to $91 million, a cash equity bridge loan of up to $24 million and an investment tax credit loan of up to $132 million.</w:t>
      </w:r>
    </w:p>
    <w:p>
      <w:pPr>
        <w:spacing w:after="0" w:line="135"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On December 31, 2020, Rosie Class B, LLC converted the construction loan to a $80 million term loan and repaid the investment tax credit loan of $130 million, utilizing tax equity funding. The term loan bears annual interest at a rate of LIBOR plus an applicable margin, which is 1.75% per annum through the third anniversary of the term conversion, and 2.00% per annum thereafter through the maturity date of December 31, 2027. In addition, Rosie Class B LLC is party to several letter of credit facility agreements, not to exceed $23 million. As of December 31, 2021, a total of $17 million in letters of credit were outstanding.</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Consolidation of DGPV Holdco 3</w:t>
      </w:r>
    </w:p>
    <w:p>
      <w:pPr>
        <w:spacing w:after="0" w:line="16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 xml:space="preserve">Upon consolidation of DGPV Holdco 3, as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the Company consolidates additional non-recourse debt for certain subsidiaries as further described below.</w:t>
      </w:r>
    </w:p>
    <w:p>
      <w:pPr>
        <w:spacing w:after="0" w:line="126"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auto"/>
        </w:rPr>
        <w:t>Renew CS4 Borrower LLC, or CS4 Borrower, a consolidated subsidiary of DGPV Holdco 3, is party to a credit agreement for construction loans up to $97 million, an investment tax credit bridge loan, or ITC bridge loan, for up to $90 million and letter of credit facilities up to $5 million. The construction loan and the ITC bridge loan both have an interest rate of LIBOR plus an applicable margin of 2.00% per annum. As of June 30, 2020, all construction loans were converted to term loans and the ITC bridge loans were repaid in connection with tax equity funding. The term loan was repaid on November 2, 2020 with the proceeds of the term loan issued by DG-CS Master Borrower LLC, as described below.</w:t>
      </w:r>
    </w:p>
    <w:p>
      <w:pPr>
        <w:spacing w:after="0" w:line="127" w:lineRule="exact"/>
        <w:rPr>
          <w:sz w:val="20"/>
          <w:szCs w:val="20"/>
          <w:color w:val="auto"/>
        </w:rPr>
      </w:pPr>
    </w:p>
    <w:p>
      <w:pPr>
        <w:jc w:val="both"/>
        <w:ind w:firstLine="400"/>
        <w:spacing w:after="0" w:line="241" w:lineRule="auto"/>
        <w:rPr>
          <w:sz w:val="20"/>
          <w:szCs w:val="20"/>
          <w:color w:val="auto"/>
        </w:rPr>
      </w:pPr>
      <w:r>
        <w:rPr>
          <w:rFonts w:ascii="Arial" w:cs="Arial" w:eastAsia="Arial" w:hAnsi="Arial"/>
          <w:sz w:val="18"/>
          <w:szCs w:val="18"/>
          <w:color w:val="auto"/>
        </w:rPr>
        <w:t>Chestnut Borrower LLC, a consolidated subsidiary of DGPV Holdco 3, is party to a credit agreement for term loans of up to $120 million and letters of credit of up to $8 million. The loans were repaid on November 2, 2020 with the proceeds of the term loan issued by DG-CS Master Borrower LLC, as described below</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DG-CS Master Borrower LLC</w:t>
      </w:r>
    </w:p>
    <w:p>
      <w:pPr>
        <w:spacing w:after="0" w:line="153" w:lineRule="exact"/>
        <w:rPr>
          <w:sz w:val="20"/>
          <w:szCs w:val="20"/>
          <w:color w:val="auto"/>
        </w:rPr>
      </w:pPr>
    </w:p>
    <w:p>
      <w:pPr>
        <w:jc w:val="both"/>
        <w:ind w:firstLine="400"/>
        <w:spacing w:after="0" w:line="285" w:lineRule="auto"/>
        <w:rPr>
          <w:sz w:val="20"/>
          <w:szCs w:val="20"/>
          <w:color w:val="auto"/>
        </w:rPr>
      </w:pPr>
      <w:r>
        <w:rPr>
          <w:rFonts w:ascii="Arial" w:cs="Arial" w:eastAsia="Arial" w:hAnsi="Arial"/>
          <w:sz w:val="16"/>
          <w:szCs w:val="16"/>
          <w:color w:val="auto"/>
        </w:rPr>
        <w:t xml:space="preserve">On November 2, 2020, DG-CS Master Borrower LLC, a wholly-owned subsidiary of Clearway Energy Operating LLC, entered into a financing arrangement, which included the issuance of a $467 million term loan, as well as $30 million in letters of credit in support of debt service. The term loan bears interest at 3.51% and matures on September 30, 2040. The proceeds from the loan were utilized to repay existing project-level debt outstanding for Chestnut Borrower LLC, Renew Solar CS 4 Borrower LLC, DGPV 4 Borrower LLC and Puma Class B LLC of $107 million, $102 million, $92 million and $73 million, respectively and unwind related interest rate swaps in the amount of $42 million. The remaining proceeds were utilized to pay related fees and expenses and in part to acquire the Class B membership interests in the DGPV Holdco Entities and an SREC contract from CEG as further described in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Concurrent with the refinancing, the projects were transferred under DG-CS Master Borrower LLC and the obligations under the financing arrangement are supported by the Company's interest in the projects.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Utah Solar Holdings, LLC</w:t>
      </w:r>
    </w:p>
    <w:p>
      <w:pPr>
        <w:spacing w:after="0" w:line="166"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On September 1, 2020, Utah Solar Holdings, LLC, or Utah Solar, entered into a financing arrangement, which included the issuance of approximately $296 million in senior secured notes supported by the Company’s interest in the Utah projects (Four Brothers, Granite Mountain and Iron Springs, previously defined as the Utah Solar Portfolio), as well as $16 million in letters of credit in support of debt service obligations. The notes bear interest at 3.59% per annum and mature on December 31, 2036. The proceeds from the issuance were utilized to repay existing debt outstanding of approximately $247 million for the Utah projects and to unwind the related interest rate swaps in the amount of $33 million. The remaining proceeds were utilized to pay related fees and expenses, with the remaining $9 million distributed to Clearway Energy Operating LLC.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1" w:name="page122"/>
    <w:bookmarkEnd w:id="121"/>
    <w:p>
      <w:pPr>
        <w:ind w:left="400"/>
        <w:spacing w:after="0"/>
        <w:rPr>
          <w:sz w:val="20"/>
          <w:szCs w:val="20"/>
          <w:color w:val="auto"/>
        </w:rPr>
      </w:pPr>
      <w:r>
        <w:rPr>
          <w:rFonts w:ascii="Arial" w:cs="Arial" w:eastAsia="Arial" w:hAnsi="Arial"/>
          <w:sz w:val="18"/>
          <w:szCs w:val="18"/>
          <w:i w:val="1"/>
          <w:iCs w:val="1"/>
          <w:color w:val="auto"/>
        </w:rPr>
        <w:t>NIMH Solar LLC</w:t>
      </w:r>
    </w:p>
    <w:p>
      <w:pPr>
        <w:spacing w:after="0" w:line="166" w:lineRule="exact"/>
        <w:rPr>
          <w:sz w:val="20"/>
          <w:szCs w:val="20"/>
          <w:color w:val="auto"/>
        </w:rPr>
      </w:pPr>
    </w:p>
    <w:p>
      <w:pPr>
        <w:jc w:val="both"/>
        <w:ind w:firstLine="400"/>
        <w:spacing w:after="0" w:line="286" w:lineRule="auto"/>
        <w:rPr>
          <w:sz w:val="20"/>
          <w:szCs w:val="20"/>
          <w:color w:val="auto"/>
        </w:rPr>
      </w:pPr>
      <w:r>
        <w:rPr>
          <w:rFonts w:ascii="Arial" w:cs="Arial" w:eastAsia="Arial" w:hAnsi="Arial"/>
          <w:sz w:val="16"/>
          <w:szCs w:val="16"/>
          <w:color w:val="auto"/>
        </w:rPr>
        <w:t>On September 30, 2020, the Alpine, Blythe and Roadrunner projects were transferred under NIMH Solar LLC, a wholly-owned subsidiary of Clearway Energy Operating LLC. Concurrently, total project-level debt outstanding for Alpine, Blythe and Roadrunner of $158 million was assigned to NIMH Solar LLC. The consolidated facility was amended to a term loan for $193 million, as well as $16 million in letters of credit in support of debt service and project obligations. The term loan bears interest at an annual rate of LIBOR, plus an applicable margin, which is 2.00% per annum through the third anniversary of closing, and 2.125% per annum thereafter through the maturity date in September 2024. As a result of the amendment the Company received $35 million, which was utilized to pay related fees and expenses and along with existing project level cash, provided a distribution to Clearway Energy Operating LLC of $45 million. The obligations under the financing arrangement are supported by the Company’s interests in the projects.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Rate Swaps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Project Financings</w:t>
      </w:r>
    </w:p>
    <w:p>
      <w:pPr>
        <w:spacing w:after="0" w:line="159"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Many of the Company's project subsidiaries entered into interest rate swaps, intended to hedge the risks associated with interest rates on non-recourse project level debt. These swaps amortize in proportion to their respective loans and are floating for a fixed rate where the project subsidiary pays its counterparty the equivalent of a fixed interest payment on a predetermined notional value and will receive quarterly the equivalent of a floating interest payment based on the same notional value. All interest rate swap payments by the project subsidiary and its counterparty are made quarterly and the LIBOR is determined in advance of each interest period.</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the swaps, some of which are forward starting as indicated, related to the Company's project level debt as of</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Fixed</w:t>
            </w:r>
          </w:p>
        </w:tc>
        <w:tc>
          <w:tcPr>
            <w:tcW w:w="15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Floating Interest</w:t>
            </w:r>
          </w:p>
        </w:tc>
        <w:tc>
          <w:tcPr>
            <w:tcW w:w="120" w:type="dxa"/>
            <w:vAlign w:val="bottom"/>
          </w:tcPr>
          <w:p>
            <w:pPr>
              <w:spacing w:after="0"/>
              <w:rPr>
                <w:sz w:val="16"/>
                <w:szCs w:val="16"/>
                <w:color w:val="auto"/>
              </w:rPr>
            </w:pPr>
          </w:p>
        </w:tc>
        <w:tc>
          <w:tcPr>
            <w:tcW w:w="1500" w:type="dxa"/>
            <w:vAlign w:val="bottom"/>
          </w:tcPr>
          <w:p>
            <w:pPr>
              <w:jc w:val="center"/>
              <w:ind w:right="20"/>
              <w:spacing w:after="0"/>
              <w:rPr>
                <w:sz w:val="20"/>
                <w:szCs w:val="20"/>
                <w:color w:val="auto"/>
              </w:rPr>
            </w:pPr>
            <w:r>
              <w:rPr>
                <w:rFonts w:ascii="Arial" w:cs="Arial" w:eastAsia="Arial" w:hAnsi="Arial"/>
                <w:sz w:val="16"/>
                <w:szCs w:val="16"/>
                <w:b w:val="1"/>
                <w:bCs w:val="1"/>
                <w:color w:val="auto"/>
                <w:w w:val="92"/>
              </w:rPr>
              <w:t>Notional Amount at</w:t>
            </w: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 of Principal</w:t>
            </w:r>
          </w:p>
        </w:tc>
        <w:tc>
          <w:tcPr>
            <w:tcW w:w="100" w:type="dxa"/>
            <w:vAlign w:val="bottom"/>
            <w:vMerge w:val="restart"/>
          </w:tcPr>
          <w:p>
            <w:pPr>
              <w:spacing w:after="0"/>
              <w:rPr>
                <w:sz w:val="13"/>
                <w:szCs w:val="13"/>
                <w:color w:val="auto"/>
              </w:rPr>
            </w:pPr>
          </w:p>
        </w:tc>
        <w:tc>
          <w:tcPr>
            <w:tcW w:w="1020" w:type="dxa"/>
            <w:vAlign w:val="bottom"/>
            <w:gridSpan w:val="2"/>
          </w:tcPr>
          <w:p>
            <w:pPr>
              <w:jc w:val="center"/>
              <w:ind w:right="120"/>
              <w:spacing w:after="0" w:line="160" w:lineRule="exact"/>
              <w:rPr>
                <w:sz w:val="20"/>
                <w:szCs w:val="20"/>
                <w:color w:val="auto"/>
              </w:rPr>
            </w:pPr>
            <w:r>
              <w:rPr>
                <w:rFonts w:ascii="Arial" w:cs="Arial" w:eastAsia="Arial" w:hAnsi="Arial"/>
                <w:sz w:val="16"/>
                <w:szCs w:val="16"/>
                <w:b w:val="1"/>
                <w:bCs w:val="1"/>
                <w:color w:val="auto"/>
                <w:w w:val="93"/>
              </w:rPr>
              <w:t>Interest</w:t>
            </w:r>
          </w:p>
        </w:tc>
        <w:tc>
          <w:tcPr>
            <w:tcW w:w="1540" w:type="dxa"/>
            <w:vAlign w:val="bottom"/>
            <w:gridSpan w:val="2"/>
            <w:vMerge w:val="continue"/>
          </w:tcPr>
          <w:p>
            <w:pPr>
              <w:spacing w:after="0"/>
              <w:rPr>
                <w:sz w:val="13"/>
                <w:szCs w:val="13"/>
                <w:color w:val="auto"/>
              </w:rPr>
            </w:pPr>
          </w:p>
        </w:tc>
        <w:tc>
          <w:tcPr>
            <w:tcW w:w="162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1"/>
              </w:rPr>
              <w:t>December 31, 2021 (In</w:t>
            </w:r>
          </w:p>
        </w:tc>
        <w:tc>
          <w:tcPr>
            <w:tcW w:w="100" w:type="dxa"/>
            <w:vAlign w:val="bottom"/>
          </w:tcPr>
          <w:p>
            <w:pPr>
              <w:spacing w:after="0"/>
              <w:rPr>
                <w:sz w:val="13"/>
                <w:szCs w:val="13"/>
                <w:color w:val="auto"/>
              </w:rPr>
            </w:pPr>
          </w:p>
        </w:tc>
        <w:tc>
          <w:tcPr>
            <w:tcW w:w="1800" w:type="dxa"/>
            <w:vAlign w:val="bottom"/>
            <w:vMerge w:val="restart"/>
          </w:tcPr>
          <w:p>
            <w:pPr>
              <w:jc w:val="right"/>
              <w:ind w:right="320"/>
              <w:spacing w:after="0"/>
              <w:rPr>
                <w:sz w:val="20"/>
                <w:szCs w:val="20"/>
                <w:color w:val="auto"/>
              </w:rPr>
            </w:pPr>
            <w:r>
              <w:rPr>
                <w:rFonts w:ascii="Arial" w:cs="Arial" w:eastAsia="Arial" w:hAnsi="Arial"/>
                <w:sz w:val="16"/>
                <w:szCs w:val="16"/>
                <w:b w:val="1"/>
                <w:bCs w:val="1"/>
                <w:color w:val="auto"/>
              </w:rPr>
              <w:t>Effective Date</w:t>
            </w:r>
          </w:p>
        </w:tc>
        <w:tc>
          <w:tcPr>
            <w:tcW w:w="120" w:type="dxa"/>
            <w:vAlign w:val="bottom"/>
            <w:vMerge w:val="restart"/>
          </w:tcPr>
          <w:p>
            <w:pPr>
              <w:spacing w:after="0"/>
              <w:rPr>
                <w:sz w:val="13"/>
                <w:szCs w:val="13"/>
                <w:color w:val="auto"/>
              </w:rPr>
            </w:pPr>
          </w:p>
        </w:tc>
        <w:tc>
          <w:tcPr>
            <w:tcW w:w="1860" w:type="dxa"/>
            <w:vAlign w:val="bottom"/>
            <w:vMerge w:val="restart"/>
          </w:tcPr>
          <w:p>
            <w:pPr>
              <w:jc w:val="right"/>
              <w:ind w:right="360"/>
              <w:spacing w:after="0"/>
              <w:rPr>
                <w:sz w:val="20"/>
                <w:szCs w:val="20"/>
                <w:color w:val="auto"/>
              </w:rPr>
            </w:pPr>
            <w:r>
              <w:rPr>
                <w:rFonts w:ascii="Arial" w:cs="Arial" w:eastAsia="Arial" w:hAnsi="Arial"/>
                <w:sz w:val="16"/>
                <w:szCs w:val="16"/>
                <w:b w:val="1"/>
                <w:bCs w:val="1"/>
                <w:color w:val="auto"/>
              </w:rPr>
              <w:t>Maturity Date</w:t>
            </w:r>
          </w:p>
        </w:tc>
        <w:tc>
          <w:tcPr>
            <w:tcW w:w="0" w:type="dxa"/>
            <w:vAlign w:val="bottom"/>
          </w:tcPr>
          <w:p>
            <w:pPr>
              <w:spacing w:after="0"/>
              <w:rPr>
                <w:sz w:val="1"/>
                <w:szCs w:val="1"/>
                <w:color w:val="auto"/>
              </w:rPr>
            </w:pPr>
          </w:p>
        </w:tc>
      </w:tr>
      <w:tr>
        <w:trPr>
          <w:trHeight w:val="211"/>
        </w:trPr>
        <w:tc>
          <w:tcPr>
            <w:tcW w:w="20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Rate</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Rate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8"/>
              </w:rPr>
              <w:t>millions)</w:t>
            </w: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Avra Valley</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2.33 %</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3-Month LIBOR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November 30, 2012</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November 30, 2030</w:t>
            </w:r>
          </w:p>
        </w:tc>
        <w:tc>
          <w:tcPr>
            <w:tcW w:w="0" w:type="dxa"/>
            <w:vAlign w:val="bottom"/>
          </w:tcPr>
          <w:p>
            <w:pPr>
              <w:spacing w:after="0"/>
              <w:rPr>
                <w:sz w:val="1"/>
                <w:szCs w:val="1"/>
                <w:color w:val="auto"/>
              </w:rPr>
            </w:pPr>
          </w:p>
        </w:tc>
      </w:tr>
      <w:tr>
        <w:trPr>
          <w:trHeight w:val="163"/>
        </w:trPr>
        <w:tc>
          <w:tcPr>
            <w:tcW w:w="2040" w:type="dxa"/>
            <w:vAlign w:val="bottom"/>
          </w:tcPr>
          <w:p>
            <w:pPr>
              <w:ind w:left="20"/>
              <w:spacing w:after="0" w:line="164" w:lineRule="exact"/>
              <w:rPr>
                <w:sz w:val="20"/>
                <w:szCs w:val="20"/>
                <w:color w:val="auto"/>
              </w:rPr>
            </w:pPr>
            <w:r>
              <w:rPr>
                <w:rFonts w:ascii="Arial" w:cs="Arial" w:eastAsia="Arial" w:hAnsi="Arial"/>
                <w:sz w:val="16"/>
                <w:szCs w:val="16"/>
                <w:color w:val="auto"/>
              </w:rPr>
              <w:t>Alta Wind Asset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2.47 %</w:t>
            </w:r>
          </w:p>
        </w:tc>
        <w:tc>
          <w:tcPr>
            <w:tcW w:w="120" w:type="dxa"/>
            <w:vAlign w:val="bottom"/>
          </w:tcPr>
          <w:p>
            <w:pPr>
              <w:spacing w:after="0"/>
              <w:rPr>
                <w:sz w:val="14"/>
                <w:szCs w:val="14"/>
                <w:color w:val="auto"/>
              </w:rPr>
            </w:pPr>
          </w:p>
        </w:tc>
        <w:tc>
          <w:tcPr>
            <w:tcW w:w="1540" w:type="dxa"/>
            <w:vAlign w:val="bottom"/>
            <w:gridSpan w:val="2"/>
            <w:vMerge w:val="restart"/>
          </w:tcPr>
          <w:p>
            <w:pPr>
              <w:ind w:left="340"/>
              <w:spacing w:after="0"/>
              <w:rPr>
                <w:sz w:val="20"/>
                <w:szCs w:val="20"/>
                <w:color w:val="auto"/>
              </w:rPr>
            </w:pPr>
            <w:r>
              <w:rPr>
                <w:rFonts w:ascii="Arial" w:cs="Arial" w:eastAsia="Arial" w:hAnsi="Arial"/>
                <w:sz w:val="16"/>
                <w:szCs w:val="16"/>
                <w:color w:val="auto"/>
              </w:rPr>
              <w:t>3-Month LIBOR</w:t>
            </w:r>
          </w:p>
        </w:tc>
        <w:tc>
          <w:tcPr>
            <w:tcW w:w="12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4"/>
                <w:szCs w:val="14"/>
                <w:color w:val="auto"/>
              </w:rPr>
            </w:pPr>
          </w:p>
        </w:tc>
        <w:tc>
          <w:tcPr>
            <w:tcW w:w="19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May 22, 2013</w:t>
            </w:r>
          </w:p>
        </w:tc>
        <w:tc>
          <w:tcPr>
            <w:tcW w:w="1860" w:type="dxa"/>
            <w:vAlign w:val="bottom"/>
            <w:vMerge w:val="restart"/>
          </w:tcPr>
          <w:p>
            <w:pPr>
              <w:jc w:val="right"/>
              <w:spacing w:after="0"/>
              <w:rPr>
                <w:sz w:val="20"/>
                <w:szCs w:val="20"/>
                <w:color w:val="auto"/>
              </w:rPr>
            </w:pPr>
            <w:r>
              <w:rPr>
                <w:rFonts w:ascii="Arial" w:cs="Arial" w:eastAsia="Arial" w:hAnsi="Arial"/>
                <w:sz w:val="16"/>
                <w:szCs w:val="16"/>
                <w:color w:val="auto"/>
              </w:rPr>
              <w:t>May 15, 2031</w:t>
            </w:r>
          </w:p>
        </w:tc>
        <w:tc>
          <w:tcPr>
            <w:tcW w:w="0" w:type="dxa"/>
            <w:vAlign w:val="bottom"/>
          </w:tcPr>
          <w:p>
            <w:pPr>
              <w:spacing w:after="0"/>
              <w:rPr>
                <w:sz w:val="1"/>
                <w:szCs w:val="1"/>
                <w:color w:val="auto"/>
              </w:rPr>
            </w:pPr>
          </w:p>
        </w:tc>
      </w:tr>
      <w:tr>
        <w:trPr>
          <w:trHeight w:val="207"/>
        </w:trPr>
        <w:tc>
          <w:tcPr>
            <w:tcW w:w="2040" w:type="dxa"/>
            <w:vAlign w:val="bottom"/>
          </w:tcPr>
          <w:p>
            <w:pPr>
              <w:ind w:left="20"/>
              <w:spacing w:after="0"/>
              <w:rPr>
                <w:sz w:val="20"/>
                <w:szCs w:val="20"/>
                <w:color w:val="auto"/>
              </w:rPr>
            </w:pPr>
            <w:r>
              <w:rPr>
                <w:rFonts w:ascii="Arial" w:cs="Arial" w:eastAsia="Arial" w:hAnsi="Arial"/>
                <w:sz w:val="16"/>
                <w:szCs w:val="16"/>
                <w:color w:val="auto"/>
              </w:rPr>
              <w:t>Management</w:t>
            </w: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Borrego</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0.476 %</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3-Month LIBOR</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30, 2020</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31, 2024</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Arial" w:cs="Arial" w:eastAsia="Arial" w:hAnsi="Arial"/>
                <w:sz w:val="16"/>
                <w:szCs w:val="16"/>
                <w:color w:val="auto"/>
              </w:rPr>
              <w:t>Buckthorn Solar</w:t>
            </w:r>
          </w:p>
        </w:tc>
        <w:tc>
          <w:tcPr>
            <w:tcW w:w="1040" w:type="dxa"/>
            <w:vAlign w:val="bottom"/>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Various</w:t>
            </w:r>
          </w:p>
        </w:tc>
        <w:tc>
          <w:tcPr>
            <w:tcW w:w="1540" w:type="dxa"/>
            <w:vAlign w:val="bottom"/>
            <w:gridSpan w:val="2"/>
          </w:tcPr>
          <w:p>
            <w:pPr>
              <w:ind w:left="340"/>
              <w:spacing w:after="0"/>
              <w:rPr>
                <w:sz w:val="20"/>
                <w:szCs w:val="20"/>
                <w:color w:val="auto"/>
              </w:rPr>
            </w:pPr>
            <w:r>
              <w:rPr>
                <w:rFonts w:ascii="Arial" w:cs="Arial" w:eastAsia="Arial" w:hAnsi="Arial"/>
                <w:sz w:val="16"/>
                <w:szCs w:val="16"/>
                <w:color w:val="auto"/>
              </w:rPr>
              <w:t>3-Month LIBOR</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28, 2018</w:t>
            </w:r>
          </w:p>
        </w:tc>
        <w:tc>
          <w:tcPr>
            <w:tcW w:w="1860" w:type="dxa"/>
            <w:vAlign w:val="bottom"/>
          </w:tcPr>
          <w:p>
            <w:pPr>
              <w:jc w:val="right"/>
              <w:spacing w:after="0"/>
              <w:rPr>
                <w:sz w:val="20"/>
                <w:szCs w:val="20"/>
                <w:color w:val="auto"/>
              </w:rPr>
            </w:pPr>
            <w:r>
              <w:rPr>
                <w:rFonts w:ascii="Arial" w:cs="Arial" w:eastAsia="Arial" w:hAnsi="Arial"/>
                <w:sz w:val="16"/>
                <w:szCs w:val="16"/>
                <w:color w:val="auto"/>
              </w:rPr>
              <w:t>December 31, 2041</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Carlsbad</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Various</w:t>
            </w:r>
          </w:p>
        </w:tc>
        <w:tc>
          <w:tcPr>
            <w:tcW w:w="1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3-Month LIBOR</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Various</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30, 2027</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Arial" w:cs="Arial" w:eastAsia="Arial" w:hAnsi="Arial"/>
                <w:sz w:val="16"/>
                <w:szCs w:val="16"/>
                <w:color w:val="auto"/>
              </w:rPr>
              <w:t>El Segundo</w:t>
            </w:r>
          </w:p>
        </w:tc>
        <w:tc>
          <w:tcPr>
            <w:tcW w:w="10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Various</w:t>
            </w:r>
          </w:p>
        </w:tc>
        <w:tc>
          <w:tcPr>
            <w:tcW w:w="1540" w:type="dxa"/>
            <w:vAlign w:val="bottom"/>
            <w:gridSpan w:val="2"/>
          </w:tcPr>
          <w:p>
            <w:pPr>
              <w:ind w:left="340"/>
              <w:spacing w:after="0"/>
              <w:rPr>
                <w:sz w:val="20"/>
                <w:szCs w:val="20"/>
                <w:color w:val="auto"/>
              </w:rPr>
            </w:pPr>
            <w:r>
              <w:rPr>
                <w:rFonts w:ascii="Arial" w:cs="Arial" w:eastAsia="Arial" w:hAnsi="Arial"/>
                <w:sz w:val="16"/>
                <w:szCs w:val="16"/>
                <w:color w:val="auto"/>
              </w:rPr>
              <w:t>3-Month LIBOR</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Various</w:t>
            </w:r>
          </w:p>
        </w:tc>
        <w:tc>
          <w:tcPr>
            <w:tcW w:w="1860" w:type="dxa"/>
            <w:vAlign w:val="bottom"/>
          </w:tcPr>
          <w:p>
            <w:pPr>
              <w:jc w:val="right"/>
              <w:spacing w:after="0"/>
              <w:rPr>
                <w:sz w:val="20"/>
                <w:szCs w:val="20"/>
                <w:color w:val="auto"/>
              </w:rPr>
            </w:pPr>
            <w:r>
              <w:rPr>
                <w:rFonts w:ascii="Arial" w:cs="Arial" w:eastAsia="Arial" w:hAnsi="Arial"/>
                <w:sz w:val="16"/>
                <w:szCs w:val="16"/>
                <w:color w:val="auto"/>
              </w:rPr>
              <w:t>Various</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Kansas South</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2.368 %</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6-Month LIBOR</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28, 2013</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31, 2030</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Arial" w:cs="Arial" w:eastAsia="Arial" w:hAnsi="Arial"/>
                <w:sz w:val="16"/>
                <w:szCs w:val="16"/>
                <w:color w:val="auto"/>
              </w:rPr>
              <w:t>Kawailoa Solar</w:t>
            </w:r>
          </w:p>
        </w:tc>
        <w:tc>
          <w:tcPr>
            <w:tcW w:w="1040" w:type="dxa"/>
            <w:vAlign w:val="bottom"/>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Various</w:t>
            </w:r>
          </w:p>
        </w:tc>
        <w:tc>
          <w:tcPr>
            <w:tcW w:w="1540" w:type="dxa"/>
            <w:vAlign w:val="bottom"/>
            <w:gridSpan w:val="2"/>
          </w:tcPr>
          <w:p>
            <w:pPr>
              <w:ind w:left="340"/>
              <w:spacing w:after="0"/>
              <w:rPr>
                <w:sz w:val="20"/>
                <w:szCs w:val="20"/>
                <w:color w:val="auto"/>
              </w:rPr>
            </w:pPr>
            <w:r>
              <w:rPr>
                <w:rFonts w:ascii="Arial" w:cs="Arial" w:eastAsia="Arial" w:hAnsi="Arial"/>
                <w:sz w:val="16"/>
                <w:szCs w:val="16"/>
                <w:color w:val="auto"/>
              </w:rPr>
              <w:t>3-Month LIBOR</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30, 2019</w:t>
            </w:r>
          </w:p>
        </w:tc>
        <w:tc>
          <w:tcPr>
            <w:tcW w:w="1860" w:type="dxa"/>
            <w:vAlign w:val="bottom"/>
          </w:tcPr>
          <w:p>
            <w:pPr>
              <w:jc w:val="right"/>
              <w:spacing w:after="0"/>
              <w:rPr>
                <w:sz w:val="20"/>
                <w:szCs w:val="20"/>
                <w:color w:val="auto"/>
              </w:rPr>
            </w:pPr>
            <w:r>
              <w:rPr>
                <w:rFonts w:ascii="Arial" w:cs="Arial" w:eastAsia="Arial" w:hAnsi="Arial"/>
                <w:sz w:val="16"/>
                <w:szCs w:val="16"/>
                <w:color w:val="auto"/>
              </w:rPr>
              <w:t>October 31, 2040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Laredo Ridge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Various</w:t>
            </w:r>
          </w:p>
        </w:tc>
        <w:tc>
          <w:tcPr>
            <w:tcW w:w="1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3-Month LIBOR</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17, 2014</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31, 2028</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Arial" w:cs="Arial" w:eastAsia="Arial" w:hAnsi="Arial"/>
                <w:sz w:val="16"/>
                <w:szCs w:val="16"/>
                <w:color w:val="auto"/>
              </w:rPr>
              <w:t>Marsh Landing</w:t>
            </w:r>
          </w:p>
        </w:tc>
        <w:tc>
          <w:tcPr>
            <w:tcW w:w="10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Various</w:t>
            </w:r>
          </w:p>
        </w:tc>
        <w:tc>
          <w:tcPr>
            <w:tcW w:w="1540" w:type="dxa"/>
            <w:vAlign w:val="bottom"/>
            <w:gridSpan w:val="2"/>
          </w:tcPr>
          <w:p>
            <w:pPr>
              <w:ind w:left="340"/>
              <w:spacing w:after="0"/>
              <w:rPr>
                <w:sz w:val="20"/>
                <w:szCs w:val="20"/>
                <w:color w:val="auto"/>
              </w:rPr>
            </w:pPr>
            <w:r>
              <w:rPr>
                <w:rFonts w:ascii="Arial" w:cs="Arial" w:eastAsia="Arial" w:hAnsi="Arial"/>
                <w:sz w:val="16"/>
                <w:szCs w:val="16"/>
                <w:color w:val="auto"/>
              </w:rPr>
              <w:t>3-Month LIBOR</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June 28, 2013</w:t>
            </w:r>
          </w:p>
        </w:tc>
        <w:tc>
          <w:tcPr>
            <w:tcW w:w="1860" w:type="dxa"/>
            <w:vAlign w:val="bottom"/>
          </w:tcPr>
          <w:p>
            <w:pPr>
              <w:jc w:val="right"/>
              <w:spacing w:after="0"/>
              <w:rPr>
                <w:sz w:val="20"/>
                <w:szCs w:val="20"/>
                <w:color w:val="auto"/>
              </w:rPr>
            </w:pPr>
            <w:r>
              <w:rPr>
                <w:rFonts w:ascii="Arial" w:cs="Arial" w:eastAsia="Arial" w:hAnsi="Arial"/>
                <w:sz w:val="16"/>
                <w:szCs w:val="16"/>
                <w:color w:val="auto"/>
              </w:rPr>
              <w:t>June 30, 2023</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NIMH Solar LLC</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Various</w:t>
            </w:r>
          </w:p>
        </w:tc>
        <w:tc>
          <w:tcPr>
            <w:tcW w:w="1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3-Month LIBOR</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September 30, 2020</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Arial" w:cs="Arial" w:eastAsia="Arial" w:hAnsi="Arial"/>
                <w:sz w:val="16"/>
                <w:szCs w:val="16"/>
                <w:color w:val="auto"/>
              </w:rPr>
              <w:t>Oahu Solar</w:t>
            </w:r>
          </w:p>
        </w:tc>
        <w:tc>
          <w:tcPr>
            <w:tcW w:w="1040" w:type="dxa"/>
            <w:vAlign w:val="bottom"/>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8"/>
                <w:szCs w:val="18"/>
                <w:color w:val="auto"/>
              </w:rPr>
            </w:pP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Various</w:t>
            </w:r>
          </w:p>
        </w:tc>
        <w:tc>
          <w:tcPr>
            <w:tcW w:w="1540" w:type="dxa"/>
            <w:vAlign w:val="bottom"/>
            <w:gridSpan w:val="2"/>
          </w:tcPr>
          <w:p>
            <w:pPr>
              <w:ind w:left="340"/>
              <w:spacing w:after="0"/>
              <w:rPr>
                <w:sz w:val="20"/>
                <w:szCs w:val="20"/>
                <w:color w:val="auto"/>
              </w:rPr>
            </w:pPr>
            <w:r>
              <w:rPr>
                <w:rFonts w:ascii="Arial" w:cs="Arial" w:eastAsia="Arial" w:hAnsi="Arial"/>
                <w:sz w:val="16"/>
                <w:szCs w:val="16"/>
                <w:color w:val="auto"/>
              </w:rPr>
              <w:t>3-Month LIBOR</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30, 2019</w:t>
            </w:r>
          </w:p>
        </w:tc>
        <w:tc>
          <w:tcPr>
            <w:tcW w:w="1860" w:type="dxa"/>
            <w:vAlign w:val="bottom"/>
          </w:tcPr>
          <w:p>
            <w:pPr>
              <w:jc w:val="right"/>
              <w:spacing w:after="0"/>
              <w:rPr>
                <w:sz w:val="20"/>
                <w:szCs w:val="20"/>
                <w:color w:val="auto"/>
              </w:rPr>
            </w:pPr>
            <w:r>
              <w:rPr>
                <w:rFonts w:ascii="Arial" w:cs="Arial" w:eastAsia="Arial" w:hAnsi="Arial"/>
                <w:sz w:val="16"/>
                <w:szCs w:val="16"/>
                <w:color w:val="auto"/>
              </w:rPr>
              <w:t>October 31, 2040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Rosie Class B</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1.446 %</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3-Month LIBOR</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31, 2020</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Arial" w:cs="Arial" w:eastAsia="Arial" w:hAnsi="Arial"/>
                <w:sz w:val="16"/>
                <w:szCs w:val="16"/>
                <w:color w:val="auto"/>
              </w:rPr>
              <w:t>South Trent</w:t>
            </w:r>
          </w:p>
        </w:tc>
        <w:tc>
          <w:tcPr>
            <w:tcW w:w="1040" w:type="dxa"/>
            <w:vAlign w:val="bottom"/>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3.847 %</w:t>
            </w:r>
          </w:p>
        </w:tc>
        <w:tc>
          <w:tcPr>
            <w:tcW w:w="120" w:type="dxa"/>
            <w:vAlign w:val="bottom"/>
          </w:tcPr>
          <w:p>
            <w:pPr>
              <w:spacing w:after="0"/>
              <w:rPr>
                <w:sz w:val="18"/>
                <w:szCs w:val="18"/>
                <w:color w:val="auto"/>
              </w:rPr>
            </w:pPr>
          </w:p>
        </w:tc>
        <w:tc>
          <w:tcPr>
            <w:tcW w:w="1540" w:type="dxa"/>
            <w:vAlign w:val="bottom"/>
            <w:gridSpan w:val="2"/>
          </w:tcPr>
          <w:p>
            <w:pPr>
              <w:ind w:left="340"/>
              <w:spacing w:after="0"/>
              <w:rPr>
                <w:sz w:val="20"/>
                <w:szCs w:val="20"/>
                <w:color w:val="auto"/>
              </w:rPr>
            </w:pPr>
            <w:r>
              <w:rPr>
                <w:rFonts w:ascii="Arial" w:cs="Arial" w:eastAsia="Arial" w:hAnsi="Arial"/>
                <w:sz w:val="16"/>
                <w:szCs w:val="16"/>
                <w:color w:val="auto"/>
              </w:rPr>
              <w:t>3-Month LIBOR</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June 14, 2019</w:t>
            </w:r>
          </w:p>
        </w:tc>
        <w:tc>
          <w:tcPr>
            <w:tcW w:w="1860" w:type="dxa"/>
            <w:vAlign w:val="bottom"/>
          </w:tcPr>
          <w:p>
            <w:pPr>
              <w:jc w:val="right"/>
              <w:spacing w:after="0"/>
              <w:rPr>
                <w:sz w:val="20"/>
                <w:szCs w:val="20"/>
                <w:color w:val="auto"/>
              </w:rPr>
            </w:pPr>
            <w:r>
              <w:rPr>
                <w:rFonts w:ascii="Arial" w:cs="Arial" w:eastAsia="Arial" w:hAnsi="Arial"/>
                <w:sz w:val="16"/>
                <w:szCs w:val="16"/>
                <w:color w:val="auto"/>
              </w:rPr>
              <w:t>June 30, 2028</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Tapestry</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Various</w:t>
            </w:r>
          </w:p>
        </w:tc>
        <w:tc>
          <w:tcPr>
            <w:tcW w:w="1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3-Month LIBOR</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Various</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Arial" w:cs="Arial" w:eastAsia="Arial" w:hAnsi="Arial"/>
                <w:sz w:val="16"/>
                <w:szCs w:val="16"/>
                <w:color w:val="auto"/>
              </w:rPr>
              <w:t>Viento Funding II</w:t>
            </w:r>
          </w:p>
        </w:tc>
        <w:tc>
          <w:tcPr>
            <w:tcW w:w="10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3.03 %</w:t>
            </w:r>
          </w:p>
        </w:tc>
        <w:tc>
          <w:tcPr>
            <w:tcW w:w="120" w:type="dxa"/>
            <w:vAlign w:val="bottom"/>
          </w:tcPr>
          <w:p>
            <w:pPr>
              <w:spacing w:after="0"/>
              <w:rPr>
                <w:sz w:val="18"/>
                <w:szCs w:val="18"/>
                <w:color w:val="auto"/>
              </w:rPr>
            </w:pPr>
          </w:p>
        </w:tc>
        <w:tc>
          <w:tcPr>
            <w:tcW w:w="1540" w:type="dxa"/>
            <w:vAlign w:val="bottom"/>
            <w:gridSpan w:val="2"/>
          </w:tcPr>
          <w:p>
            <w:pPr>
              <w:ind w:left="340"/>
              <w:spacing w:after="0"/>
              <w:rPr>
                <w:sz w:val="20"/>
                <w:szCs w:val="20"/>
                <w:color w:val="auto"/>
              </w:rPr>
            </w:pPr>
            <w:r>
              <w:rPr>
                <w:rFonts w:ascii="Arial" w:cs="Arial" w:eastAsia="Arial" w:hAnsi="Arial"/>
                <w:sz w:val="16"/>
                <w:szCs w:val="16"/>
                <w:color w:val="auto"/>
              </w:rPr>
              <w:t>6-Month LIBOR</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Various</w:t>
            </w:r>
          </w:p>
        </w:tc>
        <w:tc>
          <w:tcPr>
            <w:tcW w:w="1860" w:type="dxa"/>
            <w:vAlign w:val="bottom"/>
          </w:tcPr>
          <w:p>
            <w:pPr>
              <w:jc w:val="right"/>
              <w:spacing w:after="0"/>
              <w:rPr>
                <w:sz w:val="20"/>
                <w:szCs w:val="20"/>
                <w:color w:val="auto"/>
              </w:rPr>
            </w:pPr>
            <w:r>
              <w:rPr>
                <w:rFonts w:ascii="Arial" w:cs="Arial" w:eastAsia="Arial" w:hAnsi="Arial"/>
                <w:sz w:val="16"/>
                <w:szCs w:val="16"/>
                <w:color w:val="auto"/>
              </w:rPr>
              <w:t>Various</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Viento Funding II</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4.985 %</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6-Month LIBOR</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July 11, 2023</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30, 2028</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Arial" w:cs="Arial" w:eastAsia="Arial" w:hAnsi="Arial"/>
                <w:sz w:val="16"/>
                <w:szCs w:val="16"/>
                <w:color w:val="auto"/>
              </w:rPr>
              <w:t>Walnut Creek Energy</w:t>
            </w:r>
          </w:p>
        </w:tc>
        <w:tc>
          <w:tcPr>
            <w:tcW w:w="1040" w:type="dxa"/>
            <w:vAlign w:val="bottom"/>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3.543 %</w:t>
            </w:r>
          </w:p>
        </w:tc>
        <w:tc>
          <w:tcPr>
            <w:tcW w:w="120" w:type="dxa"/>
            <w:vAlign w:val="bottom"/>
          </w:tcPr>
          <w:p>
            <w:pPr>
              <w:spacing w:after="0"/>
              <w:rPr>
                <w:sz w:val="18"/>
                <w:szCs w:val="18"/>
                <w:color w:val="auto"/>
              </w:rPr>
            </w:pPr>
          </w:p>
        </w:tc>
        <w:tc>
          <w:tcPr>
            <w:tcW w:w="1540" w:type="dxa"/>
            <w:vAlign w:val="bottom"/>
            <w:gridSpan w:val="2"/>
          </w:tcPr>
          <w:p>
            <w:pPr>
              <w:ind w:left="340"/>
              <w:spacing w:after="0"/>
              <w:rPr>
                <w:sz w:val="20"/>
                <w:szCs w:val="20"/>
                <w:color w:val="auto"/>
              </w:rPr>
            </w:pPr>
            <w:r>
              <w:rPr>
                <w:rFonts w:ascii="Arial" w:cs="Arial" w:eastAsia="Arial" w:hAnsi="Arial"/>
                <w:sz w:val="16"/>
                <w:szCs w:val="16"/>
                <w:color w:val="auto"/>
              </w:rPr>
              <w:t>3-Month LIBOR</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June 28, 2013</w:t>
            </w:r>
          </w:p>
        </w:tc>
        <w:tc>
          <w:tcPr>
            <w:tcW w:w="1860" w:type="dxa"/>
            <w:vAlign w:val="bottom"/>
          </w:tcPr>
          <w:p>
            <w:pPr>
              <w:jc w:val="right"/>
              <w:spacing w:after="0"/>
              <w:rPr>
                <w:sz w:val="20"/>
                <w:szCs w:val="20"/>
                <w:color w:val="auto"/>
              </w:rPr>
            </w:pPr>
            <w:r>
              <w:rPr>
                <w:rFonts w:ascii="Arial" w:cs="Arial" w:eastAsia="Arial" w:hAnsi="Arial"/>
                <w:sz w:val="16"/>
                <w:szCs w:val="16"/>
                <w:color w:val="auto"/>
              </w:rPr>
              <w:t>May 31, 2023</w:t>
            </w:r>
          </w:p>
        </w:tc>
        <w:tc>
          <w:tcPr>
            <w:tcW w:w="0" w:type="dxa"/>
            <w:vAlign w:val="bottom"/>
          </w:tcPr>
          <w:p>
            <w:pPr>
              <w:spacing w:after="0"/>
              <w:rPr>
                <w:sz w:val="1"/>
                <w:szCs w:val="1"/>
                <w:color w:val="auto"/>
              </w:rPr>
            </w:pPr>
          </w:p>
        </w:tc>
      </w:tr>
      <w:tr>
        <w:trPr>
          <w:trHeight w:val="213"/>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WCEP Holdings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4.003 %</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3-Month LIBOR</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28, 2013</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May 31, 2023</w:t>
            </w:r>
          </w:p>
        </w:tc>
        <w:tc>
          <w:tcPr>
            <w:tcW w:w="0" w:type="dxa"/>
            <w:vAlign w:val="bottom"/>
          </w:tcPr>
          <w:p>
            <w:pPr>
              <w:spacing w:after="0"/>
              <w:rPr>
                <w:sz w:val="1"/>
                <w:szCs w:val="1"/>
                <w:color w:val="auto"/>
              </w:rPr>
            </w:pPr>
          </w:p>
        </w:tc>
      </w:tr>
      <w:tr>
        <w:trPr>
          <w:trHeight w:val="209"/>
        </w:trPr>
        <w:tc>
          <w:tcPr>
            <w:tcW w:w="2040" w:type="dxa"/>
            <w:vAlign w:val="bottom"/>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i w:val="1"/>
          <w:iCs w:val="1"/>
          <w:color w:val="auto"/>
        </w:rPr>
        <w:t>Annual Maturities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Annual payments based on the maturities of the Company's debt, for the years ending after December 31, 2021,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(In millions)</w:t>
            </w:r>
          </w:p>
        </w:tc>
      </w:tr>
      <w:tr>
        <w:trPr>
          <w:trHeight w:val="209"/>
        </w:trPr>
        <w:tc>
          <w:tcPr>
            <w:tcW w:w="9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r>
      <w:tr>
        <w:trPr>
          <w:trHeight w:val="211"/>
        </w:trPr>
        <w:tc>
          <w:tcPr>
            <w:tcW w:w="9140" w:type="dxa"/>
            <w:vAlign w:val="bottom"/>
          </w:tcPr>
          <w:p>
            <w:pPr>
              <w:ind w:left="20"/>
              <w:spacing w:after="0"/>
              <w:rPr>
                <w:sz w:val="20"/>
                <w:szCs w:val="20"/>
                <w:color w:val="auto"/>
              </w:rPr>
            </w:pPr>
            <w:r>
              <w:rPr>
                <w:rFonts w:ascii="Arial" w:cs="Arial" w:eastAsia="Arial" w:hAnsi="Arial"/>
                <w:sz w:val="16"/>
                <w:szCs w:val="16"/>
                <w:color w:val="auto"/>
              </w:rPr>
              <w:t>2023</w:t>
            </w: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709</w:t>
            </w:r>
          </w:p>
        </w:tc>
      </w:tr>
      <w:tr>
        <w:trPr>
          <w:trHeight w:val="216"/>
        </w:trPr>
        <w:tc>
          <w:tcPr>
            <w:tcW w:w="9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213"/>
        </w:trPr>
        <w:tc>
          <w:tcPr>
            <w:tcW w:w="914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2025 </w:t>
            </w:r>
            <w:r>
              <w:rPr>
                <w:rFonts w:ascii="Arial" w:cs="Arial" w:eastAsia="Arial" w:hAnsi="Arial"/>
                <w:sz w:val="20"/>
                <w:szCs w:val="20"/>
                <w:color w:val="auto"/>
                <w:vertAlign w:val="superscript"/>
              </w:rPr>
              <w:t>(a)</w:t>
            </w: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13"/>
        </w:trPr>
        <w:tc>
          <w:tcPr>
            <w:tcW w:w="914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2026 </w:t>
            </w:r>
            <w:r>
              <w:rPr>
                <w:rFonts w:ascii="Arial" w:cs="Arial" w:eastAsia="Arial" w:hAnsi="Arial"/>
                <w:sz w:val="20"/>
                <w:szCs w:val="20"/>
                <w:color w:val="auto"/>
                <w:vertAlign w:val="superscript"/>
              </w:rPr>
              <w:t>(a)</w:t>
            </w:r>
          </w:p>
        </w:tc>
        <w:tc>
          <w:tcPr>
            <w:tcW w:w="3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r>
      <w:tr>
        <w:trPr>
          <w:trHeight w:val="213"/>
        </w:trPr>
        <w:tc>
          <w:tcPr>
            <w:tcW w:w="9140" w:type="dxa"/>
            <w:vAlign w:val="bottom"/>
            <w:tcBorders>
              <w:bottom w:val="single" w:sz="8" w:color="CCEEFF"/>
            </w:tcBorders>
          </w:tcPr>
          <w:p>
            <w:pPr>
              <w:ind w:left="20"/>
              <w:spacing w:after="0" w:line="213" w:lineRule="exact"/>
              <w:rPr>
                <w:sz w:val="20"/>
                <w:szCs w:val="20"/>
                <w:color w:val="auto"/>
              </w:rPr>
            </w:pPr>
            <w:r>
              <w:rPr>
                <w:rFonts w:ascii="Arial" w:cs="Arial" w:eastAsia="Arial" w:hAnsi="Arial"/>
                <w:sz w:val="16"/>
                <w:szCs w:val="16"/>
                <w:color w:val="auto"/>
              </w:rPr>
              <w:t xml:space="preserve">Thereafter </w:t>
            </w:r>
            <w:r>
              <w:rPr>
                <w:rFonts w:ascii="Arial" w:cs="Arial" w:eastAsia="Arial" w:hAnsi="Arial"/>
                <w:sz w:val="20"/>
                <w:szCs w:val="20"/>
                <w:color w:val="auto"/>
                <w:vertAlign w:val="superscript"/>
              </w:rPr>
              <w:t>(a)</w:t>
            </w: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5,537</w:t>
            </w:r>
          </w:p>
        </w:tc>
      </w:tr>
      <w:tr>
        <w:trPr>
          <w:trHeight w:val="232"/>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8,201</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firstLine="7"/>
        <w:spacing w:after="0"/>
        <w:tabs>
          <w:tab w:leader="none" w:pos="157" w:val="left"/>
        </w:tabs>
        <w:numPr>
          <w:ilvl w:val="0"/>
          <w:numId w:val="63"/>
        </w:numPr>
        <w:rPr>
          <w:rFonts w:ascii="Arial" w:cs="Arial" w:eastAsia="Arial" w:hAnsi="Arial"/>
          <w:sz w:val="18"/>
          <w:szCs w:val="18"/>
          <w:color w:val="auto"/>
          <w:vertAlign w:val="superscript"/>
        </w:rPr>
      </w:pPr>
      <w:r>
        <w:rPr>
          <w:rFonts w:ascii="Arial" w:cs="Arial" w:eastAsia="Arial" w:hAnsi="Arial"/>
          <w:sz w:val="11"/>
          <w:szCs w:val="11"/>
          <w:color w:val="auto"/>
        </w:rPr>
        <w:t>Annual payments based on the maturities of Thermal Business long-term debt reclassified to held for sale in the fourth quarter of 2021 are $4 million, $15 million and $404 million due in 2025, 2026 and thereafter, respectively.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Earnings (Loss) Per Share</w:t>
      </w:r>
    </w:p>
    <w:p>
      <w:pPr>
        <w:spacing w:after="0" w:line="172" w:lineRule="exact"/>
        <w:rPr>
          <w:sz w:val="20"/>
          <w:szCs w:val="20"/>
          <w:color w:val="auto"/>
        </w:rPr>
      </w:pPr>
    </w:p>
    <w:p>
      <w:pPr>
        <w:jc w:val="both"/>
        <w:ind w:firstLine="400"/>
        <w:spacing w:after="0" w:line="279" w:lineRule="auto"/>
        <w:rPr>
          <w:sz w:val="20"/>
          <w:szCs w:val="20"/>
          <w:color w:val="auto"/>
        </w:rPr>
      </w:pPr>
      <w:r>
        <w:rPr>
          <w:rFonts w:ascii="Arial" w:cs="Arial" w:eastAsia="Arial" w:hAnsi="Arial"/>
          <w:sz w:val="17"/>
          <w:szCs w:val="17"/>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reconciliation of the Company's basic and diluted earnings (loss) per share is shown in the following table: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23"/>
                <w:szCs w:val="23"/>
                <w:b w:val="1"/>
                <w:bCs w:val="1"/>
                <w:color w:val="auto"/>
                <w:vertAlign w:val="superscript"/>
              </w:rPr>
              <w:t>(a)</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780" w:type="dxa"/>
            <w:vAlign w:val="bottom"/>
          </w:tcPr>
          <w:p>
            <w:pPr>
              <w:jc w:val="center"/>
              <w:ind w:right="57"/>
              <w:spacing w:after="0" w:line="128"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780" w:type="dxa"/>
            <w:vAlign w:val="bottom"/>
          </w:tcPr>
          <w:p>
            <w:pPr>
              <w:jc w:val="center"/>
              <w:ind w:right="57"/>
              <w:spacing w:after="0" w:line="128"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1"/>
                <w:szCs w:val="11"/>
                <w:color w:val="auto"/>
              </w:rPr>
            </w:pPr>
          </w:p>
        </w:tc>
        <w:tc>
          <w:tcPr>
            <w:tcW w:w="760" w:type="dxa"/>
            <w:vAlign w:val="bottom"/>
          </w:tcPr>
          <w:p>
            <w:pPr>
              <w:jc w:val="right"/>
              <w:ind w:right="97"/>
              <w:spacing w:after="0" w:line="128"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9"/>
              </w:rPr>
              <w:t>Class A</w:t>
            </w:r>
          </w:p>
        </w:tc>
        <w:tc>
          <w:tcPr>
            <w:tcW w:w="140" w:type="dxa"/>
            <w:vAlign w:val="bottom"/>
          </w:tcPr>
          <w:p>
            <w:pPr>
              <w:spacing w:after="0"/>
              <w:rPr>
                <w:sz w:val="12"/>
                <w:szCs w:val="12"/>
                <w:color w:val="auto"/>
              </w:rPr>
            </w:pPr>
          </w:p>
        </w:tc>
        <w:tc>
          <w:tcPr>
            <w:tcW w:w="8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Class C</w:t>
            </w:r>
          </w:p>
        </w:tc>
        <w:tc>
          <w:tcPr>
            <w:tcW w:w="160" w:type="dxa"/>
            <w:vAlign w:val="bottom"/>
          </w:tcPr>
          <w:p>
            <w:pPr>
              <w:spacing w:after="0"/>
              <w:rPr>
                <w:sz w:val="12"/>
                <w:szCs w:val="12"/>
                <w:color w:val="auto"/>
              </w:rPr>
            </w:pPr>
          </w:p>
        </w:tc>
        <w:tc>
          <w:tcPr>
            <w:tcW w:w="88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Class A</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9"/>
              </w:rPr>
              <w:t>Class C</w:t>
            </w:r>
          </w:p>
        </w:tc>
        <w:tc>
          <w:tcPr>
            <w:tcW w:w="140" w:type="dxa"/>
            <w:vAlign w:val="bottom"/>
          </w:tcPr>
          <w:p>
            <w:pPr>
              <w:spacing w:after="0"/>
              <w:rPr>
                <w:sz w:val="12"/>
                <w:szCs w:val="12"/>
                <w:color w:val="auto"/>
              </w:rPr>
            </w:pPr>
          </w:p>
        </w:tc>
        <w:tc>
          <w:tcPr>
            <w:tcW w:w="8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Class A</w:t>
            </w:r>
          </w:p>
        </w:tc>
        <w:tc>
          <w:tcPr>
            <w:tcW w:w="160" w:type="dxa"/>
            <w:vAlign w:val="bottom"/>
          </w:tcPr>
          <w:p>
            <w:pPr>
              <w:spacing w:after="0"/>
              <w:rPr>
                <w:sz w:val="12"/>
                <w:szCs w:val="12"/>
                <w:color w:val="auto"/>
              </w:rPr>
            </w:pPr>
          </w:p>
        </w:tc>
        <w:tc>
          <w:tcPr>
            <w:tcW w:w="760" w:type="dxa"/>
            <w:vAlign w:val="bottom"/>
          </w:tcPr>
          <w:p>
            <w:pPr>
              <w:jc w:val="right"/>
              <w:ind w:right="137"/>
              <w:spacing w:after="0" w:line="147" w:lineRule="exact"/>
              <w:rPr>
                <w:sz w:val="20"/>
                <w:szCs w:val="20"/>
                <w:color w:val="auto"/>
              </w:rPr>
            </w:pPr>
            <w:r>
              <w:rPr>
                <w:rFonts w:ascii="Arial" w:cs="Arial" w:eastAsia="Arial" w:hAnsi="Arial"/>
                <w:sz w:val="14"/>
                <w:szCs w:val="14"/>
                <w:b w:val="1"/>
                <w:bCs w:val="1"/>
                <w:color w:val="auto"/>
              </w:rPr>
              <w:t>Class C</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5120" w:type="dxa"/>
            <w:vAlign w:val="bottom"/>
            <w:gridSpan w:val="2"/>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Basic and diluted earnings (loss) per share attributable to</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Clearway Energy, Inc. common stockholders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Net income (loss) attributable to Clearway Energy, Inc.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1"/>
              </w:rPr>
              <w:t>Weighted average number of common shares outstanding — basic</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w w:val="89"/>
              </w:rPr>
              <w:t>Weighted average number of common shares outstanding — diluted</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5120" w:type="dxa"/>
            <w:vAlign w:val="bottom"/>
            <w:gridSpan w:val="2"/>
            <w:shd w:val="clear" w:color="auto" w:fill="CCEEFF"/>
          </w:tcPr>
          <w:p>
            <w:pPr>
              <w:ind w:left="320"/>
              <w:spacing w:after="0" w:line="154" w:lineRule="exact"/>
              <w:rPr>
                <w:sz w:val="20"/>
                <w:szCs w:val="20"/>
                <w:color w:val="auto"/>
              </w:rPr>
            </w:pPr>
            <w:r>
              <w:rPr>
                <w:rFonts w:ascii="Arial" w:cs="Arial" w:eastAsia="Arial" w:hAnsi="Arial"/>
                <w:sz w:val="17"/>
                <w:szCs w:val="17"/>
                <w:b w:val="1"/>
                <w:bCs w:val="1"/>
                <w:color w:val="auto"/>
                <w:w w:val="96"/>
              </w:rPr>
              <w:t>Earnings (loss) per weighted average common share — basic</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shd w:val="clear" w:color="auto" w:fill="CCEEFF"/>
          </w:tcPr>
          <w:p>
            <w:pPr>
              <w:spacing w:after="0"/>
              <w:rPr>
                <w:sz w:val="19"/>
                <w:szCs w:val="19"/>
                <w:color w:val="auto"/>
              </w:rPr>
            </w:pPr>
          </w:p>
        </w:tc>
        <w:tc>
          <w:tcPr>
            <w:tcW w:w="5120" w:type="dxa"/>
            <w:vAlign w:val="bottom"/>
            <w:tcBorders>
              <w:bottom w:val="single" w:sz="8" w:color="CCEEFF"/>
            </w:tcBorders>
            <w:gridSpan w:val="2"/>
            <w:shd w:val="clear" w:color="auto" w:fill="CCEEFF"/>
          </w:tcPr>
          <w:p>
            <w:pPr>
              <w:ind w:left="240"/>
              <w:spacing w:after="0" w:line="200" w:lineRule="exact"/>
              <w:rPr>
                <w:sz w:val="20"/>
                <w:szCs w:val="20"/>
                <w:color w:val="auto"/>
              </w:rPr>
            </w:pPr>
            <w:r>
              <w:rPr>
                <w:rFonts w:ascii="Arial" w:cs="Arial" w:eastAsia="Arial" w:hAnsi="Arial"/>
                <w:sz w:val="18"/>
                <w:szCs w:val="18"/>
                <w:b w:val="1"/>
                <w:bCs w:val="1"/>
                <w:color w:val="auto"/>
              </w:rPr>
              <w:t>and diluted</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2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40" w:hanging="133"/>
        <w:spacing w:after="0"/>
        <w:tabs>
          <w:tab w:leader="none" w:pos="140" w:val="left"/>
        </w:tabs>
        <w:numPr>
          <w:ilvl w:val="0"/>
          <w:numId w:val="64"/>
        </w:numPr>
        <w:rPr>
          <w:rFonts w:ascii="Arial" w:cs="Arial" w:eastAsia="Arial" w:hAnsi="Arial"/>
          <w:sz w:val="16"/>
          <w:szCs w:val="16"/>
          <w:color w:val="auto"/>
          <w:vertAlign w:val="superscript"/>
        </w:rPr>
      </w:pPr>
      <w:r>
        <w:rPr>
          <w:rFonts w:ascii="Arial" w:cs="Arial" w:eastAsia="Arial" w:hAnsi="Arial"/>
          <w:sz w:val="11"/>
          <w:szCs w:val="11"/>
          <w:color w:val="auto"/>
        </w:rPr>
        <w:t>Net income (loss) attributable to Clearway Energy, Inc. and basic and diluted earnings (loss) per share might not recalculate due to presenting values in millions rather than whole dollars.</w:t>
      </w:r>
    </w:p>
    <w:p>
      <w:pPr>
        <w:spacing w:after="0" w:line="14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The Company had 2 million Common Class C shares related to the outstanding 2020 Convertible Notes that were anti-dilutive and were not included in the computation of the Company's diluted earnings per share for the year ended December 31, 2019. The 2020 Convertible Notes were repaid on June 1, 2020.</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Equity Offering Program, or the ATM Programs</w:t>
      </w:r>
    </w:p>
    <w:p>
      <w:pPr>
        <w:spacing w:after="0" w:line="16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On August 6, 2020, Clearway Energy, Inc. entered into an equity distribution agreement with Credit Suisse Securities (USA) LLC, Goldman Sachs &amp; Co. LLC, Morgan Stanley &amp; Co. LLC and UBS Securities LLC, as sales agents. Pursuant to the terms of the equity distribution agreement, Clearway Energy, Inc. may offer and sell shares of its Class C common stock from time to time through the sales agents up to an aggregate sales price of $150 million through an at-the-market equity offering program, or the 2020 ATM Program.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3" w:name="page124"/>
    <w:bookmarkEnd w:id="123"/>
    <w:p>
      <w:pPr>
        <w:jc w:val="both"/>
        <w:ind w:firstLine="400"/>
        <w:spacing w:after="0" w:line="270" w:lineRule="auto"/>
        <w:rPr>
          <w:sz w:val="20"/>
          <w:szCs w:val="20"/>
          <w:color w:val="auto"/>
        </w:rPr>
      </w:pPr>
      <w:r>
        <w:rPr>
          <w:rFonts w:ascii="Arial" w:cs="Arial" w:eastAsia="Arial" w:hAnsi="Arial"/>
          <w:sz w:val="17"/>
          <w:szCs w:val="17"/>
          <w:color w:val="auto"/>
        </w:rPr>
        <w:t>On August 9, 2016, Clearway Energy, Inc. entered into an equity distribution agreement, or EDA, with Barclays Capital Inc., Credit Suisse Securities (USA) LLC, J.P. Morgan Securities LLC and RBC Capital Markets, LLC, as sales agents. Pursuant to the terms of the equity distribution agreement Clearway Energy, Inc., offered and sold shares of its Class C common stock from time to time through the sales agents up to an aggregate sales price of $150 million through an at-the-market equity offering program, or the 2016 ATM Program. As of June 30, 2020, the Company had completed the issuance of shares of Class C common stock totaling $150 million in gross proceeds under the 2016 ATM Program.</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Class C common stock shares sold under the ATM Programs during the year ended December 31,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Number of shares</w:t>
            </w: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Gross Proceeds from the</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right"/>
              <w:ind w:right="241"/>
              <w:spacing w:after="0" w:line="133" w:lineRule="exact"/>
              <w:rPr>
                <w:sz w:val="20"/>
                <w:szCs w:val="20"/>
                <w:color w:val="auto"/>
              </w:rPr>
            </w:pPr>
            <w:r>
              <w:rPr>
                <w:rFonts w:ascii="Arial" w:cs="Arial" w:eastAsia="Arial" w:hAnsi="Arial"/>
                <w:sz w:val="12"/>
                <w:szCs w:val="12"/>
                <w:b w:val="1"/>
                <w:bCs w:val="1"/>
                <w:color w:val="auto"/>
              </w:rPr>
              <w:t>sale of shares</w:t>
            </w:r>
            <w:r>
              <w:rPr>
                <w:rFonts w:ascii="Arial" w:cs="Arial" w:eastAsia="Arial" w:hAnsi="Arial"/>
                <w:sz w:val="15"/>
                <w:szCs w:val="15"/>
                <w:b w:val="1"/>
                <w:bCs w:val="1"/>
                <w:color w:val="auto"/>
                <w:vertAlign w:val="superscript"/>
              </w:rPr>
              <w:t>(a)</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1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sold</w:t>
            </w:r>
          </w:p>
        </w:tc>
        <w:tc>
          <w:tcPr>
            <w:tcW w:w="220" w:type="dxa"/>
            <w:vAlign w:val="bottom"/>
          </w:tcPr>
          <w:p>
            <w:pPr>
              <w:spacing w:after="0"/>
              <w:rPr>
                <w:sz w:val="16"/>
                <w:szCs w:val="16"/>
                <w:color w:val="auto"/>
              </w:rPr>
            </w:pPr>
          </w:p>
        </w:tc>
        <w:tc>
          <w:tcPr>
            <w:tcW w:w="1340" w:type="dxa"/>
            <w:vAlign w:val="bottom"/>
          </w:tcPr>
          <w:p>
            <w:pPr>
              <w:jc w:val="right"/>
              <w:ind w:right="32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ATM Program</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940,790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2016 ATM Program</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1,749,665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Class C common stock sold during the year ended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2,690,455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140" w:hanging="133"/>
        <w:spacing w:after="0"/>
        <w:tabs>
          <w:tab w:leader="none" w:pos="140" w:val="left"/>
        </w:tabs>
        <w:numPr>
          <w:ilvl w:val="0"/>
          <w:numId w:val="65"/>
        </w:numPr>
        <w:rPr>
          <w:rFonts w:ascii="Arial" w:cs="Arial" w:eastAsia="Arial" w:hAnsi="Arial"/>
          <w:sz w:val="16"/>
          <w:szCs w:val="16"/>
          <w:color w:val="auto"/>
          <w:vertAlign w:val="superscript"/>
        </w:rPr>
      </w:pPr>
      <w:r>
        <w:rPr>
          <w:rFonts w:ascii="Arial" w:cs="Arial" w:eastAsia="Arial" w:hAnsi="Arial"/>
          <w:sz w:val="11"/>
          <w:szCs w:val="11"/>
          <w:color w:val="auto"/>
        </w:rPr>
        <w:t>The Company incurred commission fees of $0.6 million during the year ended December 31, 2020.</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December 31, 2021, approximately $126 million of Class C common stock remains available for issuance under the 2020 ATM Program.</w:t>
      </w:r>
    </w:p>
    <w:p>
      <w:pPr>
        <w:spacing w:after="0" w:line="178"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Through December 31, 2020, the Company utilized the proceeds of the sales under the ATM Programs to acquire 2,690,455 Class C units of Clearway Energy LLC and, as a result, as of December 31, 2021, the Company owned 57.65% of the economic interests of Clearway Energy LLC, with CEG owning 42.35% of the economic interests of Clearway Energy LLC.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to Class A and Class C common stockholders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lists the dividends paid on the Company's Class A and Class C common stock during the year ended December 31, 2021: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 Quarter 2021</w:t>
            </w:r>
          </w:p>
        </w:tc>
        <w:tc>
          <w:tcPr>
            <w:tcW w:w="14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Third Quarter 2021</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Second Quarter 2021</w:t>
            </w:r>
          </w:p>
        </w:tc>
        <w:tc>
          <w:tcPr>
            <w:tcW w:w="134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First Quarter 2021</w:t>
            </w:r>
          </w:p>
        </w:tc>
      </w:tr>
      <w:tr>
        <w:trPr>
          <w:trHeight w:val="226"/>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A share</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0.3400</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0.3345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0.3290</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0.3240</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Dividends per Class C share</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0.3400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0.3345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0.3290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0.3240</w:t>
            </w:r>
          </w:p>
        </w:tc>
      </w:tr>
    </w:tbl>
    <w:p>
      <w:pPr>
        <w:spacing w:after="0" w:line="224"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35"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On February 17, 2022, the Company declared a quarterly dividend on its Class A and Class C common stock of $0.3468 per share payable on March 15, 2022, to stockholders of record as of March 1, 2022.</w:t>
      </w:r>
    </w:p>
    <w:p>
      <w:pPr>
        <w:spacing w:after="0" w:line="12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The Company has also authorized 10,000,000 shares of preferred stock, par value $0.01 per share. None of the shares of preferred stock have been issued.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CEG</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lists the distributions paid to CEG during the year ended December 31, 2021 on Clearway Energy LLC's Class B and D units: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Fourth Quarter 2021</w:t>
            </w: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Third Quarter 2021</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Second Quarter 2021</w:t>
            </w:r>
          </w:p>
        </w:tc>
        <w:tc>
          <w:tcPr>
            <w:tcW w:w="120" w:type="dxa"/>
            <w:vAlign w:val="bottom"/>
          </w:tcPr>
          <w:p>
            <w:pPr>
              <w:spacing w:after="0"/>
              <w:rPr>
                <w:sz w:val="16"/>
                <w:szCs w:val="16"/>
                <w:color w:val="auto"/>
              </w:rPr>
            </w:pPr>
          </w:p>
        </w:tc>
        <w:tc>
          <w:tcPr>
            <w:tcW w:w="1280" w:type="dxa"/>
            <w:vAlign w:val="bottom"/>
          </w:tcPr>
          <w:p>
            <w:pPr>
              <w:jc w:val="right"/>
              <w:ind w:right="37"/>
              <w:spacing w:after="0"/>
              <w:rPr>
                <w:sz w:val="20"/>
                <w:szCs w:val="20"/>
                <w:color w:val="auto"/>
              </w:rPr>
            </w:pPr>
            <w:r>
              <w:rPr>
                <w:rFonts w:ascii="Arial" w:cs="Arial" w:eastAsia="Arial" w:hAnsi="Arial"/>
                <w:sz w:val="14"/>
                <w:szCs w:val="14"/>
                <w:b w:val="1"/>
                <w:bCs w:val="1"/>
                <w:color w:val="auto"/>
                <w:w w:val="95"/>
              </w:rPr>
              <w:t>First Quarter 2021</w:t>
            </w:r>
          </w:p>
        </w:tc>
      </w:tr>
      <w:tr>
        <w:trPr>
          <w:trHeight w:val="226"/>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B unit</w:t>
            </w:r>
          </w:p>
        </w:tc>
        <w:tc>
          <w:tcPr>
            <w:tcW w:w="46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0.3400</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0.3345</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0.3290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0.3240</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Distributions per Class D unit</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0.3400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0.3345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0.3290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0.3240</w:t>
            </w:r>
          </w:p>
        </w:tc>
      </w:tr>
    </w:tbl>
    <w:p>
      <w:pPr>
        <w:spacing w:after="0" w:line="237"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The portion of the distributions paid by Clearway Energy LLC to CEG is recorded as a reduction to the Company's noncontrolling interest balance. The portion of the distributions paid by Clearway Energy LLC to the Company was utilized to fund the dividends to the Class A and Class C common stockholders described above.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4" w:name="page125"/>
    <w:bookmarkEnd w:id="124"/>
    <w:p>
      <w:pPr>
        <w:jc w:val="both"/>
        <w:ind w:right="100" w:firstLine="400"/>
        <w:spacing w:after="0" w:line="267" w:lineRule="auto"/>
        <w:rPr>
          <w:sz w:val="20"/>
          <w:szCs w:val="20"/>
          <w:color w:val="auto"/>
        </w:rPr>
      </w:pPr>
      <w:r>
        <w:rPr>
          <w:rFonts w:ascii="Arial" w:cs="Arial" w:eastAsia="Arial" w:hAnsi="Arial"/>
          <w:sz w:val="18"/>
          <w:szCs w:val="18"/>
          <w:color w:val="auto"/>
        </w:rPr>
        <w:t>On February 17, 2022, Clearway Energy LLC declared a quarterly distribution on its Class B and Class D units of $0.3468 per unit payable to CEG on March 15,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Reporting</w:t>
      </w:r>
    </w:p>
    <w:p>
      <w:pPr>
        <w:spacing w:after="0" w:line="172" w:lineRule="exact"/>
        <w:rPr>
          <w:sz w:val="20"/>
          <w:szCs w:val="20"/>
          <w:color w:val="auto"/>
        </w:rPr>
      </w:pPr>
    </w:p>
    <w:p>
      <w:pPr>
        <w:jc w:val="both"/>
        <w:ind w:right="80" w:firstLine="400"/>
        <w:spacing w:after="0" w:line="270" w:lineRule="auto"/>
        <w:rPr>
          <w:sz w:val="20"/>
          <w:szCs w:val="20"/>
          <w:color w:val="auto"/>
        </w:rPr>
      </w:pPr>
      <w:r>
        <w:rPr>
          <w:rFonts w:ascii="Arial" w:cs="Arial" w:eastAsia="Arial" w:hAnsi="Arial"/>
          <w:sz w:val="17"/>
          <w:szCs w:val="17"/>
          <w:color w:val="auto"/>
        </w:rPr>
        <w:t>The Company’s segment structure reflects how management currently operates and allocates resources. The Company's businesses are segregated based on conventional power generation, renewable businesses, which consist of solar and wind, and the Thermal Business, which is held for sale as of December 31, 2021.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generated more than 10% of its revenues from the following customers for the years ended December 31, 2021, 2020 and 2019:</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5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3320" w:type="dxa"/>
            <w:vAlign w:val="bottom"/>
          </w:tcPr>
          <w:p>
            <w:pPr>
              <w:ind w:left="100"/>
              <w:spacing w:after="0"/>
              <w:rPr>
                <w:sz w:val="20"/>
                <w:szCs w:val="20"/>
                <w:color w:val="auto"/>
              </w:rPr>
            </w:pPr>
            <w:r>
              <w:rPr>
                <w:rFonts w:ascii="Arial" w:cs="Arial" w:eastAsia="Arial" w:hAnsi="Arial"/>
                <w:sz w:val="16"/>
                <w:szCs w:val="16"/>
                <w:b w:val="1"/>
                <w:bCs w:val="1"/>
                <w:color w:val="auto"/>
              </w:rPr>
              <w:t>Customer</w:t>
            </w:r>
          </w:p>
        </w:tc>
        <w:tc>
          <w:tcPr>
            <w:tcW w:w="15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Conventional</w:t>
            </w:r>
          </w:p>
        </w:tc>
        <w:tc>
          <w:tcPr>
            <w:tcW w:w="92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w w:val="98"/>
              </w:rPr>
              <w:t>Renewables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Conventional</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6"/>
          </w:tcPr>
          <w:p>
            <w:pPr>
              <w:ind w:left="100"/>
              <w:spacing w:after="0"/>
              <w:rPr>
                <w:sz w:val="20"/>
                <w:szCs w:val="20"/>
                <w:color w:val="auto"/>
              </w:rPr>
            </w:pPr>
            <w:r>
              <w:rPr>
                <w:rFonts w:ascii="Arial" w:cs="Arial" w:eastAsia="Arial" w:hAnsi="Arial"/>
                <w:sz w:val="14"/>
                <w:szCs w:val="14"/>
                <w:b w:val="1"/>
                <w:bCs w:val="1"/>
                <w:color w:val="auto"/>
              </w:rPr>
              <w:t>Renewables</w:t>
            </w:r>
          </w:p>
        </w:tc>
        <w:tc>
          <w:tcPr>
            <w:tcW w:w="1160" w:type="dxa"/>
            <w:vAlign w:val="bottom"/>
            <w:gridSpan w:val="4"/>
          </w:tcPr>
          <w:p>
            <w:pPr>
              <w:ind w:left="60"/>
              <w:spacing w:after="0"/>
              <w:rPr>
                <w:sz w:val="20"/>
                <w:szCs w:val="20"/>
                <w:color w:val="auto"/>
              </w:rPr>
            </w:pPr>
            <w:r>
              <w:rPr>
                <w:rFonts w:ascii="Arial" w:cs="Arial" w:eastAsia="Arial" w:hAnsi="Arial"/>
                <w:sz w:val="14"/>
                <w:szCs w:val="14"/>
                <w:b w:val="1"/>
                <w:bCs w:val="1"/>
                <w:color w:val="auto"/>
              </w:rPr>
              <w:t>Conventional</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Renewables</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SCE</w:t>
            </w: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229"/>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18%</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w w:val="99"/>
              </w:rPr>
              <w:t>16%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21%</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rPr>
              <w:t>19%</w:t>
            </w: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320" w:type="dxa"/>
            <w:vAlign w:val="bottom"/>
          </w:tcPr>
          <w:p>
            <w:pPr>
              <w:ind w:left="100"/>
              <w:spacing w:after="0"/>
              <w:rPr>
                <w:sz w:val="20"/>
                <w:szCs w:val="20"/>
                <w:color w:val="auto"/>
              </w:rPr>
            </w:pPr>
            <w:r>
              <w:rPr>
                <w:rFonts w:ascii="Arial" w:cs="Arial" w:eastAsia="Arial" w:hAnsi="Arial"/>
                <w:sz w:val="16"/>
                <w:szCs w:val="16"/>
                <w:color w:val="auto"/>
              </w:rPr>
              <w:t>PG&amp;E</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201"/>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0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41"/>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61"/>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2"/>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5"/>
          </w:tcPr>
          <w:p>
            <w:pPr>
              <w:ind w:left="160"/>
              <w:spacing w:after="0" w:line="133" w:lineRule="exact"/>
              <w:rPr>
                <w:sz w:val="20"/>
                <w:szCs w:val="20"/>
                <w:color w:val="auto"/>
              </w:rPr>
            </w:pPr>
            <w:r>
              <w:rPr>
                <w:rFonts w:ascii="Arial" w:cs="Arial" w:eastAsia="Arial" w:hAnsi="Arial"/>
                <w:sz w:val="14"/>
                <w:szCs w:val="14"/>
                <w:b w:val="1"/>
                <w:bCs w:val="1"/>
                <w:color w:val="auto"/>
              </w:rPr>
              <w:t>Conventional</w:t>
            </w:r>
          </w:p>
        </w:tc>
        <w:tc>
          <w:tcPr>
            <w:tcW w:w="110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Renewables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1"/>
              </w:rPr>
              <w:t xml:space="preserve">Corporate </w:t>
            </w:r>
            <w:r>
              <w:rPr>
                <w:rFonts w:ascii="Arial" w:cs="Arial" w:eastAsia="Arial" w:hAnsi="Arial"/>
                <w:sz w:val="18"/>
                <w:szCs w:val="18"/>
                <w:b w:val="1"/>
                <w:bCs w:val="1"/>
                <w:color w:val="auto"/>
                <w:w w:val="91"/>
                <w:vertAlign w:val="superscript"/>
              </w:rPr>
              <w:t>(a)</w:t>
            </w:r>
          </w:p>
        </w:tc>
        <w:tc>
          <w:tcPr>
            <w:tcW w:w="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400" w:type="dxa"/>
            <w:vAlign w:val="bottom"/>
            <w:tcBorders>
              <w:bottom w:val="single" w:sz="8" w:color="CCEEFF"/>
            </w:tcBorders>
            <w:gridSpan w:val="2"/>
            <w:vMerge w:val="continue"/>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4"/>
                <w:szCs w:val="14"/>
                <w:b w:val="1"/>
                <w:bCs w:val="1"/>
                <w:color w:val="auto"/>
              </w:rPr>
              <w:t>Generation</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9"/>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w w:val="89"/>
              </w:rPr>
              <w:t>$</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641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5800" w:type="dxa"/>
            <w:vAlign w:val="bottom"/>
            <w:gridSpan w:val="6"/>
          </w:tcPr>
          <w:p>
            <w:pPr>
              <w:ind w:left="60"/>
              <w:spacing w:after="0" w:line="164" w:lineRule="exact"/>
              <w:rPr>
                <w:sz w:val="20"/>
                <w:szCs w:val="20"/>
                <w:color w:val="auto"/>
              </w:rPr>
            </w:pPr>
            <w:r>
              <w:rPr>
                <w:rFonts w:ascii="Arial" w:cs="Arial" w:eastAsia="Arial" w:hAnsi="Arial"/>
                <w:sz w:val="16"/>
                <w:szCs w:val="16"/>
                <w:color w:val="auto"/>
              </w:rPr>
              <w:t>Cost of operations, exclusive of depreciation, amortization and accretion shown</w:t>
            </w:r>
          </w:p>
        </w:tc>
        <w:tc>
          <w:tcPr>
            <w:tcW w:w="540" w:type="dxa"/>
            <w:vAlign w:val="bottom"/>
            <w:gridSpan w:val="3"/>
            <w:vMerge w:val="restart"/>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6"/>
                <w:szCs w:val="16"/>
                <w:color w:val="auto"/>
              </w:rPr>
              <w:t>separately below</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ind w:left="60"/>
              <w:spacing w:after="0"/>
              <w:rPr>
                <w:sz w:val="20"/>
                <w:szCs w:val="20"/>
                <w:color w:val="auto"/>
              </w:rPr>
            </w:pPr>
            <w:r>
              <w:rPr>
                <w:rFonts w:ascii="Arial" w:cs="Arial" w:eastAsia="Arial" w:hAnsi="Arial"/>
                <w:sz w:val="16"/>
                <w:szCs w:val="16"/>
                <w:color w:val="auto"/>
              </w:rPr>
              <w:t>Depreciation, amortization and accretion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320" w:type="dxa"/>
            <w:vAlign w:val="bottom"/>
          </w:tcPr>
          <w:p>
            <w:pPr>
              <w:ind w:left="60"/>
              <w:spacing w:after="0"/>
              <w:rPr>
                <w:sz w:val="20"/>
                <w:szCs w:val="20"/>
                <w:color w:val="auto"/>
              </w:rPr>
            </w:pPr>
            <w:r>
              <w:rPr>
                <w:rFonts w:ascii="Arial" w:cs="Arial" w:eastAsia="Arial" w:hAnsi="Arial"/>
                <w:sz w:val="16"/>
                <w:szCs w:val="16"/>
                <w:color w:val="auto"/>
              </w:rPr>
              <w:t>Impairment losses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ind w:left="60"/>
              <w:spacing w:after="0"/>
              <w:rPr>
                <w:sz w:val="20"/>
                <w:szCs w:val="20"/>
                <w:color w:val="auto"/>
              </w:rPr>
            </w:pPr>
            <w:r>
              <w:rPr>
                <w:rFonts w:ascii="Arial" w:cs="Arial" w:eastAsia="Arial" w:hAnsi="Arial"/>
                <w:sz w:val="16"/>
                <w:szCs w:val="16"/>
                <w:color w:val="auto"/>
              </w:rPr>
              <w:t>General and administrative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320" w:type="dxa"/>
            <w:vAlign w:val="bottom"/>
          </w:tcPr>
          <w:p>
            <w:pPr>
              <w:ind w:left="60"/>
              <w:spacing w:after="0"/>
              <w:rPr>
                <w:sz w:val="20"/>
                <w:szCs w:val="20"/>
                <w:color w:val="auto"/>
              </w:rPr>
            </w:pPr>
            <w:r>
              <w:rPr>
                <w:rFonts w:ascii="Arial" w:cs="Arial" w:eastAsia="Arial" w:hAnsi="Arial"/>
                <w:sz w:val="16"/>
                <w:szCs w:val="16"/>
                <w:color w:val="auto"/>
              </w:rPr>
              <w:t>Transaction and integration costs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ind w:left="60"/>
              <w:spacing w:after="0"/>
              <w:rPr>
                <w:sz w:val="20"/>
                <w:szCs w:val="20"/>
                <w:color w:val="auto"/>
              </w:rPr>
            </w:pPr>
            <w:r>
              <w:rPr>
                <w:rFonts w:ascii="Arial" w:cs="Arial" w:eastAsia="Arial" w:hAnsi="Arial"/>
                <w:sz w:val="16"/>
                <w:szCs w:val="16"/>
                <w:color w:val="auto"/>
              </w:rPr>
              <w:t>Development costs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ind w:left="60"/>
              <w:spacing w:after="0"/>
              <w:rPr>
                <w:sz w:val="20"/>
                <w:szCs w:val="20"/>
                <w:color w:val="auto"/>
              </w:rPr>
            </w:pPr>
            <w:r>
              <w:rPr>
                <w:rFonts w:ascii="Arial" w:cs="Arial" w:eastAsia="Arial" w:hAnsi="Arial"/>
                <w:sz w:val="16"/>
                <w:szCs w:val="16"/>
                <w:color w:val="auto"/>
              </w:rPr>
              <w:t>Equity in earnings of unconsolidated affiliates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320" w:type="dxa"/>
            <w:vAlign w:val="bottom"/>
          </w:tcPr>
          <w:p>
            <w:pPr>
              <w:ind w:left="60"/>
              <w:spacing w:after="0"/>
              <w:rPr>
                <w:sz w:val="20"/>
                <w:szCs w:val="20"/>
                <w:color w:val="auto"/>
              </w:rPr>
            </w:pPr>
            <w:r>
              <w:rPr>
                <w:rFonts w:ascii="Arial" w:cs="Arial" w:eastAsia="Arial" w:hAnsi="Arial"/>
                <w:sz w:val="16"/>
                <w:szCs w:val="16"/>
                <w:color w:val="auto"/>
              </w:rPr>
              <w:t>Other income,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ind w:left="60"/>
              <w:spacing w:after="0"/>
              <w:rPr>
                <w:sz w:val="20"/>
                <w:szCs w:val="20"/>
                <w:color w:val="auto"/>
              </w:rPr>
            </w:pPr>
            <w:r>
              <w:rPr>
                <w:rFonts w:ascii="Arial" w:cs="Arial" w:eastAsia="Arial" w:hAnsi="Arial"/>
                <w:sz w:val="16"/>
                <w:szCs w:val="16"/>
                <w:color w:val="auto"/>
              </w:rPr>
              <w:t>Loss on debt extinguishment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Borders>
              <w:bottom w:val="single" w:sz="8" w:color="CCEEFF"/>
            </w:tcBorders>
          </w:tcPr>
          <w:p>
            <w:pPr>
              <w:spacing w:after="0"/>
              <w:rPr>
                <w:sz w:val="18"/>
                <w:szCs w:val="18"/>
                <w:color w:val="auto"/>
              </w:rPr>
            </w:pPr>
          </w:p>
        </w:tc>
        <w:tc>
          <w:tcPr>
            <w:tcW w:w="33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Interest expense, net</w:t>
            </w: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(99)</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320" w:type="dxa"/>
            <w:vAlign w:val="bottom"/>
          </w:tcPr>
          <w:p>
            <w:pPr>
              <w:ind w:left="60"/>
              <w:spacing w:after="0"/>
              <w:rPr>
                <w:sz w:val="20"/>
                <w:szCs w:val="20"/>
                <w:color w:val="auto"/>
              </w:rPr>
            </w:pPr>
            <w:r>
              <w:rPr>
                <w:rFonts w:ascii="Arial" w:cs="Arial" w:eastAsia="Arial" w:hAnsi="Arial"/>
                <w:sz w:val="16"/>
                <w:szCs w:val="16"/>
                <w:color w:val="auto"/>
              </w:rPr>
              <w:t>Income tax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(204)</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60" w:type="dxa"/>
            <w:vAlign w:val="bottom"/>
            <w:gridSpan w:val="5"/>
          </w:tcPr>
          <w:p>
            <w:pPr>
              <w:ind w:left="20"/>
              <w:spacing w:after="0"/>
              <w:rPr>
                <w:sz w:val="20"/>
                <w:szCs w:val="20"/>
                <w:color w:val="auto"/>
              </w:rPr>
            </w:pPr>
            <w:r>
              <w:rPr>
                <w:rFonts w:ascii="Arial" w:cs="Arial" w:eastAsia="Arial" w:hAnsi="Arial"/>
                <w:sz w:val="16"/>
                <w:szCs w:val="16"/>
                <w:b w:val="1"/>
                <w:bCs w:val="1"/>
                <w:color w:val="auto"/>
              </w:rPr>
              <w:t>Net Income (Loss) Attributable to Clearway Energy, Inc.</w:t>
            </w:r>
          </w:p>
        </w:tc>
        <w:tc>
          <w:tcPr>
            <w:tcW w:w="920" w:type="dxa"/>
            <w:vAlign w:val="bottom"/>
            <w:gridSpan w:val="2"/>
          </w:tcPr>
          <w:p>
            <w:pPr>
              <w:jc w:val="right"/>
              <w:ind w:right="409"/>
              <w:spacing w:after="0"/>
              <w:rPr>
                <w:sz w:val="20"/>
                <w:szCs w:val="20"/>
                <w:color w:val="auto"/>
              </w:rPr>
            </w:pPr>
            <w:r>
              <w:rPr>
                <w:rFonts w:ascii="Arial" w:cs="Arial" w:eastAsia="Arial" w:hAnsi="Arial"/>
                <w:sz w:val="16"/>
                <w:szCs w:val="16"/>
                <w:color w:val="auto"/>
              </w:rPr>
              <w:t>$</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660" w:type="dxa"/>
            <w:vAlign w:val="bottom"/>
          </w:tcPr>
          <w:p>
            <w:pPr>
              <w:jc w:val="right"/>
              <w:ind w:right="481"/>
              <w:spacing w:after="0"/>
              <w:rPr>
                <w:sz w:val="20"/>
                <w:szCs w:val="20"/>
                <w:color w:val="auto"/>
              </w:rPr>
            </w:pPr>
            <w:r>
              <w:rPr>
                <w:rFonts w:ascii="Arial" w:cs="Arial" w:eastAsia="Arial" w:hAnsi="Arial"/>
                <w:sz w:val="16"/>
                <w:szCs w:val="16"/>
                <w:color w:val="auto"/>
                <w:w w:val="89"/>
              </w:rPr>
              <w:t>$</w:t>
            </w: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109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(252)</w:t>
            </w:r>
          </w:p>
        </w:tc>
        <w:tc>
          <w:tcPr>
            <w:tcW w:w="8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0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rPr>
              <w:t>Balance Sheet</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Equity investment in affiliates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9"/>
              <w:spacing w:after="0"/>
              <w:rPr>
                <w:sz w:val="20"/>
                <w:szCs w:val="20"/>
                <w:color w:val="auto"/>
              </w:rPr>
            </w:pPr>
            <w:r>
              <w:rPr>
                <w:rFonts w:ascii="Arial" w:cs="Arial" w:eastAsia="Arial" w:hAnsi="Arial"/>
                <w:sz w:val="16"/>
                <w:szCs w:val="16"/>
                <w:color w:val="auto"/>
              </w:rPr>
              <w:t>$</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660" w:type="dxa"/>
            <w:vAlign w:val="bottom"/>
          </w:tcPr>
          <w:p>
            <w:pPr>
              <w:jc w:val="right"/>
              <w:ind w:right="481"/>
              <w:spacing w:after="0"/>
              <w:rPr>
                <w:sz w:val="20"/>
                <w:szCs w:val="20"/>
                <w:color w:val="auto"/>
              </w:rPr>
            </w:pPr>
            <w:r>
              <w:rPr>
                <w:rFonts w:ascii="Arial" w:cs="Arial" w:eastAsia="Arial" w:hAnsi="Arial"/>
                <w:sz w:val="16"/>
                <w:szCs w:val="16"/>
                <w:color w:val="auto"/>
                <w:w w:val="89"/>
              </w:rPr>
              <w:t>$</w:t>
            </w: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295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0"/>
                <w:szCs w:val="20"/>
                <w:color w:val="auto"/>
                <w:vertAlign w:val="superscript"/>
              </w:rPr>
              <w:t>(b)</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340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Total Assets </w:t>
            </w:r>
            <w:r>
              <w:rPr>
                <w:rFonts w:ascii="Arial" w:cs="Arial" w:eastAsia="Arial" w:hAnsi="Arial"/>
                <w:sz w:val="20"/>
                <w:szCs w:val="20"/>
                <w:b w:val="1"/>
                <w:bCs w:val="1"/>
                <w:color w:val="auto"/>
                <w:vertAlign w:val="superscript"/>
              </w:rPr>
              <w:t>(c)</w:t>
            </w: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gridSpan w:val="2"/>
          </w:tcPr>
          <w:p>
            <w:pPr>
              <w:jc w:val="right"/>
              <w:ind w:right="409"/>
              <w:spacing w:after="0"/>
              <w:rPr>
                <w:sz w:val="20"/>
                <w:szCs w:val="20"/>
                <w:color w:val="auto"/>
              </w:rPr>
            </w:pPr>
            <w:r>
              <w:rPr>
                <w:rFonts w:ascii="Arial" w:cs="Arial" w:eastAsia="Arial" w:hAnsi="Arial"/>
                <w:sz w:val="16"/>
                <w:szCs w:val="16"/>
                <w:color w:val="auto"/>
              </w:rPr>
              <w:t>$</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2,442</w:t>
            </w:r>
          </w:p>
        </w:tc>
        <w:tc>
          <w:tcPr>
            <w:tcW w:w="100" w:type="dxa"/>
            <w:vAlign w:val="bottom"/>
          </w:tcPr>
          <w:p>
            <w:pPr>
              <w:spacing w:after="0"/>
              <w:rPr>
                <w:sz w:val="23"/>
                <w:szCs w:val="23"/>
                <w:color w:val="auto"/>
              </w:rPr>
            </w:pPr>
          </w:p>
        </w:tc>
        <w:tc>
          <w:tcPr>
            <w:tcW w:w="660" w:type="dxa"/>
            <w:vAlign w:val="bottom"/>
          </w:tcPr>
          <w:p>
            <w:pPr>
              <w:jc w:val="right"/>
              <w:ind w:right="481"/>
              <w:spacing w:after="0"/>
              <w:rPr>
                <w:sz w:val="20"/>
                <w:szCs w:val="20"/>
                <w:color w:val="auto"/>
              </w:rPr>
            </w:pPr>
            <w:r>
              <w:rPr>
                <w:rFonts w:ascii="Arial" w:cs="Arial" w:eastAsia="Arial" w:hAnsi="Arial"/>
                <w:sz w:val="16"/>
                <w:szCs w:val="16"/>
                <w:color w:val="auto"/>
                <w:w w:val="89"/>
              </w:rPr>
              <w:t>$</w:t>
            </w: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w w:val="89"/>
              </w:rPr>
              <w:t>9,603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12,813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13792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spacing w:after="0" w:line="217" w:lineRule="exact"/>
        <w:rPr>
          <w:sz w:val="20"/>
          <w:szCs w:val="20"/>
          <w:color w:val="auto"/>
        </w:rPr>
      </w:pPr>
    </w:p>
    <w:p>
      <w:pPr>
        <w:ind w:left="140" w:hanging="133"/>
        <w:spacing w:after="0"/>
        <w:tabs>
          <w:tab w:leader="none" w:pos="140" w:val="left"/>
        </w:tabs>
        <w:numPr>
          <w:ilvl w:val="0"/>
          <w:numId w:val="66"/>
        </w:numPr>
        <w:rPr>
          <w:rFonts w:ascii="Arial" w:cs="Arial" w:eastAsia="Arial" w:hAnsi="Arial"/>
          <w:sz w:val="16"/>
          <w:szCs w:val="16"/>
          <w:color w:val="auto"/>
          <w:vertAlign w:val="superscript"/>
        </w:rPr>
      </w:pPr>
      <w:r>
        <w:rPr>
          <w:rFonts w:ascii="Arial" w:cs="Arial" w:eastAsia="Arial" w:hAnsi="Arial"/>
          <w:sz w:val="13"/>
          <w:szCs w:val="13"/>
          <w:color w:val="auto"/>
        </w:rPr>
        <w:t>Includes eliminations</w:t>
      </w:r>
    </w:p>
    <w:p>
      <w:pPr>
        <w:spacing w:after="0" w:line="44" w:lineRule="exact"/>
        <w:rPr>
          <w:rFonts w:ascii="Arial" w:cs="Arial" w:eastAsia="Arial" w:hAnsi="Arial"/>
          <w:sz w:val="16"/>
          <w:szCs w:val="16"/>
          <w:color w:val="auto"/>
          <w:vertAlign w:val="superscript"/>
        </w:rPr>
      </w:pPr>
    </w:p>
    <w:p>
      <w:pPr>
        <w:ind w:left="140" w:hanging="133"/>
        <w:spacing w:after="0" w:line="219" w:lineRule="auto"/>
        <w:tabs>
          <w:tab w:leader="none" w:pos="140" w:val="left"/>
        </w:tabs>
        <w:numPr>
          <w:ilvl w:val="0"/>
          <w:numId w:val="66"/>
        </w:numPr>
        <w:rPr>
          <w:rFonts w:ascii="Arial" w:cs="Arial" w:eastAsia="Arial" w:hAnsi="Arial"/>
          <w:sz w:val="16"/>
          <w:szCs w:val="16"/>
          <w:color w:val="auto"/>
          <w:vertAlign w:val="superscript"/>
        </w:rPr>
      </w:pPr>
      <w:r>
        <w:rPr>
          <w:rFonts w:ascii="Arial" w:cs="Arial" w:eastAsia="Arial" w:hAnsi="Arial"/>
          <w:sz w:val="13"/>
          <w:szCs w:val="13"/>
          <w:color w:val="auto"/>
        </w:rPr>
        <w:t>Includes accruals</w:t>
      </w:r>
    </w:p>
    <w:p>
      <w:pPr>
        <w:spacing w:after="0" w:line="45" w:lineRule="exact"/>
        <w:rPr>
          <w:rFonts w:ascii="Arial" w:cs="Arial" w:eastAsia="Arial" w:hAnsi="Arial"/>
          <w:sz w:val="16"/>
          <w:szCs w:val="16"/>
          <w:color w:val="auto"/>
          <w:vertAlign w:val="superscript"/>
        </w:rPr>
      </w:pPr>
    </w:p>
    <w:p>
      <w:pPr>
        <w:ind w:left="140" w:hanging="133"/>
        <w:spacing w:after="0" w:line="206" w:lineRule="auto"/>
        <w:tabs>
          <w:tab w:leader="none" w:pos="140" w:val="left"/>
        </w:tabs>
        <w:numPr>
          <w:ilvl w:val="0"/>
          <w:numId w:val="66"/>
        </w:numPr>
        <w:rPr>
          <w:rFonts w:ascii="Arial" w:cs="Arial" w:eastAsia="Arial" w:hAnsi="Arial"/>
          <w:sz w:val="17"/>
          <w:szCs w:val="17"/>
          <w:color w:val="auto"/>
          <w:vertAlign w:val="superscript"/>
        </w:rPr>
      </w:pPr>
      <w:r>
        <w:rPr>
          <w:rFonts w:ascii="Arial" w:cs="Arial" w:eastAsia="Arial" w:hAnsi="Arial"/>
          <w:sz w:val="13"/>
          <w:szCs w:val="13"/>
          <w:color w:val="auto"/>
        </w:rPr>
        <w:t>Thermal Business assets were reclassified to held for sale during the fourth quarter of 2021.</w:t>
      </w:r>
    </w:p>
    <w:p>
      <w:pPr>
        <w:spacing w:after="0" w:line="200" w:lineRule="exact"/>
        <w:rPr>
          <w:sz w:val="20"/>
          <w:szCs w:val="20"/>
          <w:color w:val="auto"/>
        </w:rPr>
      </w:pPr>
    </w:p>
    <w:p>
      <w:pPr>
        <w:spacing w:after="0" w:line="33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887" w:right="25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12"/>
          </w:tcPr>
          <w:p>
            <w:pPr>
              <w:jc w:val="center"/>
              <w:ind w:right="260"/>
              <w:spacing w:after="0"/>
              <w:rPr>
                <w:sz w:val="20"/>
                <w:szCs w:val="20"/>
                <w:color w:val="auto"/>
              </w:rPr>
            </w:pPr>
            <w:r>
              <w:rPr>
                <w:rFonts w:ascii="Arial" w:cs="Arial" w:eastAsia="Arial" w:hAnsi="Arial"/>
                <w:sz w:val="14"/>
                <w:szCs w:val="14"/>
                <w:b w:val="1"/>
                <w:bCs w:val="1"/>
                <w:color w:val="auto"/>
                <w:w w:val="90"/>
              </w:rPr>
              <w:t>Year ended December 31, 2020</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Conventional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Renewables</w:t>
            </w:r>
          </w:p>
        </w:tc>
        <w:tc>
          <w:tcPr>
            <w:tcW w:w="120" w:type="dxa"/>
            <w:vAlign w:val="bottom"/>
            <w:gridSpan w:val="2"/>
            <w:vMerge w:val="restart"/>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99"/>
              </w:rPr>
              <w:t>Thermal</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8"/>
                <w:szCs w:val="18"/>
                <w:b w:val="1"/>
                <w:bCs w:val="1"/>
                <w:color w:val="auto"/>
                <w:vertAlign w:val="superscript"/>
              </w:rPr>
              <w:t>(a)</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0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1"/>
              </w:rPr>
              <w:t>Generation</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163"/>
        </w:trPr>
        <w:tc>
          <w:tcPr>
            <w:tcW w:w="5020" w:type="dxa"/>
            <w:vAlign w:val="bottom"/>
            <w:gridSpan w:val="2"/>
          </w:tcPr>
          <w:p>
            <w:pPr>
              <w:ind w:left="140"/>
              <w:spacing w:after="0" w:line="164" w:lineRule="exact"/>
              <w:rPr>
                <w:sz w:val="20"/>
                <w:szCs w:val="20"/>
                <w:color w:val="auto"/>
              </w:rPr>
            </w:pPr>
            <w:r>
              <w:rPr>
                <w:rFonts w:ascii="Arial" w:cs="Arial" w:eastAsia="Arial" w:hAnsi="Arial"/>
                <w:sz w:val="16"/>
                <w:szCs w:val="16"/>
                <w:color w:val="auto"/>
                <w:w w:val="95"/>
              </w:rPr>
              <w:t>Cost of operations, exclusive of depreciation, amortization and accretion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07"/>
        </w:trPr>
        <w:tc>
          <w:tcPr>
            <w:tcW w:w="5020" w:type="dxa"/>
            <w:vAlign w:val="bottom"/>
            <w:gridSpan w:val="2"/>
          </w:tcPr>
          <w:p>
            <w:pPr>
              <w:ind w:left="300"/>
              <w:spacing w:after="0"/>
              <w:rPr>
                <w:sz w:val="20"/>
                <w:szCs w:val="20"/>
                <w:color w:val="auto"/>
              </w:rPr>
            </w:pPr>
            <w:r>
              <w:rPr>
                <w:rFonts w:ascii="Arial" w:cs="Arial" w:eastAsia="Arial" w:hAnsi="Arial"/>
                <w:sz w:val="16"/>
                <w:szCs w:val="16"/>
                <w:color w:val="auto"/>
              </w:rPr>
              <w:t>shown separately below</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Depreciation, amortization and accretion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11"/>
        </w:trPr>
        <w:tc>
          <w:tcPr>
            <w:tcW w:w="5020" w:type="dxa"/>
            <w:vAlign w:val="bottom"/>
            <w:gridSpan w:val="2"/>
          </w:tcPr>
          <w:p>
            <w:pPr>
              <w:ind w:left="140"/>
              <w:spacing w:after="0"/>
              <w:rPr>
                <w:sz w:val="20"/>
                <w:szCs w:val="20"/>
                <w:color w:val="auto"/>
              </w:rPr>
            </w:pPr>
            <w:r>
              <w:rPr>
                <w:rFonts w:ascii="Arial" w:cs="Arial" w:eastAsia="Arial" w:hAnsi="Arial"/>
                <w:sz w:val="16"/>
                <w:szCs w:val="16"/>
                <w:color w:val="auto"/>
              </w:rPr>
              <w:t>Impairment 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1"/>
        </w:trPr>
        <w:tc>
          <w:tcPr>
            <w:tcW w:w="5020" w:type="dxa"/>
            <w:vAlign w:val="bottom"/>
            <w:gridSpan w:val="2"/>
          </w:tcPr>
          <w:p>
            <w:pPr>
              <w:ind w:left="140"/>
              <w:spacing w:after="0"/>
              <w:rPr>
                <w:sz w:val="20"/>
                <w:szCs w:val="20"/>
                <w:color w:val="auto"/>
              </w:rPr>
            </w:pPr>
            <w:r>
              <w:rPr>
                <w:rFonts w:ascii="Arial" w:cs="Arial" w:eastAsia="Arial" w:hAnsi="Arial"/>
                <w:sz w:val="16"/>
                <w:szCs w:val="16"/>
                <w:color w:val="auto"/>
              </w:rPr>
              <w:t>Transaction and integration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Development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4"/>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Equity in earnings (losses) of unconsolidated affiliates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1"/>
        </w:trPr>
        <w:tc>
          <w:tcPr>
            <w:tcW w:w="5020" w:type="dxa"/>
            <w:vAlign w:val="bottom"/>
            <w:gridSpan w:val="2"/>
          </w:tcPr>
          <w:p>
            <w:pPr>
              <w:ind w:left="200"/>
              <w:spacing w:after="0"/>
              <w:rPr>
                <w:sz w:val="20"/>
                <w:szCs w:val="20"/>
                <w:color w:val="auto"/>
              </w:rPr>
            </w:pPr>
            <w:r>
              <w:rPr>
                <w:rFonts w:ascii="Arial" w:cs="Arial" w:eastAsia="Arial" w:hAnsi="Arial"/>
                <w:sz w:val="16"/>
                <w:szCs w:val="16"/>
                <w:color w:val="auto"/>
              </w:rPr>
              <w:t>Impairment loss on investment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Gain on sale of unconsolidated affiliates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1"/>
        </w:trPr>
        <w:tc>
          <w:tcPr>
            <w:tcW w:w="5020" w:type="dxa"/>
            <w:vAlign w:val="bottom"/>
            <w:gridSpan w:val="2"/>
          </w:tcPr>
          <w:p>
            <w:pPr>
              <w:ind w:left="200"/>
              <w:spacing w:after="0"/>
              <w:rPr>
                <w:sz w:val="20"/>
                <w:szCs w:val="20"/>
                <w:color w:val="auto"/>
              </w:rPr>
            </w:pPr>
            <w:r>
              <w:rPr>
                <w:rFonts w:ascii="Arial" w:cs="Arial" w:eastAsia="Arial" w:hAnsi="Arial"/>
                <w:sz w:val="16"/>
                <w:szCs w:val="16"/>
                <w:color w:val="auto"/>
              </w:rPr>
              <w:t>Other income,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debt extinguishment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1"/>
        </w:trPr>
        <w:tc>
          <w:tcPr>
            <w:tcW w:w="50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Interest expense, net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0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1"/>
        </w:trPr>
        <w:tc>
          <w:tcPr>
            <w:tcW w:w="5020" w:type="dxa"/>
            <w:vAlign w:val="bottom"/>
            <w:gridSpan w:val="2"/>
          </w:tcPr>
          <w:p>
            <w:pPr>
              <w:ind w:left="200"/>
              <w:spacing w:after="0"/>
              <w:rPr>
                <w:sz w:val="20"/>
                <w:szCs w:val="20"/>
                <w:color w:val="auto"/>
              </w:rPr>
            </w:pPr>
            <w:r>
              <w:rPr>
                <w:rFonts w:ascii="Arial" w:cs="Arial" w:eastAsia="Arial" w:hAnsi="Arial"/>
                <w:sz w:val="16"/>
                <w:szCs w:val="16"/>
                <w:color w:val="auto"/>
              </w:rPr>
              <w:t>Income tax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5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140</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9"/>
        </w:trPr>
        <w:tc>
          <w:tcPr>
            <w:tcW w:w="50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 Attributable to Clearway Energy, Inc.</w:t>
            </w: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2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rPr>
              <w:t>Balance Sheet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Equity investments in affiliates</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1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0"/>
                <w:szCs w:val="20"/>
                <w:color w:val="auto"/>
                <w:vertAlign w:val="superscript"/>
              </w:rPr>
              <w:t>(b)</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8"/>
        </w:trPr>
        <w:tc>
          <w:tcPr>
            <w:tcW w:w="50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2,575</w:t>
            </w:r>
          </w:p>
        </w:tc>
        <w:tc>
          <w:tcPr>
            <w:tcW w:w="1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7,157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10,592</w:t>
            </w:r>
          </w:p>
        </w:tc>
        <w:tc>
          <w:tcPr>
            <w:tcW w:w="0" w:type="dxa"/>
            <w:vAlign w:val="bottom"/>
          </w:tcPr>
          <w:p>
            <w:pPr>
              <w:spacing w:after="0"/>
              <w:rPr>
                <w:sz w:val="1"/>
                <w:szCs w:val="1"/>
                <w:color w:val="auto"/>
              </w:rPr>
            </w:pPr>
          </w:p>
        </w:tc>
      </w:tr>
      <w:tr>
        <w:trPr>
          <w:trHeight w:val="178"/>
        </w:trPr>
        <w:tc>
          <w:tcPr>
            <w:tcW w:w="2180" w:type="dxa"/>
            <w:vAlign w:val="bottom"/>
            <w:tcBorders>
              <w:bottom w:val="single" w:sz="8" w:color="auto"/>
            </w:tcBorders>
          </w:tcPr>
          <w:p>
            <w:pPr>
              <w:spacing w:after="0"/>
              <w:rPr>
                <w:sz w:val="15"/>
                <w:szCs w:val="15"/>
                <w:color w:val="auto"/>
              </w:rPr>
            </w:pPr>
          </w:p>
        </w:tc>
        <w:tc>
          <w:tcPr>
            <w:tcW w:w="2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020" w:type="dxa"/>
            <w:vAlign w:val="bottom"/>
            <w:gridSpan w:val="2"/>
          </w:tcPr>
          <w:p>
            <w:pPr>
              <w:spacing w:after="0"/>
              <w:rPr>
                <w:sz w:val="20"/>
                <w:szCs w:val="20"/>
                <w:color w:val="auto"/>
              </w:rPr>
            </w:pPr>
            <w:r>
              <w:rPr>
                <w:rFonts w:ascii="Arial" w:cs="Arial" w:eastAsia="Arial" w:hAnsi="Arial"/>
                <w:sz w:val="9"/>
                <w:szCs w:val="9"/>
                <w:color w:val="auto"/>
              </w:rPr>
              <w:t xml:space="preserve">(a) </w:t>
            </w:r>
            <w:r>
              <w:rPr>
                <w:rFonts w:ascii="Arial" w:cs="Arial" w:eastAsia="Arial" w:hAnsi="Arial"/>
                <w:sz w:val="14"/>
                <w:szCs w:val="14"/>
                <w:color w:val="auto"/>
              </w:rPr>
              <w:t>Includes eliminations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9"/>
                <w:szCs w:val="9"/>
                <w:color w:val="auto"/>
              </w:rPr>
              <w:t xml:space="preserve">(b) </w:t>
            </w:r>
            <w:r>
              <w:rPr>
                <w:rFonts w:ascii="Arial" w:cs="Arial" w:eastAsia="Arial" w:hAnsi="Arial"/>
                <w:sz w:val="14"/>
                <w:szCs w:val="14"/>
                <w:color w:val="auto"/>
              </w:rPr>
              <w:t>Includes accruals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2"/>
          </w:tcPr>
          <w:p>
            <w:pPr>
              <w:jc w:val="center"/>
              <w:ind w:right="260"/>
              <w:spacing w:after="0"/>
              <w:rPr>
                <w:sz w:val="20"/>
                <w:szCs w:val="20"/>
                <w:color w:val="auto"/>
              </w:rPr>
            </w:pPr>
            <w:r>
              <w:rPr>
                <w:rFonts w:ascii="Arial" w:cs="Arial" w:eastAsia="Arial" w:hAnsi="Arial"/>
                <w:sz w:val="14"/>
                <w:szCs w:val="14"/>
                <w:b w:val="1"/>
                <w:bCs w:val="1"/>
                <w:color w:val="auto"/>
                <w:w w:val="90"/>
              </w:rPr>
              <w:t>Year ended December 31, 2019</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Conventional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Renewables</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Thermal</w:t>
            </w:r>
          </w:p>
        </w:tc>
        <w:tc>
          <w:tcPr>
            <w:tcW w:w="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9"/>
                <w:szCs w:val="9"/>
                <w:b w:val="1"/>
                <w:bCs w:val="1"/>
                <w:color w:val="auto"/>
              </w:rPr>
              <w:t>(a)</w:t>
            </w:r>
          </w:p>
        </w:tc>
        <w:tc>
          <w:tcPr>
            <w:tcW w:w="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0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Generation</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163"/>
        </w:trPr>
        <w:tc>
          <w:tcPr>
            <w:tcW w:w="5020" w:type="dxa"/>
            <w:vAlign w:val="bottom"/>
            <w:gridSpan w:val="2"/>
          </w:tcPr>
          <w:p>
            <w:pPr>
              <w:ind w:left="140"/>
              <w:spacing w:after="0" w:line="164" w:lineRule="exact"/>
              <w:rPr>
                <w:sz w:val="20"/>
                <w:szCs w:val="20"/>
                <w:color w:val="auto"/>
              </w:rPr>
            </w:pPr>
            <w:r>
              <w:rPr>
                <w:rFonts w:ascii="Arial" w:cs="Arial" w:eastAsia="Arial" w:hAnsi="Arial"/>
                <w:sz w:val="16"/>
                <w:szCs w:val="16"/>
                <w:color w:val="auto"/>
                <w:w w:val="95"/>
              </w:rPr>
              <w:t>Cost of operations, exclusive of depreciation, amortization and accretion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143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07"/>
        </w:trPr>
        <w:tc>
          <w:tcPr>
            <w:tcW w:w="5020" w:type="dxa"/>
            <w:vAlign w:val="bottom"/>
            <w:gridSpan w:val="2"/>
          </w:tcPr>
          <w:p>
            <w:pPr>
              <w:ind w:left="300"/>
              <w:spacing w:after="0"/>
              <w:rPr>
                <w:sz w:val="20"/>
                <w:szCs w:val="20"/>
                <w:color w:val="auto"/>
              </w:rPr>
            </w:pPr>
            <w:r>
              <w:rPr>
                <w:rFonts w:ascii="Arial" w:cs="Arial" w:eastAsia="Arial" w:hAnsi="Arial"/>
                <w:sz w:val="16"/>
                <w:szCs w:val="16"/>
                <w:color w:val="auto"/>
              </w:rPr>
              <w:t>shown separately below</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Depreciation, amortization and accretion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1"/>
        </w:trPr>
        <w:tc>
          <w:tcPr>
            <w:tcW w:w="5020" w:type="dxa"/>
            <w:vAlign w:val="bottom"/>
            <w:gridSpan w:val="2"/>
          </w:tcPr>
          <w:p>
            <w:pPr>
              <w:ind w:left="140"/>
              <w:spacing w:after="0"/>
              <w:rPr>
                <w:sz w:val="20"/>
                <w:szCs w:val="20"/>
                <w:color w:val="auto"/>
              </w:rPr>
            </w:pPr>
            <w:r>
              <w:rPr>
                <w:rFonts w:ascii="Arial" w:cs="Arial" w:eastAsia="Arial" w:hAnsi="Arial"/>
                <w:sz w:val="16"/>
                <w:szCs w:val="16"/>
                <w:color w:val="auto"/>
              </w:rPr>
              <w:t>Impairment 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1"/>
        </w:trPr>
        <w:tc>
          <w:tcPr>
            <w:tcW w:w="5020" w:type="dxa"/>
            <w:vAlign w:val="bottom"/>
            <w:gridSpan w:val="2"/>
          </w:tcPr>
          <w:p>
            <w:pPr>
              <w:ind w:left="140"/>
              <w:spacing w:after="0"/>
              <w:rPr>
                <w:sz w:val="20"/>
                <w:szCs w:val="20"/>
                <w:color w:val="auto"/>
              </w:rPr>
            </w:pPr>
            <w:r>
              <w:rPr>
                <w:rFonts w:ascii="Arial" w:cs="Arial" w:eastAsia="Arial" w:hAnsi="Arial"/>
                <w:sz w:val="16"/>
                <w:szCs w:val="16"/>
                <w:color w:val="auto"/>
              </w:rPr>
              <w:t>Transaction and integration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Development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4"/>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Equity in earnings of unconsolidated affiliates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1"/>
        </w:trPr>
        <w:tc>
          <w:tcPr>
            <w:tcW w:w="5020" w:type="dxa"/>
            <w:vAlign w:val="bottom"/>
            <w:gridSpan w:val="2"/>
          </w:tcPr>
          <w:p>
            <w:pPr>
              <w:ind w:left="140"/>
              <w:spacing w:after="0"/>
              <w:rPr>
                <w:sz w:val="20"/>
                <w:szCs w:val="20"/>
                <w:color w:val="auto"/>
              </w:rPr>
            </w:pPr>
            <w:r>
              <w:rPr>
                <w:rFonts w:ascii="Arial" w:cs="Arial" w:eastAsia="Arial" w:hAnsi="Arial"/>
                <w:sz w:val="16"/>
                <w:szCs w:val="16"/>
                <w:color w:val="auto"/>
              </w:rPr>
              <w:t>Other income,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Loss on debt extinguishment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1"/>
        </w:trPr>
        <w:tc>
          <w:tcPr>
            <w:tcW w:w="5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Interest expense, net</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0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1"/>
        </w:trPr>
        <w:tc>
          <w:tcPr>
            <w:tcW w:w="5020" w:type="dxa"/>
            <w:vAlign w:val="bottom"/>
            <w:gridSpan w:val="2"/>
          </w:tcPr>
          <w:p>
            <w:pPr>
              <w:ind w:left="140"/>
              <w:spacing w:after="0"/>
              <w:rPr>
                <w:sz w:val="20"/>
                <w:szCs w:val="20"/>
                <w:color w:val="auto"/>
              </w:rPr>
            </w:pPr>
            <w:r>
              <w:rPr>
                <w:rFonts w:ascii="Arial" w:cs="Arial" w:eastAsia="Arial" w:hAnsi="Arial"/>
                <w:sz w:val="16"/>
                <w:szCs w:val="16"/>
                <w:color w:val="auto"/>
              </w:rPr>
              <w:t>Income tax benefit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5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9"/>
        </w:trPr>
        <w:tc>
          <w:tcPr>
            <w:tcW w:w="50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 Attributable to Clearway Energy, Inc.</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13792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(a)</w:t>
      </w:r>
      <w:r>
        <w:rPr>
          <w:rFonts w:ascii="Arial" w:cs="Arial" w:eastAsia="Arial" w:hAnsi="Arial"/>
          <w:sz w:val="14"/>
          <w:szCs w:val="14"/>
          <w:color w:val="auto"/>
        </w:rPr>
        <w:t xml:space="preserve"> Includes eliminations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Note 14 — Income Taxes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income tax provision consisted of the following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9"/>
              </w:rPr>
              <w:t>Year Ended December 31,</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7"/>
        </w:trPr>
        <w:tc>
          <w:tcPr>
            <w:tcW w:w="6380" w:type="dxa"/>
            <w:vAlign w:val="bottom"/>
          </w:tcPr>
          <w:p>
            <w:pPr>
              <w:spacing w:after="0"/>
              <w:rPr>
                <w:sz w:val="17"/>
                <w:szCs w:val="17"/>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2019</w:t>
            </w:r>
          </w:p>
        </w:tc>
      </w:tr>
      <w:tr>
        <w:trPr>
          <w:trHeight w:val="190"/>
        </w:trPr>
        <w:tc>
          <w:tcPr>
            <w:tcW w:w="6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1"/>
        </w:trPr>
        <w:tc>
          <w:tcPr>
            <w:tcW w:w="6380" w:type="dxa"/>
            <w:vAlign w:val="bottom"/>
          </w:tcPr>
          <w:p>
            <w:pPr>
              <w:ind w:left="140"/>
              <w:spacing w:after="0"/>
              <w:rPr>
                <w:sz w:val="20"/>
                <w:szCs w:val="20"/>
                <w:color w:val="auto"/>
              </w:rPr>
            </w:pPr>
            <w:r>
              <w:rPr>
                <w:rFonts w:ascii="Arial" w:cs="Arial" w:eastAsia="Arial" w:hAnsi="Arial"/>
                <w:sz w:val="16"/>
                <w:szCs w:val="16"/>
                <w:color w:val="auto"/>
              </w:rPr>
              <w:t>U.S. Federal</w:t>
            </w:r>
          </w:p>
        </w:tc>
        <w:tc>
          <w:tcPr>
            <w:tcW w:w="1120" w:type="dxa"/>
            <w:vAlign w:val="bottom"/>
          </w:tcPr>
          <w:p>
            <w:pPr>
              <w:jc w:val="right"/>
              <w:ind w:right="940"/>
              <w:spacing w:after="0"/>
              <w:rPr>
                <w:sz w:val="20"/>
                <w:szCs w:val="20"/>
                <w:color w:val="auto"/>
              </w:rPr>
            </w:pPr>
            <w:r>
              <w:rPr>
                <w:rFonts w:ascii="Arial" w:cs="Arial" w:eastAsia="Arial" w:hAnsi="Arial"/>
                <w:sz w:val="16"/>
                <w:szCs w:val="16"/>
                <w:color w:val="auto"/>
                <w:w w:val="89"/>
              </w:rPr>
              <w:t>$</w:t>
            </w:r>
          </w:p>
        </w:tc>
        <w:tc>
          <w:tcPr>
            <w:tcW w:w="380" w:type="dxa"/>
            <w:vAlign w:val="bottom"/>
          </w:tcPr>
          <w:p>
            <w:pPr>
              <w:ind w:left="200"/>
              <w:spacing w:after="0"/>
              <w:rPr>
                <w:sz w:val="20"/>
                <w:szCs w:val="20"/>
                <w:color w:val="auto"/>
              </w:rPr>
            </w:pPr>
            <w:r>
              <w:rPr>
                <w:rFonts w:ascii="Arial" w:cs="Arial" w:eastAsia="Arial" w:hAnsi="Arial"/>
                <w:sz w:val="16"/>
                <w:szCs w:val="16"/>
                <w:color w:val="auto"/>
                <w:w w:val="81"/>
              </w:rPr>
              <w:t>(2)</w:t>
            </w:r>
          </w:p>
        </w:tc>
        <w:tc>
          <w:tcPr>
            <w:tcW w:w="3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14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 deferred</w:t>
            </w: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12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income tax expense (benefit)</w:t>
            </w:r>
          </w:p>
        </w:tc>
        <w:tc>
          <w:tcPr>
            <w:tcW w:w="1120" w:type="dxa"/>
            <w:vAlign w:val="bottom"/>
            <w:shd w:val="clear" w:color="auto" w:fill="CCEEFF"/>
          </w:tcPr>
          <w:p>
            <w:pPr>
              <w:jc w:val="right"/>
              <w:ind w:right="940"/>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12</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reconciliation of the U.S. federal statutory rate of 21% to the Company's effective rate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10"/>
        </w:trPr>
        <w:tc>
          <w:tcPr>
            <w:tcW w:w="61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2019</w:t>
            </w:r>
          </w:p>
        </w:tc>
      </w:tr>
      <w:tr>
        <w:trPr>
          <w:trHeight w:val="190"/>
        </w:trPr>
        <w:tc>
          <w:tcPr>
            <w:tcW w:w="6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(In millions, except percentages)</w:t>
            </w:r>
          </w:p>
        </w:tc>
        <w:tc>
          <w:tcPr>
            <w:tcW w:w="1240" w:type="dxa"/>
            <w:vAlign w:val="bottom"/>
          </w:tcPr>
          <w:p>
            <w:pPr>
              <w:spacing w:after="0"/>
              <w:rPr>
                <w:sz w:val="16"/>
                <w:szCs w:val="16"/>
                <w:color w:val="auto"/>
              </w:rPr>
            </w:pP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(104)</w:t>
            </w:r>
          </w:p>
        </w:tc>
      </w:tr>
      <w:tr>
        <w:trPr>
          <w:trHeight w:val="204"/>
        </w:trPr>
        <w:tc>
          <w:tcPr>
            <w:tcW w:w="6140" w:type="dxa"/>
            <w:vAlign w:val="bottom"/>
          </w:tcPr>
          <w:p>
            <w:pPr>
              <w:ind w:left="20"/>
              <w:spacing w:after="0"/>
              <w:rPr>
                <w:sz w:val="20"/>
                <w:szCs w:val="20"/>
                <w:color w:val="auto"/>
              </w:rPr>
            </w:pPr>
            <w:r>
              <w:rPr>
                <w:rFonts w:ascii="Arial" w:cs="Arial" w:eastAsia="Arial" w:hAnsi="Arial"/>
                <w:sz w:val="16"/>
                <w:szCs w:val="16"/>
                <w:color w:val="auto"/>
              </w:rPr>
              <w:t>Tax at 21%</w:t>
            </w:r>
          </w:p>
        </w:tc>
        <w:tc>
          <w:tcPr>
            <w:tcW w:w="1020" w:type="dxa"/>
            <w:vAlign w:val="bottom"/>
          </w:tcPr>
          <w:p>
            <w:pPr>
              <w:spacing w:after="0"/>
              <w:rPr>
                <w:sz w:val="17"/>
                <w:szCs w:val="17"/>
                <w:color w:val="auto"/>
              </w:rPr>
            </w:pP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(22)</w:t>
            </w:r>
          </w:p>
        </w:tc>
      </w:tr>
      <w:tr>
        <w:trPr>
          <w:trHeight w:val="216"/>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taxes, net of federal benefit</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w:t>
            </w:r>
          </w:p>
        </w:tc>
      </w:tr>
      <w:tr>
        <w:trPr>
          <w:trHeight w:val="211"/>
        </w:trPr>
        <w:tc>
          <w:tcPr>
            <w:tcW w:w="6140" w:type="dxa"/>
            <w:vAlign w:val="bottom"/>
          </w:tcPr>
          <w:p>
            <w:pPr>
              <w:ind w:left="140"/>
              <w:spacing w:after="0"/>
              <w:rPr>
                <w:sz w:val="20"/>
                <w:szCs w:val="20"/>
                <w:color w:val="auto"/>
              </w:rPr>
            </w:pPr>
            <w:r>
              <w:rPr>
                <w:rFonts w:ascii="Arial" w:cs="Arial" w:eastAsia="Arial" w:hAnsi="Arial"/>
                <w:sz w:val="16"/>
                <w:szCs w:val="16"/>
                <w:color w:val="auto"/>
              </w:rPr>
              <w:t>Impact of non-taxable equity earnings</w:t>
            </w:r>
          </w:p>
        </w:tc>
        <w:tc>
          <w:tcPr>
            <w:tcW w:w="1020" w:type="dxa"/>
            <w:vAlign w:val="bottom"/>
          </w:tcPr>
          <w:p>
            <w:pPr>
              <w:spacing w:after="0"/>
              <w:rPr>
                <w:sz w:val="18"/>
                <w:szCs w:val="18"/>
                <w:color w:val="auto"/>
              </w:rPr>
            </w:pPr>
          </w:p>
        </w:tc>
        <w:tc>
          <w:tcPr>
            <w:tcW w:w="580" w:type="dxa"/>
            <w:vAlign w:val="bottom"/>
          </w:tcPr>
          <w:p>
            <w:pPr>
              <w:jc w:val="right"/>
              <w:ind w:right="121"/>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24</w:t>
            </w:r>
          </w:p>
        </w:tc>
      </w:tr>
      <w:tr>
        <w:trPr>
          <w:trHeight w:val="216"/>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Valuation allowance</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11"/>
        </w:trPr>
        <w:tc>
          <w:tcPr>
            <w:tcW w:w="6140" w:type="dxa"/>
            <w:vAlign w:val="bottom"/>
          </w:tcPr>
          <w:p>
            <w:pPr>
              <w:ind w:left="140"/>
              <w:spacing w:after="0"/>
              <w:rPr>
                <w:sz w:val="20"/>
                <w:szCs w:val="20"/>
                <w:color w:val="auto"/>
              </w:rPr>
            </w:pPr>
            <w:r>
              <w:rPr>
                <w:rFonts w:ascii="Arial" w:cs="Arial" w:eastAsia="Arial" w:hAnsi="Arial"/>
                <w:sz w:val="16"/>
                <w:szCs w:val="16"/>
                <w:color w:val="auto"/>
              </w:rPr>
              <w:t>Investment tax credits</w:t>
            </w:r>
          </w:p>
        </w:tc>
        <w:tc>
          <w:tcPr>
            <w:tcW w:w="10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w:t>
            </w:r>
          </w:p>
        </w:tc>
      </w:tr>
      <w:tr>
        <w:trPr>
          <w:trHeight w:val="216"/>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Production tax credits, including prior year true-up</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r>
      <w:tr>
        <w:trPr>
          <w:trHeight w:val="211"/>
        </w:trPr>
        <w:tc>
          <w:tcPr>
            <w:tcW w:w="6140" w:type="dxa"/>
            <w:vAlign w:val="bottom"/>
          </w:tcPr>
          <w:p>
            <w:pPr>
              <w:ind w:left="140"/>
              <w:spacing w:after="0"/>
              <w:rPr>
                <w:sz w:val="20"/>
                <w:szCs w:val="20"/>
                <w:color w:val="auto"/>
              </w:rPr>
            </w:pPr>
            <w:r>
              <w:rPr>
                <w:rFonts w:ascii="Arial" w:cs="Arial" w:eastAsia="Arial" w:hAnsi="Arial"/>
                <w:sz w:val="16"/>
                <w:szCs w:val="16"/>
                <w:color w:val="auto"/>
              </w:rPr>
              <w:t>Rate Change</w:t>
            </w:r>
          </w:p>
        </w:tc>
        <w:tc>
          <w:tcPr>
            <w:tcW w:w="1020" w:type="dxa"/>
            <w:vAlign w:val="bottom"/>
          </w:tcPr>
          <w:p>
            <w:pPr>
              <w:spacing w:after="0"/>
              <w:rPr>
                <w:sz w:val="18"/>
                <w:szCs w:val="18"/>
                <w:color w:val="auto"/>
              </w:rPr>
            </w:pP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Partnership state basis</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11"/>
        </w:trPr>
        <w:tc>
          <w:tcPr>
            <w:tcW w:w="6140" w:type="dxa"/>
            <w:vAlign w:val="bottom"/>
          </w:tcPr>
          <w:p>
            <w:pPr>
              <w:ind w:left="140"/>
              <w:spacing w:after="0"/>
              <w:rPr>
                <w:sz w:val="20"/>
                <w:szCs w:val="20"/>
                <w:color w:val="auto"/>
              </w:rPr>
            </w:pPr>
            <w:r>
              <w:rPr>
                <w:rFonts w:ascii="Arial" w:cs="Arial" w:eastAsia="Arial" w:hAnsi="Arial"/>
                <w:sz w:val="16"/>
                <w:szCs w:val="16"/>
                <w:color w:val="auto"/>
              </w:rPr>
              <w:t>State taxes assessed at subsidiaries</w:t>
            </w:r>
          </w:p>
        </w:tc>
        <w:tc>
          <w:tcPr>
            <w:tcW w:w="1020" w:type="dxa"/>
            <w:vAlign w:val="bottom"/>
          </w:tcPr>
          <w:p>
            <w:pPr>
              <w:spacing w:after="0"/>
              <w:rPr>
                <w:sz w:val="18"/>
                <w:szCs w:val="18"/>
                <w:color w:val="auto"/>
              </w:rPr>
            </w:pPr>
          </w:p>
        </w:tc>
        <w:tc>
          <w:tcPr>
            <w:tcW w:w="580" w:type="dxa"/>
            <w:vAlign w:val="bottom"/>
          </w:tcPr>
          <w:p>
            <w:pPr>
              <w:jc w:val="right"/>
              <w:ind w:right="12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6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r>
      <w:tr>
        <w:trPr>
          <w:trHeight w:val="209"/>
        </w:trPr>
        <w:tc>
          <w:tcPr>
            <w:tcW w:w="614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020" w:type="dxa"/>
            <w:vAlign w:val="bottom"/>
            <w:tcBorders>
              <w:bottom w:val="single" w:sz="8" w:color="auto"/>
            </w:tcBorders>
          </w:tcPr>
          <w:p>
            <w:pPr>
              <w:jc w:val="right"/>
              <w:ind w:right="84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7"/>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r>
    </w:tbl>
    <w:p>
      <w:pPr>
        <w:spacing w:after="0" w:line="228"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For the years ended December 31, 2021, 2020 and 2019, the overall effective tax rate was different than the statutory rate of 21% primarily due to the taxable earnings and losses allocated to partners’ interest in Clearway Energy LLC, which includes the effects of applying the HLBV method of accounting for book purposes of certain partnerships.</w:t>
      </w:r>
    </w:p>
    <w:p>
      <w:pPr>
        <w:spacing w:after="0" w:line="135"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For tax purposes, Clearway Energy LLC is treated as a partnership; therefore, the Company and CEG each record their respective share of taxable income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27" w:name="page128"/>
    <w:bookmarkEnd w:id="127"/>
    <w:p>
      <w:pPr>
        <w:ind w:left="400"/>
        <w:spacing w:after="0"/>
        <w:rPr>
          <w:sz w:val="20"/>
          <w:szCs w:val="20"/>
          <w:color w:val="auto"/>
        </w:rPr>
      </w:pPr>
      <w:r>
        <w:rPr>
          <w:rFonts w:ascii="Arial" w:cs="Arial" w:eastAsia="Arial" w:hAnsi="Arial"/>
          <w:sz w:val="18"/>
          <w:szCs w:val="18"/>
          <w:color w:val="auto"/>
        </w:rPr>
        <w:t>The temporary differences, which gave rise to the Company's deferred tax assets, consisted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As of December 31,</w:t>
            </w:r>
          </w:p>
        </w:tc>
        <w:tc>
          <w:tcPr>
            <w:tcW w:w="960" w:type="dxa"/>
            <w:vAlign w:val="bottom"/>
            <w:tcBorders>
              <w:bottom w:val="single" w:sz="8" w:color="auto"/>
            </w:tcBorders>
          </w:tcPr>
          <w:p>
            <w:pPr>
              <w:spacing w:after="0"/>
              <w:rPr>
                <w:sz w:val="16"/>
                <w:szCs w:val="16"/>
                <w:color w:val="auto"/>
              </w:rPr>
            </w:pPr>
          </w:p>
        </w:tc>
      </w:tr>
      <w:tr>
        <w:trPr>
          <w:trHeight w:val="185"/>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180"/>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5"/>
                <w:szCs w:val="15"/>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Investment in projects</w:t>
            </w: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r>
      <w:tr>
        <w:trPr>
          <w:trHeight w:val="20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deferred tax liabilities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04"/>
        </w:trPr>
        <w:tc>
          <w:tcPr>
            <w:tcW w:w="802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disallowance carryforward - Investment in Projects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1"/>
        </w:trPr>
        <w:tc>
          <w:tcPr>
            <w:tcW w:w="8020" w:type="dxa"/>
            <w:vAlign w:val="bottom"/>
          </w:tcPr>
          <w:p>
            <w:pPr>
              <w:ind w:left="140"/>
              <w:spacing w:after="0"/>
              <w:rPr>
                <w:sz w:val="20"/>
                <w:szCs w:val="20"/>
                <w:color w:val="auto"/>
              </w:rPr>
            </w:pPr>
            <w:r>
              <w:rPr>
                <w:rFonts w:ascii="Arial" w:cs="Arial" w:eastAsia="Arial" w:hAnsi="Arial"/>
                <w:sz w:val="16"/>
                <w:szCs w:val="16"/>
                <w:color w:val="auto"/>
              </w:rPr>
              <w:t>Production tax credits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tax credits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1"/>
        </w:trPr>
        <w:tc>
          <w:tcPr>
            <w:tcW w:w="8020" w:type="dxa"/>
            <w:vAlign w:val="bottom"/>
          </w:tcPr>
          <w:p>
            <w:pPr>
              <w:ind w:left="140"/>
              <w:spacing w:after="0"/>
              <w:rPr>
                <w:sz w:val="20"/>
                <w:szCs w:val="20"/>
                <w:color w:val="auto"/>
              </w:rPr>
            </w:pPr>
            <w:r>
              <w:rPr>
                <w:rFonts w:ascii="Arial" w:cs="Arial" w:eastAsia="Arial" w:hAnsi="Arial"/>
                <w:sz w:val="16"/>
                <w:szCs w:val="16"/>
                <w:color w:val="auto"/>
              </w:rPr>
              <w:t>U.S. Federal net operating loss carryforwards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loss carryforwards</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1"/>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State net operating loss carryforwards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deferred tax assets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11"/>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Valuation allowance</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deferred tax assets, net of valuation allowance</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Net deferred noncurrent tax asset</w:t>
            </w: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and Payable</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2021, the Company has no current or long-term tax receivable or payable to be recorded.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and Valuation Allowance</w:t>
      </w:r>
    </w:p>
    <w:p>
      <w:pPr>
        <w:spacing w:after="0" w:line="166" w:lineRule="exact"/>
        <w:rPr>
          <w:sz w:val="20"/>
          <w:szCs w:val="20"/>
          <w:color w:val="auto"/>
        </w:rPr>
      </w:pPr>
    </w:p>
    <w:p>
      <w:pPr>
        <w:jc w:val="both"/>
        <w:ind w:firstLine="400"/>
        <w:spacing w:after="0" w:line="251" w:lineRule="auto"/>
        <w:rPr>
          <w:sz w:val="20"/>
          <w:szCs w:val="20"/>
          <w:color w:val="auto"/>
        </w:rPr>
      </w:pPr>
      <w:r>
        <w:rPr>
          <w:rFonts w:ascii="Arial" w:cs="Arial" w:eastAsia="Arial" w:hAnsi="Arial"/>
          <w:sz w:val="18"/>
          <w:szCs w:val="18"/>
          <w:i w:val="1"/>
          <w:iCs w:val="1"/>
          <w:color w:val="auto"/>
        </w:rPr>
        <w:t xml:space="preserve">Net deferred tax balance </w:t>
      </w:r>
      <w:r>
        <w:rPr>
          <w:rFonts w:ascii="Arial" w:cs="Arial" w:eastAsia="Arial" w:hAnsi="Arial"/>
          <w:sz w:val="18"/>
          <w:szCs w:val="18"/>
          <w:color w:val="auto"/>
        </w:rPr>
        <w:t>— As of December 31, 2021 and 2020, the Company recorded a net deferred tax asset of $82 million and $104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Company believes it is more likely than not that the results of future operations will generate sufficient taxable income which includes the future reversal of existing taxable temporary differences to realize deferred tax assets. The Company considered the profit before tax generated in recent years as well as projections of future earnings and estimates of taxable income in arriving at this conclusion. The Company believes that $1 million of existing state NOLs, based on forecasted future earnings and estimated taxable income, will expire unutilized, resulting in the recording of a valuation allowance.</w:t>
      </w:r>
    </w:p>
    <w:p>
      <w:pPr>
        <w:spacing w:after="0" w:line="141"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i w:val="1"/>
          <w:iCs w:val="1"/>
          <w:color w:val="auto"/>
        </w:rPr>
        <w:t xml:space="preserve">NOL carryforwards </w:t>
      </w:r>
      <w:r>
        <w:rPr>
          <w:rFonts w:ascii="Arial" w:cs="Arial" w:eastAsia="Arial" w:hAnsi="Arial"/>
          <w:sz w:val="18"/>
          <w:szCs w:val="18"/>
          <w:color w:val="auto"/>
        </w:rPr>
        <w:t>— As of December 31, 2021, the Company had domestic NOLs carryforwards for federal income tax purposes of $277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state NOLs of $51 million tax-effected.</w:t>
      </w:r>
    </w:p>
    <w:p>
      <w:pPr>
        <w:spacing w:after="0" w:line="12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i w:val="1"/>
          <w:iCs w:val="1"/>
          <w:color w:val="auto"/>
        </w:rPr>
        <w:t xml:space="preserve">Interest disallowance carryforward </w:t>
      </w:r>
      <w:r>
        <w:rPr>
          <w:rFonts w:ascii="Arial" w:cs="Arial" w:eastAsia="Arial" w:hAnsi="Arial"/>
          <w:sz w:val="18"/>
          <w:szCs w:val="18"/>
          <w:color w:val="auto"/>
        </w:rPr>
        <w:t>— As of December 31, 2021, the Company has a deferred tax asset of $7 million related to disallowed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under the proposed IRC §163(j) regulation.</w:t>
      </w:r>
    </w:p>
    <w:p>
      <w:pPr>
        <w:spacing w:after="0" w:line="12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The disallowed interest deduction has an indefinite carry forward period and any limitations on the utilization of this carryforward have been factored into the valuation allowance analysis.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has not identified any uncertain tax positions to be reported as of December 31,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Related Party Transactions</w:t>
      </w:r>
    </w:p>
    <w:p>
      <w:pPr>
        <w:spacing w:after="0" w:line="172" w:lineRule="exact"/>
        <w:rPr>
          <w:sz w:val="20"/>
          <w:szCs w:val="20"/>
          <w:color w:val="auto"/>
        </w:rPr>
      </w:pPr>
    </w:p>
    <w:p>
      <w:pPr>
        <w:jc w:val="both"/>
        <w:ind w:firstLine="400"/>
        <w:spacing w:after="0" w:line="295"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 The disclosures below summarize the Company's material related party transactions with CEG and its subsidiaries that are included in the Company's operating costs.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Various wholly-owned subsidiaries of the Company in the Renewables segment are party to services agreements with Clearway Renewable Operation</w:t>
      </w:r>
    </w:p>
    <w:p>
      <w:pPr>
        <w:spacing w:after="0" w:line="40" w:lineRule="exact"/>
        <w:rPr>
          <w:sz w:val="20"/>
          <w:szCs w:val="20"/>
          <w:color w:val="auto"/>
        </w:rPr>
      </w:pPr>
    </w:p>
    <w:p>
      <w:pPr>
        <w:jc w:val="both"/>
        <w:ind w:firstLine="7"/>
        <w:spacing w:after="0" w:line="297" w:lineRule="auto"/>
        <w:tabs>
          <w:tab w:leader="none" w:pos="193" w:val="left"/>
        </w:tabs>
        <w:numPr>
          <w:ilvl w:val="0"/>
          <w:numId w:val="67"/>
        </w:numPr>
        <w:rPr>
          <w:rFonts w:ascii="Arial" w:cs="Arial" w:eastAsia="Arial" w:hAnsi="Arial"/>
          <w:sz w:val="16"/>
          <w:szCs w:val="16"/>
          <w:color w:val="auto"/>
        </w:rPr>
      </w:pPr>
      <w:r>
        <w:rPr>
          <w:rFonts w:ascii="Arial" w:cs="Arial" w:eastAsia="Arial" w:hAnsi="Arial"/>
          <w:sz w:val="16"/>
          <w:szCs w:val="16"/>
          <w:color w:val="auto"/>
        </w:rPr>
        <w:t>Maintenance LLC, or RENOM, a wholly-owned subsidiary of CEG, which provides operation and maintenance, or O&amp;M, services to these subsidiaries. The Company incurred total expenses for these services of $56 million, $37 million and $31 million for the years ended December 31, 2021, 2020 and 2019, respectively. There was a balance of $9 million and $10 million due to RENOM as of December 31, 2021 and 2020,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16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Various wholly-owned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$14 million, $10 million and $7 million for the years ended December 31, 2021, 2020 and 2019, respectively. There was a balance of $2 million due to CEG as of both December 31, 2021 and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66" w:lineRule="exact"/>
        <w:rPr>
          <w:sz w:val="20"/>
          <w:szCs w:val="20"/>
          <w:color w:val="auto"/>
        </w:rPr>
      </w:pPr>
    </w:p>
    <w:p>
      <w:pPr>
        <w:jc w:val="both"/>
        <w:ind w:firstLine="400"/>
        <w:spacing w:after="0" w:line="295" w:lineRule="auto"/>
        <w:rPr>
          <w:sz w:val="20"/>
          <w:szCs w:val="20"/>
          <w:color w:val="auto"/>
        </w:rPr>
      </w:pPr>
      <w:r>
        <w:rPr>
          <w:rFonts w:ascii="Arial" w:cs="Arial" w:eastAsia="Arial" w:hAnsi="Arial"/>
          <w:sz w:val="16"/>
          <w:szCs w:val="16"/>
          <w:color w:val="auto"/>
        </w:rPr>
        <w:t>The Company is a party to Master Services Agreements with CEG, or MSAs, pursuant to which CEG and certain of its affiliates or third-party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of $4 million, $2 million and $1 million under these agreements for the years ended December 31, 2021, 2020 and 2019,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and Transportation Commitments</w:t>
      </w:r>
    </w:p>
    <w:p>
      <w:pPr>
        <w:spacing w:after="0" w:line="166" w:lineRule="exact"/>
        <w:rPr>
          <w:sz w:val="20"/>
          <w:szCs w:val="20"/>
          <w:color w:val="auto"/>
        </w:rPr>
      </w:pPr>
    </w:p>
    <w:p>
      <w:pPr>
        <w:jc w:val="both"/>
        <w:ind w:firstLine="400"/>
        <w:spacing w:after="0" w:line="412" w:lineRule="auto"/>
        <w:rPr>
          <w:sz w:val="20"/>
          <w:szCs w:val="20"/>
          <w:color w:val="auto"/>
        </w:rPr>
      </w:pPr>
      <w:r>
        <w:rPr>
          <w:rFonts w:ascii="Arial" w:cs="Arial" w:eastAsia="Arial" w:hAnsi="Arial"/>
          <w:sz w:val="14"/>
          <w:szCs w:val="14"/>
          <w:color w:val="auto"/>
        </w:rPr>
        <w:t>The Company has entered into contractual arrangements to procure power, fuel and associated transportation services for the Thermal Business. For the years ended December 31, 2021, 2020 and 2019, the Company purchased $40 million, $32 million, and $38 million, respectively, under such arrangements.</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2021, the Company's future minimum commitments under such outstanding agreements are estimated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(In millions)</w:t>
            </w:r>
          </w:p>
        </w:tc>
      </w:tr>
      <w:tr>
        <w:trPr>
          <w:trHeight w:val="22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7"/>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958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6"/>
        </w:trPr>
        <w:tc>
          <w:tcPr>
            <w:tcW w:w="9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2" w:lineRule="exact"/>
        <w:rPr>
          <w:sz w:val="20"/>
          <w:szCs w:val="20"/>
          <w:color w:val="auto"/>
        </w:rPr>
      </w:pPr>
    </w:p>
    <w:p>
      <w:pPr>
        <w:jc w:val="both"/>
        <w:ind w:firstLine="400"/>
        <w:spacing w:after="0" w:line="284"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9" w:name="page130"/>
    <w:bookmarkEnd w:id="129"/>
    <w:p>
      <w:pPr>
        <w:jc w:val="both"/>
        <w:ind w:firstLine="400"/>
        <w:spacing w:after="0" w:line="257"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153" w:lineRule="exact"/>
        <w:rPr>
          <w:sz w:val="20"/>
          <w:szCs w:val="20"/>
          <w:color w:val="auto"/>
        </w:rPr>
      </w:pPr>
    </w:p>
    <w:p>
      <w:pPr>
        <w:jc w:val="both"/>
        <w:ind w:firstLine="400"/>
        <w:spacing w:after="0" w:line="247" w:lineRule="auto"/>
        <w:rPr>
          <w:sz w:val="20"/>
          <w:szCs w:val="20"/>
          <w:color w:val="auto"/>
        </w:rPr>
      </w:pPr>
      <w:r>
        <w:rPr>
          <w:rFonts w:ascii="Arial" w:cs="Arial" w:eastAsia="Arial" w:hAnsi="Arial"/>
          <w:sz w:val="16"/>
          <w:szCs w:val="16"/>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On April 13, 2020, the U.S. District Court granted the wind projects' motion for summary judgment and permanently enjoined NPPD from terminating the PPAs in reliance on the alleged events of default. The U.S. District Court decision was appealed by NPPD on May 11, 2020. On August 24, 2021, the U.S. Court of Appeals for the Eighth Circuit affirmed the U.S. District Court decision granting summary judgment. On October 18, 2021, the Appeals Court denied a petition by NPPD for rehearing and a request that the case be heard by the full Appeals Court. On November 2, 2021, the Knox County District Court issued an order dismissing the case with respect to the Elkhorn Ridge project. Accordingly, the federal case and the state case are now concluded.</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Buckthorn Solar Litigation</w:t>
      </w:r>
    </w:p>
    <w:p>
      <w:pPr>
        <w:spacing w:after="0" w:line="140" w:lineRule="exact"/>
        <w:rPr>
          <w:sz w:val="20"/>
          <w:szCs w:val="20"/>
          <w:color w:val="auto"/>
        </w:rPr>
      </w:pPr>
    </w:p>
    <w:p>
      <w:pPr>
        <w:jc w:val="both"/>
        <w:ind w:firstLine="400"/>
        <w:spacing w:after="0" w:line="249" w:lineRule="auto"/>
        <w:rPr>
          <w:sz w:val="20"/>
          <w:szCs w:val="20"/>
          <w:color w:val="auto"/>
        </w:rPr>
      </w:pPr>
      <w:r>
        <w:rPr>
          <w:rFonts w:ascii="Arial" w:cs="Arial" w:eastAsia="Arial" w:hAnsi="Arial"/>
          <w:sz w:val="16"/>
          <w:szCs w:val="16"/>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Buckthorn Westex believes the allegations of Georgetown are meritless, and Buckthorn Westex is vigorously defending its rights under the PPA.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Leases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Company evaluates each arrangement at inception to determine if it contains a lease. Substantially all of the Company’s leases are operating leases.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166"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color w:val="auto"/>
        </w:rPr>
        <w:t>The Company records its operating lease liabilities at the present value of the lease payments over the lease term at lease commencement date.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spacing w:after="0" w:line="111"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The Company’s leases consist of land leases for numerous operating asset locations, real estate leases and equipment leases. The terms and conditions for these leases vary by the type of underlying asset.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24"/>
        </w:trPr>
        <w:tc>
          <w:tcPr>
            <w:tcW w:w="9300" w:type="dxa"/>
            <w:vAlign w:val="bottom"/>
            <w:gridSpan w:val="7"/>
          </w:tcPr>
          <w:p>
            <w:pPr>
              <w:ind w:left="400"/>
              <w:spacing w:after="0"/>
              <w:rPr>
                <w:sz w:val="20"/>
                <w:szCs w:val="20"/>
                <w:color w:val="auto"/>
              </w:rPr>
            </w:pPr>
            <w:r>
              <w:rPr>
                <w:rFonts w:ascii="Arial" w:cs="Arial" w:eastAsia="Arial" w:hAnsi="Arial"/>
                <w:sz w:val="18"/>
                <w:szCs w:val="18"/>
                <w:color w:val="auto"/>
              </w:rPr>
              <w:t>Lease expense for the years ended December 31, 2021, 2020 and 2019 was comprised of the following:</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07"/>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4"/>
                <w:szCs w:val="24"/>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4"/>
                <w:szCs w:val="24"/>
                <w:color w:val="auto"/>
              </w:rPr>
            </w:pPr>
          </w:p>
        </w:tc>
        <w:tc>
          <w:tcPr>
            <w:tcW w:w="1760" w:type="dxa"/>
            <w:vAlign w:val="bottom"/>
          </w:tcPr>
          <w:p>
            <w:pPr>
              <w:jc w:val="right"/>
              <w:ind w:right="171"/>
              <w:spacing w:after="0"/>
              <w:rPr>
                <w:sz w:val="20"/>
                <w:szCs w:val="20"/>
                <w:color w:val="auto"/>
              </w:rPr>
            </w:pPr>
            <w:r>
              <w:rPr>
                <w:rFonts w:ascii="Arial" w:cs="Arial" w:eastAsia="Arial" w:hAnsi="Arial"/>
                <w:sz w:val="18"/>
                <w:szCs w:val="18"/>
                <w:b w:val="1"/>
                <w:bCs w:val="1"/>
                <w:color w:val="auto"/>
                <w:w w:val="91"/>
              </w:rPr>
              <w:t>December 31, 2019</w:t>
            </w:r>
          </w:p>
        </w:tc>
      </w:tr>
      <w:tr>
        <w:trPr>
          <w:trHeight w:val="221"/>
        </w:trPr>
        <w:tc>
          <w:tcPr>
            <w:tcW w:w="52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cost - Fixed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6"/>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Operating lease cost - Variable</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6"/>
        </w:trPr>
        <w:tc>
          <w:tcPr>
            <w:tcW w:w="52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Total 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Operating lease information as of December 31, 2021 and 2020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(In millions, except term and rate)</w:t>
            </w:r>
          </w:p>
        </w:tc>
        <w:tc>
          <w:tcPr>
            <w:tcW w:w="260" w:type="dxa"/>
            <w:vAlign w:val="bottom"/>
          </w:tcPr>
          <w:p>
            <w:pPr>
              <w:spacing w:after="0"/>
              <w:rPr>
                <w:sz w:val="20"/>
                <w:szCs w:val="20"/>
                <w:color w:val="auto"/>
              </w:rPr>
            </w:pPr>
          </w:p>
        </w:tc>
        <w:tc>
          <w:tcPr>
            <w:tcW w:w="21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 2021</w:t>
            </w:r>
          </w:p>
        </w:tc>
        <w:tc>
          <w:tcPr>
            <w:tcW w:w="260" w:type="dxa"/>
            <w:vAlign w:val="bottom"/>
          </w:tcPr>
          <w:p>
            <w:pPr>
              <w:spacing w:after="0"/>
              <w:rPr>
                <w:sz w:val="20"/>
                <w:szCs w:val="20"/>
                <w:color w:val="auto"/>
              </w:rPr>
            </w:pPr>
          </w:p>
        </w:tc>
        <w:tc>
          <w:tcPr>
            <w:tcW w:w="2020" w:type="dxa"/>
            <w:vAlign w:val="bottom"/>
          </w:tcPr>
          <w:p>
            <w:pPr>
              <w:jc w:val="right"/>
              <w:ind w:right="331"/>
              <w:spacing w:after="0"/>
              <w:rPr>
                <w:sz w:val="20"/>
                <w:szCs w:val="20"/>
                <w:color w:val="auto"/>
              </w:rPr>
            </w:pPr>
            <w:r>
              <w:rPr>
                <w:rFonts w:ascii="Arial" w:cs="Arial" w:eastAsia="Arial" w:hAnsi="Arial"/>
                <w:sz w:val="18"/>
                <w:szCs w:val="18"/>
                <w:b w:val="1"/>
                <w:bCs w:val="1"/>
                <w:color w:val="auto"/>
                <w:w w:val="97"/>
              </w:rPr>
              <w:t>December 31, 2020</w:t>
            </w:r>
          </w:p>
        </w:tc>
      </w:tr>
      <w:tr>
        <w:trPr>
          <w:trHeight w:val="221"/>
        </w:trPr>
        <w:tc>
          <w:tcPr>
            <w:tcW w:w="6600" w:type="dxa"/>
            <w:vAlign w:val="bottom"/>
            <w:tcBorders>
              <w:top w:val="single" w:sz="8" w:color="CCEEFF"/>
            </w:tcBorders>
            <w:shd w:val="clear" w:color="auto" w:fill="CCEEFF"/>
          </w:tcPr>
          <w:p>
            <w:pPr>
              <w:ind w:left="220"/>
              <w:spacing w:after="0" w:line="221" w:lineRule="exact"/>
              <w:rPr>
                <w:sz w:val="20"/>
                <w:szCs w:val="20"/>
                <w:color w:val="auto"/>
              </w:rPr>
            </w:pPr>
            <w:r>
              <w:rPr>
                <w:rFonts w:ascii="Arial" w:cs="Arial" w:eastAsia="Arial" w:hAnsi="Arial"/>
                <w:sz w:val="18"/>
                <w:szCs w:val="18"/>
                <w:color w:val="auto"/>
              </w:rPr>
              <w:t xml:space="preserve">Right-of-use assets - operating leases, net </w:t>
            </w:r>
            <w:r>
              <w:rPr>
                <w:rFonts w:ascii="Arial" w:cs="Arial" w:eastAsia="Arial" w:hAnsi="Arial"/>
                <w:sz w:val="23"/>
                <w:szCs w:val="23"/>
                <w:color w:val="auto"/>
                <w:vertAlign w:val="superscript"/>
              </w:rPr>
              <w:t>(a) (b)</w:t>
            </w: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550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337</w:t>
            </w:r>
          </w:p>
        </w:tc>
      </w:tr>
      <w:tr>
        <w:trPr>
          <w:trHeight w:val="140"/>
        </w:trPr>
        <w:tc>
          <w:tcPr>
            <w:tcW w:w="6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227"/>
        </w:trPr>
        <w:tc>
          <w:tcPr>
            <w:tcW w:w="6600" w:type="dxa"/>
            <w:vAlign w:val="bottom"/>
            <w:shd w:val="clear" w:color="auto" w:fill="CCEEFF"/>
          </w:tcPr>
          <w:p>
            <w:pPr>
              <w:ind w:left="220"/>
              <w:spacing w:after="0" w:line="226" w:lineRule="exact"/>
              <w:rPr>
                <w:sz w:val="20"/>
                <w:szCs w:val="20"/>
                <w:color w:val="auto"/>
              </w:rPr>
            </w:pPr>
            <w:r>
              <w:rPr>
                <w:rFonts w:ascii="Arial" w:cs="Arial" w:eastAsia="Arial" w:hAnsi="Arial"/>
                <w:sz w:val="18"/>
                <w:szCs w:val="18"/>
                <w:color w:val="auto"/>
              </w:rPr>
              <w:t xml:space="preserve">Short-term lease liability - operating leases </w:t>
            </w:r>
            <w:r>
              <w:rPr>
                <w:rFonts w:ascii="Arial" w:cs="Arial" w:eastAsia="Arial" w:hAnsi="Arial"/>
                <w:sz w:val="23"/>
                <w:szCs w:val="23"/>
                <w:color w:val="auto"/>
                <w:vertAlign w:val="superscript"/>
              </w:rPr>
              <w:t>(c)</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w:t>
            </w:r>
          </w:p>
        </w:tc>
      </w:tr>
      <w:tr>
        <w:trPr>
          <w:trHeight w:val="226"/>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Long-term lease liability - operating leases</w:t>
            </w: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345</w:t>
            </w:r>
          </w:p>
        </w:tc>
      </w:tr>
      <w:tr>
        <w:trPr>
          <w:trHeight w:val="246"/>
        </w:trPr>
        <w:tc>
          <w:tcPr>
            <w:tcW w:w="6600" w:type="dxa"/>
            <w:vAlign w:val="bottom"/>
            <w:tcBorders>
              <w:bottom w:val="single" w:sz="8" w:color="CCEEFF"/>
            </w:tcBorders>
            <w:shd w:val="clear" w:color="auto" w:fill="CCEEFF"/>
          </w:tcPr>
          <w:p>
            <w:pPr>
              <w:ind w:left="860"/>
              <w:spacing w:after="0" w:line="221" w:lineRule="exact"/>
              <w:rPr>
                <w:sz w:val="20"/>
                <w:szCs w:val="20"/>
                <w:color w:val="auto"/>
              </w:rPr>
            </w:pPr>
            <w:r>
              <w:rPr>
                <w:rFonts w:ascii="Arial" w:cs="Arial" w:eastAsia="Arial" w:hAnsi="Arial"/>
                <w:sz w:val="18"/>
                <w:szCs w:val="18"/>
                <w:b w:val="1"/>
                <w:bCs w:val="1"/>
                <w:color w:val="auto"/>
              </w:rPr>
              <w:t xml:space="preserve">Total lease liabilities </w:t>
            </w:r>
            <w:r>
              <w:rPr>
                <w:rFonts w:ascii="Arial" w:cs="Arial" w:eastAsia="Arial" w:hAnsi="Arial"/>
                <w:sz w:val="23"/>
                <w:szCs w:val="23"/>
                <w:b w:val="1"/>
                <w:bCs w:val="1"/>
                <w:color w:val="auto"/>
                <w:vertAlign w:val="superscript"/>
              </w:rPr>
              <w:t>(a) (b)</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353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107"/>
        </w:trPr>
        <w:tc>
          <w:tcPr>
            <w:tcW w:w="6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20" w:type="dxa"/>
            <w:vAlign w:val="bottom"/>
          </w:tcPr>
          <w:p>
            <w:pPr>
              <w:spacing w:after="0"/>
              <w:rPr>
                <w:sz w:val="9"/>
                <w:szCs w:val="9"/>
                <w:color w:val="auto"/>
              </w:rPr>
            </w:pPr>
          </w:p>
        </w:tc>
      </w:tr>
      <w:tr>
        <w:trPr>
          <w:trHeight w:val="227"/>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remaining lease term (in years)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6"/>
        </w:trPr>
        <w:tc>
          <w:tcPr>
            <w:tcW w:w="6600" w:type="dxa"/>
            <w:vAlign w:val="bottom"/>
          </w:tcPr>
          <w:p>
            <w:pPr>
              <w:ind w:left="22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161"/>
        </w:trPr>
        <w:tc>
          <w:tcPr>
            <w:tcW w:w="6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225"/>
        </w:trPr>
        <w:tc>
          <w:tcPr>
            <w:tcW w:w="6600" w:type="dxa"/>
            <w:vAlign w:val="bottom"/>
          </w:tcPr>
          <w:p>
            <w:pPr>
              <w:ind w:left="220"/>
              <w:spacing w:after="0"/>
              <w:rPr>
                <w:sz w:val="20"/>
                <w:szCs w:val="20"/>
                <w:color w:val="auto"/>
              </w:rPr>
            </w:pPr>
            <w:r>
              <w:rPr>
                <w:rFonts w:ascii="Arial" w:cs="Arial" w:eastAsia="Arial" w:hAnsi="Arial"/>
                <w:sz w:val="18"/>
                <w:szCs w:val="18"/>
                <w:color w:val="auto"/>
              </w:rPr>
              <w:t>Cash paid for operating leases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1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ind w:right="131"/>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13792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spacing w:after="0" w:line="256" w:lineRule="exact"/>
        <w:rPr>
          <w:sz w:val="20"/>
          <w:szCs w:val="20"/>
          <w:color w:val="auto"/>
        </w:rPr>
      </w:pPr>
    </w:p>
    <w:p>
      <w:pPr>
        <w:ind w:left="160" w:hanging="153"/>
        <w:spacing w:after="0"/>
        <w:tabs>
          <w:tab w:leader="none" w:pos="160" w:val="left"/>
        </w:tabs>
        <w:numPr>
          <w:ilvl w:val="0"/>
          <w:numId w:val="68"/>
        </w:numPr>
        <w:rPr>
          <w:rFonts w:ascii="Arial" w:cs="Arial" w:eastAsia="Arial" w:hAnsi="Arial"/>
          <w:sz w:val="18"/>
          <w:szCs w:val="18"/>
          <w:color w:val="auto"/>
          <w:vertAlign w:val="superscript"/>
        </w:rPr>
      </w:pPr>
      <w:r>
        <w:rPr>
          <w:rFonts w:ascii="Arial" w:cs="Arial" w:eastAsia="Arial" w:hAnsi="Arial"/>
          <w:sz w:val="12"/>
          <w:szCs w:val="12"/>
          <w:color w:val="auto"/>
        </w:rPr>
        <w:t xml:space="preserve">Increases in right-of-use assets and total lease liabilities are primarily due to third-party and drop down asset acquisitions, as further described in Note 3, </w:t>
      </w:r>
      <w:r>
        <w:rPr>
          <w:rFonts w:ascii="Arial" w:cs="Arial" w:eastAsia="Arial" w:hAnsi="Arial"/>
          <w:sz w:val="12"/>
          <w:szCs w:val="12"/>
          <w:i w:val="1"/>
          <w:iCs w:val="1"/>
          <w:color w:val="auto"/>
        </w:rPr>
        <w:t>Acquisitions and Dispositions</w:t>
      </w:r>
      <w:r>
        <w:rPr>
          <w:rFonts w:ascii="Arial" w:cs="Arial" w:eastAsia="Arial" w:hAnsi="Arial"/>
          <w:sz w:val="12"/>
          <w:szCs w:val="12"/>
          <w:color w:val="auto"/>
        </w:rPr>
        <w:t>.</w:t>
      </w:r>
    </w:p>
    <w:p>
      <w:pPr>
        <w:spacing w:after="0" w:line="44" w:lineRule="exact"/>
        <w:rPr>
          <w:rFonts w:ascii="Arial" w:cs="Arial" w:eastAsia="Arial" w:hAnsi="Arial"/>
          <w:sz w:val="18"/>
          <w:szCs w:val="18"/>
          <w:color w:val="auto"/>
          <w:vertAlign w:val="superscript"/>
        </w:rPr>
      </w:pPr>
    </w:p>
    <w:p>
      <w:pPr>
        <w:ind w:left="160" w:hanging="153"/>
        <w:spacing w:after="0" w:line="195" w:lineRule="auto"/>
        <w:tabs>
          <w:tab w:leader="none" w:pos="160" w:val="left"/>
        </w:tabs>
        <w:numPr>
          <w:ilvl w:val="0"/>
          <w:numId w:val="68"/>
        </w:numPr>
        <w:rPr>
          <w:rFonts w:ascii="Arial" w:cs="Arial" w:eastAsia="Arial" w:hAnsi="Arial"/>
          <w:sz w:val="18"/>
          <w:szCs w:val="18"/>
          <w:color w:val="auto"/>
          <w:vertAlign w:val="superscript"/>
        </w:rPr>
      </w:pPr>
      <w:r>
        <w:rPr>
          <w:rFonts w:ascii="Arial" w:cs="Arial" w:eastAsia="Arial" w:hAnsi="Arial"/>
          <w:sz w:val="12"/>
          <w:szCs w:val="12"/>
          <w:color w:val="auto"/>
        </w:rPr>
        <w:t>Thermal Business right-of-use assets and lease liabilities were reclassified to held for sale during the fourth quarter of 2021.</w:t>
      </w:r>
    </w:p>
    <w:p>
      <w:pPr>
        <w:spacing w:after="0" w:line="45" w:lineRule="exact"/>
        <w:rPr>
          <w:rFonts w:ascii="Arial" w:cs="Arial" w:eastAsia="Arial" w:hAnsi="Arial"/>
          <w:sz w:val="18"/>
          <w:szCs w:val="18"/>
          <w:color w:val="auto"/>
          <w:vertAlign w:val="superscript"/>
        </w:rPr>
      </w:pPr>
    </w:p>
    <w:p>
      <w:pPr>
        <w:ind w:left="160" w:hanging="153"/>
        <w:spacing w:after="0" w:line="185" w:lineRule="auto"/>
        <w:tabs>
          <w:tab w:leader="none" w:pos="160" w:val="left"/>
        </w:tabs>
        <w:numPr>
          <w:ilvl w:val="0"/>
          <w:numId w:val="68"/>
        </w:numPr>
        <w:rPr>
          <w:rFonts w:ascii="Arial" w:cs="Arial" w:eastAsia="Arial" w:hAnsi="Arial"/>
          <w:sz w:val="19"/>
          <w:szCs w:val="19"/>
          <w:color w:val="auto"/>
          <w:vertAlign w:val="superscript"/>
        </w:rPr>
      </w:pPr>
      <w:r>
        <w:rPr>
          <w:rFonts w:ascii="Arial" w:cs="Arial" w:eastAsia="Arial" w:hAnsi="Arial"/>
          <w:sz w:val="13"/>
          <w:szCs w:val="13"/>
          <w:color w:val="auto"/>
        </w:rPr>
        <w:t>Short-term lease liability balances are included within the accrued expenses and other current liabilities line item of the consolidated balance sheets as of December 31, 2021 and 2020.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060" w:type="dxa"/>
            <w:vAlign w:val="bottom"/>
          </w:tcPr>
          <w:p>
            <w:pPr>
              <w:ind w:left="400"/>
              <w:spacing w:after="0"/>
              <w:rPr>
                <w:sz w:val="20"/>
                <w:szCs w:val="20"/>
                <w:color w:val="auto"/>
              </w:rPr>
            </w:pPr>
            <w:r>
              <w:rPr>
                <w:rFonts w:ascii="Arial" w:cs="Arial" w:eastAsia="Arial" w:hAnsi="Arial"/>
                <w:sz w:val="18"/>
                <w:szCs w:val="18"/>
                <w:color w:val="auto"/>
              </w:rPr>
              <w:t>Minimum future rental payments of operating lease liabilities as of December 31, 2021 are as follows:</w:t>
            </w: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07"/>
        </w:trPr>
        <w:tc>
          <w:tcPr>
            <w:tcW w:w="90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(In millions)</w:t>
            </w:r>
          </w:p>
        </w:tc>
      </w:tr>
      <w:tr>
        <w:trPr>
          <w:trHeight w:val="221"/>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6"/>
        </w:trPr>
        <w:tc>
          <w:tcPr>
            <w:tcW w:w="9060" w:type="dxa"/>
            <w:vAlign w:val="bottom"/>
          </w:tcPr>
          <w:p>
            <w:pPr>
              <w:ind w:left="22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7"/>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6"/>
        </w:trPr>
        <w:tc>
          <w:tcPr>
            <w:tcW w:w="9060" w:type="dxa"/>
            <w:vAlign w:val="bottom"/>
          </w:tcPr>
          <w:p>
            <w:pPr>
              <w:ind w:left="2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7"/>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6"/>
        </w:trPr>
        <w:tc>
          <w:tcPr>
            <w:tcW w:w="9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21"/>
        </w:trPr>
        <w:tc>
          <w:tcPr>
            <w:tcW w:w="9060" w:type="dxa"/>
            <w:vAlign w:val="bottom"/>
            <w:shd w:val="clear" w:color="auto" w:fill="CCEEFF"/>
          </w:tcPr>
          <w:p>
            <w:pPr>
              <w:ind w:left="220"/>
              <w:spacing w:after="0" w:line="221" w:lineRule="exact"/>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26"/>
        </w:trPr>
        <w:tc>
          <w:tcPr>
            <w:tcW w:w="906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r>
      <w:tr>
        <w:trPr>
          <w:trHeight w:val="246"/>
        </w:trPr>
        <w:tc>
          <w:tcPr>
            <w:tcW w:w="9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lease liability - operating leases</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firstLine="7"/>
        <w:spacing w:after="0"/>
        <w:tabs>
          <w:tab w:leader="none" w:pos="156" w:val="left"/>
        </w:tabs>
        <w:numPr>
          <w:ilvl w:val="0"/>
          <w:numId w:val="69"/>
        </w:numPr>
        <w:rPr>
          <w:rFonts w:ascii="Arial" w:cs="Arial" w:eastAsia="Arial" w:hAnsi="Arial"/>
          <w:sz w:val="18"/>
          <w:szCs w:val="18"/>
          <w:color w:val="auto"/>
          <w:vertAlign w:val="superscript"/>
        </w:rPr>
      </w:pPr>
      <w:r>
        <w:rPr>
          <w:rFonts w:ascii="Arial" w:cs="Arial" w:eastAsia="Arial" w:hAnsi="Arial"/>
          <w:sz w:val="12"/>
          <w:szCs w:val="12"/>
          <w:color w:val="auto"/>
        </w:rPr>
        <w:t>Minimum future rental payments of the Thermal Business operating lease liabilities classified as held for sale are $1 million for each of 2022, 2023, 2024, 2025 and 2026, with $31 million due thereafter.</w:t>
      </w:r>
    </w:p>
    <w:p>
      <w:pPr>
        <w:spacing w:after="0" w:line="27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Oahu Solar Lease Agreements</w:t>
      </w:r>
    </w:p>
    <w:p>
      <w:pPr>
        <w:spacing w:after="0" w:line="166" w:lineRule="exact"/>
        <w:rPr>
          <w:sz w:val="20"/>
          <w:szCs w:val="20"/>
          <w:color w:val="auto"/>
        </w:rPr>
      </w:pPr>
    </w:p>
    <w:p>
      <w:pPr>
        <w:jc w:val="both"/>
        <w:ind w:firstLine="400"/>
        <w:spacing w:after="0" w:line="279" w:lineRule="auto"/>
        <w:rPr>
          <w:sz w:val="20"/>
          <w:szCs w:val="20"/>
          <w:color w:val="auto"/>
        </w:rPr>
      </w:pPr>
      <w:r>
        <w:rPr>
          <w:rFonts w:ascii="Arial" w:cs="Arial" w:eastAsia="Arial" w:hAnsi="Arial"/>
          <w:sz w:val="17"/>
          <w:szCs w:val="17"/>
          <w:color w:val="auto"/>
        </w:rPr>
        <w:t>The Oahu Solar projects are party to various land lease agreements with a wholly-owned subsidiary of CEG. The projects are leasing the land for a period of 35 years, with the ability to renew the lease for two additional five-year periods. The Company has a lease liability of $20 million as of both December 31, 2021 and 2020 and corresponding right-of-use asset of $18 million related to the lease as of both December 31, 2021 and 2020.</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Rosamond Lease Agreement</w:t>
      </w:r>
    </w:p>
    <w:p>
      <w:pPr>
        <w:spacing w:after="0" w:line="140" w:lineRule="exact"/>
        <w:rPr>
          <w:sz w:val="20"/>
          <w:szCs w:val="20"/>
          <w:color w:val="auto"/>
        </w:rPr>
      </w:pPr>
    </w:p>
    <w:p>
      <w:pPr>
        <w:jc w:val="both"/>
        <w:ind w:firstLine="400"/>
        <w:spacing w:after="0" w:line="279" w:lineRule="auto"/>
        <w:rPr>
          <w:sz w:val="20"/>
          <w:szCs w:val="20"/>
          <w:color w:val="auto"/>
        </w:rPr>
      </w:pPr>
      <w:r>
        <w:rPr>
          <w:rFonts w:ascii="Arial" w:cs="Arial" w:eastAsia="Arial" w:hAnsi="Arial"/>
          <w:sz w:val="17"/>
          <w:szCs w:val="17"/>
          <w:color w:val="auto"/>
        </w:rPr>
        <w:t>The Rosamond Central project is party to a land lease agreement with a wholly-owned subsidiary of CEG. The project is leasing the land for a period of 35 years, with the ability to renew the lease for two additional five-year periods. The Company has a lease liability of $12 million as of both December 31, 2021 and 2020 and corresponding right-of-use asset of $11 million related to the lease as of both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i w:val="1"/>
          <w:iCs w:val="1"/>
          <w:color w:val="auto"/>
        </w:rPr>
        <w:t>Lessor</w:t>
      </w:r>
    </w:p>
    <w:p>
      <w:pPr>
        <w:spacing w:after="0" w:line="153" w:lineRule="exact"/>
        <w:rPr>
          <w:sz w:val="20"/>
          <w:szCs w:val="20"/>
          <w:color w:val="auto"/>
        </w:rPr>
      </w:pPr>
    </w:p>
    <w:p>
      <w:pPr>
        <w:jc w:val="both"/>
        <w:ind w:firstLine="400"/>
        <w:spacing w:after="0" w:line="288" w:lineRule="auto"/>
        <w:rPr>
          <w:sz w:val="20"/>
          <w:szCs w:val="20"/>
          <w:color w:val="auto"/>
        </w:rPr>
      </w:pPr>
      <w:r>
        <w:rPr>
          <w:rFonts w:ascii="Arial" w:cs="Arial" w:eastAsia="Arial" w:hAnsi="Arial"/>
          <w:sz w:val="16"/>
          <w:szCs w:val="16"/>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w:t>
      </w:r>
      <w:r>
        <w:rPr>
          <w:rFonts w:ascii="Arial" w:cs="Arial" w:eastAsia="Arial" w:hAnsi="Arial"/>
          <w:sz w:val="16"/>
          <w:szCs w:val="16"/>
          <w:i w:val="1"/>
          <w:iCs w:val="1"/>
          <w:color w:val="auto"/>
        </w:rPr>
        <w:t>Properties</w:t>
      </w:r>
      <w:r>
        <w:rPr>
          <w:rFonts w:ascii="Arial" w:cs="Arial" w:eastAsia="Arial" w:hAnsi="Arial"/>
          <w:sz w:val="16"/>
          <w:szCs w:val="16"/>
          <w:color w:val="auto"/>
        </w:rPr>
        <w:t xml:space="preserve"> of this Form 10-K. Many of the leases have renewal options at the end of the lease term. Termination may be allowed under specific circumstances in the lease arrangements, such as under an event of default. All but one of the Company’s leases are operating leases. The remaining lease met the criteria of a sales-type lease and the impact of this sales-type lease to the consolidated financial statements was immaterial. Certain of these leases have both lease and non-lease components, and the Company allocates the transaction price to the components based on standalone selling prices.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amounts of energy and capacity revenue are related to the Company’s operating leases: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60" w:type="dxa"/>
            <w:vAlign w:val="bottom"/>
          </w:tcPr>
          <w:p>
            <w:pPr>
              <w:spacing w:after="0"/>
              <w:rPr>
                <w:sz w:val="19"/>
                <w:szCs w:val="19"/>
                <w:color w:val="auto"/>
              </w:rPr>
            </w:pPr>
          </w:p>
        </w:tc>
        <w:tc>
          <w:tcPr>
            <w:tcW w:w="1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Conventional Generation</w:t>
            </w:r>
          </w:p>
        </w:tc>
        <w:tc>
          <w:tcPr>
            <w:tcW w:w="1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Renewables</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Thermal</w:t>
            </w: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December 31, 2021</w:t>
            </w:r>
          </w:p>
        </w:tc>
        <w:tc>
          <w:tcPr>
            <w:tcW w:w="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(In millions)</w:t>
            </w: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9"/>
        </w:trPr>
        <w:tc>
          <w:tcPr>
            <w:tcW w:w="4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Energy revenue</w:t>
            </w:r>
          </w:p>
        </w:tc>
        <w:tc>
          <w:tcPr>
            <w:tcW w:w="820" w:type="dxa"/>
            <w:vAlign w:val="bottom"/>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r>
      <w:tr>
        <w:trPr>
          <w:trHeight w:val="211"/>
        </w:trPr>
        <w:tc>
          <w:tcPr>
            <w:tcW w:w="4560" w:type="dxa"/>
            <w:vAlign w:val="bottom"/>
          </w:tcPr>
          <w:p>
            <w:pPr>
              <w:ind w:left="220"/>
              <w:spacing w:after="0"/>
              <w:rPr>
                <w:sz w:val="20"/>
                <w:szCs w:val="20"/>
                <w:color w:val="auto"/>
              </w:rPr>
            </w:pPr>
            <w:r>
              <w:rPr>
                <w:rFonts w:ascii="Arial" w:cs="Arial" w:eastAsia="Arial" w:hAnsi="Arial"/>
                <w:sz w:val="16"/>
                <w:szCs w:val="16"/>
                <w:color w:val="auto"/>
              </w:rPr>
              <w:t>Capacity revenue</w:t>
            </w:r>
          </w:p>
        </w:tc>
        <w:tc>
          <w:tcPr>
            <w:tcW w:w="8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455</w:t>
            </w:r>
          </w:p>
        </w:tc>
      </w:tr>
      <w:tr>
        <w:trPr>
          <w:trHeight w:val="234"/>
        </w:trPr>
        <w:tc>
          <w:tcPr>
            <w:tcW w:w="4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Operating revenue</w:t>
            </w:r>
          </w:p>
        </w:tc>
        <w:tc>
          <w:tcPr>
            <w:tcW w:w="820" w:type="dxa"/>
            <w:vAlign w:val="bottom"/>
            <w:tcBorders>
              <w:top w:val="single" w:sz="8" w:color="auto"/>
              <w:bottom w:val="single" w:sz="8" w:color="auto"/>
            </w:tcBorders>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60" w:type="dxa"/>
            <w:vAlign w:val="bottom"/>
          </w:tcPr>
          <w:p>
            <w:pPr>
              <w:spacing w:after="0"/>
              <w:rPr>
                <w:sz w:val="19"/>
                <w:szCs w:val="19"/>
                <w:color w:val="auto"/>
              </w:rPr>
            </w:pPr>
          </w:p>
        </w:tc>
        <w:tc>
          <w:tcPr>
            <w:tcW w:w="1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Conventional Generation</w:t>
            </w:r>
          </w:p>
        </w:tc>
        <w:tc>
          <w:tcPr>
            <w:tcW w:w="1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Renewables</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Thermal</w:t>
            </w: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December 31, 2020</w:t>
            </w:r>
          </w:p>
        </w:tc>
        <w:tc>
          <w:tcPr>
            <w:tcW w:w="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(In millions)</w:t>
            </w: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9"/>
        </w:trPr>
        <w:tc>
          <w:tcPr>
            <w:tcW w:w="4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Energy revenue</w:t>
            </w:r>
          </w:p>
        </w:tc>
        <w:tc>
          <w:tcPr>
            <w:tcW w:w="820" w:type="dxa"/>
            <w:vAlign w:val="bottom"/>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r>
      <w:tr>
        <w:trPr>
          <w:trHeight w:val="211"/>
        </w:trPr>
        <w:tc>
          <w:tcPr>
            <w:tcW w:w="4560" w:type="dxa"/>
            <w:vAlign w:val="bottom"/>
          </w:tcPr>
          <w:p>
            <w:pPr>
              <w:ind w:left="220"/>
              <w:spacing w:after="0"/>
              <w:rPr>
                <w:sz w:val="20"/>
                <w:szCs w:val="20"/>
                <w:color w:val="auto"/>
              </w:rPr>
            </w:pPr>
            <w:r>
              <w:rPr>
                <w:rFonts w:ascii="Arial" w:cs="Arial" w:eastAsia="Arial" w:hAnsi="Arial"/>
                <w:sz w:val="16"/>
                <w:szCs w:val="16"/>
                <w:color w:val="auto"/>
              </w:rPr>
              <w:t>Capacity revenue</w:t>
            </w:r>
          </w:p>
        </w:tc>
        <w:tc>
          <w:tcPr>
            <w:tcW w:w="8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451</w:t>
            </w:r>
          </w:p>
        </w:tc>
      </w:tr>
      <w:tr>
        <w:trPr>
          <w:trHeight w:val="234"/>
        </w:trPr>
        <w:tc>
          <w:tcPr>
            <w:tcW w:w="4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Operating revenue</w:t>
            </w:r>
          </w:p>
        </w:tc>
        <w:tc>
          <w:tcPr>
            <w:tcW w:w="820" w:type="dxa"/>
            <w:vAlign w:val="bottom"/>
            <w:tcBorders>
              <w:top w:val="single" w:sz="8" w:color="auto"/>
              <w:bottom w:val="single" w:sz="8" w:color="auto"/>
            </w:tcBorders>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60" w:type="dxa"/>
            <w:vAlign w:val="bottom"/>
          </w:tcPr>
          <w:p>
            <w:pPr>
              <w:spacing w:after="0"/>
              <w:rPr>
                <w:sz w:val="19"/>
                <w:szCs w:val="19"/>
                <w:color w:val="auto"/>
              </w:rPr>
            </w:pPr>
          </w:p>
        </w:tc>
        <w:tc>
          <w:tcPr>
            <w:tcW w:w="1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Conventional Generation</w:t>
            </w:r>
          </w:p>
        </w:tc>
        <w:tc>
          <w:tcPr>
            <w:tcW w:w="1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Renewables</w:t>
            </w:r>
          </w:p>
        </w:tc>
        <w:tc>
          <w:tcPr>
            <w:tcW w:w="120" w:type="dxa"/>
            <w:vAlign w:val="bottom"/>
            <w:tcBorders>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center"/>
              <w:ind w:left="276"/>
              <w:spacing w:after="0"/>
              <w:rPr>
                <w:sz w:val="20"/>
                <w:szCs w:val="20"/>
                <w:color w:val="auto"/>
              </w:rPr>
            </w:pPr>
            <w:r>
              <w:rPr>
                <w:rFonts w:ascii="Arial" w:cs="Arial" w:eastAsia="Arial" w:hAnsi="Arial"/>
                <w:sz w:val="16"/>
                <w:szCs w:val="16"/>
                <w:b w:val="1"/>
                <w:bCs w:val="1"/>
                <w:color w:val="auto"/>
                <w:w w:val="96"/>
              </w:rPr>
              <w:t>Thermal</w:t>
            </w:r>
          </w:p>
        </w:tc>
        <w:tc>
          <w:tcPr>
            <w:tcW w:w="2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December 31, 2019</w:t>
            </w: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Energy revenue</w:t>
            </w: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776"/>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11"/>
        </w:trPr>
        <w:tc>
          <w:tcPr>
            <w:tcW w:w="4660" w:type="dxa"/>
            <w:vAlign w:val="bottom"/>
          </w:tcPr>
          <w:p>
            <w:pPr>
              <w:ind w:left="220"/>
              <w:spacing w:after="0"/>
              <w:rPr>
                <w:sz w:val="20"/>
                <w:szCs w:val="20"/>
                <w:color w:val="auto"/>
              </w:rPr>
            </w:pPr>
            <w:r>
              <w:rPr>
                <w:rFonts w:ascii="Arial" w:cs="Arial" w:eastAsia="Arial" w:hAnsi="Arial"/>
                <w:sz w:val="16"/>
                <w:szCs w:val="16"/>
                <w:color w:val="auto"/>
              </w:rPr>
              <w:t>Capacity revenue</w:t>
            </w:r>
          </w:p>
        </w:tc>
        <w:tc>
          <w:tcPr>
            <w:tcW w:w="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Operating revenue</w:t>
            </w: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center"/>
              <w:ind w:right="776"/>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gridSpan w:val="2"/>
            <w:shd w:val="clear" w:color="auto" w:fill="CCEEFF"/>
          </w:tcPr>
          <w:p>
            <w:pPr>
              <w:ind w:left="200"/>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11240" w:type="dxa"/>
            <w:vAlign w:val="bottom"/>
            <w:gridSpan w:val="15"/>
          </w:tcPr>
          <w:p>
            <w:pPr>
              <w:ind w:left="400"/>
              <w:spacing w:after="0"/>
              <w:rPr>
                <w:sz w:val="20"/>
                <w:szCs w:val="20"/>
                <w:color w:val="auto"/>
              </w:rPr>
            </w:pPr>
            <w:r>
              <w:rPr>
                <w:rFonts w:ascii="Arial" w:cs="Arial" w:eastAsia="Arial" w:hAnsi="Arial"/>
                <w:sz w:val="18"/>
                <w:szCs w:val="18"/>
                <w:color w:val="auto"/>
                <w:w w:val="93"/>
              </w:rPr>
              <w:t>Minimum future rent payments for the remaining periods related to the Conventional segment operating leases as of December 31, 2021 were as</w:t>
            </w:r>
          </w:p>
        </w:tc>
        <w:tc>
          <w:tcPr>
            <w:tcW w:w="0" w:type="dxa"/>
            <w:vAlign w:val="bottom"/>
          </w:tcPr>
          <w:p>
            <w:pPr>
              <w:spacing w:after="0"/>
              <w:rPr>
                <w:sz w:val="1"/>
                <w:szCs w:val="1"/>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follows:</w:t>
            </w: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46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8"/>
                <w:szCs w:val="18"/>
                <w:b w:val="1"/>
                <w:bCs w:val="1"/>
                <w:color w:val="auto"/>
                <w:w w:val="98"/>
              </w:rPr>
              <w:t>(In millions)</w:t>
            </w:r>
          </w:p>
        </w:tc>
        <w:tc>
          <w:tcPr>
            <w:tcW w:w="0" w:type="dxa"/>
            <w:vAlign w:val="bottom"/>
          </w:tcPr>
          <w:p>
            <w:pPr>
              <w:spacing w:after="0"/>
              <w:rPr>
                <w:sz w:val="1"/>
                <w:szCs w:val="1"/>
                <w:color w:val="auto"/>
              </w:rPr>
            </w:pPr>
          </w:p>
        </w:tc>
      </w:tr>
      <w:tr>
        <w:trPr>
          <w:trHeight w:val="22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6"/>
        </w:trPr>
        <w:tc>
          <w:tcPr>
            <w:tcW w:w="4660" w:type="dxa"/>
            <w:vAlign w:val="bottom"/>
          </w:tcPr>
          <w:p>
            <w:pPr>
              <w:ind w:left="20"/>
              <w:spacing w:after="0"/>
              <w:rPr>
                <w:sz w:val="20"/>
                <w:szCs w:val="20"/>
                <w:color w:val="auto"/>
              </w:rPr>
            </w:pPr>
            <w:r>
              <w:rPr>
                <w:rFonts w:ascii="Arial" w:cs="Arial" w:eastAsia="Arial" w:hAnsi="Arial"/>
                <w:sz w:val="18"/>
                <w:szCs w:val="18"/>
                <w:color w:val="auto"/>
              </w:rPr>
              <w:t>2023</w:t>
            </w: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6"/>
        </w:trPr>
        <w:tc>
          <w:tcPr>
            <w:tcW w:w="4660" w:type="dxa"/>
            <w:vAlign w:val="bottom"/>
          </w:tcPr>
          <w:p>
            <w:pPr>
              <w:ind w:left="20"/>
              <w:spacing w:after="0"/>
              <w:rPr>
                <w:sz w:val="20"/>
                <w:szCs w:val="20"/>
                <w:color w:val="auto"/>
              </w:rPr>
            </w:pPr>
            <w:r>
              <w:rPr>
                <w:rFonts w:ascii="Arial" w:cs="Arial" w:eastAsia="Arial" w:hAnsi="Arial"/>
                <w:sz w:val="18"/>
                <w:szCs w:val="18"/>
                <w:color w:val="auto"/>
              </w:rPr>
              <w:t>2025</w:t>
            </w: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6"/>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41"/>
        </w:trPr>
        <w:tc>
          <w:tcPr>
            <w:tcW w:w="466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lease payments</w:t>
            </w:r>
          </w:p>
        </w:tc>
        <w:tc>
          <w:tcPr>
            <w:tcW w:w="8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8"/>
            <w:vMerge w:val="restart"/>
          </w:tcPr>
          <w:p>
            <w:pPr>
              <w:ind w:left="400"/>
              <w:spacing w:after="0"/>
              <w:rPr>
                <w:sz w:val="20"/>
                <w:szCs w:val="20"/>
                <w:color w:val="auto"/>
              </w:rPr>
            </w:pPr>
            <w:r>
              <w:rPr>
                <w:rFonts w:ascii="Arial" w:cs="Arial" w:eastAsia="Arial" w:hAnsi="Arial"/>
                <w:sz w:val="18"/>
                <w:szCs w:val="18"/>
                <w:color w:val="auto"/>
              </w:rPr>
              <w:t>Property, plant and equipment, net related to the Company’s operating leases were as follows:</w:t>
            </w: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340" w:type="dxa"/>
            <w:vAlign w:val="bottom"/>
            <w:gridSpan w:val="8"/>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 2021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376"/>
              <w:spacing w:after="0"/>
              <w:rPr>
                <w:sz w:val="20"/>
                <w:szCs w:val="20"/>
                <w:color w:val="auto"/>
              </w:rPr>
            </w:pPr>
            <w:r>
              <w:rPr>
                <w:rFonts w:ascii="Arial" w:cs="Arial" w:eastAsia="Arial" w:hAnsi="Arial"/>
                <w:sz w:val="18"/>
                <w:szCs w:val="18"/>
                <w:color w:val="auto"/>
                <w:w w:val="88"/>
              </w:rPr>
              <w:t>8,981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0" w:type="dxa"/>
            <w:vAlign w:val="bottom"/>
          </w:tcPr>
          <w:p>
            <w:pPr>
              <w:spacing w:after="0"/>
              <w:rPr>
                <w:sz w:val="1"/>
                <w:szCs w:val="1"/>
                <w:color w:val="auto"/>
              </w:rPr>
            </w:pPr>
          </w:p>
        </w:tc>
      </w:tr>
      <w:tr>
        <w:trPr>
          <w:trHeight w:val="226"/>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8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91"/>
              </w:rPr>
              <w:t>(2,827)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4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property, plant and equipment</w:t>
            </w:r>
          </w:p>
        </w:tc>
        <w:tc>
          <w:tcPr>
            <w:tcW w:w="8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left="376"/>
              <w:spacing w:after="0"/>
              <w:rPr>
                <w:sz w:val="20"/>
                <w:szCs w:val="20"/>
                <w:color w:val="auto"/>
              </w:rPr>
            </w:pPr>
            <w:r>
              <w:rPr>
                <w:rFonts w:ascii="Arial" w:cs="Arial" w:eastAsia="Arial" w:hAnsi="Arial"/>
                <w:sz w:val="18"/>
                <w:szCs w:val="18"/>
                <w:color w:val="auto"/>
                <w:w w:val="88"/>
              </w:rPr>
              <w:t>6,154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b w:val="1"/>
                <w:bCs w:val="1"/>
                <w:color w:val="auto"/>
                <w:w w:val="93"/>
              </w:rPr>
              <w:t>Schedule I</w:t>
            </w:r>
          </w:p>
        </w:tc>
      </w:tr>
      <w:tr>
        <w:trPr>
          <w:trHeight w:val="293"/>
        </w:trPr>
        <w:tc>
          <w:tcPr>
            <w:tcW w:w="7080" w:type="dxa"/>
            <w:vAlign w:val="bottom"/>
          </w:tcPr>
          <w:p>
            <w:pPr>
              <w:jc w:val="center"/>
              <w:ind w:left="4073"/>
              <w:spacing w:after="0"/>
              <w:rPr>
                <w:sz w:val="20"/>
                <w:szCs w:val="20"/>
                <w:color w:val="auto"/>
              </w:rPr>
            </w:pPr>
            <w:r>
              <w:rPr>
                <w:rFonts w:ascii="Arial" w:cs="Arial" w:eastAsia="Arial" w:hAnsi="Arial"/>
                <w:sz w:val="18"/>
                <w:szCs w:val="18"/>
                <w:b w:val="1"/>
                <w:bCs w:val="1"/>
                <w:color w:val="auto"/>
                <w:w w:val="91"/>
              </w:rPr>
              <w:t>Clearway Energy, Inc. (Parent)</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7"/>
        </w:trPr>
        <w:tc>
          <w:tcPr>
            <w:tcW w:w="7500" w:type="dxa"/>
            <w:vAlign w:val="bottom"/>
            <w:gridSpan w:val="2"/>
          </w:tcPr>
          <w:p>
            <w:pPr>
              <w:jc w:val="center"/>
              <w:ind w:left="3653"/>
              <w:spacing w:after="0"/>
              <w:rPr>
                <w:sz w:val="20"/>
                <w:szCs w:val="20"/>
                <w:color w:val="auto"/>
              </w:rPr>
            </w:pPr>
            <w:r>
              <w:rPr>
                <w:rFonts w:ascii="Arial" w:cs="Arial" w:eastAsia="Arial" w:hAnsi="Arial"/>
                <w:sz w:val="18"/>
                <w:szCs w:val="18"/>
                <w:b w:val="1"/>
                <w:bCs w:val="1"/>
                <w:color w:val="auto"/>
                <w:w w:val="89"/>
              </w:rPr>
              <w:t>Condensed Financial Information of Registrant</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7"/>
        </w:trPr>
        <w:tc>
          <w:tcPr>
            <w:tcW w:w="7080" w:type="dxa"/>
            <w:vAlign w:val="bottom"/>
          </w:tcPr>
          <w:p>
            <w:pPr>
              <w:jc w:val="center"/>
              <w:ind w:left="4073"/>
              <w:spacing w:after="0"/>
              <w:rPr>
                <w:sz w:val="20"/>
                <w:szCs w:val="20"/>
                <w:color w:val="auto"/>
              </w:rPr>
            </w:pPr>
            <w:r>
              <w:rPr>
                <w:rFonts w:ascii="Arial" w:cs="Arial" w:eastAsia="Arial" w:hAnsi="Arial"/>
                <w:sz w:val="18"/>
                <w:szCs w:val="18"/>
                <w:b w:val="1"/>
                <w:bCs w:val="1"/>
                <w:color w:val="auto"/>
                <w:w w:val="86"/>
              </w:rPr>
              <w:t>Condensed Statements of Operations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5"/>
        </w:trPr>
        <w:tc>
          <w:tcPr>
            <w:tcW w:w="7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spacing w:after="0"/>
              <w:rPr>
                <w:sz w:val="24"/>
                <w:szCs w:val="24"/>
                <w:color w:val="auto"/>
              </w:rPr>
            </w:pPr>
          </w:p>
        </w:tc>
      </w:tr>
      <w:tr>
        <w:trPr>
          <w:trHeight w:val="19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2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costs and expenses</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9"/>
        </w:trPr>
        <w:tc>
          <w:tcPr>
            <w:tcW w:w="7080" w:type="dxa"/>
            <w:vAlign w:val="bottom"/>
          </w:tcPr>
          <w:p>
            <w:pPr>
              <w:ind w:left="140"/>
              <w:spacing w:after="0"/>
              <w:rPr>
                <w:sz w:val="20"/>
                <w:szCs w:val="20"/>
                <w:color w:val="auto"/>
              </w:rPr>
            </w:pPr>
            <w:r>
              <w:rPr>
                <w:rFonts w:ascii="Arial" w:cs="Arial" w:eastAsia="Arial" w:hAnsi="Arial"/>
                <w:sz w:val="18"/>
                <w:szCs w:val="18"/>
                <w:color w:val="auto"/>
              </w:rPr>
              <w:t>Equity in losses of consolidated subsidiaries</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7"/>
        </w:trPr>
        <w:tc>
          <w:tcPr>
            <w:tcW w:w="7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7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4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21"/>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6"/>
        </w:trPr>
        <w:tc>
          <w:tcPr>
            <w:tcW w:w="7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1"/>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6"/>
        </w:trPr>
        <w:tc>
          <w:tcPr>
            <w:tcW w:w="7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4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Clearway Energy, Inc.</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420"/>
              <w:spacing w:after="0"/>
              <w:rPr>
                <w:sz w:val="20"/>
                <w:szCs w:val="20"/>
                <w:color w:val="auto"/>
              </w:rPr>
            </w:pPr>
            <w:r>
              <w:rPr>
                <w:rFonts w:ascii="Arial" w:cs="Arial" w:eastAsia="Arial" w:hAnsi="Arial"/>
                <w:sz w:val="18"/>
                <w:szCs w:val="18"/>
                <w:b w:val="1"/>
                <w:bCs w:val="1"/>
                <w:color w:val="auto"/>
                <w:w w:val="86"/>
              </w:rPr>
              <w:t>Schedule I</w:t>
            </w:r>
          </w:p>
        </w:tc>
        <w:tc>
          <w:tcPr>
            <w:tcW w:w="0" w:type="dxa"/>
            <w:vAlign w:val="bottom"/>
          </w:tcPr>
          <w:p>
            <w:pPr>
              <w:spacing w:after="0"/>
              <w:rPr>
                <w:sz w:val="1"/>
                <w:szCs w:val="1"/>
                <w:color w:val="auto"/>
              </w:rPr>
            </w:pPr>
          </w:p>
        </w:tc>
      </w:tr>
      <w:tr>
        <w:trPr>
          <w:trHeight w:val="307"/>
        </w:trPr>
        <w:tc>
          <w:tcPr>
            <w:tcW w:w="8360" w:type="dxa"/>
            <w:vAlign w:val="bottom"/>
          </w:tcPr>
          <w:p>
            <w:pPr>
              <w:ind w:left="4420"/>
              <w:spacing w:after="0"/>
              <w:rPr>
                <w:sz w:val="20"/>
                <w:szCs w:val="20"/>
                <w:color w:val="auto"/>
              </w:rPr>
            </w:pPr>
            <w:r>
              <w:rPr>
                <w:rFonts w:ascii="Arial" w:cs="Arial" w:eastAsia="Arial" w:hAnsi="Arial"/>
                <w:sz w:val="18"/>
                <w:szCs w:val="18"/>
                <w:b w:val="1"/>
                <w:bCs w:val="1"/>
                <w:color w:val="auto"/>
              </w:rPr>
              <w:t>Clearway Energy, Inc. (Parent)</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360" w:type="dxa"/>
            <w:vAlign w:val="bottom"/>
          </w:tcPr>
          <w:p>
            <w:pPr>
              <w:ind w:left="4600"/>
              <w:spacing w:after="0"/>
              <w:rPr>
                <w:sz w:val="20"/>
                <w:szCs w:val="20"/>
                <w:color w:val="auto"/>
              </w:rPr>
            </w:pPr>
            <w:r>
              <w:rPr>
                <w:rFonts w:ascii="Arial" w:cs="Arial" w:eastAsia="Arial" w:hAnsi="Arial"/>
                <w:sz w:val="18"/>
                <w:szCs w:val="18"/>
                <w:b w:val="1"/>
                <w:bCs w:val="1"/>
                <w:color w:val="auto"/>
              </w:rPr>
              <w:t>Condensed Balance Sheets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360" w:type="dxa"/>
            <w:vAlign w:val="bottom"/>
          </w:tcPr>
          <w:p>
            <w:pPr>
              <w:spacing w:after="0"/>
              <w:rPr>
                <w:sz w:val="20"/>
                <w:szCs w:val="20"/>
                <w:color w:val="auto"/>
              </w:rPr>
            </w:pPr>
          </w:p>
        </w:tc>
        <w:tc>
          <w:tcPr>
            <w:tcW w:w="1480" w:type="dxa"/>
            <w:vAlign w:val="bottom"/>
            <w:gridSpan w:val="3"/>
          </w:tcPr>
          <w:p>
            <w:pPr>
              <w:ind w:left="22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360" w:type="dxa"/>
            <w:vAlign w:val="bottom"/>
          </w:tcPr>
          <w:p>
            <w:pPr>
              <w:ind w:left="3840"/>
              <w:spacing w:after="0"/>
              <w:rPr>
                <w:sz w:val="20"/>
                <w:szCs w:val="20"/>
                <w:color w:val="auto"/>
              </w:rPr>
            </w:pPr>
            <w:r>
              <w:rPr>
                <w:rFonts w:ascii="Arial" w:cs="Arial" w:eastAsia="Arial" w:hAnsi="Arial"/>
                <w:sz w:val="18"/>
                <w:szCs w:val="18"/>
                <w:b w:val="1"/>
                <w:bCs w:val="1"/>
                <w:color w:val="auto"/>
              </w:rPr>
              <w:t>ASSETS</w:t>
            </w:r>
          </w:p>
        </w:tc>
        <w:tc>
          <w:tcPr>
            <w:tcW w:w="880" w:type="dxa"/>
            <w:vAlign w:val="bottom"/>
          </w:tcPr>
          <w:p>
            <w:pPr>
              <w:spacing w:after="0"/>
              <w:rPr>
                <w:sz w:val="18"/>
                <w:szCs w:val="18"/>
                <w:color w:val="auto"/>
              </w:rPr>
            </w:pPr>
          </w:p>
        </w:tc>
        <w:tc>
          <w:tcPr>
            <w:tcW w:w="1980" w:type="dxa"/>
            <w:vAlign w:val="bottom"/>
            <w:gridSpan w:val="5"/>
          </w:tcPr>
          <w:p>
            <w:pPr>
              <w:ind w:left="1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68"/>
        </w:trPr>
        <w:tc>
          <w:tcPr>
            <w:tcW w:w="8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60" w:type="dxa"/>
            <w:vAlign w:val="bottom"/>
          </w:tcPr>
          <w:p>
            <w:pPr>
              <w:ind w:left="220"/>
              <w:spacing w:after="0"/>
              <w:rPr>
                <w:sz w:val="20"/>
                <w:szCs w:val="20"/>
                <w:color w:val="auto"/>
              </w:rPr>
            </w:pPr>
            <w:r>
              <w:rPr>
                <w:rFonts w:ascii="Arial" w:cs="Arial" w:eastAsia="Arial" w:hAnsi="Arial"/>
                <w:sz w:val="18"/>
                <w:szCs w:val="18"/>
                <w:color w:val="auto"/>
              </w:rPr>
              <w:t>Accounts receivable — affiliates</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receivable — Clearway Energy Operating LLC</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consolidated subsidiaries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income taxes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3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liabilities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88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8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140"/>
              <w:spacing w:after="0" w:line="175" w:lineRule="exact"/>
              <w:rPr>
                <w:sz w:val="20"/>
                <w:szCs w:val="20"/>
                <w:color w:val="auto"/>
              </w:rPr>
            </w:pPr>
            <w:r>
              <w:rPr>
                <w:rFonts w:ascii="Arial" w:cs="Arial" w:eastAsia="Arial" w:hAnsi="Arial"/>
                <w:sz w:val="18"/>
                <w:szCs w:val="18"/>
                <w:color w:val="auto"/>
                <w:w w:val="89"/>
              </w:rPr>
              <w:t>Class A, Class B, Class C and Class D common stock, $0.01 par value; 3,000,000,000 shares authorized (Class A</w:t>
            </w: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360" w:type="dxa"/>
            <w:vAlign w:val="bottom"/>
          </w:tcPr>
          <w:p>
            <w:pPr>
              <w:ind w:left="140"/>
              <w:spacing w:after="0" w:line="173" w:lineRule="exact"/>
              <w:rPr>
                <w:sz w:val="20"/>
                <w:szCs w:val="20"/>
                <w:color w:val="auto"/>
              </w:rPr>
            </w:pPr>
            <w:r>
              <w:rPr>
                <w:rFonts w:ascii="Arial" w:cs="Arial" w:eastAsia="Arial" w:hAnsi="Arial"/>
                <w:sz w:val="18"/>
                <w:szCs w:val="18"/>
                <w:color w:val="auto"/>
                <w:w w:val="88"/>
              </w:rPr>
              <w:t>500,000,000, Class B 500,000,000, Class C 1,000,000,000, Class D 1,000,000,000); 201,856,166 shares issued and</w:t>
            </w: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360" w:type="dxa"/>
            <w:vAlign w:val="bottom"/>
          </w:tcPr>
          <w:p>
            <w:pPr>
              <w:ind w:left="140"/>
              <w:spacing w:after="0" w:line="173" w:lineRule="exact"/>
              <w:rPr>
                <w:sz w:val="20"/>
                <w:szCs w:val="20"/>
                <w:color w:val="auto"/>
              </w:rPr>
            </w:pPr>
            <w:r>
              <w:rPr>
                <w:rFonts w:ascii="Arial" w:cs="Arial" w:eastAsia="Arial" w:hAnsi="Arial"/>
                <w:sz w:val="18"/>
                <w:szCs w:val="18"/>
                <w:color w:val="auto"/>
                <w:w w:val="90"/>
              </w:rPr>
              <w:t>outstanding (Class A 34,599,645, Class B 42,738,750, Class C 81,779,021 Class D 42,738,750) at December 31,</w:t>
            </w: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360" w:type="dxa"/>
            <w:vAlign w:val="bottom"/>
          </w:tcPr>
          <w:p>
            <w:pPr>
              <w:ind w:left="140"/>
              <w:spacing w:after="0" w:line="173" w:lineRule="exact"/>
              <w:rPr>
                <w:sz w:val="20"/>
                <w:szCs w:val="20"/>
                <w:color w:val="auto"/>
              </w:rPr>
            </w:pPr>
            <w:r>
              <w:rPr>
                <w:rFonts w:ascii="Arial" w:cs="Arial" w:eastAsia="Arial" w:hAnsi="Arial"/>
                <w:sz w:val="18"/>
                <w:szCs w:val="18"/>
                <w:color w:val="auto"/>
                <w:w w:val="97"/>
              </w:rPr>
              <w:t>2021 and 201,635,990 shares issued and outstanding (Class A 34,599,645, Class B 42,738,750, Class C</w:t>
            </w:r>
          </w:p>
        </w:tc>
        <w:tc>
          <w:tcPr>
            <w:tcW w:w="8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140"/>
              <w:spacing w:after="0"/>
              <w:rPr>
                <w:sz w:val="20"/>
                <w:szCs w:val="20"/>
                <w:color w:val="auto"/>
              </w:rPr>
            </w:pPr>
            <w:r>
              <w:rPr>
                <w:rFonts w:ascii="Arial" w:cs="Arial" w:eastAsia="Arial" w:hAnsi="Arial"/>
                <w:sz w:val="18"/>
                <w:szCs w:val="18"/>
                <w:color w:val="auto"/>
              </w:rPr>
              <w:t>81,558,845, Class D 42,738,750) at December 31, 2020</w:t>
            </w:r>
          </w:p>
        </w:tc>
        <w:tc>
          <w:tcPr>
            <w:tcW w:w="88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6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88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3,316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66675</wp:posOffset>
            </wp:positionV>
            <wp:extent cx="715962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40" w:top="881"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b w:val="1"/>
                <w:bCs w:val="1"/>
                <w:color w:val="auto"/>
                <w:w w:val="86"/>
              </w:rPr>
              <w:t>Schedule I</w:t>
            </w:r>
          </w:p>
        </w:tc>
      </w:tr>
      <w:tr>
        <w:trPr>
          <w:trHeight w:val="293"/>
        </w:trPr>
        <w:tc>
          <w:tcPr>
            <w:tcW w:w="7060" w:type="dxa"/>
            <w:vAlign w:val="bottom"/>
          </w:tcPr>
          <w:p>
            <w:pPr>
              <w:ind w:left="4400"/>
              <w:spacing w:after="0"/>
              <w:rPr>
                <w:sz w:val="20"/>
                <w:szCs w:val="20"/>
                <w:color w:val="auto"/>
              </w:rPr>
            </w:pPr>
            <w:r>
              <w:rPr>
                <w:rFonts w:ascii="Arial" w:cs="Arial" w:eastAsia="Arial" w:hAnsi="Arial"/>
                <w:sz w:val="18"/>
                <w:szCs w:val="18"/>
                <w:b w:val="1"/>
                <w:bCs w:val="1"/>
                <w:color w:val="auto"/>
              </w:rPr>
              <w:t>Clearway Energy, Inc. (Parent)</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7"/>
        </w:trPr>
        <w:tc>
          <w:tcPr>
            <w:tcW w:w="7060" w:type="dxa"/>
            <w:vAlign w:val="bottom"/>
          </w:tcPr>
          <w:p>
            <w:pPr>
              <w:ind w:left="4160"/>
              <w:spacing w:after="0"/>
              <w:rPr>
                <w:sz w:val="20"/>
                <w:szCs w:val="20"/>
                <w:color w:val="auto"/>
              </w:rPr>
            </w:pPr>
            <w:r>
              <w:rPr>
                <w:rFonts w:ascii="Arial" w:cs="Arial" w:eastAsia="Arial" w:hAnsi="Arial"/>
                <w:sz w:val="18"/>
                <w:szCs w:val="18"/>
                <w:b w:val="1"/>
                <w:bCs w:val="1"/>
                <w:color w:val="auto"/>
                <w:w w:val="88"/>
              </w:rPr>
              <w:t>Condensed Statements of Cash Flows</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2"/>
        </w:trPr>
        <w:tc>
          <w:tcPr>
            <w:tcW w:w="70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70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180"/>
        </w:trPr>
        <w:tc>
          <w:tcPr>
            <w:tcW w:w="7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8"/>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7"/>
        </w:trPr>
        <w:tc>
          <w:tcPr>
            <w:tcW w:w="70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consolidated affiliates</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r>
      <w:tr>
        <w:trPr>
          <w:trHeight w:val="226"/>
        </w:trPr>
        <w:tc>
          <w:tcPr>
            <w:tcW w:w="7060" w:type="dxa"/>
            <w:vAlign w:val="bottom"/>
          </w:tcPr>
          <w:p>
            <w:pPr>
              <w:ind w:left="200"/>
              <w:spacing w:after="0"/>
              <w:rPr>
                <w:sz w:val="20"/>
                <w:szCs w:val="20"/>
                <w:color w:val="auto"/>
              </w:rPr>
            </w:pPr>
            <w:r>
              <w:rPr>
                <w:rFonts w:ascii="Arial" w:cs="Arial" w:eastAsia="Arial" w:hAnsi="Arial"/>
                <w:sz w:val="18"/>
                <w:szCs w:val="18"/>
                <w:color w:val="auto"/>
              </w:rPr>
              <w:t>Cash advances for notes receivable — affiliate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7"/>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received from notes receivable — affiliate</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9"/>
                <w:szCs w:val="19"/>
                <w:color w:val="auto"/>
              </w:rPr>
            </w:pPr>
          </w:p>
        </w:tc>
      </w:tr>
      <w:tr>
        <w:trPr>
          <w:trHeight w:val="219"/>
        </w:trPr>
        <w:tc>
          <w:tcPr>
            <w:tcW w:w="7060" w:type="dxa"/>
            <w:vAlign w:val="bottom"/>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r>
      <w:tr>
        <w:trPr>
          <w:trHeight w:val="227"/>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7060" w:type="dxa"/>
            <w:vAlign w:val="bottom"/>
          </w:tcPr>
          <w:p>
            <w:pPr>
              <w:ind w:left="200"/>
              <w:spacing w:after="0"/>
              <w:rPr>
                <w:sz w:val="20"/>
                <w:szCs w:val="20"/>
                <w:color w:val="auto"/>
              </w:rPr>
            </w:pPr>
            <w:r>
              <w:rPr>
                <w:rFonts w:ascii="Arial" w:cs="Arial" w:eastAsia="Arial" w:hAnsi="Arial"/>
                <w:sz w:val="18"/>
                <w:szCs w:val="18"/>
                <w:color w:val="auto"/>
              </w:rPr>
              <w:t>Payments for long-term debt</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9"/>
                <w:szCs w:val="19"/>
                <w:color w:val="auto"/>
              </w:rPr>
            </w:pPr>
          </w:p>
        </w:tc>
      </w:tr>
      <w:tr>
        <w:trPr>
          <w:trHeight w:val="227"/>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26"/>
        </w:trPr>
        <w:tc>
          <w:tcPr>
            <w:tcW w:w="7060" w:type="dxa"/>
            <w:vAlign w:val="bottom"/>
          </w:tcPr>
          <w:p>
            <w:pPr>
              <w:ind w:left="200"/>
              <w:spacing w:after="0"/>
              <w:rPr>
                <w:sz w:val="20"/>
                <w:szCs w:val="20"/>
                <w:color w:val="auto"/>
              </w:rPr>
            </w:pPr>
            <w:r>
              <w:rPr>
                <w:rFonts w:ascii="Arial" w:cs="Arial" w:eastAsia="Arial" w:hAnsi="Arial"/>
                <w:sz w:val="18"/>
                <w:szCs w:val="18"/>
                <w:color w:val="auto"/>
              </w:rPr>
              <w:t>Cash received from Clearway Energy LLC for the payment of dividends</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r>
      <w:tr>
        <w:trPr>
          <w:trHeight w:val="227"/>
        </w:trPr>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r>
      <w:tr>
        <w:trPr>
          <w:trHeight w:val="219"/>
        </w:trPr>
        <w:tc>
          <w:tcPr>
            <w:tcW w:w="706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r>
      <w:tr>
        <w:trPr>
          <w:trHeight w:val="227"/>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r>
      <w:tr>
        <w:trPr>
          <w:trHeight w:val="227"/>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9"/>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66675</wp:posOffset>
            </wp:positionV>
            <wp:extent cx="715962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60" w:top="974"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Schedule I</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 (Parent)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6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or GIP. GIP is an independent infrastructure fund manager that makes equity and debt investments in infrastructure assets and businesses. The Company is sponsored by GIP through GIP's portfolio company, Clearway Energy Group LLC, or CEG.</w:t>
      </w:r>
    </w:p>
    <w:p>
      <w:pPr>
        <w:spacing w:after="0" w:line="140"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The Company is one of the largest renewable energy owners in the U.S. with over 5,000 net MW of installed wind and solar generation projects. The Company's over 9,000 net MW of assets includes approximately 2,500 net MW of environmentally-sound, highly efficient natural gas-fired generation facilities as well as the Thermal Business.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w:t>
      </w:r>
    </w:p>
    <w:p>
      <w:pPr>
        <w:spacing w:after="0" w:line="139"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231F20"/>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spacing w:after="0" w:line="140"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As of December 31, 2021, the Company owned 57.65% of the economic interests of Clearway Energy LLC, with CEG owning 42.35% of the economic interests of Clearway Energy LLC.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6"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color w:val="auto"/>
        </w:rPr>
        <w:t>The condensed parent-only company financial statements have been prepared in accordance with Rule 12-04 of Regulation S-X, as the restricted net assets of Clearway Energy, Inc.’s subsidiaries exceed 25% of the consolidated net assets of Clearway Energy, Inc. The parent's 100% investment in its subsidiaries has been recorded using the equity basis of accounting in the accompanying condensed parent-only financial statements. These statements should be read in conjunction with the consolidated financial statements and notes thereto of Clearway Energy,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Long-Term Debt</w:t>
      </w:r>
    </w:p>
    <w:p>
      <w:pPr>
        <w:spacing w:after="0" w:line="172"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 xml:space="preserve">For a discussion of Clearway Energy, Inc.’s financing arrangements, see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Company's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Commitments, Contingencies and Guarantees</w:t>
      </w:r>
    </w:p>
    <w:p>
      <w:pPr>
        <w:spacing w:after="0" w:line="172" w:lineRule="exact"/>
        <w:rPr>
          <w:sz w:val="20"/>
          <w:szCs w:val="20"/>
          <w:color w:val="auto"/>
        </w:rPr>
      </w:pPr>
    </w:p>
    <w:p>
      <w:pPr>
        <w:jc w:val="both"/>
        <w:ind w:right="20" w:firstLine="400"/>
        <w:spacing w:after="0" w:line="267" w:lineRule="auto"/>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and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Company's consolidated financial statements for a detailed discussion of Clearway Energy, Inc.’s commitments and contingencies.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Dividends</w:t>
      </w:r>
    </w:p>
    <w:p>
      <w:pPr>
        <w:spacing w:after="0" w:line="172"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Cash distributions paid to Clearway Energy, Inc. by its subsidiary, Clearway Energy LLC, were $155 million, $121 million and $87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4"/>
                <w:szCs w:val="14"/>
                <w:color w:val="auto"/>
              </w:rPr>
            </w:pPr>
          </w:p>
        </w:tc>
        <w:tc>
          <w:tcPr>
            <w:tcW w:w="148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4"/>
              </w:rPr>
              <w:t>Charged to</w:t>
            </w:r>
          </w:p>
        </w:tc>
        <w:tc>
          <w:tcPr>
            <w:tcW w:w="110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33"/>
        </w:trPr>
        <w:tc>
          <w:tcPr>
            <w:tcW w:w="6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Beginning of</w:t>
            </w: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Costs and</w:t>
            </w:r>
          </w:p>
        </w:tc>
        <w:tc>
          <w:tcPr>
            <w:tcW w:w="16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16"/>
                <w:szCs w:val="16"/>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Other Accounts</w:t>
            </w:r>
          </w:p>
        </w:tc>
        <w:tc>
          <w:tcPr>
            <w:tcW w:w="1100" w:type="dxa"/>
            <w:vAlign w:val="bottom"/>
          </w:tcPr>
          <w:p>
            <w:pPr>
              <w:jc w:val="right"/>
              <w:ind w:right="124"/>
              <w:spacing w:after="0"/>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208"/>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tax valuation allowance, deducted from deferred tax assets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20" w:type="dxa"/>
            <w:vAlign w:val="bottom"/>
          </w:tcPr>
          <w:p>
            <w:pPr>
              <w:ind w:left="20"/>
              <w:spacing w:after="0"/>
              <w:rPr>
                <w:sz w:val="20"/>
                <w:szCs w:val="20"/>
                <w:color w:val="auto"/>
              </w:rPr>
            </w:pPr>
            <w:r>
              <w:rPr>
                <w:rFonts w:ascii="Arial" w:cs="Arial" w:eastAsia="Arial" w:hAnsi="Arial"/>
                <w:sz w:val="16"/>
                <w:szCs w:val="16"/>
                <w:color w:val="auto"/>
              </w:rPr>
              <w:t>Year Ended December 31, 2021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center"/>
              <w:ind w:left="585"/>
              <w:spacing w:after="0"/>
              <w:rPr>
                <w:sz w:val="20"/>
                <w:szCs w:val="20"/>
                <w:color w:val="auto"/>
              </w:rPr>
            </w:pPr>
            <w:r>
              <w:rPr>
                <w:rFonts w:ascii="Arial" w:cs="Arial" w:eastAsia="Arial" w:hAnsi="Arial"/>
                <w:sz w:val="16"/>
                <w:szCs w:val="16"/>
                <w:color w:val="auto"/>
                <w:w w:val="91"/>
              </w:rPr>
              <w:t>(14)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Ended December 31, 2020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485"/>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8"/>
        </w:trPr>
        <w:tc>
          <w:tcPr>
            <w:tcW w:w="6020" w:type="dxa"/>
            <w:vAlign w:val="bottom"/>
          </w:tcPr>
          <w:p>
            <w:pPr>
              <w:ind w:left="20"/>
              <w:spacing w:after="0"/>
              <w:rPr>
                <w:sz w:val="20"/>
                <w:szCs w:val="20"/>
                <w:color w:val="auto"/>
              </w:rPr>
            </w:pPr>
            <w:r>
              <w:rPr>
                <w:rFonts w:ascii="Arial" w:cs="Arial" w:eastAsia="Arial" w:hAnsi="Arial"/>
                <w:sz w:val="16"/>
                <w:szCs w:val="16"/>
                <w:color w:val="auto"/>
              </w:rPr>
              <w:t>Year Ended December 31, 2019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485"/>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480" w:type="dxa"/>
            <w:vAlign w:val="bottom"/>
            <w:gridSpan w:val="3"/>
          </w:tcPr>
          <w:p>
            <w:pPr>
              <w:ind w:left="10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7" w:name="page138"/>
    <w:bookmarkEnd w:id="137"/>
    <w:p>
      <w:pPr>
        <w:ind w:left="49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119"/>
          </w:cols>
          <w:pgMar w:left="340" w:top="881" w:right="1440" w:bottom="1440" w:gutter="0" w:footer="0" w:header="0"/>
        </w:sectPr>
      </w:pP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0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040" w:type="dxa"/>
            <w:vAlign w:val="bottom"/>
            <w:gridSpan w:val="31"/>
          </w:tcPr>
          <w:p>
            <w:pPr>
              <w:spacing w:after="0"/>
              <w:rPr>
                <w:sz w:val="20"/>
                <w:szCs w:val="20"/>
                <w:color w:val="auto"/>
              </w:rPr>
            </w:pPr>
            <w:r>
              <w:rPr>
                <w:rFonts w:ascii="Arial" w:cs="Arial" w:eastAsia="Arial" w:hAnsi="Arial"/>
                <w:sz w:val="16"/>
                <w:szCs w:val="16"/>
                <w:b w:val="1"/>
                <w:bCs w:val="1"/>
                <w:color w:val="auto"/>
              </w:rPr>
              <w:t>Description</w:t>
            </w:r>
          </w:p>
        </w:tc>
      </w:tr>
      <w:tr>
        <w:trPr>
          <w:trHeight w:val="179"/>
        </w:trPr>
        <w:tc>
          <w:tcPr>
            <w:tcW w:w="900" w:type="dxa"/>
            <w:vAlign w:val="bottom"/>
          </w:tcPr>
          <w:p>
            <w:pPr>
              <w:spacing w:after="0" w:line="178" w:lineRule="exact"/>
              <w:rPr>
                <w:sz w:val="20"/>
                <w:szCs w:val="20"/>
                <w:color w:val="auto"/>
              </w:rPr>
            </w:pPr>
            <w:r>
              <w:rPr>
                <w:rFonts w:ascii="Arial" w:cs="Arial" w:eastAsia="Arial" w:hAnsi="Arial"/>
                <w:sz w:val="16"/>
                <w:szCs w:val="16"/>
                <w:color w:val="auto"/>
              </w:rPr>
              <w:t>2.1*</w:t>
            </w:r>
          </w:p>
        </w:tc>
        <w:tc>
          <w:tcPr>
            <w:tcW w:w="5040" w:type="dxa"/>
            <w:vAlign w:val="bottom"/>
            <w:gridSpan w:val="31"/>
          </w:tcPr>
          <w:p>
            <w:pPr>
              <w:spacing w:after="0" w:line="178" w:lineRule="exact"/>
              <w:rPr>
                <w:rFonts w:ascii="Arial" w:cs="Arial" w:eastAsia="Arial" w:hAnsi="Arial"/>
                <w:sz w:val="16"/>
                <w:szCs w:val="16"/>
                <w:color w:val="0000FF"/>
                <w:w w:val="90"/>
              </w:rPr>
            </w:pPr>
            <w:hyperlink r:id="rId192">
              <w:r>
                <w:rPr>
                  <w:rFonts w:ascii="Arial" w:cs="Arial" w:eastAsia="Arial" w:hAnsi="Arial"/>
                  <w:sz w:val="16"/>
                  <w:szCs w:val="16"/>
                  <w:color w:val="0000FF"/>
                  <w:w w:val="90"/>
                </w:rPr>
                <w:t>Purchase and Sale Agreement, dated as of February 6, 2018, by and between</w:t>
              </w:r>
            </w:hyperlink>
          </w:p>
        </w:tc>
      </w:tr>
      <w:tr>
        <w:trPr>
          <w:trHeight w:val="140"/>
        </w:trPr>
        <w:tc>
          <w:tcPr>
            <w:tcW w:w="900" w:type="dxa"/>
            <w:vAlign w:val="bottom"/>
          </w:tcPr>
          <w:p>
            <w:pPr>
              <w:spacing w:after="0"/>
              <w:rPr>
                <w:sz w:val="12"/>
                <w:szCs w:val="12"/>
                <w:color w:val="auto"/>
              </w:rPr>
            </w:pPr>
          </w:p>
        </w:tc>
        <w:tc>
          <w:tcPr>
            <w:tcW w:w="4660" w:type="dxa"/>
            <w:vAlign w:val="bottom"/>
            <w:tcBorders>
              <w:top w:val="single" w:sz="8" w:color="0000FF"/>
              <w:bottom w:val="single" w:sz="8" w:color="0000FF"/>
            </w:tcBorders>
            <w:gridSpan w:val="16"/>
          </w:tcPr>
          <w:p>
            <w:pPr>
              <w:spacing w:after="0" w:line="140" w:lineRule="exact"/>
              <w:rPr>
                <w:rFonts w:ascii="Arial" w:cs="Arial" w:eastAsia="Arial" w:hAnsi="Arial"/>
                <w:sz w:val="16"/>
                <w:szCs w:val="16"/>
                <w:color w:val="0000FF"/>
                <w:w w:val="92"/>
              </w:rPr>
            </w:pPr>
            <w:hyperlink r:id="rId192">
              <w:r>
                <w:rPr>
                  <w:rFonts w:ascii="Arial" w:cs="Arial" w:eastAsia="Arial" w:hAnsi="Arial"/>
                  <w:sz w:val="16"/>
                  <w:szCs w:val="16"/>
                  <w:color w:val="0000FF"/>
                  <w:w w:val="92"/>
                </w:rPr>
                <w:t>NRG Gas Development Company, LLC and NRG Yield Operating LLC.</w:t>
              </w:r>
            </w:hyperlink>
          </w:p>
        </w:tc>
        <w:tc>
          <w:tcPr>
            <w:tcW w:w="24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26"/>
        </w:trPr>
        <w:tc>
          <w:tcPr>
            <w:tcW w:w="900" w:type="dxa"/>
            <w:vAlign w:val="bottom"/>
          </w:tcPr>
          <w:p>
            <w:pPr>
              <w:spacing w:after="0"/>
              <w:rPr>
                <w:sz w:val="20"/>
                <w:szCs w:val="20"/>
                <w:color w:val="auto"/>
              </w:rPr>
            </w:pPr>
            <w:r>
              <w:rPr>
                <w:rFonts w:ascii="Arial" w:cs="Arial" w:eastAsia="Arial" w:hAnsi="Arial"/>
                <w:sz w:val="16"/>
                <w:szCs w:val="16"/>
                <w:color w:val="auto"/>
              </w:rPr>
              <w:t>2.2*</w:t>
            </w:r>
          </w:p>
        </w:tc>
        <w:tc>
          <w:tcPr>
            <w:tcW w:w="5040" w:type="dxa"/>
            <w:vAlign w:val="bottom"/>
            <w:gridSpan w:val="31"/>
          </w:tcPr>
          <w:p>
            <w:pPr>
              <w:spacing w:after="0"/>
              <w:rPr>
                <w:rFonts w:ascii="Arial" w:cs="Arial" w:eastAsia="Arial" w:hAnsi="Arial"/>
                <w:sz w:val="16"/>
                <w:szCs w:val="16"/>
                <w:color w:val="0000FF"/>
                <w:w w:val="89"/>
              </w:rPr>
            </w:pPr>
            <w:hyperlink r:id="rId193">
              <w:r>
                <w:rPr>
                  <w:rFonts w:ascii="Arial" w:cs="Arial" w:eastAsia="Arial" w:hAnsi="Arial"/>
                  <w:sz w:val="16"/>
                  <w:szCs w:val="16"/>
                  <w:color w:val="0000FF"/>
                  <w:w w:val="89"/>
                </w:rPr>
                <w:t>Purchase and Sale Agreement, dated as of December 6, 2019, by and between</w:t>
              </w:r>
            </w:hyperlink>
          </w:p>
        </w:tc>
      </w:tr>
      <w:tr>
        <w:trPr>
          <w:trHeight w:val="140"/>
        </w:trPr>
        <w:tc>
          <w:tcPr>
            <w:tcW w:w="900" w:type="dxa"/>
            <w:vAlign w:val="bottom"/>
          </w:tcPr>
          <w:p>
            <w:pPr>
              <w:spacing w:after="0"/>
              <w:rPr>
                <w:sz w:val="12"/>
                <w:szCs w:val="12"/>
                <w:color w:val="auto"/>
              </w:rPr>
            </w:pPr>
          </w:p>
        </w:tc>
        <w:tc>
          <w:tcPr>
            <w:tcW w:w="5000" w:type="dxa"/>
            <w:vAlign w:val="bottom"/>
            <w:tcBorders>
              <w:top w:val="single" w:sz="8" w:color="0000FF"/>
            </w:tcBorders>
            <w:gridSpan w:val="29"/>
          </w:tcPr>
          <w:p>
            <w:pPr>
              <w:spacing w:after="0" w:line="140" w:lineRule="exact"/>
              <w:rPr>
                <w:rFonts w:ascii="Arial" w:cs="Arial" w:eastAsia="Arial" w:hAnsi="Arial"/>
                <w:sz w:val="16"/>
                <w:szCs w:val="16"/>
                <w:color w:val="0000FF"/>
                <w:w w:val="98"/>
              </w:rPr>
            </w:pPr>
            <w:hyperlink r:id="rId193">
              <w:r>
                <w:rPr>
                  <w:rFonts w:ascii="Arial" w:cs="Arial" w:eastAsia="Arial" w:hAnsi="Arial"/>
                  <w:sz w:val="16"/>
                  <w:szCs w:val="16"/>
                  <w:color w:val="0000FF"/>
                  <w:w w:val="98"/>
                </w:rPr>
                <w:t>Clearway Energy Operating LLC and GIP III Zephyr Carlsbad Holdings,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90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0" w:lineRule="exact"/>
              <w:rPr>
                <w:rFonts w:ascii="Arial" w:cs="Arial" w:eastAsia="Arial" w:hAnsi="Arial"/>
                <w:sz w:val="16"/>
                <w:szCs w:val="16"/>
                <w:color w:val="0000FF"/>
                <w:w w:val="94"/>
              </w:rPr>
            </w:pPr>
            <w:hyperlink r:id="rId193">
              <w:r>
                <w:rPr>
                  <w:rFonts w:ascii="Arial" w:cs="Arial" w:eastAsia="Arial" w:hAnsi="Arial"/>
                  <w:sz w:val="16"/>
                  <w:szCs w:val="16"/>
                  <w:color w:val="0000FF"/>
                  <w:w w:val="94"/>
                </w:rPr>
                <w:t>LLC.</w:t>
              </w:r>
            </w:hyperlink>
          </w:p>
        </w:tc>
        <w:tc>
          <w:tcPr>
            <w:tcW w:w="436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366"/>
        </w:trPr>
        <w:tc>
          <w:tcPr>
            <w:tcW w:w="900" w:type="dxa"/>
            <w:vAlign w:val="bottom"/>
          </w:tcPr>
          <w:p>
            <w:pPr>
              <w:spacing w:after="0"/>
              <w:rPr>
                <w:sz w:val="20"/>
                <w:szCs w:val="20"/>
                <w:color w:val="auto"/>
              </w:rPr>
            </w:pPr>
            <w:r>
              <w:rPr>
                <w:rFonts w:ascii="Arial" w:cs="Arial" w:eastAsia="Arial" w:hAnsi="Arial"/>
                <w:sz w:val="16"/>
                <w:szCs w:val="16"/>
                <w:color w:val="auto"/>
              </w:rPr>
              <w:t>2.3</w:t>
            </w:r>
          </w:p>
        </w:tc>
        <w:tc>
          <w:tcPr>
            <w:tcW w:w="5040" w:type="dxa"/>
            <w:vAlign w:val="bottom"/>
            <w:gridSpan w:val="31"/>
          </w:tcPr>
          <w:p>
            <w:pPr>
              <w:spacing w:after="0"/>
              <w:rPr>
                <w:rFonts w:ascii="Arial" w:cs="Arial" w:eastAsia="Arial" w:hAnsi="Arial"/>
                <w:sz w:val="16"/>
                <w:szCs w:val="16"/>
                <w:color w:val="0000FF"/>
                <w:w w:val="98"/>
              </w:rPr>
            </w:pPr>
            <w:hyperlink r:id="rId194">
              <w:r>
                <w:rPr>
                  <w:rFonts w:ascii="Arial" w:cs="Arial" w:eastAsia="Arial" w:hAnsi="Arial"/>
                  <w:sz w:val="16"/>
                  <w:szCs w:val="16"/>
                  <w:color w:val="0000FF"/>
                  <w:w w:val="98"/>
                </w:rPr>
                <w:t>Purchase and Sale Agreement, dated as of November 19, 2020, by and</w:t>
              </w:r>
            </w:hyperlink>
          </w:p>
        </w:tc>
      </w:tr>
      <w:tr>
        <w:trPr>
          <w:trHeight w:val="20"/>
        </w:trPr>
        <w:tc>
          <w:tcPr>
            <w:tcW w:w="9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900" w:type="dxa"/>
            <w:vAlign w:val="bottom"/>
          </w:tcPr>
          <w:p>
            <w:pPr>
              <w:spacing w:after="0"/>
              <w:rPr>
                <w:sz w:val="12"/>
                <w:szCs w:val="12"/>
                <w:color w:val="auto"/>
              </w:rPr>
            </w:pPr>
          </w:p>
        </w:tc>
        <w:tc>
          <w:tcPr>
            <w:tcW w:w="4740" w:type="dxa"/>
            <w:vAlign w:val="bottom"/>
            <w:tcBorders>
              <w:bottom w:val="single" w:sz="8" w:color="0000FF"/>
            </w:tcBorders>
            <w:gridSpan w:val="20"/>
          </w:tcPr>
          <w:p>
            <w:pPr>
              <w:spacing w:after="0" w:line="140" w:lineRule="exact"/>
              <w:rPr>
                <w:rFonts w:ascii="Arial" w:cs="Arial" w:eastAsia="Arial" w:hAnsi="Arial"/>
                <w:sz w:val="16"/>
                <w:szCs w:val="16"/>
                <w:color w:val="0000FF"/>
                <w:w w:val="92"/>
              </w:rPr>
            </w:pPr>
            <w:hyperlink r:id="rId194">
              <w:r>
                <w:rPr>
                  <w:rFonts w:ascii="Arial" w:cs="Arial" w:eastAsia="Arial" w:hAnsi="Arial"/>
                  <w:sz w:val="16"/>
                  <w:szCs w:val="16"/>
                  <w:color w:val="0000FF"/>
                  <w:w w:val="92"/>
                </w:rPr>
                <w:t>between NRG Solar Sunrise LLC and Clearway AC Solar Holdings LLC.</w:t>
              </w:r>
            </w:hyperlink>
          </w:p>
        </w:tc>
        <w:tc>
          <w:tcPr>
            <w:tcW w:w="300" w:type="dxa"/>
            <w:vAlign w:val="bottom"/>
            <w:gridSpan w:val="11"/>
          </w:tcPr>
          <w:p>
            <w:pPr>
              <w:spacing w:after="0"/>
              <w:rPr>
                <w:sz w:val="12"/>
                <w:szCs w:val="12"/>
                <w:color w:val="auto"/>
              </w:rPr>
            </w:pPr>
          </w:p>
        </w:tc>
      </w:tr>
      <w:tr>
        <w:trPr>
          <w:trHeight w:val="446"/>
        </w:trPr>
        <w:tc>
          <w:tcPr>
            <w:tcW w:w="900" w:type="dxa"/>
            <w:vAlign w:val="bottom"/>
          </w:tcPr>
          <w:p>
            <w:pPr>
              <w:spacing w:after="0"/>
              <w:rPr>
                <w:sz w:val="20"/>
                <w:szCs w:val="20"/>
                <w:color w:val="auto"/>
              </w:rPr>
            </w:pPr>
            <w:r>
              <w:rPr>
                <w:rFonts w:ascii="Arial" w:cs="Arial" w:eastAsia="Arial" w:hAnsi="Arial"/>
                <w:sz w:val="16"/>
                <w:szCs w:val="16"/>
                <w:color w:val="auto"/>
              </w:rPr>
              <w:t>3.1</w:t>
            </w:r>
          </w:p>
        </w:tc>
        <w:tc>
          <w:tcPr>
            <w:tcW w:w="4940" w:type="dxa"/>
            <w:vAlign w:val="bottom"/>
            <w:tcBorders>
              <w:bottom w:val="single" w:sz="8" w:color="0000FF"/>
            </w:tcBorders>
            <w:gridSpan w:val="27"/>
          </w:tcPr>
          <w:p>
            <w:pPr>
              <w:spacing w:after="0"/>
              <w:rPr>
                <w:rFonts w:ascii="Arial" w:cs="Arial" w:eastAsia="Arial" w:hAnsi="Arial"/>
                <w:sz w:val="16"/>
                <w:szCs w:val="16"/>
                <w:color w:val="0000FF"/>
                <w:w w:val="91"/>
              </w:rPr>
            </w:pPr>
            <w:hyperlink r:id="rId195">
              <w:r>
                <w:rPr>
                  <w:rFonts w:ascii="Arial" w:cs="Arial" w:eastAsia="Arial" w:hAnsi="Arial"/>
                  <w:sz w:val="16"/>
                  <w:szCs w:val="16"/>
                  <w:color w:val="0000FF"/>
                  <w:w w:val="91"/>
                </w:rPr>
                <w:t>Amended and Restated Certificate of Incorporation of Clearway Energy, Inc.</w:t>
              </w:r>
            </w:hyperlink>
          </w:p>
        </w:tc>
        <w:tc>
          <w:tcPr>
            <w:tcW w:w="100" w:type="dxa"/>
            <w:vAlign w:val="bottom"/>
            <w:gridSpan w:val="4"/>
          </w:tcPr>
          <w:p>
            <w:pPr>
              <w:spacing w:after="0"/>
              <w:rPr>
                <w:sz w:val="24"/>
                <w:szCs w:val="24"/>
                <w:color w:val="auto"/>
              </w:rPr>
            </w:pP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3.2</w:t>
            </w:r>
          </w:p>
        </w:tc>
        <w:tc>
          <w:tcPr>
            <w:tcW w:w="5040" w:type="dxa"/>
            <w:vAlign w:val="bottom"/>
            <w:gridSpan w:val="31"/>
          </w:tcPr>
          <w:p>
            <w:pPr>
              <w:spacing w:after="0"/>
              <w:rPr>
                <w:rFonts w:ascii="Arial" w:cs="Arial" w:eastAsia="Arial" w:hAnsi="Arial"/>
                <w:sz w:val="16"/>
                <w:szCs w:val="16"/>
                <w:color w:val="0000FF"/>
              </w:rPr>
            </w:pPr>
            <w:hyperlink r:id="rId196">
              <w:r>
                <w:rPr>
                  <w:rFonts w:ascii="Arial" w:cs="Arial" w:eastAsia="Arial" w:hAnsi="Arial"/>
                  <w:sz w:val="16"/>
                  <w:szCs w:val="16"/>
                  <w:color w:val="0000FF"/>
                </w:rPr>
                <w:t>Fourth Amended and Restated Bylaws of Clearway Energy, Inc., dated</w:t>
              </w:r>
            </w:hyperlink>
          </w:p>
        </w:tc>
      </w:tr>
      <w:tr>
        <w:trPr>
          <w:trHeight w:val="140"/>
        </w:trPr>
        <w:tc>
          <w:tcPr>
            <w:tcW w:w="900" w:type="dxa"/>
            <w:vAlign w:val="bottom"/>
          </w:tcPr>
          <w:p>
            <w:pPr>
              <w:spacing w:after="0"/>
              <w:rPr>
                <w:sz w:val="12"/>
                <w:szCs w:val="12"/>
                <w:color w:val="auto"/>
              </w:rPr>
            </w:pPr>
          </w:p>
        </w:tc>
        <w:tc>
          <w:tcPr>
            <w:tcW w:w="1100" w:type="dxa"/>
            <w:vAlign w:val="bottom"/>
            <w:tcBorders>
              <w:top w:val="single" w:sz="8" w:color="0000FF"/>
              <w:bottom w:val="single" w:sz="8" w:color="0000FF"/>
            </w:tcBorders>
            <w:gridSpan w:val="4"/>
          </w:tcPr>
          <w:p>
            <w:pPr>
              <w:spacing w:after="0" w:line="140" w:lineRule="exact"/>
              <w:rPr>
                <w:rFonts w:ascii="Arial" w:cs="Arial" w:eastAsia="Arial" w:hAnsi="Arial"/>
                <w:sz w:val="16"/>
                <w:szCs w:val="16"/>
                <w:color w:val="0000FF"/>
                <w:w w:val="89"/>
              </w:rPr>
            </w:pPr>
            <w:hyperlink r:id="rId196">
              <w:r>
                <w:rPr>
                  <w:rFonts w:ascii="Arial" w:cs="Arial" w:eastAsia="Arial" w:hAnsi="Arial"/>
                  <w:sz w:val="16"/>
                  <w:szCs w:val="16"/>
                  <w:color w:val="0000FF"/>
                  <w:w w:val="89"/>
                </w:rPr>
                <w:t>August 31, 2018.</w:t>
              </w:r>
            </w:hyperlink>
          </w:p>
        </w:tc>
        <w:tc>
          <w:tcPr>
            <w:tcW w:w="344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353"/>
        </w:trPr>
        <w:tc>
          <w:tcPr>
            <w:tcW w:w="900" w:type="dxa"/>
            <w:vAlign w:val="bottom"/>
          </w:tcPr>
          <w:p>
            <w:pPr>
              <w:spacing w:after="0"/>
              <w:rPr>
                <w:sz w:val="20"/>
                <w:szCs w:val="20"/>
                <w:color w:val="auto"/>
              </w:rPr>
            </w:pPr>
            <w:r>
              <w:rPr>
                <w:rFonts w:ascii="Arial" w:cs="Arial" w:eastAsia="Arial" w:hAnsi="Arial"/>
                <w:sz w:val="16"/>
                <w:szCs w:val="16"/>
                <w:color w:val="auto"/>
              </w:rPr>
              <w:t>4.1</w:t>
            </w:r>
          </w:p>
        </w:tc>
        <w:tc>
          <w:tcPr>
            <w:tcW w:w="4680" w:type="dxa"/>
            <w:vAlign w:val="bottom"/>
            <w:tcBorders>
              <w:bottom w:val="single" w:sz="8" w:color="0000FF"/>
            </w:tcBorders>
            <w:gridSpan w:val="17"/>
          </w:tcPr>
          <w:p>
            <w:pPr>
              <w:spacing w:after="0"/>
              <w:rPr>
                <w:rFonts w:ascii="Arial" w:cs="Arial" w:eastAsia="Arial" w:hAnsi="Arial"/>
                <w:sz w:val="16"/>
                <w:szCs w:val="16"/>
                <w:color w:val="0000FF"/>
                <w:w w:val="92"/>
              </w:rPr>
            </w:pPr>
            <w:hyperlink r:id="rId197">
              <w:r>
                <w:rPr>
                  <w:rFonts w:ascii="Arial" w:cs="Arial" w:eastAsia="Arial" w:hAnsi="Arial"/>
                  <w:sz w:val="16"/>
                  <w:szCs w:val="16"/>
                  <w:color w:val="0000FF"/>
                  <w:w w:val="92"/>
                </w:rPr>
                <w:t>Fourth Amended and Restated Limited Liability Company Agreement of</w:t>
              </w:r>
            </w:hyperlink>
          </w:p>
        </w:tc>
        <w:tc>
          <w:tcPr>
            <w:tcW w:w="360" w:type="dxa"/>
            <w:vAlign w:val="bottom"/>
            <w:gridSpan w:val="14"/>
          </w:tcPr>
          <w:p>
            <w:pPr>
              <w:spacing w:after="0"/>
              <w:rPr>
                <w:sz w:val="24"/>
                <w:szCs w:val="24"/>
                <w:color w:val="auto"/>
              </w:rPr>
            </w:pPr>
          </w:p>
        </w:tc>
      </w:tr>
      <w:tr>
        <w:trPr>
          <w:trHeight w:val="140"/>
        </w:trPr>
        <w:tc>
          <w:tcPr>
            <w:tcW w:w="900" w:type="dxa"/>
            <w:vAlign w:val="bottom"/>
          </w:tcPr>
          <w:p>
            <w:pPr>
              <w:spacing w:after="0"/>
              <w:rPr>
                <w:sz w:val="12"/>
                <w:szCs w:val="12"/>
                <w:color w:val="auto"/>
              </w:rPr>
            </w:pPr>
          </w:p>
        </w:tc>
        <w:tc>
          <w:tcPr>
            <w:tcW w:w="5040" w:type="dxa"/>
            <w:vAlign w:val="bottom"/>
            <w:gridSpan w:val="31"/>
          </w:tcPr>
          <w:p>
            <w:pPr>
              <w:spacing w:after="0" w:line="140" w:lineRule="exact"/>
              <w:rPr>
                <w:rFonts w:ascii="Arial" w:cs="Arial" w:eastAsia="Arial" w:hAnsi="Arial"/>
                <w:sz w:val="16"/>
                <w:szCs w:val="16"/>
                <w:color w:val="0000FF"/>
                <w:w w:val="95"/>
              </w:rPr>
            </w:pPr>
            <w:hyperlink r:id="rId197">
              <w:r>
                <w:rPr>
                  <w:rFonts w:ascii="Arial" w:cs="Arial" w:eastAsia="Arial" w:hAnsi="Arial"/>
                  <w:sz w:val="16"/>
                  <w:szCs w:val="16"/>
                  <w:color w:val="0000FF"/>
                  <w:w w:val="95"/>
                </w:rPr>
                <w:t>NRG Yield LLC, dated as of August 31, 2018, by and between NRG Yield,</w:t>
              </w:r>
            </w:hyperlink>
          </w:p>
        </w:tc>
      </w:tr>
      <w:tr>
        <w:trPr>
          <w:trHeight w:val="140"/>
        </w:trPr>
        <w:tc>
          <w:tcPr>
            <w:tcW w:w="900" w:type="dxa"/>
            <w:vAlign w:val="bottom"/>
          </w:tcPr>
          <w:p>
            <w:pPr>
              <w:spacing w:after="0"/>
              <w:rPr>
                <w:sz w:val="12"/>
                <w:szCs w:val="12"/>
                <w:color w:val="auto"/>
              </w:rPr>
            </w:pPr>
          </w:p>
        </w:tc>
        <w:tc>
          <w:tcPr>
            <w:tcW w:w="4820" w:type="dxa"/>
            <w:vAlign w:val="bottom"/>
            <w:tcBorders>
              <w:top w:val="single" w:sz="8" w:color="0000FF"/>
            </w:tcBorders>
            <w:gridSpan w:val="23"/>
          </w:tcPr>
          <w:p>
            <w:pPr>
              <w:spacing w:after="0" w:line="140" w:lineRule="exact"/>
              <w:rPr>
                <w:rFonts w:ascii="Arial" w:cs="Arial" w:eastAsia="Arial" w:hAnsi="Arial"/>
                <w:sz w:val="16"/>
                <w:szCs w:val="16"/>
                <w:color w:val="0000FF"/>
              </w:rPr>
            </w:pPr>
            <w:hyperlink r:id="rId197">
              <w:r>
                <w:rPr>
                  <w:rFonts w:ascii="Arial" w:cs="Arial" w:eastAsia="Arial" w:hAnsi="Arial"/>
                  <w:sz w:val="16"/>
                  <w:szCs w:val="16"/>
                  <w:color w:val="0000FF"/>
                </w:rPr>
                <w:t>Inc. and Zephyr Renewables LLC.</w:t>
              </w:r>
            </w:hyperlink>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900" w:type="dxa"/>
            <w:vAlign w:val="bottom"/>
          </w:tcPr>
          <w:p>
            <w:pPr>
              <w:spacing w:after="0"/>
              <w:rPr>
                <w:sz w:val="20"/>
                <w:szCs w:val="20"/>
                <w:color w:val="auto"/>
              </w:rPr>
            </w:pPr>
            <w:r>
              <w:rPr>
                <w:rFonts w:ascii="Arial" w:cs="Arial" w:eastAsia="Arial" w:hAnsi="Arial"/>
                <w:sz w:val="16"/>
                <w:szCs w:val="16"/>
                <w:color w:val="auto"/>
              </w:rPr>
              <w:t>4.2</w:t>
            </w:r>
          </w:p>
        </w:tc>
        <w:tc>
          <w:tcPr>
            <w:tcW w:w="2980" w:type="dxa"/>
            <w:vAlign w:val="bottom"/>
            <w:tcBorders>
              <w:bottom w:val="single" w:sz="8" w:color="0000FF"/>
            </w:tcBorders>
            <w:gridSpan w:val="8"/>
          </w:tcPr>
          <w:p>
            <w:pPr>
              <w:spacing w:after="0"/>
              <w:rPr>
                <w:rFonts w:ascii="Arial" w:cs="Arial" w:eastAsia="Arial" w:hAnsi="Arial"/>
                <w:sz w:val="16"/>
                <w:szCs w:val="16"/>
                <w:color w:val="0000FF"/>
                <w:w w:val="90"/>
              </w:rPr>
            </w:pPr>
            <w:hyperlink r:id="rId198">
              <w:r>
                <w:rPr>
                  <w:rFonts w:ascii="Arial" w:cs="Arial" w:eastAsia="Arial" w:hAnsi="Arial"/>
                  <w:sz w:val="16"/>
                  <w:szCs w:val="16"/>
                  <w:color w:val="0000FF"/>
                  <w:w w:val="90"/>
                </w:rPr>
                <w:t>Specimen Class A Common Stock Certificate.</w:t>
              </w:r>
            </w:hyperlink>
          </w:p>
        </w:tc>
        <w:tc>
          <w:tcPr>
            <w:tcW w:w="2060" w:type="dxa"/>
            <w:vAlign w:val="bottom"/>
            <w:gridSpan w:val="23"/>
          </w:tcPr>
          <w:p>
            <w:pPr>
              <w:spacing w:after="0"/>
              <w:rPr>
                <w:sz w:val="24"/>
                <w:szCs w:val="24"/>
                <w:color w:val="auto"/>
              </w:rPr>
            </w:pPr>
          </w:p>
        </w:tc>
      </w:tr>
      <w:tr>
        <w:trPr>
          <w:trHeight w:val="686"/>
        </w:trPr>
        <w:tc>
          <w:tcPr>
            <w:tcW w:w="900" w:type="dxa"/>
            <w:vAlign w:val="bottom"/>
          </w:tcPr>
          <w:p>
            <w:pPr>
              <w:spacing w:after="0"/>
              <w:rPr>
                <w:sz w:val="20"/>
                <w:szCs w:val="20"/>
                <w:color w:val="auto"/>
              </w:rPr>
            </w:pPr>
            <w:r>
              <w:rPr>
                <w:rFonts w:ascii="Arial" w:cs="Arial" w:eastAsia="Arial" w:hAnsi="Arial"/>
                <w:sz w:val="16"/>
                <w:szCs w:val="16"/>
                <w:color w:val="auto"/>
              </w:rPr>
              <w:t>4.3</w:t>
            </w:r>
          </w:p>
        </w:tc>
        <w:tc>
          <w:tcPr>
            <w:tcW w:w="2960" w:type="dxa"/>
            <w:vAlign w:val="bottom"/>
            <w:tcBorders>
              <w:bottom w:val="single" w:sz="8" w:color="0000FF"/>
            </w:tcBorders>
            <w:gridSpan w:val="7"/>
          </w:tcPr>
          <w:p>
            <w:pPr>
              <w:spacing w:after="0"/>
              <w:rPr>
                <w:rFonts w:ascii="Arial" w:cs="Arial" w:eastAsia="Arial" w:hAnsi="Arial"/>
                <w:sz w:val="16"/>
                <w:szCs w:val="16"/>
                <w:color w:val="0000FF"/>
                <w:w w:val="90"/>
              </w:rPr>
            </w:pPr>
            <w:hyperlink r:id="rId199">
              <w:r>
                <w:rPr>
                  <w:rFonts w:ascii="Arial" w:cs="Arial" w:eastAsia="Arial" w:hAnsi="Arial"/>
                  <w:sz w:val="16"/>
                  <w:szCs w:val="16"/>
                  <w:color w:val="0000FF"/>
                  <w:w w:val="90"/>
                </w:rPr>
                <w:t>Specimen Class C Common Stock Certificate.</w:t>
              </w:r>
            </w:hyperlink>
          </w:p>
        </w:tc>
        <w:tc>
          <w:tcPr>
            <w:tcW w:w="2080" w:type="dxa"/>
            <w:vAlign w:val="bottom"/>
            <w:gridSpan w:val="24"/>
          </w:tcPr>
          <w:p>
            <w:pPr>
              <w:spacing w:after="0"/>
              <w:rPr>
                <w:sz w:val="24"/>
                <w:szCs w:val="24"/>
                <w:color w:val="auto"/>
              </w:rPr>
            </w:pPr>
          </w:p>
        </w:tc>
      </w:tr>
      <w:tr>
        <w:trPr>
          <w:trHeight w:val="686"/>
        </w:trPr>
        <w:tc>
          <w:tcPr>
            <w:tcW w:w="900" w:type="dxa"/>
            <w:vAlign w:val="bottom"/>
          </w:tcPr>
          <w:p>
            <w:pPr>
              <w:spacing w:after="0"/>
              <w:rPr>
                <w:sz w:val="20"/>
                <w:szCs w:val="20"/>
                <w:color w:val="auto"/>
              </w:rPr>
            </w:pPr>
            <w:r>
              <w:rPr>
                <w:rFonts w:ascii="Arial" w:cs="Arial" w:eastAsia="Arial" w:hAnsi="Arial"/>
                <w:sz w:val="16"/>
                <w:szCs w:val="16"/>
                <w:color w:val="auto"/>
              </w:rPr>
              <w:t>4.4</w:t>
            </w:r>
          </w:p>
        </w:tc>
        <w:tc>
          <w:tcPr>
            <w:tcW w:w="4680" w:type="dxa"/>
            <w:vAlign w:val="bottom"/>
            <w:tcBorders>
              <w:bottom w:val="single" w:sz="8" w:color="0000FF"/>
            </w:tcBorders>
            <w:gridSpan w:val="17"/>
          </w:tcPr>
          <w:p>
            <w:pPr>
              <w:spacing w:after="0"/>
              <w:rPr>
                <w:rFonts w:ascii="Arial" w:cs="Arial" w:eastAsia="Arial" w:hAnsi="Arial"/>
                <w:sz w:val="16"/>
                <w:szCs w:val="16"/>
                <w:color w:val="0000FF"/>
                <w:w w:val="89"/>
              </w:rPr>
            </w:pPr>
            <w:hyperlink r:id="rId200">
              <w:r>
                <w:rPr>
                  <w:rFonts w:ascii="Arial" w:cs="Arial" w:eastAsia="Arial" w:hAnsi="Arial"/>
                  <w:sz w:val="16"/>
                  <w:szCs w:val="16"/>
                  <w:color w:val="0000FF"/>
                  <w:w w:val="89"/>
                </w:rPr>
                <w:t>Indenture, dated December 11, 2019, among Clearway Energy Operating</w:t>
              </w:r>
            </w:hyperlink>
          </w:p>
        </w:tc>
        <w:tc>
          <w:tcPr>
            <w:tcW w:w="360" w:type="dxa"/>
            <w:vAlign w:val="bottom"/>
            <w:gridSpan w:val="14"/>
          </w:tcPr>
          <w:p>
            <w:pPr>
              <w:spacing w:after="0"/>
              <w:rPr>
                <w:sz w:val="24"/>
                <w:szCs w:val="24"/>
                <w:color w:val="auto"/>
              </w:rPr>
            </w:pPr>
          </w:p>
        </w:tc>
      </w:tr>
      <w:tr>
        <w:trPr>
          <w:trHeight w:val="140"/>
        </w:trPr>
        <w:tc>
          <w:tcPr>
            <w:tcW w:w="900" w:type="dxa"/>
            <w:vAlign w:val="bottom"/>
          </w:tcPr>
          <w:p>
            <w:pPr>
              <w:spacing w:after="0"/>
              <w:rPr>
                <w:sz w:val="12"/>
                <w:szCs w:val="12"/>
                <w:color w:val="auto"/>
              </w:rPr>
            </w:pPr>
          </w:p>
        </w:tc>
        <w:tc>
          <w:tcPr>
            <w:tcW w:w="4920" w:type="dxa"/>
            <w:vAlign w:val="bottom"/>
            <w:tcBorders>
              <w:bottom w:val="single" w:sz="8" w:color="0000FF"/>
            </w:tcBorders>
            <w:gridSpan w:val="26"/>
          </w:tcPr>
          <w:p>
            <w:pPr>
              <w:spacing w:after="0" w:line="140" w:lineRule="exact"/>
              <w:rPr>
                <w:rFonts w:ascii="Arial" w:cs="Arial" w:eastAsia="Arial" w:hAnsi="Arial"/>
                <w:sz w:val="16"/>
                <w:szCs w:val="16"/>
                <w:color w:val="0000FF"/>
                <w:w w:val="89"/>
              </w:rPr>
            </w:pPr>
            <w:hyperlink r:id="rId200">
              <w:r>
                <w:rPr>
                  <w:rFonts w:ascii="Arial" w:cs="Arial" w:eastAsia="Arial" w:hAnsi="Arial"/>
                  <w:sz w:val="16"/>
                  <w:szCs w:val="16"/>
                  <w:color w:val="0000FF"/>
                  <w:w w:val="89"/>
                </w:rPr>
                <w:t>LLC, the guarantors named therein and Delaware Trust Company, as trustee.</w:t>
              </w:r>
            </w:hyperlink>
          </w:p>
        </w:tc>
        <w:tc>
          <w:tcPr>
            <w:tcW w:w="120" w:type="dxa"/>
            <w:vAlign w:val="bottom"/>
            <w:gridSpan w:val="5"/>
          </w:tcPr>
          <w:p>
            <w:pPr>
              <w:spacing w:after="0"/>
              <w:rPr>
                <w:sz w:val="12"/>
                <w:szCs w:val="12"/>
                <w:color w:val="auto"/>
              </w:rPr>
            </w:pPr>
          </w:p>
        </w:tc>
      </w:tr>
      <w:tr>
        <w:trPr>
          <w:trHeight w:val="526"/>
        </w:trPr>
        <w:tc>
          <w:tcPr>
            <w:tcW w:w="900" w:type="dxa"/>
            <w:vAlign w:val="bottom"/>
          </w:tcPr>
          <w:p>
            <w:pPr>
              <w:spacing w:after="0"/>
              <w:rPr>
                <w:sz w:val="20"/>
                <w:szCs w:val="20"/>
                <w:color w:val="auto"/>
              </w:rPr>
            </w:pPr>
            <w:r>
              <w:rPr>
                <w:rFonts w:ascii="Arial" w:cs="Arial" w:eastAsia="Arial" w:hAnsi="Arial"/>
                <w:sz w:val="16"/>
                <w:szCs w:val="16"/>
                <w:color w:val="auto"/>
              </w:rPr>
              <w:t>4.5</w:t>
            </w:r>
          </w:p>
        </w:tc>
        <w:tc>
          <w:tcPr>
            <w:tcW w:w="2600" w:type="dxa"/>
            <w:vAlign w:val="bottom"/>
            <w:tcBorders>
              <w:bottom w:val="single" w:sz="8" w:color="0000FF"/>
            </w:tcBorders>
            <w:gridSpan w:val="6"/>
          </w:tcPr>
          <w:p>
            <w:pPr>
              <w:spacing w:after="0"/>
              <w:rPr>
                <w:rFonts w:ascii="Arial" w:cs="Arial" w:eastAsia="Arial" w:hAnsi="Arial"/>
                <w:sz w:val="16"/>
                <w:szCs w:val="16"/>
                <w:color w:val="0000FF"/>
                <w:w w:val="90"/>
              </w:rPr>
            </w:pPr>
            <w:hyperlink r:id="rId200">
              <w:r>
                <w:rPr>
                  <w:rFonts w:ascii="Arial" w:cs="Arial" w:eastAsia="Arial" w:hAnsi="Arial"/>
                  <w:sz w:val="16"/>
                  <w:szCs w:val="16"/>
                  <w:color w:val="0000FF"/>
                  <w:w w:val="90"/>
                </w:rPr>
                <w:t>Form of 4.750% Senior Notes due 2028.</w:t>
              </w:r>
            </w:hyperlink>
          </w:p>
        </w:tc>
        <w:tc>
          <w:tcPr>
            <w:tcW w:w="2440" w:type="dxa"/>
            <w:vAlign w:val="bottom"/>
            <w:gridSpan w:val="25"/>
          </w:tcPr>
          <w:p>
            <w:pPr>
              <w:spacing w:after="0"/>
              <w:rPr>
                <w:sz w:val="24"/>
                <w:szCs w:val="24"/>
                <w:color w:val="auto"/>
              </w:rPr>
            </w:pPr>
          </w:p>
        </w:tc>
      </w:tr>
      <w:tr>
        <w:trPr>
          <w:trHeight w:val="686"/>
        </w:trPr>
        <w:tc>
          <w:tcPr>
            <w:tcW w:w="900" w:type="dxa"/>
            <w:vAlign w:val="bottom"/>
          </w:tcPr>
          <w:p>
            <w:pPr>
              <w:spacing w:after="0"/>
              <w:rPr>
                <w:sz w:val="20"/>
                <w:szCs w:val="20"/>
                <w:color w:val="auto"/>
              </w:rPr>
            </w:pPr>
            <w:r>
              <w:rPr>
                <w:rFonts w:ascii="Arial" w:cs="Arial" w:eastAsia="Arial" w:hAnsi="Arial"/>
                <w:sz w:val="16"/>
                <w:szCs w:val="16"/>
                <w:color w:val="auto"/>
              </w:rPr>
              <w:t>4.6</w:t>
            </w:r>
          </w:p>
        </w:tc>
        <w:tc>
          <w:tcPr>
            <w:tcW w:w="5040" w:type="dxa"/>
            <w:vAlign w:val="bottom"/>
            <w:gridSpan w:val="31"/>
          </w:tcPr>
          <w:p>
            <w:pPr>
              <w:spacing w:after="0"/>
              <w:rPr>
                <w:rFonts w:ascii="Arial" w:cs="Arial" w:eastAsia="Arial" w:hAnsi="Arial"/>
                <w:sz w:val="16"/>
                <w:szCs w:val="16"/>
                <w:color w:val="0000FF"/>
                <w:w w:val="92"/>
              </w:rPr>
            </w:pPr>
            <w:hyperlink r:id="rId201">
              <w:r>
                <w:rPr>
                  <w:rFonts w:ascii="Arial" w:cs="Arial" w:eastAsia="Arial" w:hAnsi="Arial"/>
                  <w:sz w:val="16"/>
                  <w:szCs w:val="16"/>
                  <w:color w:val="0000FF"/>
                  <w:w w:val="92"/>
                </w:rPr>
                <w:t>First Supplemental Indenture, dated as of January 6, 2020, among Clearway</w:t>
              </w:r>
            </w:hyperlink>
          </w:p>
        </w:tc>
      </w:tr>
      <w:tr>
        <w:trPr>
          <w:trHeight w:val="140"/>
        </w:trPr>
        <w:tc>
          <w:tcPr>
            <w:tcW w:w="900" w:type="dxa"/>
            <w:vAlign w:val="bottom"/>
          </w:tcPr>
          <w:p>
            <w:pPr>
              <w:spacing w:after="0"/>
              <w:rPr>
                <w:sz w:val="12"/>
                <w:szCs w:val="12"/>
                <w:color w:val="auto"/>
              </w:rPr>
            </w:pPr>
          </w:p>
        </w:tc>
        <w:tc>
          <w:tcPr>
            <w:tcW w:w="4860" w:type="dxa"/>
            <w:vAlign w:val="bottom"/>
            <w:tcBorders>
              <w:top w:val="single" w:sz="8" w:color="0000FF"/>
            </w:tcBorders>
            <w:gridSpan w:val="24"/>
          </w:tcPr>
          <w:p>
            <w:pPr>
              <w:spacing w:after="0" w:line="140" w:lineRule="exact"/>
              <w:rPr>
                <w:rFonts w:ascii="Arial" w:cs="Arial" w:eastAsia="Arial" w:hAnsi="Arial"/>
                <w:sz w:val="16"/>
                <w:szCs w:val="16"/>
                <w:color w:val="0000FF"/>
                <w:w w:val="92"/>
              </w:rPr>
            </w:pPr>
            <w:hyperlink r:id="rId201">
              <w:r>
                <w:rPr>
                  <w:rFonts w:ascii="Arial" w:cs="Arial" w:eastAsia="Arial" w:hAnsi="Arial"/>
                  <w:sz w:val="16"/>
                  <w:szCs w:val="16"/>
                  <w:color w:val="0000FF"/>
                  <w:w w:val="92"/>
                </w:rPr>
                <w:t>Energy Operating LLC, the guarantors named therein and Delaware Trust</w:t>
              </w:r>
            </w:hyperlink>
          </w:p>
        </w:tc>
        <w:tc>
          <w:tcPr>
            <w:tcW w:w="12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900" w:type="dxa"/>
            <w:vAlign w:val="bottom"/>
          </w:tcPr>
          <w:p>
            <w:pPr>
              <w:spacing w:after="0"/>
              <w:rPr>
                <w:sz w:val="12"/>
                <w:szCs w:val="12"/>
                <w:color w:val="auto"/>
              </w:rPr>
            </w:pPr>
          </w:p>
        </w:tc>
        <w:tc>
          <w:tcPr>
            <w:tcW w:w="4720" w:type="dxa"/>
            <w:vAlign w:val="bottom"/>
            <w:tcBorders>
              <w:top w:val="single" w:sz="8" w:color="0000FF"/>
            </w:tcBorders>
            <w:gridSpan w:val="19"/>
          </w:tcPr>
          <w:p>
            <w:pPr>
              <w:spacing w:after="0" w:line="140" w:lineRule="exact"/>
              <w:rPr>
                <w:rFonts w:ascii="Arial" w:cs="Arial" w:eastAsia="Arial" w:hAnsi="Arial"/>
                <w:sz w:val="16"/>
                <w:szCs w:val="16"/>
                <w:color w:val="0000FF"/>
              </w:rPr>
            </w:pPr>
            <w:hyperlink r:id="rId201">
              <w:r>
                <w:rPr>
                  <w:rFonts w:ascii="Arial" w:cs="Arial" w:eastAsia="Arial" w:hAnsi="Arial"/>
                  <w:sz w:val="16"/>
                  <w:szCs w:val="16"/>
                  <w:color w:val="0000FF"/>
                </w:rPr>
                <w:t>Company.</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4.7</w:t>
            </w:r>
          </w:p>
        </w:tc>
        <w:tc>
          <w:tcPr>
            <w:tcW w:w="4560" w:type="dxa"/>
            <w:vAlign w:val="bottom"/>
            <w:tcBorders>
              <w:bottom w:val="single" w:sz="8" w:color="0000FF"/>
            </w:tcBorders>
            <w:gridSpan w:val="15"/>
          </w:tcPr>
          <w:p>
            <w:pPr>
              <w:spacing w:after="0"/>
              <w:rPr>
                <w:rFonts w:ascii="Arial" w:cs="Arial" w:eastAsia="Arial" w:hAnsi="Arial"/>
                <w:sz w:val="16"/>
                <w:szCs w:val="16"/>
                <w:color w:val="0000FF"/>
                <w:w w:val="89"/>
              </w:rPr>
            </w:pPr>
            <w:hyperlink r:id="rId202">
              <w:r>
                <w:rPr>
                  <w:rFonts w:ascii="Arial" w:cs="Arial" w:eastAsia="Arial" w:hAnsi="Arial"/>
                  <w:sz w:val="16"/>
                  <w:szCs w:val="16"/>
                  <w:color w:val="0000FF"/>
                  <w:w w:val="89"/>
                </w:rPr>
                <w:t>Second Supplemental Indenture, dated as of February 26, 2020, among</w:t>
              </w:r>
            </w:hyperlink>
          </w:p>
        </w:tc>
        <w:tc>
          <w:tcPr>
            <w:tcW w:w="480" w:type="dxa"/>
            <w:vAlign w:val="bottom"/>
            <w:gridSpan w:val="16"/>
          </w:tcPr>
          <w:p>
            <w:pPr>
              <w:spacing w:after="0"/>
              <w:rPr>
                <w:sz w:val="16"/>
                <w:szCs w:val="16"/>
                <w:color w:val="auto"/>
              </w:rPr>
            </w:pPr>
          </w:p>
        </w:tc>
      </w:tr>
      <w:tr>
        <w:trPr>
          <w:trHeight w:val="140"/>
        </w:trPr>
        <w:tc>
          <w:tcPr>
            <w:tcW w:w="900" w:type="dxa"/>
            <w:vAlign w:val="bottom"/>
          </w:tcPr>
          <w:p>
            <w:pPr>
              <w:spacing w:after="0"/>
              <w:rPr>
                <w:sz w:val="12"/>
                <w:szCs w:val="12"/>
                <w:color w:val="auto"/>
              </w:rPr>
            </w:pPr>
          </w:p>
        </w:tc>
        <w:tc>
          <w:tcPr>
            <w:tcW w:w="5040" w:type="dxa"/>
            <w:vAlign w:val="bottom"/>
            <w:gridSpan w:val="31"/>
          </w:tcPr>
          <w:p>
            <w:pPr>
              <w:spacing w:after="0" w:line="140" w:lineRule="exact"/>
              <w:rPr>
                <w:rFonts w:ascii="Arial" w:cs="Arial" w:eastAsia="Arial" w:hAnsi="Arial"/>
                <w:sz w:val="16"/>
                <w:szCs w:val="16"/>
                <w:color w:val="0000FF"/>
                <w:w w:val="90"/>
              </w:rPr>
            </w:pPr>
            <w:hyperlink r:id="rId202">
              <w:r>
                <w:rPr>
                  <w:rFonts w:ascii="Arial" w:cs="Arial" w:eastAsia="Arial" w:hAnsi="Arial"/>
                  <w:sz w:val="16"/>
                  <w:szCs w:val="16"/>
                  <w:color w:val="0000FF"/>
                  <w:w w:val="90"/>
                </w:rPr>
                <w:t>Clearway Energy Operating LLC, the guarantors named therein and Delaware</w:t>
              </w:r>
            </w:hyperlink>
          </w:p>
        </w:tc>
      </w:tr>
      <w:tr>
        <w:trPr>
          <w:trHeight w:val="140"/>
        </w:trPr>
        <w:tc>
          <w:tcPr>
            <w:tcW w:w="900" w:type="dxa"/>
            <w:vAlign w:val="bottom"/>
          </w:tcPr>
          <w:p>
            <w:pPr>
              <w:spacing w:after="0"/>
              <w:rPr>
                <w:sz w:val="12"/>
                <w:szCs w:val="12"/>
                <w:color w:val="auto"/>
              </w:rPr>
            </w:pPr>
          </w:p>
        </w:tc>
        <w:tc>
          <w:tcPr>
            <w:tcW w:w="5020" w:type="dxa"/>
            <w:vAlign w:val="bottom"/>
            <w:tcBorders>
              <w:top w:val="single" w:sz="8" w:color="0000FF"/>
            </w:tcBorders>
            <w:gridSpan w:val="30"/>
          </w:tcPr>
          <w:p>
            <w:pPr>
              <w:spacing w:after="0" w:line="140" w:lineRule="exact"/>
              <w:rPr>
                <w:rFonts w:ascii="Arial" w:cs="Arial" w:eastAsia="Arial" w:hAnsi="Arial"/>
                <w:sz w:val="16"/>
                <w:szCs w:val="16"/>
                <w:color w:val="0000FF"/>
              </w:rPr>
            </w:pPr>
            <w:hyperlink r:id="rId202">
              <w:r>
                <w:rPr>
                  <w:rFonts w:ascii="Arial" w:cs="Arial" w:eastAsia="Arial" w:hAnsi="Arial"/>
                  <w:sz w:val="16"/>
                  <w:szCs w:val="16"/>
                  <w:color w:val="0000FF"/>
                </w:rPr>
                <w:t>Trust Company.</w:t>
              </w:r>
            </w:hyperlink>
          </w:p>
        </w:tc>
        <w:tc>
          <w:tcPr>
            <w:tcW w:w="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4.8</w:t>
            </w:r>
          </w:p>
        </w:tc>
        <w:tc>
          <w:tcPr>
            <w:tcW w:w="5040" w:type="dxa"/>
            <w:vAlign w:val="bottom"/>
            <w:gridSpan w:val="31"/>
          </w:tcPr>
          <w:p>
            <w:pPr>
              <w:spacing w:after="0"/>
              <w:rPr>
                <w:rFonts w:ascii="Arial" w:cs="Arial" w:eastAsia="Arial" w:hAnsi="Arial"/>
                <w:sz w:val="16"/>
                <w:szCs w:val="16"/>
                <w:color w:val="0000FF"/>
                <w:w w:val="95"/>
              </w:rPr>
            </w:pPr>
            <w:hyperlink r:id="rId203">
              <w:r>
                <w:rPr>
                  <w:rFonts w:ascii="Arial" w:cs="Arial" w:eastAsia="Arial" w:hAnsi="Arial"/>
                  <w:sz w:val="16"/>
                  <w:szCs w:val="16"/>
                  <w:color w:val="0000FF"/>
                  <w:w w:val="95"/>
                </w:rPr>
                <w:t>Third Supplemental Indenture, dated as of July 17, 2020, among Clearway</w:t>
              </w:r>
            </w:hyperlink>
          </w:p>
        </w:tc>
      </w:tr>
      <w:tr>
        <w:trPr>
          <w:trHeight w:val="140"/>
        </w:trPr>
        <w:tc>
          <w:tcPr>
            <w:tcW w:w="900" w:type="dxa"/>
            <w:vAlign w:val="bottom"/>
          </w:tcPr>
          <w:p>
            <w:pPr>
              <w:spacing w:after="0"/>
              <w:rPr>
                <w:sz w:val="12"/>
                <w:szCs w:val="12"/>
                <w:color w:val="auto"/>
              </w:rPr>
            </w:pPr>
          </w:p>
        </w:tc>
        <w:tc>
          <w:tcPr>
            <w:tcW w:w="4780" w:type="dxa"/>
            <w:vAlign w:val="bottom"/>
            <w:tcBorders>
              <w:top w:val="single" w:sz="8" w:color="0000FF"/>
            </w:tcBorders>
            <w:gridSpan w:val="21"/>
          </w:tcPr>
          <w:p>
            <w:pPr>
              <w:spacing w:after="0" w:line="140" w:lineRule="exact"/>
              <w:rPr>
                <w:rFonts w:ascii="Arial" w:cs="Arial" w:eastAsia="Arial" w:hAnsi="Arial"/>
                <w:sz w:val="16"/>
                <w:szCs w:val="16"/>
                <w:color w:val="0000FF"/>
                <w:w w:val="91"/>
              </w:rPr>
            </w:pPr>
            <w:hyperlink r:id="rId203">
              <w:r>
                <w:rPr>
                  <w:rFonts w:ascii="Arial" w:cs="Arial" w:eastAsia="Arial" w:hAnsi="Arial"/>
                  <w:sz w:val="16"/>
                  <w:szCs w:val="16"/>
                  <w:color w:val="0000FF"/>
                  <w:w w:val="91"/>
                </w:rPr>
                <w:t>Energy Operating LLC, the guarantors named therein and Delaware Trust</w:t>
              </w:r>
            </w:hyperlink>
          </w:p>
        </w:tc>
        <w:tc>
          <w:tcPr>
            <w:tcW w:w="20" w:type="dxa"/>
            <w:vAlign w:val="bottom"/>
          </w:tcPr>
          <w:p>
            <w:pPr>
              <w:spacing w:after="0"/>
              <w:rPr>
                <w:sz w:val="12"/>
                <w:szCs w:val="12"/>
                <w:color w:val="auto"/>
              </w:rPr>
            </w:pPr>
          </w:p>
        </w:tc>
        <w:tc>
          <w:tcPr>
            <w:tcW w:w="18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0"/>
        </w:trPr>
        <w:tc>
          <w:tcPr>
            <w:tcW w:w="900" w:type="dxa"/>
            <w:vAlign w:val="bottom"/>
          </w:tcPr>
          <w:p>
            <w:pPr>
              <w:spacing w:after="0"/>
              <w:rPr>
                <w:sz w:val="12"/>
                <w:szCs w:val="12"/>
                <w:color w:val="auto"/>
              </w:rPr>
            </w:pPr>
          </w:p>
        </w:tc>
        <w:tc>
          <w:tcPr>
            <w:tcW w:w="4720" w:type="dxa"/>
            <w:vAlign w:val="bottom"/>
            <w:tcBorders>
              <w:top w:val="single" w:sz="8" w:color="0000FF"/>
            </w:tcBorders>
            <w:gridSpan w:val="19"/>
          </w:tcPr>
          <w:p>
            <w:pPr>
              <w:spacing w:after="0" w:line="140" w:lineRule="exact"/>
              <w:rPr>
                <w:rFonts w:ascii="Arial" w:cs="Arial" w:eastAsia="Arial" w:hAnsi="Arial"/>
                <w:sz w:val="16"/>
                <w:szCs w:val="16"/>
                <w:color w:val="0000FF"/>
              </w:rPr>
            </w:pPr>
            <w:hyperlink r:id="rId203">
              <w:r>
                <w:rPr>
                  <w:rFonts w:ascii="Arial" w:cs="Arial" w:eastAsia="Arial" w:hAnsi="Arial"/>
                  <w:sz w:val="16"/>
                  <w:szCs w:val="16"/>
                  <w:color w:val="0000FF"/>
                </w:rPr>
                <w:t>Company.</w:t>
              </w:r>
            </w:hyperlink>
          </w:p>
        </w:tc>
        <w:tc>
          <w:tcPr>
            <w:tcW w:w="80" w:type="dxa"/>
            <w:vAlign w:val="bottom"/>
            <w:gridSpan w:val="3"/>
          </w:tcPr>
          <w:p>
            <w:pPr>
              <w:spacing w:after="0"/>
              <w:rPr>
                <w:sz w:val="12"/>
                <w:szCs w:val="12"/>
                <w:color w:val="auto"/>
              </w:rPr>
            </w:pPr>
          </w:p>
        </w:tc>
        <w:tc>
          <w:tcPr>
            <w:tcW w:w="18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4.9</w:t>
            </w:r>
          </w:p>
        </w:tc>
        <w:tc>
          <w:tcPr>
            <w:tcW w:w="5040" w:type="dxa"/>
            <w:vAlign w:val="bottom"/>
            <w:gridSpan w:val="31"/>
          </w:tcPr>
          <w:p>
            <w:pPr>
              <w:spacing w:after="0"/>
              <w:rPr>
                <w:rFonts w:ascii="Arial" w:cs="Arial" w:eastAsia="Arial" w:hAnsi="Arial"/>
                <w:sz w:val="16"/>
                <w:szCs w:val="16"/>
                <w:color w:val="0000FF"/>
              </w:rPr>
            </w:pPr>
            <w:hyperlink r:id="rId204">
              <w:r>
                <w:rPr>
                  <w:rFonts w:ascii="Arial" w:cs="Arial" w:eastAsia="Arial" w:hAnsi="Arial"/>
                  <w:sz w:val="16"/>
                  <w:szCs w:val="16"/>
                  <w:color w:val="0000FF"/>
                </w:rPr>
                <w:t>Fourth Supplemental Indenture, dated as of August 17, 2020, among</w:t>
              </w:r>
            </w:hyperlink>
          </w:p>
        </w:tc>
      </w:tr>
      <w:tr>
        <w:trPr>
          <w:trHeight w:val="140"/>
        </w:trPr>
        <w:tc>
          <w:tcPr>
            <w:tcW w:w="900" w:type="dxa"/>
            <w:vAlign w:val="bottom"/>
          </w:tcPr>
          <w:p>
            <w:pPr>
              <w:spacing w:after="0"/>
              <w:rPr>
                <w:sz w:val="12"/>
                <w:szCs w:val="12"/>
                <w:color w:val="auto"/>
              </w:rPr>
            </w:pPr>
          </w:p>
        </w:tc>
        <w:tc>
          <w:tcPr>
            <w:tcW w:w="4380" w:type="dxa"/>
            <w:vAlign w:val="bottom"/>
            <w:tcBorders>
              <w:top w:val="single" w:sz="8" w:color="0000FF"/>
            </w:tcBorders>
            <w:gridSpan w:val="10"/>
          </w:tcPr>
          <w:p>
            <w:pPr>
              <w:spacing w:after="0" w:line="140" w:lineRule="exact"/>
              <w:rPr>
                <w:rFonts w:ascii="Arial" w:cs="Arial" w:eastAsia="Arial" w:hAnsi="Arial"/>
                <w:sz w:val="16"/>
                <w:szCs w:val="16"/>
                <w:color w:val="0000FF"/>
                <w:w w:val="90"/>
              </w:rPr>
            </w:pPr>
            <w:hyperlink r:id="rId204">
              <w:r>
                <w:rPr>
                  <w:rFonts w:ascii="Arial" w:cs="Arial" w:eastAsia="Arial" w:hAnsi="Arial"/>
                  <w:sz w:val="16"/>
                  <w:szCs w:val="16"/>
                  <w:color w:val="0000FF"/>
                  <w:w w:val="90"/>
                </w:rPr>
                <w:t>Clearway Energy Operating LLC, the guarantors named therein and</w:t>
              </w:r>
            </w:hyperlink>
          </w:p>
        </w:tc>
        <w:tc>
          <w:tcPr>
            <w:tcW w:w="660" w:type="dxa"/>
            <w:vAlign w:val="bottom"/>
            <w:gridSpan w:val="21"/>
          </w:tcPr>
          <w:p>
            <w:pPr>
              <w:jc w:val="right"/>
              <w:ind w:right="40"/>
              <w:spacing w:after="0" w:line="140" w:lineRule="exact"/>
              <w:rPr>
                <w:rFonts w:ascii="Arial" w:cs="Arial" w:eastAsia="Arial" w:hAnsi="Arial"/>
                <w:sz w:val="16"/>
                <w:szCs w:val="16"/>
                <w:color w:val="0000FF"/>
                <w:w w:val="88"/>
              </w:rPr>
            </w:pPr>
            <w:hyperlink r:id="rId204">
              <w:r>
                <w:rPr>
                  <w:rFonts w:ascii="Arial" w:cs="Arial" w:eastAsia="Arial" w:hAnsi="Arial"/>
                  <w:sz w:val="16"/>
                  <w:szCs w:val="16"/>
                  <w:color w:val="0000FF"/>
                  <w:w w:val="88"/>
                </w:rPr>
                <w:t>Delaware</w:t>
              </w:r>
            </w:hyperlink>
          </w:p>
        </w:tc>
      </w:tr>
      <w:tr>
        <w:trPr>
          <w:trHeight w:val="140"/>
        </w:trPr>
        <w:tc>
          <w:tcPr>
            <w:tcW w:w="900" w:type="dxa"/>
            <w:vAlign w:val="bottom"/>
          </w:tcPr>
          <w:p>
            <w:pPr>
              <w:spacing w:after="0"/>
              <w:rPr>
                <w:sz w:val="12"/>
                <w:szCs w:val="12"/>
                <w:color w:val="auto"/>
              </w:rPr>
            </w:pPr>
          </w:p>
        </w:tc>
        <w:tc>
          <w:tcPr>
            <w:tcW w:w="5020" w:type="dxa"/>
            <w:vAlign w:val="bottom"/>
            <w:tcBorders>
              <w:top w:val="single" w:sz="8" w:color="0000FF"/>
            </w:tcBorders>
            <w:gridSpan w:val="30"/>
          </w:tcPr>
          <w:p>
            <w:pPr>
              <w:spacing w:after="0" w:line="140" w:lineRule="exact"/>
              <w:rPr>
                <w:rFonts w:ascii="Arial" w:cs="Arial" w:eastAsia="Arial" w:hAnsi="Arial"/>
                <w:sz w:val="16"/>
                <w:szCs w:val="16"/>
                <w:color w:val="0000FF"/>
              </w:rPr>
            </w:pPr>
            <w:hyperlink r:id="rId204">
              <w:r>
                <w:rPr>
                  <w:rFonts w:ascii="Arial" w:cs="Arial" w:eastAsia="Arial" w:hAnsi="Arial"/>
                  <w:sz w:val="16"/>
                  <w:szCs w:val="16"/>
                  <w:color w:val="0000FF"/>
                </w:rPr>
                <w:t>Trust Company.</w:t>
              </w:r>
            </w:hyperlink>
          </w:p>
        </w:tc>
        <w:tc>
          <w:tcPr>
            <w:tcW w:w="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4.10</w:t>
            </w:r>
          </w:p>
        </w:tc>
        <w:tc>
          <w:tcPr>
            <w:tcW w:w="5040" w:type="dxa"/>
            <w:vAlign w:val="bottom"/>
            <w:gridSpan w:val="31"/>
          </w:tcPr>
          <w:p>
            <w:pPr>
              <w:spacing w:after="0"/>
              <w:rPr>
                <w:rFonts w:ascii="Arial" w:cs="Arial" w:eastAsia="Arial" w:hAnsi="Arial"/>
                <w:sz w:val="16"/>
                <w:szCs w:val="16"/>
                <w:color w:val="0000FF"/>
              </w:rPr>
            </w:pPr>
            <w:hyperlink r:id="rId205">
              <w:r>
                <w:rPr>
                  <w:rFonts w:ascii="Arial" w:cs="Arial" w:eastAsia="Arial" w:hAnsi="Arial"/>
                  <w:sz w:val="16"/>
                  <w:szCs w:val="16"/>
                  <w:color w:val="0000FF"/>
                </w:rPr>
                <w:t>Fifth Supplemental Indenture, dated as of November 18, 2020, among</w:t>
              </w:r>
            </w:hyperlink>
          </w:p>
        </w:tc>
      </w:tr>
      <w:tr>
        <w:trPr>
          <w:trHeight w:val="140"/>
        </w:trPr>
        <w:tc>
          <w:tcPr>
            <w:tcW w:w="900" w:type="dxa"/>
            <w:vAlign w:val="bottom"/>
          </w:tcPr>
          <w:p>
            <w:pPr>
              <w:spacing w:after="0"/>
              <w:rPr>
                <w:sz w:val="12"/>
                <w:szCs w:val="12"/>
                <w:color w:val="auto"/>
              </w:rPr>
            </w:pPr>
          </w:p>
        </w:tc>
        <w:tc>
          <w:tcPr>
            <w:tcW w:w="4500" w:type="dxa"/>
            <w:vAlign w:val="bottom"/>
            <w:tcBorders>
              <w:top w:val="single" w:sz="8" w:color="0000FF"/>
            </w:tcBorders>
            <w:gridSpan w:val="13"/>
          </w:tcPr>
          <w:p>
            <w:pPr>
              <w:spacing w:after="0" w:line="140" w:lineRule="exact"/>
              <w:rPr>
                <w:rFonts w:ascii="Arial" w:cs="Arial" w:eastAsia="Arial" w:hAnsi="Arial"/>
                <w:sz w:val="16"/>
                <w:szCs w:val="16"/>
                <w:color w:val="0000FF"/>
                <w:w w:val="92"/>
              </w:rPr>
            </w:pPr>
            <w:hyperlink r:id="rId205">
              <w:r>
                <w:rPr>
                  <w:rFonts w:ascii="Arial" w:cs="Arial" w:eastAsia="Arial" w:hAnsi="Arial"/>
                  <w:sz w:val="16"/>
                  <w:szCs w:val="16"/>
                  <w:color w:val="0000FF"/>
                  <w:w w:val="92"/>
                </w:rPr>
                <w:t>Clearway Energy Operating LLC, the guarantors named therein and</w:t>
              </w:r>
            </w:hyperlink>
          </w:p>
        </w:tc>
        <w:tc>
          <w:tcPr>
            <w:tcW w:w="540" w:type="dxa"/>
            <w:vAlign w:val="bottom"/>
            <w:gridSpan w:val="18"/>
          </w:tcPr>
          <w:p>
            <w:pPr>
              <w:jc w:val="right"/>
              <w:ind w:right="40"/>
              <w:spacing w:after="0" w:line="140" w:lineRule="exact"/>
              <w:rPr>
                <w:rFonts w:ascii="Arial" w:cs="Arial" w:eastAsia="Arial" w:hAnsi="Arial"/>
                <w:sz w:val="16"/>
                <w:szCs w:val="16"/>
                <w:color w:val="0000FF"/>
                <w:w w:val="70"/>
              </w:rPr>
            </w:pPr>
            <w:hyperlink r:id="rId205">
              <w:r>
                <w:rPr>
                  <w:rFonts w:ascii="Arial" w:cs="Arial" w:eastAsia="Arial" w:hAnsi="Arial"/>
                  <w:sz w:val="16"/>
                  <w:szCs w:val="16"/>
                  <w:color w:val="0000FF"/>
                  <w:w w:val="70"/>
                </w:rPr>
                <w:t>Delaware</w:t>
              </w:r>
            </w:hyperlink>
          </w:p>
        </w:tc>
      </w:tr>
      <w:tr>
        <w:trPr>
          <w:trHeight w:val="140"/>
        </w:trPr>
        <w:tc>
          <w:tcPr>
            <w:tcW w:w="900" w:type="dxa"/>
            <w:vAlign w:val="bottom"/>
          </w:tcPr>
          <w:p>
            <w:pPr>
              <w:spacing w:after="0"/>
              <w:rPr>
                <w:sz w:val="12"/>
                <w:szCs w:val="12"/>
                <w:color w:val="auto"/>
              </w:rPr>
            </w:pPr>
          </w:p>
        </w:tc>
        <w:tc>
          <w:tcPr>
            <w:tcW w:w="5020" w:type="dxa"/>
            <w:vAlign w:val="bottom"/>
            <w:tcBorders>
              <w:top w:val="single" w:sz="8" w:color="0000FF"/>
            </w:tcBorders>
            <w:gridSpan w:val="30"/>
          </w:tcPr>
          <w:p>
            <w:pPr>
              <w:spacing w:after="0" w:line="140" w:lineRule="exact"/>
              <w:rPr>
                <w:rFonts w:ascii="Arial" w:cs="Arial" w:eastAsia="Arial" w:hAnsi="Arial"/>
                <w:sz w:val="16"/>
                <w:szCs w:val="16"/>
                <w:color w:val="0000FF"/>
              </w:rPr>
            </w:pPr>
            <w:hyperlink r:id="rId205">
              <w:r>
                <w:rPr>
                  <w:rFonts w:ascii="Arial" w:cs="Arial" w:eastAsia="Arial" w:hAnsi="Arial"/>
                  <w:sz w:val="16"/>
                  <w:szCs w:val="16"/>
                  <w:color w:val="0000FF"/>
                </w:rPr>
                <w:t>Trust Company.</w:t>
              </w:r>
            </w:hyperlink>
          </w:p>
        </w:tc>
        <w:tc>
          <w:tcPr>
            <w:tcW w:w="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4.11</w:t>
            </w:r>
          </w:p>
        </w:tc>
        <w:tc>
          <w:tcPr>
            <w:tcW w:w="5040" w:type="dxa"/>
            <w:vAlign w:val="bottom"/>
            <w:gridSpan w:val="31"/>
          </w:tcPr>
          <w:p>
            <w:pPr>
              <w:spacing w:after="0"/>
              <w:rPr>
                <w:rFonts w:ascii="Arial" w:cs="Arial" w:eastAsia="Arial" w:hAnsi="Arial"/>
                <w:sz w:val="16"/>
                <w:szCs w:val="16"/>
                <w:color w:val="0000FF"/>
              </w:rPr>
            </w:pPr>
            <w:hyperlink r:id="rId206">
              <w:r>
                <w:rPr>
                  <w:rFonts w:ascii="Arial" w:cs="Arial" w:eastAsia="Arial" w:hAnsi="Arial"/>
                  <w:sz w:val="16"/>
                  <w:szCs w:val="16"/>
                  <w:color w:val="0000FF"/>
                </w:rPr>
                <w:t>Sixth Supplemental Indenture, dated as of December 1, 2020, among</w:t>
              </w:r>
            </w:hyperlink>
          </w:p>
        </w:tc>
      </w:tr>
      <w:tr>
        <w:trPr>
          <w:trHeight w:val="140"/>
        </w:trPr>
        <w:tc>
          <w:tcPr>
            <w:tcW w:w="900" w:type="dxa"/>
            <w:vAlign w:val="bottom"/>
          </w:tcPr>
          <w:p>
            <w:pPr>
              <w:spacing w:after="0"/>
              <w:rPr>
                <w:sz w:val="12"/>
                <w:szCs w:val="12"/>
                <w:color w:val="auto"/>
              </w:rPr>
            </w:pPr>
          </w:p>
        </w:tc>
        <w:tc>
          <w:tcPr>
            <w:tcW w:w="4420" w:type="dxa"/>
            <w:vAlign w:val="bottom"/>
            <w:tcBorders>
              <w:top w:val="single" w:sz="8" w:color="0000FF"/>
            </w:tcBorders>
            <w:gridSpan w:val="11"/>
          </w:tcPr>
          <w:p>
            <w:pPr>
              <w:spacing w:after="0" w:line="140" w:lineRule="exact"/>
              <w:rPr>
                <w:rFonts w:ascii="Arial" w:cs="Arial" w:eastAsia="Arial" w:hAnsi="Arial"/>
                <w:sz w:val="16"/>
                <w:szCs w:val="16"/>
                <w:color w:val="0000FF"/>
                <w:w w:val="91"/>
              </w:rPr>
            </w:pPr>
            <w:hyperlink r:id="rId206">
              <w:r>
                <w:rPr>
                  <w:rFonts w:ascii="Arial" w:cs="Arial" w:eastAsia="Arial" w:hAnsi="Arial"/>
                  <w:sz w:val="16"/>
                  <w:szCs w:val="16"/>
                  <w:color w:val="0000FF"/>
                  <w:w w:val="91"/>
                </w:rPr>
                <w:t>Clearway Energy Operating LLC, the guarantors named therein and</w:t>
              </w:r>
            </w:hyperlink>
          </w:p>
        </w:tc>
        <w:tc>
          <w:tcPr>
            <w:tcW w:w="620" w:type="dxa"/>
            <w:vAlign w:val="bottom"/>
            <w:gridSpan w:val="20"/>
          </w:tcPr>
          <w:p>
            <w:pPr>
              <w:jc w:val="right"/>
              <w:ind w:right="40"/>
              <w:spacing w:after="0" w:line="140" w:lineRule="exact"/>
              <w:rPr>
                <w:rFonts w:ascii="Arial" w:cs="Arial" w:eastAsia="Arial" w:hAnsi="Arial"/>
                <w:sz w:val="16"/>
                <w:szCs w:val="16"/>
                <w:color w:val="0000FF"/>
                <w:w w:val="82"/>
              </w:rPr>
            </w:pPr>
            <w:hyperlink r:id="rId206">
              <w:r>
                <w:rPr>
                  <w:rFonts w:ascii="Arial" w:cs="Arial" w:eastAsia="Arial" w:hAnsi="Arial"/>
                  <w:sz w:val="16"/>
                  <w:szCs w:val="16"/>
                  <w:color w:val="0000FF"/>
                  <w:w w:val="82"/>
                </w:rPr>
                <w:t>Delaware</w:t>
              </w:r>
            </w:hyperlink>
          </w:p>
        </w:tc>
      </w:tr>
      <w:tr>
        <w:trPr>
          <w:trHeight w:val="140"/>
        </w:trPr>
        <w:tc>
          <w:tcPr>
            <w:tcW w:w="900" w:type="dxa"/>
            <w:vAlign w:val="bottom"/>
          </w:tcPr>
          <w:p>
            <w:pPr>
              <w:spacing w:after="0"/>
              <w:rPr>
                <w:sz w:val="12"/>
                <w:szCs w:val="12"/>
                <w:color w:val="auto"/>
              </w:rPr>
            </w:pPr>
          </w:p>
        </w:tc>
        <w:tc>
          <w:tcPr>
            <w:tcW w:w="5020" w:type="dxa"/>
            <w:vAlign w:val="bottom"/>
            <w:tcBorders>
              <w:top w:val="single" w:sz="8" w:color="0000FF"/>
            </w:tcBorders>
            <w:gridSpan w:val="30"/>
          </w:tcPr>
          <w:p>
            <w:pPr>
              <w:spacing w:after="0" w:line="140" w:lineRule="exact"/>
              <w:rPr>
                <w:rFonts w:ascii="Arial" w:cs="Arial" w:eastAsia="Arial" w:hAnsi="Arial"/>
                <w:sz w:val="16"/>
                <w:szCs w:val="16"/>
                <w:color w:val="0000FF"/>
              </w:rPr>
            </w:pPr>
            <w:hyperlink r:id="rId206">
              <w:r>
                <w:rPr>
                  <w:rFonts w:ascii="Arial" w:cs="Arial" w:eastAsia="Arial" w:hAnsi="Arial"/>
                  <w:sz w:val="16"/>
                  <w:szCs w:val="16"/>
                  <w:color w:val="0000FF"/>
                </w:rPr>
                <w:t>Trust Company.</w:t>
              </w:r>
            </w:hyperlink>
          </w:p>
        </w:tc>
        <w:tc>
          <w:tcPr>
            <w:tcW w:w="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4.12</w:t>
            </w:r>
          </w:p>
        </w:tc>
        <w:tc>
          <w:tcPr>
            <w:tcW w:w="5040" w:type="dxa"/>
            <w:vAlign w:val="bottom"/>
            <w:gridSpan w:val="31"/>
          </w:tcPr>
          <w:p>
            <w:pPr>
              <w:spacing w:after="0"/>
              <w:rPr>
                <w:rFonts w:ascii="Arial" w:cs="Arial" w:eastAsia="Arial" w:hAnsi="Arial"/>
                <w:sz w:val="16"/>
                <w:szCs w:val="16"/>
                <w:color w:val="0000FF"/>
                <w:w w:val="95"/>
              </w:rPr>
            </w:pPr>
            <w:hyperlink r:id="rId207">
              <w:r>
                <w:rPr>
                  <w:rFonts w:ascii="Arial" w:cs="Arial" w:eastAsia="Arial" w:hAnsi="Arial"/>
                  <w:sz w:val="16"/>
                  <w:szCs w:val="16"/>
                  <w:color w:val="0000FF"/>
                  <w:w w:val="95"/>
                </w:rPr>
                <w:t>Seventh Supplemental Indenture, dated as of December 23, 2020, among</w:t>
              </w:r>
            </w:hyperlink>
          </w:p>
        </w:tc>
      </w:tr>
      <w:tr>
        <w:trPr>
          <w:trHeight w:val="20"/>
        </w:trPr>
        <w:tc>
          <w:tcPr>
            <w:tcW w:w="900" w:type="dxa"/>
            <w:vAlign w:val="bottom"/>
          </w:tcPr>
          <w:p>
            <w:pPr>
              <w:spacing w:after="0" w:line="20" w:lineRule="exact"/>
              <w:rPr>
                <w:sz w:val="1"/>
                <w:szCs w:val="1"/>
                <w:color w:val="auto"/>
              </w:rPr>
            </w:pPr>
          </w:p>
        </w:tc>
        <w:tc>
          <w:tcPr>
            <w:tcW w:w="4280" w:type="dxa"/>
            <w:vAlign w:val="bottom"/>
            <w:gridSpan w:val="9"/>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40"/>
        </w:trPr>
        <w:tc>
          <w:tcPr>
            <w:tcW w:w="900" w:type="dxa"/>
            <w:vAlign w:val="bottom"/>
          </w:tcPr>
          <w:p>
            <w:pPr>
              <w:spacing w:after="0"/>
              <w:rPr>
                <w:sz w:val="12"/>
                <w:szCs w:val="12"/>
                <w:color w:val="auto"/>
              </w:rPr>
            </w:pPr>
          </w:p>
        </w:tc>
        <w:tc>
          <w:tcPr>
            <w:tcW w:w="5040" w:type="dxa"/>
            <w:vAlign w:val="bottom"/>
            <w:gridSpan w:val="31"/>
          </w:tcPr>
          <w:p>
            <w:pPr>
              <w:spacing w:after="0" w:line="140" w:lineRule="exact"/>
              <w:rPr>
                <w:rFonts w:ascii="Arial" w:cs="Arial" w:eastAsia="Arial" w:hAnsi="Arial"/>
                <w:sz w:val="16"/>
                <w:szCs w:val="16"/>
                <w:color w:val="0000FF"/>
                <w:w w:val="90"/>
              </w:rPr>
            </w:pPr>
            <w:hyperlink r:id="rId207">
              <w:r>
                <w:rPr>
                  <w:rFonts w:ascii="Arial" w:cs="Arial" w:eastAsia="Arial" w:hAnsi="Arial"/>
                  <w:sz w:val="16"/>
                  <w:szCs w:val="16"/>
                  <w:color w:val="0000FF"/>
                  <w:w w:val="90"/>
                </w:rPr>
                <w:t>Clearway Energy Operating LLC, the guarantors named therein and Delaware</w:t>
              </w:r>
            </w:hyperlink>
          </w:p>
        </w:tc>
      </w:tr>
      <w:tr>
        <w:trPr>
          <w:trHeight w:val="140"/>
        </w:trPr>
        <w:tc>
          <w:tcPr>
            <w:tcW w:w="900" w:type="dxa"/>
            <w:vAlign w:val="bottom"/>
          </w:tcPr>
          <w:p>
            <w:pPr>
              <w:spacing w:after="0"/>
              <w:rPr>
                <w:sz w:val="12"/>
                <w:szCs w:val="12"/>
                <w:color w:val="auto"/>
              </w:rPr>
            </w:pPr>
          </w:p>
        </w:tc>
        <w:tc>
          <w:tcPr>
            <w:tcW w:w="5020" w:type="dxa"/>
            <w:vAlign w:val="bottom"/>
            <w:tcBorders>
              <w:top w:val="single" w:sz="8" w:color="0000FF"/>
            </w:tcBorders>
            <w:gridSpan w:val="30"/>
          </w:tcPr>
          <w:p>
            <w:pPr>
              <w:spacing w:after="0" w:line="140" w:lineRule="exact"/>
              <w:rPr>
                <w:rFonts w:ascii="Arial" w:cs="Arial" w:eastAsia="Arial" w:hAnsi="Arial"/>
                <w:sz w:val="16"/>
                <w:szCs w:val="16"/>
                <w:color w:val="0000FF"/>
              </w:rPr>
            </w:pPr>
            <w:hyperlink r:id="rId207">
              <w:r>
                <w:rPr>
                  <w:rFonts w:ascii="Arial" w:cs="Arial" w:eastAsia="Arial" w:hAnsi="Arial"/>
                  <w:sz w:val="16"/>
                  <w:szCs w:val="16"/>
                  <w:color w:val="0000FF"/>
                </w:rPr>
                <w:t>Trust Company.</w:t>
              </w:r>
            </w:hyperlink>
          </w:p>
        </w:tc>
        <w:tc>
          <w:tcPr>
            <w:tcW w:w="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4.13</w:t>
            </w:r>
          </w:p>
        </w:tc>
        <w:tc>
          <w:tcPr>
            <w:tcW w:w="5040" w:type="dxa"/>
            <w:vAlign w:val="bottom"/>
            <w:gridSpan w:val="31"/>
          </w:tcPr>
          <w:p>
            <w:pPr>
              <w:spacing w:after="0"/>
              <w:rPr>
                <w:rFonts w:ascii="Arial" w:cs="Arial" w:eastAsia="Arial" w:hAnsi="Arial"/>
                <w:sz w:val="16"/>
                <w:szCs w:val="16"/>
                <w:color w:val="0000FF"/>
              </w:rPr>
            </w:pPr>
            <w:hyperlink r:id="rId208">
              <w:r>
                <w:rPr>
                  <w:rFonts w:ascii="Arial" w:cs="Arial" w:eastAsia="Arial" w:hAnsi="Arial"/>
                  <w:sz w:val="16"/>
                  <w:szCs w:val="16"/>
                  <w:color w:val="0000FF"/>
                </w:rPr>
                <w:t>Eighth Supplemental Indenture, dated as of February 3, 2021, among</w:t>
              </w:r>
            </w:hyperlink>
          </w:p>
        </w:tc>
      </w:tr>
      <w:tr>
        <w:trPr>
          <w:trHeight w:val="140"/>
        </w:trPr>
        <w:tc>
          <w:tcPr>
            <w:tcW w:w="900" w:type="dxa"/>
            <w:vAlign w:val="bottom"/>
          </w:tcPr>
          <w:p>
            <w:pPr>
              <w:spacing w:after="0"/>
              <w:rPr>
                <w:sz w:val="12"/>
                <w:szCs w:val="12"/>
                <w:color w:val="auto"/>
              </w:rPr>
            </w:pPr>
          </w:p>
        </w:tc>
        <w:tc>
          <w:tcPr>
            <w:tcW w:w="4440" w:type="dxa"/>
            <w:vAlign w:val="bottom"/>
            <w:tcBorders>
              <w:top w:val="single" w:sz="8" w:color="0000FF"/>
            </w:tcBorders>
            <w:gridSpan w:val="12"/>
          </w:tcPr>
          <w:p>
            <w:pPr>
              <w:spacing w:after="0" w:line="140" w:lineRule="exact"/>
              <w:rPr>
                <w:rFonts w:ascii="Arial" w:cs="Arial" w:eastAsia="Arial" w:hAnsi="Arial"/>
                <w:sz w:val="16"/>
                <w:szCs w:val="16"/>
                <w:color w:val="0000FF"/>
                <w:w w:val="92"/>
              </w:rPr>
            </w:pPr>
            <w:hyperlink r:id="rId208">
              <w:r>
                <w:rPr>
                  <w:rFonts w:ascii="Arial" w:cs="Arial" w:eastAsia="Arial" w:hAnsi="Arial"/>
                  <w:sz w:val="16"/>
                  <w:szCs w:val="16"/>
                  <w:color w:val="0000FF"/>
                  <w:w w:val="92"/>
                </w:rPr>
                <w:t>Clearway Energy Operating LLC, the guarantors named therein and</w:t>
              </w:r>
            </w:hyperlink>
          </w:p>
        </w:tc>
        <w:tc>
          <w:tcPr>
            <w:tcW w:w="600" w:type="dxa"/>
            <w:vAlign w:val="bottom"/>
            <w:gridSpan w:val="19"/>
          </w:tcPr>
          <w:p>
            <w:pPr>
              <w:jc w:val="right"/>
              <w:ind w:right="40"/>
              <w:spacing w:after="0" w:line="140" w:lineRule="exact"/>
              <w:rPr>
                <w:rFonts w:ascii="Arial" w:cs="Arial" w:eastAsia="Arial" w:hAnsi="Arial"/>
                <w:sz w:val="16"/>
                <w:szCs w:val="16"/>
                <w:color w:val="0000FF"/>
                <w:w w:val="79"/>
              </w:rPr>
            </w:pPr>
            <w:hyperlink r:id="rId208">
              <w:r>
                <w:rPr>
                  <w:rFonts w:ascii="Arial" w:cs="Arial" w:eastAsia="Arial" w:hAnsi="Arial"/>
                  <w:sz w:val="16"/>
                  <w:szCs w:val="16"/>
                  <w:color w:val="0000FF"/>
                  <w:w w:val="79"/>
                </w:rPr>
                <w:t>Delaware</w:t>
              </w:r>
            </w:hyperlink>
          </w:p>
        </w:tc>
      </w:tr>
      <w:tr>
        <w:trPr>
          <w:trHeight w:val="140"/>
        </w:trPr>
        <w:tc>
          <w:tcPr>
            <w:tcW w:w="900" w:type="dxa"/>
            <w:vAlign w:val="bottom"/>
          </w:tcPr>
          <w:p>
            <w:pPr>
              <w:spacing w:after="0"/>
              <w:rPr>
                <w:sz w:val="12"/>
                <w:szCs w:val="12"/>
                <w:color w:val="auto"/>
              </w:rPr>
            </w:pPr>
          </w:p>
        </w:tc>
        <w:tc>
          <w:tcPr>
            <w:tcW w:w="5020" w:type="dxa"/>
            <w:vAlign w:val="bottom"/>
            <w:tcBorders>
              <w:top w:val="single" w:sz="8" w:color="0000FF"/>
            </w:tcBorders>
            <w:gridSpan w:val="30"/>
          </w:tcPr>
          <w:p>
            <w:pPr>
              <w:spacing w:after="0" w:line="140" w:lineRule="exact"/>
              <w:rPr>
                <w:rFonts w:ascii="Arial" w:cs="Arial" w:eastAsia="Arial" w:hAnsi="Arial"/>
                <w:sz w:val="16"/>
                <w:szCs w:val="16"/>
                <w:color w:val="0000FF"/>
              </w:rPr>
            </w:pPr>
            <w:hyperlink r:id="rId208">
              <w:r>
                <w:rPr>
                  <w:rFonts w:ascii="Arial" w:cs="Arial" w:eastAsia="Arial" w:hAnsi="Arial"/>
                  <w:sz w:val="16"/>
                  <w:szCs w:val="16"/>
                  <w:color w:val="0000FF"/>
                </w:rPr>
                <w:t>Trust Company.</w:t>
              </w:r>
            </w:hyperlink>
          </w:p>
        </w:tc>
        <w:tc>
          <w:tcPr>
            <w:tcW w:w="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4.14</w:t>
            </w:r>
          </w:p>
        </w:tc>
        <w:tc>
          <w:tcPr>
            <w:tcW w:w="5040" w:type="dxa"/>
            <w:vAlign w:val="bottom"/>
            <w:gridSpan w:val="31"/>
          </w:tcPr>
          <w:p>
            <w:pPr>
              <w:spacing w:after="0"/>
              <w:rPr>
                <w:rFonts w:ascii="Arial" w:cs="Arial" w:eastAsia="Arial" w:hAnsi="Arial"/>
                <w:sz w:val="16"/>
                <w:szCs w:val="16"/>
                <w:color w:val="0000FF"/>
                <w:w w:val="91"/>
              </w:rPr>
            </w:pPr>
            <w:hyperlink r:id="rId209">
              <w:r>
                <w:rPr>
                  <w:rFonts w:ascii="Arial" w:cs="Arial" w:eastAsia="Arial" w:hAnsi="Arial"/>
                  <w:sz w:val="16"/>
                  <w:szCs w:val="16"/>
                  <w:color w:val="0000FF"/>
                  <w:w w:val="91"/>
                </w:rPr>
                <w:t>Indenture, dated March 9, 2021, among Clearway Energy Operating LLC, the</w:t>
              </w:r>
            </w:hyperlink>
          </w:p>
        </w:tc>
      </w:tr>
      <w:tr>
        <w:trPr>
          <w:trHeight w:val="140"/>
        </w:trPr>
        <w:tc>
          <w:tcPr>
            <w:tcW w:w="900" w:type="dxa"/>
            <w:vAlign w:val="bottom"/>
          </w:tcPr>
          <w:p>
            <w:pPr>
              <w:spacing w:after="0"/>
              <w:rPr>
                <w:sz w:val="12"/>
                <w:szCs w:val="12"/>
                <w:color w:val="auto"/>
              </w:rPr>
            </w:pPr>
          </w:p>
        </w:tc>
        <w:tc>
          <w:tcPr>
            <w:tcW w:w="4980" w:type="dxa"/>
            <w:vAlign w:val="bottom"/>
            <w:tcBorders>
              <w:top w:val="single" w:sz="8" w:color="0000FF"/>
            </w:tcBorders>
            <w:gridSpan w:val="28"/>
          </w:tcPr>
          <w:p>
            <w:pPr>
              <w:spacing w:after="0" w:line="140" w:lineRule="exact"/>
              <w:rPr>
                <w:rFonts w:ascii="Arial" w:cs="Arial" w:eastAsia="Arial" w:hAnsi="Arial"/>
                <w:sz w:val="16"/>
                <w:szCs w:val="16"/>
                <w:color w:val="0000FF"/>
              </w:rPr>
            </w:pPr>
            <w:hyperlink r:id="rId209">
              <w:r>
                <w:rPr>
                  <w:rFonts w:ascii="Arial" w:cs="Arial" w:eastAsia="Arial" w:hAnsi="Arial"/>
                  <w:sz w:val="16"/>
                  <w:szCs w:val="16"/>
                  <w:color w:val="0000FF"/>
                </w:rPr>
                <w:t>guarantors named therein and Delaware Trust Company, as trustee.</w:t>
              </w:r>
            </w:hyperlink>
          </w:p>
        </w:tc>
        <w:tc>
          <w:tcPr>
            <w:tcW w:w="60" w:type="dxa"/>
            <w:vAlign w:val="bottom"/>
            <w:gridSpan w:val="3"/>
          </w:tcPr>
          <w:p>
            <w:pPr>
              <w:spacing w:after="0"/>
              <w:rPr>
                <w:sz w:val="12"/>
                <w:szCs w:val="12"/>
                <w:color w:val="auto"/>
              </w:rPr>
            </w:pPr>
          </w:p>
        </w:tc>
      </w:tr>
      <w:tr>
        <w:trPr>
          <w:trHeight w:val="353"/>
        </w:trPr>
        <w:tc>
          <w:tcPr>
            <w:tcW w:w="900" w:type="dxa"/>
            <w:vAlign w:val="bottom"/>
          </w:tcPr>
          <w:p>
            <w:pPr>
              <w:spacing w:after="0"/>
              <w:rPr>
                <w:sz w:val="20"/>
                <w:szCs w:val="20"/>
                <w:color w:val="auto"/>
              </w:rPr>
            </w:pPr>
            <w:r>
              <w:rPr>
                <w:rFonts w:ascii="Arial" w:cs="Arial" w:eastAsia="Arial" w:hAnsi="Arial"/>
                <w:sz w:val="16"/>
                <w:szCs w:val="16"/>
                <w:color w:val="auto"/>
              </w:rPr>
              <w:t>4.15</w:t>
            </w:r>
          </w:p>
        </w:tc>
        <w:tc>
          <w:tcPr>
            <w:tcW w:w="260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90"/>
              </w:rPr>
            </w:pPr>
            <w:hyperlink r:id="rId210">
              <w:r>
                <w:rPr>
                  <w:rFonts w:ascii="Arial" w:cs="Arial" w:eastAsia="Arial" w:hAnsi="Arial"/>
                  <w:sz w:val="16"/>
                  <w:szCs w:val="16"/>
                  <w:color w:val="0000FF"/>
                  <w:w w:val="90"/>
                </w:rPr>
                <w:t>Form of 3.750% Senior Notes due 2031.</w:t>
              </w:r>
            </w:hyperlink>
          </w:p>
        </w:tc>
        <w:tc>
          <w:tcPr>
            <w:tcW w:w="1680" w:type="dxa"/>
            <w:vAlign w:val="bottom"/>
            <w:tcBorders>
              <w:top w:val="single" w:sz="8" w:color="0000FF"/>
            </w:tcBorders>
            <w:gridSpan w:val="3"/>
          </w:tcPr>
          <w:p>
            <w:pPr>
              <w:spacing w:after="0"/>
              <w:rPr>
                <w:sz w:val="24"/>
                <w:szCs w:val="24"/>
                <w:color w:val="auto"/>
              </w:rPr>
            </w:pPr>
          </w:p>
        </w:tc>
        <w:tc>
          <w:tcPr>
            <w:tcW w:w="760" w:type="dxa"/>
            <w:vAlign w:val="bottom"/>
            <w:gridSpan w:val="22"/>
          </w:tcPr>
          <w:p>
            <w:pPr>
              <w:spacing w:after="0"/>
              <w:rPr>
                <w:sz w:val="24"/>
                <w:szCs w:val="24"/>
                <w:color w:val="auto"/>
              </w:rPr>
            </w:pP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4.16</w:t>
            </w:r>
          </w:p>
        </w:tc>
        <w:tc>
          <w:tcPr>
            <w:tcW w:w="5040" w:type="dxa"/>
            <w:vAlign w:val="bottom"/>
            <w:gridSpan w:val="31"/>
          </w:tcPr>
          <w:p>
            <w:pPr>
              <w:spacing w:after="0"/>
              <w:rPr>
                <w:rFonts w:ascii="Arial" w:cs="Arial" w:eastAsia="Arial" w:hAnsi="Arial"/>
                <w:sz w:val="16"/>
                <w:szCs w:val="16"/>
                <w:color w:val="0000FF"/>
                <w:w w:val="94"/>
              </w:rPr>
            </w:pPr>
            <w:hyperlink r:id="rId211">
              <w:r>
                <w:rPr>
                  <w:rFonts w:ascii="Arial" w:cs="Arial" w:eastAsia="Arial" w:hAnsi="Arial"/>
                  <w:sz w:val="16"/>
                  <w:szCs w:val="16"/>
                  <w:color w:val="0000FF"/>
                  <w:w w:val="94"/>
                </w:rPr>
                <w:t>Ninth Supplemental Indenture, dated as of May 14, 2021, among Clearway</w:t>
              </w:r>
            </w:hyperlink>
          </w:p>
        </w:tc>
      </w:tr>
      <w:tr>
        <w:trPr>
          <w:trHeight w:val="140"/>
        </w:trPr>
        <w:tc>
          <w:tcPr>
            <w:tcW w:w="900" w:type="dxa"/>
            <w:vAlign w:val="bottom"/>
          </w:tcPr>
          <w:p>
            <w:pPr>
              <w:spacing w:after="0"/>
              <w:rPr>
                <w:sz w:val="12"/>
                <w:szCs w:val="12"/>
                <w:color w:val="auto"/>
              </w:rPr>
            </w:pPr>
          </w:p>
        </w:tc>
        <w:tc>
          <w:tcPr>
            <w:tcW w:w="4800" w:type="dxa"/>
            <w:vAlign w:val="bottom"/>
            <w:tcBorders>
              <w:top w:val="single" w:sz="8" w:color="0000FF"/>
            </w:tcBorders>
            <w:gridSpan w:val="22"/>
          </w:tcPr>
          <w:p>
            <w:pPr>
              <w:spacing w:after="0" w:line="140" w:lineRule="exact"/>
              <w:rPr>
                <w:rFonts w:ascii="Arial" w:cs="Arial" w:eastAsia="Arial" w:hAnsi="Arial"/>
                <w:sz w:val="16"/>
                <w:szCs w:val="16"/>
                <w:color w:val="0000FF"/>
                <w:w w:val="91"/>
              </w:rPr>
            </w:pPr>
            <w:hyperlink r:id="rId211">
              <w:r>
                <w:rPr>
                  <w:rFonts w:ascii="Arial" w:cs="Arial" w:eastAsia="Arial" w:hAnsi="Arial"/>
                  <w:sz w:val="16"/>
                  <w:szCs w:val="16"/>
                  <w:color w:val="0000FF"/>
                  <w:w w:val="91"/>
                </w:rPr>
                <w:t>Energy Operating LLC, the guarantors named therein and Delaware Trust</w:t>
              </w:r>
            </w:hyperlink>
          </w:p>
        </w:tc>
        <w:tc>
          <w:tcPr>
            <w:tcW w:w="240" w:type="dxa"/>
            <w:vAlign w:val="bottom"/>
            <w:gridSpan w:val="9"/>
          </w:tcPr>
          <w:p>
            <w:pPr>
              <w:spacing w:after="0"/>
              <w:rPr>
                <w:sz w:val="12"/>
                <w:szCs w:val="12"/>
                <w:color w:val="auto"/>
              </w:rPr>
            </w:pPr>
          </w:p>
        </w:tc>
      </w:tr>
      <w:tr>
        <w:trPr>
          <w:trHeight w:val="140"/>
        </w:trPr>
        <w:tc>
          <w:tcPr>
            <w:tcW w:w="900" w:type="dxa"/>
            <w:vAlign w:val="bottom"/>
          </w:tcPr>
          <w:p>
            <w:pPr>
              <w:spacing w:after="0"/>
              <w:rPr>
                <w:sz w:val="12"/>
                <w:szCs w:val="12"/>
                <w:color w:val="auto"/>
              </w:rPr>
            </w:pPr>
          </w:p>
        </w:tc>
        <w:tc>
          <w:tcPr>
            <w:tcW w:w="4720" w:type="dxa"/>
            <w:vAlign w:val="bottom"/>
            <w:tcBorders>
              <w:top w:val="single" w:sz="8" w:color="0000FF"/>
            </w:tcBorders>
            <w:gridSpan w:val="19"/>
          </w:tcPr>
          <w:p>
            <w:pPr>
              <w:spacing w:after="0" w:line="140" w:lineRule="exact"/>
              <w:rPr>
                <w:rFonts w:ascii="Arial" w:cs="Arial" w:eastAsia="Arial" w:hAnsi="Arial"/>
                <w:sz w:val="16"/>
                <w:szCs w:val="16"/>
                <w:color w:val="0000FF"/>
              </w:rPr>
            </w:pPr>
            <w:hyperlink r:id="rId211">
              <w:r>
                <w:rPr>
                  <w:rFonts w:ascii="Arial" w:cs="Arial" w:eastAsia="Arial" w:hAnsi="Arial"/>
                  <w:sz w:val="16"/>
                  <w:szCs w:val="16"/>
                  <w:color w:val="0000FF"/>
                </w:rPr>
                <w:t>Company.</w:t>
              </w:r>
            </w:hyperlink>
          </w:p>
        </w:tc>
        <w:tc>
          <w:tcPr>
            <w:tcW w:w="320" w:type="dxa"/>
            <w:vAlign w:val="bottom"/>
            <w:gridSpan w:val="12"/>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127" w:lineRule="exact"/>
        <w:rPr>
          <w:sz w:val="20"/>
          <w:szCs w:val="20"/>
          <w:color w:val="auto"/>
        </w:rPr>
      </w:pPr>
    </w:p>
    <w:p>
      <w:pPr>
        <w:ind w:right="399"/>
        <w:spacing w:after="0" w:line="227" w:lineRule="auto"/>
        <w:rPr>
          <w:sz w:val="20"/>
          <w:szCs w:val="20"/>
          <w:color w:val="auto"/>
        </w:rPr>
      </w:pPr>
      <w:r>
        <w:rPr>
          <w:rFonts w:ascii="Arial" w:cs="Arial" w:eastAsia="Arial" w:hAnsi="Arial"/>
          <w:sz w:val="16"/>
          <w:szCs w:val="16"/>
          <w:color w:val="auto"/>
        </w:rPr>
        <w:t>Incorporated herein by reference to Exhibit 2.10 to the Company's Annual Report on Form 10-K, filed on March 1, 2018.</w:t>
      </w:r>
    </w:p>
    <w:p>
      <w:pPr>
        <w:spacing w:after="0" w:line="184" w:lineRule="exact"/>
        <w:rPr>
          <w:sz w:val="20"/>
          <w:szCs w:val="20"/>
          <w:color w:val="auto"/>
        </w:rPr>
      </w:pPr>
    </w:p>
    <w:p>
      <w:pPr>
        <w:ind w:right="679"/>
        <w:spacing w:after="0" w:line="227" w:lineRule="auto"/>
        <w:rPr>
          <w:sz w:val="20"/>
          <w:szCs w:val="20"/>
          <w:color w:val="auto"/>
        </w:rPr>
      </w:pPr>
      <w:r>
        <w:rPr>
          <w:rFonts w:ascii="Arial" w:cs="Arial" w:eastAsia="Arial" w:hAnsi="Arial"/>
          <w:sz w:val="16"/>
          <w:szCs w:val="16"/>
          <w:color w:val="auto"/>
        </w:rPr>
        <w:t>Incorporated herein by reference to Exhibit 2.1 to the Company's Current Report on Form 8-K, filed on December 9, 2019.</w:t>
      </w:r>
    </w:p>
    <w:p>
      <w:pPr>
        <w:spacing w:after="0" w:line="184" w:lineRule="exact"/>
        <w:rPr>
          <w:sz w:val="20"/>
          <w:szCs w:val="20"/>
          <w:color w:val="auto"/>
        </w:rPr>
      </w:pPr>
    </w:p>
    <w:p>
      <w:pPr>
        <w:ind w:right="679"/>
        <w:spacing w:after="0" w:line="227" w:lineRule="auto"/>
        <w:rPr>
          <w:sz w:val="20"/>
          <w:szCs w:val="20"/>
          <w:color w:val="auto"/>
        </w:rPr>
      </w:pPr>
      <w:r>
        <w:rPr>
          <w:rFonts w:ascii="Arial" w:cs="Arial" w:eastAsia="Arial" w:hAnsi="Arial"/>
          <w:sz w:val="16"/>
          <w:szCs w:val="16"/>
          <w:color w:val="auto"/>
        </w:rPr>
        <w:t>Incorporated herein by reference to Exhibit 2.1 to the Company's Current Report on Form 8-K, filed on November 20, 2020.</w:t>
      </w:r>
    </w:p>
    <w:p>
      <w:pPr>
        <w:spacing w:after="0" w:line="11" w:lineRule="exact"/>
        <w:rPr>
          <w:sz w:val="20"/>
          <w:szCs w:val="20"/>
          <w:color w:val="auto"/>
        </w:rPr>
      </w:pPr>
    </w:p>
    <w:p>
      <w:pPr>
        <w:ind w:right="399"/>
        <w:spacing w:after="0" w:line="227" w:lineRule="auto"/>
        <w:rPr>
          <w:sz w:val="20"/>
          <w:szCs w:val="20"/>
          <w:color w:val="auto"/>
        </w:rPr>
      </w:pPr>
      <w:r>
        <w:rPr>
          <w:rFonts w:ascii="Arial" w:cs="Arial" w:eastAsia="Arial" w:hAnsi="Arial"/>
          <w:sz w:val="16"/>
          <w:szCs w:val="16"/>
          <w:color w:val="auto"/>
        </w:rPr>
        <w:t>Incorporated herein by reference to Exhibit 3.1 to the Company's Current Report on Form 10-Q filed on May 4, 2020.</w:t>
      </w:r>
    </w:p>
    <w:p>
      <w:pPr>
        <w:spacing w:after="0" w:line="11" w:lineRule="exact"/>
        <w:rPr>
          <w:sz w:val="20"/>
          <w:szCs w:val="20"/>
          <w:color w:val="auto"/>
        </w:rPr>
      </w:pPr>
    </w:p>
    <w:p>
      <w:pPr>
        <w:ind w:right="679"/>
        <w:spacing w:after="0" w:line="227" w:lineRule="auto"/>
        <w:rPr>
          <w:sz w:val="20"/>
          <w:szCs w:val="20"/>
          <w:color w:val="auto"/>
        </w:rPr>
      </w:pPr>
      <w:r>
        <w:rPr>
          <w:rFonts w:ascii="Arial" w:cs="Arial" w:eastAsia="Arial" w:hAnsi="Arial"/>
          <w:sz w:val="16"/>
          <w:szCs w:val="16"/>
          <w:color w:val="auto"/>
        </w:rPr>
        <w:t>Incorporated herein by reference to Exhibit 3.2 to the Company's Current Report on Form 8-K filed on September 5, 2018.</w:t>
      </w:r>
    </w:p>
    <w:p>
      <w:pPr>
        <w:spacing w:after="0" w:line="104"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10.6 to the Company's Current Report on Form 8-K filed on September 5, 2018.</w:t>
      </w:r>
    </w:p>
    <w:p>
      <w:pPr>
        <w:spacing w:after="0" w:line="184"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4.13 to the Company's Annual Report on Form 10-K filed on February 28, 2019.</w:t>
      </w:r>
    </w:p>
    <w:p>
      <w:pPr>
        <w:spacing w:after="0" w:line="184"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4.14 to the Company's Annual Report on Form 10-K filed on February 28, 2019.</w:t>
      </w:r>
    </w:p>
    <w:p>
      <w:pPr>
        <w:spacing w:after="0" w:line="184" w:lineRule="exact"/>
        <w:rPr>
          <w:sz w:val="20"/>
          <w:szCs w:val="20"/>
          <w:color w:val="auto"/>
        </w:rPr>
      </w:pPr>
    </w:p>
    <w:p>
      <w:pPr>
        <w:ind w:right="679"/>
        <w:spacing w:after="0" w:line="227" w:lineRule="auto"/>
        <w:rPr>
          <w:sz w:val="20"/>
          <w:szCs w:val="20"/>
          <w:color w:val="auto"/>
        </w:rPr>
      </w:pPr>
      <w:r>
        <w:rPr>
          <w:rFonts w:ascii="Arial" w:cs="Arial" w:eastAsia="Arial" w:hAnsi="Arial"/>
          <w:sz w:val="16"/>
          <w:szCs w:val="16"/>
          <w:color w:val="auto"/>
        </w:rPr>
        <w:t>Incorporated herein by reference to Exhibit 4.1 to the Company's Current Report on Form 8-K filed on December 12, 2019.</w:t>
      </w:r>
    </w:p>
    <w:p>
      <w:pPr>
        <w:spacing w:after="0" w:line="184" w:lineRule="exact"/>
        <w:rPr>
          <w:sz w:val="20"/>
          <w:szCs w:val="20"/>
          <w:color w:val="auto"/>
        </w:rPr>
      </w:pPr>
    </w:p>
    <w:p>
      <w:pPr>
        <w:ind w:right="679"/>
        <w:spacing w:after="0" w:line="227" w:lineRule="auto"/>
        <w:rPr>
          <w:sz w:val="20"/>
          <w:szCs w:val="20"/>
          <w:color w:val="auto"/>
        </w:rPr>
      </w:pPr>
      <w:r>
        <w:rPr>
          <w:rFonts w:ascii="Arial" w:cs="Arial" w:eastAsia="Arial" w:hAnsi="Arial"/>
          <w:sz w:val="16"/>
          <w:szCs w:val="16"/>
          <w:color w:val="auto"/>
        </w:rPr>
        <w:t>Incorporated herein by reference to Exhibit 4.2 to the Company's Current Report on Form 8-K filed on December 12, 2019.</w:t>
      </w:r>
    </w:p>
    <w:p>
      <w:pPr>
        <w:spacing w:after="0" w:line="91" w:lineRule="exact"/>
        <w:rPr>
          <w:sz w:val="20"/>
          <w:szCs w:val="20"/>
          <w:color w:val="auto"/>
        </w:rPr>
      </w:pPr>
    </w:p>
    <w:p>
      <w:pPr>
        <w:ind w:right="419"/>
        <w:spacing w:after="0" w:line="227" w:lineRule="auto"/>
        <w:rPr>
          <w:sz w:val="20"/>
          <w:szCs w:val="20"/>
          <w:color w:val="auto"/>
        </w:rPr>
      </w:pPr>
      <w:r>
        <w:rPr>
          <w:rFonts w:ascii="Arial" w:cs="Arial" w:eastAsia="Arial" w:hAnsi="Arial"/>
          <w:sz w:val="16"/>
          <w:szCs w:val="16"/>
          <w:color w:val="auto"/>
        </w:rPr>
        <w:t>Incorporated herein by reference to Exhibit 4.3 to the Company’s Current Report on Form 8-K filed on January 8, 2020.</w:t>
      </w:r>
    </w:p>
    <w:p>
      <w:pPr>
        <w:spacing w:after="0" w:line="11" w:lineRule="exact"/>
        <w:rPr>
          <w:sz w:val="20"/>
          <w:szCs w:val="20"/>
          <w:color w:val="auto"/>
        </w:rPr>
      </w:pPr>
    </w:p>
    <w:p>
      <w:pPr>
        <w:ind w:right="499"/>
        <w:spacing w:after="0" w:line="227" w:lineRule="auto"/>
        <w:rPr>
          <w:sz w:val="20"/>
          <w:szCs w:val="20"/>
          <w:color w:val="auto"/>
        </w:rPr>
      </w:pPr>
      <w:r>
        <w:rPr>
          <w:rFonts w:ascii="Arial" w:cs="Arial" w:eastAsia="Arial" w:hAnsi="Arial"/>
          <w:sz w:val="16"/>
          <w:szCs w:val="16"/>
          <w:color w:val="auto"/>
        </w:rPr>
        <w:t>Incorporated herein by reference to Exhibit 4.3 to the Company’s Current Report on Form 8-K filed on March 3, 2020.</w:t>
      </w:r>
    </w:p>
    <w:p>
      <w:pPr>
        <w:spacing w:after="0" w:line="11" w:lineRule="exact"/>
        <w:rPr>
          <w:sz w:val="20"/>
          <w:szCs w:val="20"/>
          <w:color w:val="auto"/>
        </w:rPr>
      </w:pPr>
    </w:p>
    <w:p>
      <w:pPr>
        <w:ind w:right="419"/>
        <w:spacing w:after="0" w:line="227" w:lineRule="auto"/>
        <w:rPr>
          <w:sz w:val="20"/>
          <w:szCs w:val="20"/>
          <w:color w:val="auto"/>
        </w:rPr>
      </w:pPr>
      <w:r>
        <w:rPr>
          <w:rFonts w:ascii="Arial" w:cs="Arial" w:eastAsia="Arial" w:hAnsi="Arial"/>
          <w:sz w:val="16"/>
          <w:szCs w:val="16"/>
          <w:color w:val="auto"/>
        </w:rPr>
        <w:t>Incorporated herein by reference to Exhibit 4.3 to the Company's Current Report on Form 8-K filed on July 21, 2020.</w:t>
      </w:r>
    </w:p>
    <w:p>
      <w:pPr>
        <w:spacing w:after="0" w:line="11" w:lineRule="exact"/>
        <w:rPr>
          <w:sz w:val="20"/>
          <w:szCs w:val="20"/>
          <w:color w:val="auto"/>
        </w:rPr>
      </w:pPr>
    </w:p>
    <w:p>
      <w:pPr>
        <w:ind w:right="459"/>
        <w:spacing w:after="0" w:line="227" w:lineRule="auto"/>
        <w:rPr>
          <w:sz w:val="20"/>
          <w:szCs w:val="20"/>
          <w:color w:val="auto"/>
        </w:rPr>
      </w:pPr>
      <w:r>
        <w:rPr>
          <w:rFonts w:ascii="Arial" w:cs="Arial" w:eastAsia="Arial" w:hAnsi="Arial"/>
          <w:sz w:val="16"/>
          <w:szCs w:val="16"/>
          <w:color w:val="auto"/>
        </w:rPr>
        <w:t>Incorporated herein by reference to Exhibit 4.3 to the Company's Current Report on Form 8-K filed on August 20, 2020.</w:t>
      </w:r>
    </w:p>
    <w:p>
      <w:pPr>
        <w:spacing w:after="0" w:line="11" w:lineRule="exact"/>
        <w:rPr>
          <w:sz w:val="20"/>
          <w:szCs w:val="20"/>
          <w:color w:val="auto"/>
        </w:rPr>
      </w:pPr>
    </w:p>
    <w:p>
      <w:pPr>
        <w:ind w:right="679"/>
        <w:spacing w:after="0" w:line="227" w:lineRule="auto"/>
        <w:rPr>
          <w:sz w:val="20"/>
          <w:szCs w:val="20"/>
          <w:color w:val="auto"/>
        </w:rPr>
      </w:pPr>
      <w:r>
        <w:rPr>
          <w:rFonts w:ascii="Arial" w:cs="Arial" w:eastAsia="Arial" w:hAnsi="Arial"/>
          <w:sz w:val="16"/>
          <w:szCs w:val="16"/>
          <w:color w:val="auto"/>
        </w:rPr>
        <w:t>Incorporated herein by reference to Exhibit 4.3 to the Company's Current Report on Form 8-K filed on November 19, 2020.</w:t>
      </w:r>
    </w:p>
    <w:p>
      <w:pPr>
        <w:spacing w:after="0" w:line="11" w:lineRule="exact"/>
        <w:rPr>
          <w:sz w:val="20"/>
          <w:szCs w:val="20"/>
          <w:color w:val="auto"/>
        </w:rPr>
      </w:pPr>
    </w:p>
    <w:p>
      <w:pPr>
        <w:ind w:right="679"/>
        <w:spacing w:after="0" w:line="227" w:lineRule="auto"/>
        <w:rPr>
          <w:sz w:val="20"/>
          <w:szCs w:val="20"/>
          <w:color w:val="auto"/>
        </w:rPr>
      </w:pPr>
      <w:r>
        <w:rPr>
          <w:rFonts w:ascii="Arial" w:cs="Arial" w:eastAsia="Arial" w:hAnsi="Arial"/>
          <w:sz w:val="16"/>
          <w:szCs w:val="16"/>
          <w:color w:val="auto"/>
        </w:rPr>
        <w:t>Incorporated herein by reference to Exhibit 4.3 to the Company's Current Report on Form 8-K filed on December 4, 2020.</w:t>
      </w:r>
    </w:p>
    <w:p>
      <w:pPr>
        <w:spacing w:after="0" w:line="11" w:lineRule="exact"/>
        <w:rPr>
          <w:sz w:val="20"/>
          <w:szCs w:val="20"/>
          <w:color w:val="auto"/>
        </w:rPr>
      </w:pPr>
    </w:p>
    <w:p>
      <w:pPr>
        <w:ind w:right="679"/>
        <w:spacing w:after="0" w:line="227" w:lineRule="auto"/>
        <w:rPr>
          <w:sz w:val="20"/>
          <w:szCs w:val="20"/>
          <w:color w:val="auto"/>
        </w:rPr>
      </w:pPr>
      <w:r>
        <w:rPr>
          <w:rFonts w:ascii="Arial" w:cs="Arial" w:eastAsia="Arial" w:hAnsi="Arial"/>
          <w:sz w:val="16"/>
          <w:szCs w:val="16"/>
          <w:color w:val="auto"/>
        </w:rPr>
        <w:t>Incorporated herein by reference to Exhibit 4.3 to the Company's Current Report on Form 8-K filed on December 29, 2020.</w:t>
      </w:r>
    </w:p>
    <w:p>
      <w:pPr>
        <w:spacing w:after="0" w:line="11" w:lineRule="exact"/>
        <w:rPr>
          <w:sz w:val="20"/>
          <w:szCs w:val="20"/>
          <w:color w:val="auto"/>
        </w:rPr>
      </w:pPr>
    </w:p>
    <w:p>
      <w:pPr>
        <w:ind w:right="679"/>
        <w:spacing w:after="0" w:line="227" w:lineRule="auto"/>
        <w:rPr>
          <w:sz w:val="20"/>
          <w:szCs w:val="20"/>
          <w:color w:val="auto"/>
        </w:rPr>
      </w:pPr>
      <w:r>
        <w:rPr>
          <w:rFonts w:ascii="Arial" w:cs="Arial" w:eastAsia="Arial" w:hAnsi="Arial"/>
          <w:sz w:val="16"/>
          <w:szCs w:val="16"/>
          <w:color w:val="auto"/>
        </w:rPr>
        <w:t>Incorporated herein by reference to Exhibit 4.3 to the Company's Current Report on Form 8-K filed on February 5, 2021.</w:t>
      </w:r>
    </w:p>
    <w:p>
      <w:pPr>
        <w:spacing w:after="0" w:line="11" w:lineRule="exact"/>
        <w:rPr>
          <w:sz w:val="20"/>
          <w:szCs w:val="20"/>
          <w:color w:val="auto"/>
        </w:rPr>
      </w:pPr>
    </w:p>
    <w:p>
      <w:pPr>
        <w:ind w:right="499"/>
        <w:spacing w:after="0" w:line="227" w:lineRule="auto"/>
        <w:rPr>
          <w:sz w:val="20"/>
          <w:szCs w:val="20"/>
          <w:color w:val="auto"/>
        </w:rPr>
      </w:pPr>
      <w:r>
        <w:rPr>
          <w:rFonts w:ascii="Arial" w:cs="Arial" w:eastAsia="Arial" w:hAnsi="Arial"/>
          <w:sz w:val="16"/>
          <w:szCs w:val="16"/>
          <w:color w:val="auto"/>
        </w:rPr>
        <w:t>Incorporated herein by reference to Exhibit 4.1 to the Company's Current Report on Form 8-K filed on March 9, 2021.</w:t>
      </w:r>
    </w:p>
    <w:p>
      <w:pPr>
        <w:spacing w:after="0" w:line="11" w:lineRule="exact"/>
        <w:rPr>
          <w:sz w:val="20"/>
          <w:szCs w:val="20"/>
          <w:color w:val="auto"/>
        </w:rPr>
      </w:pPr>
    </w:p>
    <w:p>
      <w:pPr>
        <w:ind w:right="499"/>
        <w:spacing w:after="0" w:line="227" w:lineRule="auto"/>
        <w:rPr>
          <w:sz w:val="20"/>
          <w:szCs w:val="20"/>
          <w:color w:val="auto"/>
        </w:rPr>
      </w:pPr>
      <w:r>
        <w:rPr>
          <w:rFonts w:ascii="Arial" w:cs="Arial" w:eastAsia="Arial" w:hAnsi="Arial"/>
          <w:sz w:val="16"/>
          <w:szCs w:val="16"/>
          <w:color w:val="auto"/>
        </w:rPr>
        <w:t>Incorporated herein by reference to Exhibit 4.2 to the Company's Current Report on Form 8-K filed on March 9, 2021.</w:t>
      </w:r>
    </w:p>
    <w:p>
      <w:pPr>
        <w:spacing w:after="0" w:line="11" w:lineRule="exact"/>
        <w:rPr>
          <w:sz w:val="20"/>
          <w:szCs w:val="20"/>
          <w:color w:val="auto"/>
        </w:rPr>
      </w:pPr>
    </w:p>
    <w:p>
      <w:pPr>
        <w:ind w:right="399"/>
        <w:spacing w:after="0" w:line="227" w:lineRule="auto"/>
        <w:rPr>
          <w:sz w:val="20"/>
          <w:szCs w:val="20"/>
          <w:color w:val="auto"/>
        </w:rPr>
      </w:pPr>
      <w:r>
        <w:rPr>
          <w:rFonts w:ascii="Arial" w:cs="Arial" w:eastAsia="Arial" w:hAnsi="Arial"/>
          <w:sz w:val="16"/>
          <w:szCs w:val="16"/>
          <w:color w:val="auto"/>
        </w:rPr>
        <w:t>Incorporated herein by reference to Exhibit 4.2 to the Company's Current Report on Form 8-K filed on May 19, 2021.</w:t>
      </w:r>
    </w:p>
    <w:p>
      <w:pPr>
        <w:spacing w:after="0" w:line="200" w:lineRule="exact"/>
        <w:rPr>
          <w:sz w:val="20"/>
          <w:szCs w:val="20"/>
          <w:color w:val="auto"/>
        </w:rPr>
      </w:pPr>
    </w:p>
    <w:p>
      <w:pPr>
        <w:sectPr>
          <w:pgSz w:w="11900" w:h="16838" w:orient="portrait"/>
          <w:cols w:equalWidth="0" w:num="2">
            <w:col w:w="5900" w:space="120"/>
            <w:col w:w="4099"/>
          </w:cols>
          <w:pgMar w:left="340" w:top="881" w:right="1440"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95885</wp:posOffset>
            </wp:positionV>
            <wp:extent cx="715962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19"/>
          </w:cols>
          <w:pgMar w:left="340" w:top="881" w:right="1440" w:bottom="144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20"/>
                <w:szCs w:val="20"/>
                <w:color w:val="auto"/>
              </w:rPr>
            </w:pPr>
            <w:r>
              <w:rPr>
                <w:rFonts w:ascii="Arial" w:cs="Arial" w:eastAsia="Arial" w:hAnsi="Arial"/>
                <w:sz w:val="16"/>
                <w:szCs w:val="16"/>
                <w:color w:val="auto"/>
              </w:rPr>
              <w:t>4.17</w:t>
            </w:r>
          </w:p>
        </w:tc>
        <w:tc>
          <w:tcPr>
            <w:tcW w:w="5080" w:type="dxa"/>
            <w:vAlign w:val="bottom"/>
            <w:gridSpan w:val="30"/>
          </w:tcPr>
          <w:p>
            <w:pPr>
              <w:spacing w:after="0"/>
              <w:rPr>
                <w:rFonts w:ascii="Arial" w:cs="Arial" w:eastAsia="Arial" w:hAnsi="Arial"/>
                <w:sz w:val="16"/>
                <w:szCs w:val="16"/>
                <w:color w:val="0000FF"/>
                <w:w w:val="96"/>
              </w:rPr>
            </w:pPr>
            <w:hyperlink r:id="rId213">
              <w:r>
                <w:rPr>
                  <w:rFonts w:ascii="Arial" w:cs="Arial" w:eastAsia="Arial" w:hAnsi="Arial"/>
                  <w:sz w:val="16"/>
                  <w:szCs w:val="16"/>
                  <w:color w:val="0000FF"/>
                  <w:w w:val="96"/>
                </w:rPr>
                <w:t>First Supplemental Indenture, dated as of May 14, 2021, among Clearway</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760" w:type="dxa"/>
            <w:vAlign w:val="bottom"/>
            <w:tcBorders>
              <w:top w:val="single" w:sz="8" w:color="0000FF"/>
            </w:tcBorders>
            <w:gridSpan w:val="16"/>
          </w:tcPr>
          <w:p>
            <w:pPr>
              <w:spacing w:after="0" w:line="140" w:lineRule="exact"/>
              <w:rPr>
                <w:rFonts w:ascii="Arial" w:cs="Arial" w:eastAsia="Arial" w:hAnsi="Arial"/>
                <w:sz w:val="16"/>
                <w:szCs w:val="16"/>
                <w:color w:val="0000FF"/>
                <w:w w:val="90"/>
              </w:rPr>
            </w:pPr>
            <w:hyperlink r:id="rId213">
              <w:r>
                <w:rPr>
                  <w:rFonts w:ascii="Arial" w:cs="Arial" w:eastAsia="Arial" w:hAnsi="Arial"/>
                  <w:sz w:val="16"/>
                  <w:szCs w:val="16"/>
                  <w:color w:val="0000FF"/>
                  <w:w w:val="90"/>
                </w:rPr>
                <w:t>Energy Operating LLC, the guarantors named therein and Delaware Trust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720" w:type="dxa"/>
            <w:vAlign w:val="bottom"/>
            <w:tcBorders>
              <w:top w:val="single" w:sz="8" w:color="0000FF"/>
            </w:tcBorders>
            <w:gridSpan w:val="14"/>
          </w:tcPr>
          <w:p>
            <w:pPr>
              <w:spacing w:after="0" w:line="140" w:lineRule="exact"/>
              <w:rPr>
                <w:rFonts w:ascii="Arial" w:cs="Arial" w:eastAsia="Arial" w:hAnsi="Arial"/>
                <w:sz w:val="16"/>
                <w:szCs w:val="16"/>
                <w:color w:val="0000FF"/>
              </w:rPr>
            </w:pPr>
            <w:hyperlink r:id="rId213">
              <w:r>
                <w:rPr>
                  <w:rFonts w:ascii="Arial" w:cs="Arial" w:eastAsia="Arial" w:hAnsi="Arial"/>
                  <w:sz w:val="16"/>
                  <w:szCs w:val="16"/>
                  <w:color w:val="0000FF"/>
                </w:rPr>
                <w:t>Company.</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4.18</w:t>
            </w:r>
          </w:p>
        </w:tc>
        <w:tc>
          <w:tcPr>
            <w:tcW w:w="5080" w:type="dxa"/>
            <w:vAlign w:val="bottom"/>
            <w:gridSpan w:val="30"/>
          </w:tcPr>
          <w:p>
            <w:pPr>
              <w:spacing w:after="0"/>
              <w:rPr>
                <w:rFonts w:ascii="Arial" w:cs="Arial" w:eastAsia="Arial" w:hAnsi="Arial"/>
                <w:sz w:val="16"/>
                <w:szCs w:val="16"/>
                <w:color w:val="0000FF"/>
                <w:w w:val="94"/>
              </w:rPr>
            </w:pPr>
            <w:hyperlink r:id="rId214">
              <w:r>
                <w:rPr>
                  <w:rFonts w:ascii="Arial" w:cs="Arial" w:eastAsia="Arial" w:hAnsi="Arial"/>
                  <w:sz w:val="16"/>
                  <w:szCs w:val="16"/>
                  <w:color w:val="0000FF"/>
                  <w:w w:val="94"/>
                </w:rPr>
                <w:t>Indenture, dated October 1, 2021, among Clearway Energy Operating LLC,</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840" w:type="dxa"/>
            <w:vAlign w:val="bottom"/>
            <w:tcBorders>
              <w:top w:val="single" w:sz="8" w:color="0000FF"/>
            </w:tcBorders>
            <w:gridSpan w:val="19"/>
          </w:tcPr>
          <w:p>
            <w:pPr>
              <w:spacing w:after="0" w:line="140" w:lineRule="exact"/>
              <w:rPr>
                <w:rFonts w:ascii="Arial" w:cs="Arial" w:eastAsia="Arial" w:hAnsi="Arial"/>
                <w:sz w:val="16"/>
                <w:szCs w:val="16"/>
                <w:color w:val="0000FF"/>
                <w:w w:val="94"/>
              </w:rPr>
            </w:pPr>
            <w:hyperlink r:id="rId214">
              <w:r>
                <w:rPr>
                  <w:rFonts w:ascii="Arial" w:cs="Arial" w:eastAsia="Arial" w:hAnsi="Arial"/>
                  <w:sz w:val="16"/>
                  <w:szCs w:val="16"/>
                  <w:color w:val="0000FF"/>
                  <w:w w:val="94"/>
                </w:rPr>
                <w:t>the guarantors named therein and Delaware Trust Company, as trustee.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3"/>
        </w:trPr>
        <w:tc>
          <w:tcPr>
            <w:tcW w:w="900" w:type="dxa"/>
            <w:vAlign w:val="bottom"/>
          </w:tcPr>
          <w:p>
            <w:pPr>
              <w:spacing w:after="0"/>
              <w:rPr>
                <w:sz w:val="20"/>
                <w:szCs w:val="20"/>
                <w:color w:val="auto"/>
              </w:rPr>
            </w:pPr>
            <w:r>
              <w:rPr>
                <w:rFonts w:ascii="Arial" w:cs="Arial" w:eastAsia="Arial" w:hAnsi="Arial"/>
                <w:sz w:val="16"/>
                <w:szCs w:val="16"/>
                <w:color w:val="auto"/>
              </w:rPr>
              <w:t>4.19</w:t>
            </w:r>
          </w:p>
        </w:tc>
        <w:tc>
          <w:tcPr>
            <w:tcW w:w="260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90"/>
              </w:rPr>
            </w:pPr>
            <w:hyperlink r:id="rId214">
              <w:r>
                <w:rPr>
                  <w:rFonts w:ascii="Arial" w:cs="Arial" w:eastAsia="Arial" w:hAnsi="Arial"/>
                  <w:sz w:val="16"/>
                  <w:szCs w:val="16"/>
                  <w:color w:val="0000FF"/>
                  <w:w w:val="90"/>
                </w:rPr>
                <w:t>Form of 3.750% Senior Notes due 2032.</w:t>
              </w:r>
            </w:hyperlink>
          </w:p>
        </w:tc>
        <w:tc>
          <w:tcPr>
            <w:tcW w:w="1920" w:type="dxa"/>
            <w:vAlign w:val="bottom"/>
            <w:tcBorders>
              <w:top w:val="single" w:sz="8" w:color="0000FF"/>
            </w:tcBorders>
            <w:gridSpan w:val="4"/>
          </w:tcPr>
          <w:p>
            <w:pPr>
              <w:spacing w:after="0"/>
              <w:rPr>
                <w:sz w:val="24"/>
                <w:szCs w:val="24"/>
                <w:color w:val="auto"/>
              </w:rPr>
            </w:pPr>
          </w:p>
        </w:tc>
        <w:tc>
          <w:tcPr>
            <w:tcW w:w="5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900" w:type="dxa"/>
            <w:vAlign w:val="bottom"/>
          </w:tcPr>
          <w:p>
            <w:pPr>
              <w:spacing w:after="0"/>
              <w:rPr>
                <w:sz w:val="20"/>
                <w:szCs w:val="20"/>
                <w:color w:val="auto"/>
              </w:rPr>
            </w:pPr>
            <w:r>
              <w:rPr>
                <w:rFonts w:ascii="Arial" w:cs="Arial" w:eastAsia="Arial" w:hAnsi="Arial"/>
                <w:sz w:val="16"/>
                <w:szCs w:val="16"/>
                <w:color w:val="auto"/>
              </w:rPr>
              <w:t>4.20</w:t>
            </w:r>
          </w:p>
        </w:tc>
        <w:tc>
          <w:tcPr>
            <w:tcW w:w="5080" w:type="dxa"/>
            <w:vAlign w:val="bottom"/>
            <w:gridSpan w:val="30"/>
          </w:tcPr>
          <w:p>
            <w:pPr>
              <w:spacing w:after="0"/>
              <w:rPr>
                <w:rFonts w:ascii="Arial" w:cs="Arial" w:eastAsia="Arial" w:hAnsi="Arial"/>
                <w:sz w:val="16"/>
                <w:szCs w:val="16"/>
                <w:color w:val="0000FF"/>
                <w:w w:val="91"/>
              </w:rPr>
            </w:pPr>
            <w:hyperlink r:id="rId215">
              <w:r>
                <w:rPr>
                  <w:rFonts w:ascii="Arial" w:cs="Arial" w:eastAsia="Arial" w:hAnsi="Arial"/>
                  <w:sz w:val="16"/>
                  <w:szCs w:val="16"/>
                  <w:color w:val="0000FF"/>
                  <w:w w:val="91"/>
                </w:rPr>
                <w:t>Tenth Supplemental Indenture, dated as of October 7, 2021, among Clearway</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960" w:type="dxa"/>
            <w:vAlign w:val="bottom"/>
            <w:tcBorders>
              <w:top w:val="single" w:sz="8" w:color="0000FF"/>
            </w:tcBorders>
            <w:gridSpan w:val="24"/>
          </w:tcPr>
          <w:p>
            <w:pPr>
              <w:spacing w:after="0" w:line="140" w:lineRule="exact"/>
              <w:rPr>
                <w:rFonts w:ascii="Arial" w:cs="Arial" w:eastAsia="Arial" w:hAnsi="Arial"/>
                <w:sz w:val="16"/>
                <w:szCs w:val="16"/>
                <w:color w:val="0000FF"/>
                <w:w w:val="94"/>
              </w:rPr>
            </w:pPr>
            <w:hyperlink r:id="rId215">
              <w:r>
                <w:rPr>
                  <w:rFonts w:ascii="Arial" w:cs="Arial" w:eastAsia="Arial" w:hAnsi="Arial"/>
                  <w:sz w:val="16"/>
                  <w:szCs w:val="16"/>
                  <w:color w:val="0000FF"/>
                  <w:w w:val="94"/>
                </w:rPr>
                <w:t>Energy Operating LLC, the guarantors named therein and Delaware Trust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720" w:type="dxa"/>
            <w:vAlign w:val="bottom"/>
            <w:tcBorders>
              <w:top w:val="single" w:sz="8" w:color="0000FF"/>
            </w:tcBorders>
            <w:gridSpan w:val="14"/>
          </w:tcPr>
          <w:p>
            <w:pPr>
              <w:spacing w:after="0" w:line="140" w:lineRule="exact"/>
              <w:rPr>
                <w:rFonts w:ascii="Arial" w:cs="Arial" w:eastAsia="Arial" w:hAnsi="Arial"/>
                <w:sz w:val="16"/>
                <w:szCs w:val="16"/>
                <w:color w:val="0000FF"/>
              </w:rPr>
            </w:pPr>
            <w:hyperlink r:id="rId215">
              <w:r>
                <w:rPr>
                  <w:rFonts w:ascii="Arial" w:cs="Arial" w:eastAsia="Arial" w:hAnsi="Arial"/>
                  <w:sz w:val="16"/>
                  <w:szCs w:val="16"/>
                  <w:color w:val="0000FF"/>
                </w:rPr>
                <w:t>Company.</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4.21</w:t>
            </w:r>
          </w:p>
        </w:tc>
        <w:tc>
          <w:tcPr>
            <w:tcW w:w="5080" w:type="dxa"/>
            <w:vAlign w:val="bottom"/>
            <w:gridSpan w:val="30"/>
          </w:tcPr>
          <w:p>
            <w:pPr>
              <w:spacing w:after="0"/>
              <w:rPr>
                <w:rFonts w:ascii="Arial" w:cs="Arial" w:eastAsia="Arial" w:hAnsi="Arial"/>
                <w:sz w:val="16"/>
                <w:szCs w:val="16"/>
                <w:color w:val="0000FF"/>
              </w:rPr>
            </w:pPr>
            <w:hyperlink r:id="rId216">
              <w:r>
                <w:rPr>
                  <w:rFonts w:ascii="Arial" w:cs="Arial" w:eastAsia="Arial" w:hAnsi="Arial"/>
                  <w:sz w:val="16"/>
                  <w:szCs w:val="16"/>
                  <w:color w:val="0000FF"/>
                </w:rPr>
                <w:t>Second Supplemental Indenture, dated as of October 7, 2021, among</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400" w:type="dxa"/>
            <w:vAlign w:val="bottom"/>
            <w:tcBorders>
              <w:top w:val="single" w:sz="8" w:color="0000FF"/>
            </w:tcBorders>
            <w:gridSpan w:val="9"/>
          </w:tcPr>
          <w:p>
            <w:pPr>
              <w:spacing w:after="0" w:line="140" w:lineRule="exact"/>
              <w:rPr>
                <w:rFonts w:ascii="Arial" w:cs="Arial" w:eastAsia="Arial" w:hAnsi="Arial"/>
                <w:sz w:val="16"/>
                <w:szCs w:val="16"/>
                <w:color w:val="0000FF"/>
                <w:w w:val="91"/>
              </w:rPr>
            </w:pPr>
            <w:hyperlink r:id="rId216">
              <w:r>
                <w:rPr>
                  <w:rFonts w:ascii="Arial" w:cs="Arial" w:eastAsia="Arial" w:hAnsi="Arial"/>
                  <w:sz w:val="16"/>
                  <w:szCs w:val="16"/>
                  <w:color w:val="0000FF"/>
                  <w:w w:val="91"/>
                </w:rPr>
                <w:t>Clearway Energy Operating LLC, the guarantors named therein and</w:t>
              </w:r>
            </w:hyperlink>
          </w:p>
        </w:tc>
        <w:tc>
          <w:tcPr>
            <w:tcW w:w="680" w:type="dxa"/>
            <w:vAlign w:val="bottom"/>
            <w:gridSpan w:val="21"/>
          </w:tcPr>
          <w:p>
            <w:pPr>
              <w:spacing w:after="0" w:line="140" w:lineRule="exact"/>
              <w:rPr>
                <w:rFonts w:ascii="Arial" w:cs="Arial" w:eastAsia="Arial" w:hAnsi="Arial"/>
                <w:sz w:val="16"/>
                <w:szCs w:val="16"/>
                <w:color w:val="0000FF"/>
                <w:w w:val="97"/>
              </w:rPr>
            </w:pPr>
            <w:hyperlink r:id="rId216">
              <w:r>
                <w:rPr>
                  <w:rFonts w:ascii="Arial" w:cs="Arial" w:eastAsia="Arial" w:hAnsi="Arial"/>
                  <w:sz w:val="16"/>
                  <w:szCs w:val="16"/>
                  <w:color w:val="0000FF"/>
                  <w:w w:val="97"/>
                </w:rPr>
                <w:t>Delaware</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5060" w:type="dxa"/>
            <w:vAlign w:val="bottom"/>
            <w:tcBorders>
              <w:top w:val="single" w:sz="8" w:color="0000FF"/>
            </w:tcBorders>
            <w:gridSpan w:val="29"/>
          </w:tcPr>
          <w:p>
            <w:pPr>
              <w:spacing w:after="0" w:line="140" w:lineRule="exact"/>
              <w:rPr>
                <w:rFonts w:ascii="Arial" w:cs="Arial" w:eastAsia="Arial" w:hAnsi="Arial"/>
                <w:sz w:val="16"/>
                <w:szCs w:val="16"/>
                <w:color w:val="0000FF"/>
              </w:rPr>
            </w:pPr>
            <w:hyperlink r:id="rId216">
              <w:r>
                <w:rPr>
                  <w:rFonts w:ascii="Arial" w:cs="Arial" w:eastAsia="Arial" w:hAnsi="Arial"/>
                  <w:sz w:val="16"/>
                  <w:szCs w:val="16"/>
                  <w:color w:val="0000FF"/>
                </w:rPr>
                <w:t>Trust Company.</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4.22</w:t>
            </w:r>
          </w:p>
        </w:tc>
        <w:tc>
          <w:tcPr>
            <w:tcW w:w="5080" w:type="dxa"/>
            <w:vAlign w:val="bottom"/>
            <w:gridSpan w:val="30"/>
          </w:tcPr>
          <w:p>
            <w:pPr>
              <w:spacing w:after="0"/>
              <w:rPr>
                <w:rFonts w:ascii="Arial" w:cs="Arial" w:eastAsia="Arial" w:hAnsi="Arial"/>
                <w:sz w:val="16"/>
                <w:szCs w:val="16"/>
                <w:color w:val="0000FF"/>
                <w:w w:val="93"/>
              </w:rPr>
            </w:pPr>
            <w:hyperlink r:id="rId217">
              <w:r>
                <w:rPr>
                  <w:rFonts w:ascii="Arial" w:cs="Arial" w:eastAsia="Arial" w:hAnsi="Arial"/>
                  <w:sz w:val="16"/>
                  <w:szCs w:val="16"/>
                  <w:color w:val="0000FF"/>
                  <w:w w:val="93"/>
                </w:rPr>
                <w:t>First Supplemental Indenture, dated as of October 7, 2021, among Clearway</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900" w:type="dxa"/>
            <w:vAlign w:val="bottom"/>
            <w:tcBorders>
              <w:top w:val="single" w:sz="8" w:color="0000FF"/>
            </w:tcBorders>
            <w:gridSpan w:val="22"/>
          </w:tcPr>
          <w:p>
            <w:pPr>
              <w:spacing w:after="0" w:line="140" w:lineRule="exact"/>
              <w:rPr>
                <w:rFonts w:ascii="Arial" w:cs="Arial" w:eastAsia="Arial" w:hAnsi="Arial"/>
                <w:sz w:val="16"/>
                <w:szCs w:val="16"/>
                <w:color w:val="0000FF"/>
                <w:w w:val="93"/>
              </w:rPr>
            </w:pPr>
            <w:hyperlink r:id="rId217">
              <w:r>
                <w:rPr>
                  <w:rFonts w:ascii="Arial" w:cs="Arial" w:eastAsia="Arial" w:hAnsi="Arial"/>
                  <w:sz w:val="16"/>
                  <w:szCs w:val="16"/>
                  <w:color w:val="0000FF"/>
                  <w:w w:val="93"/>
                </w:rPr>
                <w:t>Energy Operating LLC, the guarantors named therein and Delaware Trust</w:t>
              </w:r>
            </w:hyperlink>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720" w:type="dxa"/>
            <w:vAlign w:val="bottom"/>
            <w:tcBorders>
              <w:top w:val="single" w:sz="8" w:color="0000FF"/>
            </w:tcBorders>
            <w:gridSpan w:val="14"/>
          </w:tcPr>
          <w:p>
            <w:pPr>
              <w:spacing w:after="0" w:line="140" w:lineRule="exact"/>
              <w:rPr>
                <w:rFonts w:ascii="Arial" w:cs="Arial" w:eastAsia="Arial" w:hAnsi="Arial"/>
                <w:sz w:val="16"/>
                <w:szCs w:val="16"/>
                <w:color w:val="0000FF"/>
              </w:rPr>
            </w:pPr>
            <w:hyperlink r:id="rId217">
              <w:r>
                <w:rPr>
                  <w:rFonts w:ascii="Arial" w:cs="Arial" w:eastAsia="Arial" w:hAnsi="Arial"/>
                  <w:sz w:val="16"/>
                  <w:szCs w:val="16"/>
                  <w:color w:val="0000FF"/>
                </w:rPr>
                <w:t>Company.</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4.23</w:t>
            </w:r>
          </w:p>
        </w:tc>
        <w:tc>
          <w:tcPr>
            <w:tcW w:w="5080" w:type="dxa"/>
            <w:vAlign w:val="bottom"/>
            <w:gridSpan w:val="30"/>
          </w:tcPr>
          <w:p>
            <w:pPr>
              <w:spacing w:after="0"/>
              <w:rPr>
                <w:rFonts w:ascii="Arial" w:cs="Arial" w:eastAsia="Arial" w:hAnsi="Arial"/>
                <w:sz w:val="16"/>
                <w:szCs w:val="16"/>
                <w:color w:val="0000FF"/>
              </w:rPr>
            </w:pPr>
            <w:hyperlink w:anchor="page146">
              <w:r>
                <w:rPr>
                  <w:rFonts w:ascii="Arial" w:cs="Arial" w:eastAsia="Arial" w:hAnsi="Arial"/>
                  <w:sz w:val="16"/>
                  <w:szCs w:val="16"/>
                  <w:color w:val="0000FF"/>
                </w:rPr>
                <w:t>Description of Securities.</w:t>
              </w:r>
            </w:hyperlink>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color w:val="auto"/>
              </w:rPr>
              <w:t>10.1</w:t>
            </w: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900" w:type="dxa"/>
            <w:vAlign w:val="bottom"/>
            <w:vMerge w:val="continue"/>
          </w:tcPr>
          <w:p>
            <w:pPr>
              <w:spacing w:after="0"/>
              <w:rPr>
                <w:sz w:val="24"/>
                <w:szCs w:val="24"/>
                <w:color w:val="auto"/>
              </w:rPr>
            </w:pPr>
          </w:p>
        </w:tc>
        <w:tc>
          <w:tcPr>
            <w:tcW w:w="4640" w:type="dxa"/>
            <w:vAlign w:val="bottom"/>
            <w:gridSpan w:val="12"/>
            <w:vMerge w:val="restart"/>
          </w:tcPr>
          <w:p>
            <w:pPr>
              <w:spacing w:after="0"/>
              <w:rPr>
                <w:rFonts w:ascii="Arial" w:cs="Arial" w:eastAsia="Arial" w:hAnsi="Arial"/>
                <w:sz w:val="16"/>
                <w:szCs w:val="16"/>
                <w:color w:val="0000FF"/>
                <w:w w:val="89"/>
              </w:rPr>
            </w:pPr>
            <w:hyperlink r:id="rId218">
              <w:r>
                <w:rPr>
                  <w:rFonts w:ascii="Arial" w:cs="Arial" w:eastAsia="Arial" w:hAnsi="Arial"/>
                  <w:sz w:val="16"/>
                  <w:szCs w:val="16"/>
                  <w:color w:val="0000FF"/>
                  <w:w w:val="89"/>
                </w:rPr>
                <w:t>Master Services Agreement, dated as of August 31, 2018, by and among</w:t>
              </w:r>
            </w:hyperlink>
          </w:p>
        </w:tc>
        <w:tc>
          <w:tcPr>
            <w:tcW w:w="440" w:type="dxa"/>
            <w:vAlign w:val="bottom"/>
            <w:gridSpan w:val="18"/>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900" w:type="dxa"/>
            <w:vAlign w:val="bottom"/>
          </w:tcPr>
          <w:p>
            <w:pPr>
              <w:spacing w:after="0"/>
              <w:rPr>
                <w:sz w:val="5"/>
                <w:szCs w:val="5"/>
                <w:color w:val="auto"/>
              </w:rPr>
            </w:pPr>
          </w:p>
        </w:tc>
        <w:tc>
          <w:tcPr>
            <w:tcW w:w="4640" w:type="dxa"/>
            <w:vAlign w:val="bottom"/>
            <w:tcBorders>
              <w:bottom w:val="single" w:sz="8" w:color="0000FF"/>
            </w:tcBorders>
            <w:gridSpan w:val="12"/>
            <w:vMerge w:val="continue"/>
          </w:tcPr>
          <w:p>
            <w:pPr>
              <w:spacing w:after="0"/>
              <w:rPr>
                <w:sz w:val="5"/>
                <w:szCs w:val="5"/>
                <w:color w:val="auto"/>
              </w:rPr>
            </w:pPr>
          </w:p>
        </w:tc>
        <w:tc>
          <w:tcPr>
            <w:tcW w:w="440" w:type="dxa"/>
            <w:vAlign w:val="bottom"/>
            <w:gridSpan w:val="1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5080" w:type="dxa"/>
            <w:vAlign w:val="bottom"/>
            <w:gridSpan w:val="30"/>
          </w:tcPr>
          <w:p>
            <w:pPr>
              <w:spacing w:after="0" w:line="140" w:lineRule="exact"/>
              <w:rPr>
                <w:rFonts w:ascii="Arial" w:cs="Arial" w:eastAsia="Arial" w:hAnsi="Arial"/>
                <w:sz w:val="16"/>
                <w:szCs w:val="16"/>
                <w:color w:val="0000FF"/>
                <w:w w:val="99"/>
              </w:rPr>
            </w:pPr>
            <w:hyperlink r:id="rId218">
              <w:r>
                <w:rPr>
                  <w:rFonts w:ascii="Arial" w:cs="Arial" w:eastAsia="Arial" w:hAnsi="Arial"/>
                  <w:sz w:val="16"/>
                  <w:szCs w:val="16"/>
                  <w:color w:val="0000FF"/>
                  <w:w w:val="99"/>
                </w:rPr>
                <w:t>NRG Yield, Inc., NRG Yield LLC, NRG Yield Operating LLC and Zephyr</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1160" w:type="dxa"/>
            <w:vAlign w:val="bottom"/>
            <w:tcBorders>
              <w:top w:val="single" w:sz="8" w:color="0000FF"/>
              <w:bottom w:val="single" w:sz="8" w:color="0000FF"/>
            </w:tcBorders>
            <w:gridSpan w:val="4"/>
          </w:tcPr>
          <w:p>
            <w:pPr>
              <w:spacing w:after="0" w:line="140" w:lineRule="exact"/>
              <w:rPr>
                <w:rFonts w:ascii="Arial" w:cs="Arial" w:eastAsia="Arial" w:hAnsi="Arial"/>
                <w:sz w:val="16"/>
                <w:szCs w:val="16"/>
                <w:color w:val="0000FF"/>
                <w:w w:val="90"/>
              </w:rPr>
            </w:pPr>
            <w:hyperlink r:id="rId218">
              <w:r>
                <w:rPr>
                  <w:rFonts w:ascii="Arial" w:cs="Arial" w:eastAsia="Arial" w:hAnsi="Arial"/>
                  <w:sz w:val="16"/>
                  <w:szCs w:val="16"/>
                  <w:color w:val="0000FF"/>
                  <w:w w:val="90"/>
                </w:rPr>
                <w:t>Renewables LLC.</w:t>
              </w:r>
            </w:hyperlink>
          </w:p>
        </w:tc>
        <w:tc>
          <w:tcPr>
            <w:tcW w:w="362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900" w:type="dxa"/>
            <w:vAlign w:val="bottom"/>
          </w:tcPr>
          <w:p>
            <w:pPr>
              <w:spacing w:after="0"/>
              <w:rPr>
                <w:sz w:val="20"/>
                <w:szCs w:val="20"/>
                <w:color w:val="auto"/>
              </w:rPr>
            </w:pPr>
            <w:r>
              <w:rPr>
                <w:rFonts w:ascii="Arial" w:cs="Arial" w:eastAsia="Arial" w:hAnsi="Arial"/>
                <w:sz w:val="16"/>
                <w:szCs w:val="16"/>
                <w:color w:val="auto"/>
              </w:rPr>
              <w:t>10.2</w:t>
            </w:r>
          </w:p>
        </w:tc>
        <w:tc>
          <w:tcPr>
            <w:tcW w:w="5080" w:type="dxa"/>
            <w:vAlign w:val="bottom"/>
            <w:gridSpan w:val="30"/>
            <w:vMerge w:val="restart"/>
          </w:tcPr>
          <w:p>
            <w:pPr>
              <w:spacing w:after="0"/>
              <w:rPr>
                <w:rFonts w:ascii="Arial" w:cs="Arial" w:eastAsia="Arial" w:hAnsi="Arial"/>
                <w:sz w:val="16"/>
                <w:szCs w:val="16"/>
                <w:color w:val="0000FF"/>
                <w:w w:val="97"/>
              </w:rPr>
            </w:pPr>
            <w:hyperlink r:id="rId219">
              <w:r>
                <w:rPr>
                  <w:rFonts w:ascii="Arial" w:cs="Arial" w:eastAsia="Arial" w:hAnsi="Arial"/>
                  <w:sz w:val="16"/>
                  <w:szCs w:val="16"/>
                  <w:color w:val="0000FF"/>
                  <w:w w:val="97"/>
                </w:rPr>
                <w:t>Master Services Agreement, dated as of August 31, 2018, by and among</w:t>
              </w:r>
            </w:hyperlink>
          </w:p>
        </w:tc>
        <w:tc>
          <w:tcPr>
            <w:tcW w:w="0" w:type="dxa"/>
            <w:vAlign w:val="bottom"/>
          </w:tcPr>
          <w:p>
            <w:pPr>
              <w:spacing w:after="0"/>
              <w:rPr>
                <w:sz w:val="1"/>
                <w:szCs w:val="1"/>
                <w:color w:val="auto"/>
              </w:rPr>
            </w:pPr>
          </w:p>
        </w:tc>
      </w:tr>
      <w:tr>
        <w:trPr>
          <w:trHeight w:val="59"/>
        </w:trPr>
        <w:tc>
          <w:tcPr>
            <w:tcW w:w="900" w:type="dxa"/>
            <w:vAlign w:val="bottom"/>
          </w:tcPr>
          <w:p>
            <w:pPr>
              <w:spacing w:after="0"/>
              <w:rPr>
                <w:sz w:val="5"/>
                <w:szCs w:val="5"/>
                <w:color w:val="auto"/>
              </w:rPr>
            </w:pPr>
          </w:p>
        </w:tc>
        <w:tc>
          <w:tcPr>
            <w:tcW w:w="5080" w:type="dxa"/>
            <w:vAlign w:val="bottom"/>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640" w:type="dxa"/>
            <w:vAlign w:val="bottom"/>
            <w:tcBorders>
              <w:top w:val="single" w:sz="8" w:color="0000FF"/>
            </w:tcBorders>
            <w:gridSpan w:val="12"/>
          </w:tcPr>
          <w:p>
            <w:pPr>
              <w:spacing w:after="0" w:line="140" w:lineRule="exact"/>
              <w:rPr>
                <w:rFonts w:ascii="Arial" w:cs="Arial" w:eastAsia="Arial" w:hAnsi="Arial"/>
                <w:sz w:val="16"/>
                <w:szCs w:val="16"/>
                <w:color w:val="0000FF"/>
                <w:w w:val="94"/>
              </w:rPr>
            </w:pPr>
            <w:hyperlink r:id="rId219">
              <w:r>
                <w:rPr>
                  <w:rFonts w:ascii="Arial" w:cs="Arial" w:eastAsia="Arial" w:hAnsi="Arial"/>
                  <w:sz w:val="16"/>
                  <w:szCs w:val="16"/>
                  <w:color w:val="0000FF"/>
                  <w:w w:val="94"/>
                </w:rPr>
                <w:t>Zephyr Renewables LLC, NRG Yield, Inc., NRG Yield LLC, and NRG</w:t>
              </w:r>
            </w:hyperlink>
          </w:p>
        </w:tc>
        <w:tc>
          <w:tcPr>
            <w:tcW w:w="440" w:type="dxa"/>
            <w:vAlign w:val="bottom"/>
            <w:gridSpan w:val="18"/>
          </w:tcPr>
          <w:p>
            <w:pPr>
              <w:spacing w:after="0" w:line="140" w:lineRule="exact"/>
              <w:rPr>
                <w:rFonts w:ascii="Arial" w:cs="Arial" w:eastAsia="Arial" w:hAnsi="Arial"/>
                <w:sz w:val="16"/>
                <w:szCs w:val="16"/>
                <w:color w:val="0000FF"/>
              </w:rPr>
            </w:pPr>
            <w:hyperlink r:id="rId219">
              <w:r>
                <w:rPr>
                  <w:rFonts w:ascii="Arial" w:cs="Arial" w:eastAsia="Arial" w:hAnsi="Arial"/>
                  <w:sz w:val="16"/>
                  <w:szCs w:val="16"/>
                  <w:color w:val="0000FF"/>
                </w:rPr>
                <w:t>Yield</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3"/>
          </w:tcPr>
          <w:p>
            <w:pPr>
              <w:spacing w:after="0" w:line="140" w:lineRule="exact"/>
              <w:rPr>
                <w:rFonts w:ascii="Arial" w:cs="Arial" w:eastAsia="Arial" w:hAnsi="Arial"/>
                <w:sz w:val="16"/>
                <w:szCs w:val="16"/>
                <w:color w:val="0000FF"/>
                <w:w w:val="92"/>
              </w:rPr>
            </w:pPr>
            <w:hyperlink r:id="rId219">
              <w:r>
                <w:rPr>
                  <w:rFonts w:ascii="Arial" w:cs="Arial" w:eastAsia="Arial" w:hAnsi="Arial"/>
                  <w:sz w:val="16"/>
                  <w:szCs w:val="16"/>
                  <w:color w:val="0000FF"/>
                  <w:w w:val="92"/>
                </w:rPr>
                <w:t>Operating LLC.</w:t>
              </w:r>
            </w:hyperlink>
          </w:p>
        </w:tc>
        <w:tc>
          <w:tcPr>
            <w:tcW w:w="4000" w:type="dxa"/>
            <w:vAlign w:val="bottom"/>
            <w:tcBorders>
              <w:top w:val="single" w:sz="8" w:color="0000FF"/>
            </w:tcBorders>
            <w:gridSpan w:val="2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900" w:type="dxa"/>
            <w:vAlign w:val="bottom"/>
          </w:tcPr>
          <w:p>
            <w:pPr>
              <w:spacing w:after="0"/>
              <w:rPr>
                <w:sz w:val="20"/>
                <w:szCs w:val="20"/>
                <w:color w:val="auto"/>
              </w:rPr>
            </w:pPr>
            <w:r>
              <w:rPr>
                <w:rFonts w:ascii="Arial" w:cs="Arial" w:eastAsia="Arial" w:hAnsi="Arial"/>
                <w:sz w:val="16"/>
                <w:szCs w:val="16"/>
                <w:color w:val="auto"/>
              </w:rPr>
              <w:t>10.3.1</w:t>
            </w:r>
          </w:p>
        </w:tc>
        <w:tc>
          <w:tcPr>
            <w:tcW w:w="5080" w:type="dxa"/>
            <w:vAlign w:val="bottom"/>
            <w:gridSpan w:val="30"/>
            <w:vMerge w:val="restart"/>
          </w:tcPr>
          <w:p>
            <w:pPr>
              <w:spacing w:after="0"/>
              <w:rPr>
                <w:rFonts w:ascii="Arial" w:cs="Arial" w:eastAsia="Arial" w:hAnsi="Arial"/>
                <w:sz w:val="16"/>
                <w:szCs w:val="16"/>
                <w:color w:val="0000FF"/>
                <w:w w:val="94"/>
              </w:rPr>
            </w:pPr>
            <w:hyperlink r:id="rId220">
              <w:r>
                <w:rPr>
                  <w:rFonts w:ascii="Arial" w:cs="Arial" w:eastAsia="Arial" w:hAnsi="Arial"/>
                  <w:sz w:val="16"/>
                  <w:szCs w:val="16"/>
                  <w:color w:val="0000FF"/>
                  <w:w w:val="94"/>
                </w:rPr>
                <w:t>Right of First Offer Agreement, dated as of August 31, 2018, by and among</w:t>
              </w:r>
            </w:hyperlink>
          </w:p>
        </w:tc>
        <w:tc>
          <w:tcPr>
            <w:tcW w:w="0" w:type="dxa"/>
            <w:vAlign w:val="bottom"/>
          </w:tcPr>
          <w:p>
            <w:pPr>
              <w:spacing w:after="0"/>
              <w:rPr>
                <w:sz w:val="1"/>
                <w:szCs w:val="1"/>
                <w:color w:val="auto"/>
              </w:rPr>
            </w:pPr>
          </w:p>
        </w:tc>
      </w:tr>
      <w:tr>
        <w:trPr>
          <w:trHeight w:val="59"/>
        </w:trPr>
        <w:tc>
          <w:tcPr>
            <w:tcW w:w="900" w:type="dxa"/>
            <w:vAlign w:val="bottom"/>
          </w:tcPr>
          <w:p>
            <w:pPr>
              <w:spacing w:after="0"/>
              <w:rPr>
                <w:sz w:val="5"/>
                <w:szCs w:val="5"/>
                <w:color w:val="auto"/>
              </w:rPr>
            </w:pPr>
          </w:p>
        </w:tc>
        <w:tc>
          <w:tcPr>
            <w:tcW w:w="5080" w:type="dxa"/>
            <w:vAlign w:val="bottom"/>
            <w:gridSpan w:val="3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880" w:type="dxa"/>
            <w:vAlign w:val="bottom"/>
            <w:tcBorders>
              <w:top w:val="single" w:sz="8" w:color="0000FF"/>
              <w:bottom w:val="single" w:sz="8" w:color="0000FF"/>
            </w:tcBorders>
            <w:gridSpan w:val="21"/>
          </w:tcPr>
          <w:p>
            <w:pPr>
              <w:spacing w:after="0" w:line="140" w:lineRule="exact"/>
              <w:rPr>
                <w:rFonts w:ascii="Arial" w:cs="Arial" w:eastAsia="Arial" w:hAnsi="Arial"/>
                <w:sz w:val="16"/>
                <w:szCs w:val="16"/>
                <w:color w:val="0000FF"/>
                <w:w w:val="89"/>
              </w:rPr>
            </w:pPr>
            <w:hyperlink r:id="rId220">
              <w:r>
                <w:rPr>
                  <w:rFonts w:ascii="Arial" w:cs="Arial" w:eastAsia="Arial" w:hAnsi="Arial"/>
                  <w:sz w:val="16"/>
                  <w:szCs w:val="16"/>
                  <w:color w:val="0000FF"/>
                  <w:w w:val="89"/>
                </w:rPr>
                <w:t>NRG Yield, Inc., Zephyr Renewables LLC and solely for purposes of Section</w:t>
              </w:r>
            </w:hyperlink>
          </w:p>
        </w:tc>
        <w:tc>
          <w:tcPr>
            <w:tcW w:w="6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2920" w:type="dxa"/>
            <w:vAlign w:val="bottom"/>
            <w:tcBorders>
              <w:bottom w:val="single" w:sz="8" w:color="0000FF"/>
            </w:tcBorders>
            <w:gridSpan w:val="7"/>
          </w:tcPr>
          <w:p>
            <w:pPr>
              <w:spacing w:after="0" w:line="140" w:lineRule="exact"/>
              <w:rPr>
                <w:rFonts w:ascii="Arial" w:cs="Arial" w:eastAsia="Arial" w:hAnsi="Arial"/>
                <w:sz w:val="16"/>
                <w:szCs w:val="16"/>
                <w:color w:val="0000FF"/>
                <w:w w:val="92"/>
              </w:rPr>
            </w:pPr>
            <w:hyperlink r:id="rId220">
              <w:r>
                <w:rPr>
                  <w:rFonts w:ascii="Arial" w:cs="Arial" w:eastAsia="Arial" w:hAnsi="Arial"/>
                  <w:sz w:val="16"/>
                  <w:szCs w:val="16"/>
                  <w:color w:val="0000FF"/>
                  <w:w w:val="92"/>
                </w:rPr>
                <w:t>2.</w:t>
              </w:r>
              <w:r>
                <w:rPr>
                  <w:rFonts w:ascii="Arial" w:cs="Arial" w:eastAsia="Arial" w:hAnsi="Arial"/>
                  <w:sz w:val="16"/>
                  <w:szCs w:val="16"/>
                  <w:u w:val="single" w:color="auto"/>
                  <w:color w:val="0000FF"/>
                  <w:w w:val="92"/>
                </w:rPr>
                <w:t>4,</w:t>
              </w:r>
              <w:r>
                <w:rPr>
                  <w:rFonts w:ascii="Arial" w:cs="Arial" w:eastAsia="Arial" w:hAnsi="Arial"/>
                  <w:sz w:val="16"/>
                  <w:szCs w:val="16"/>
                  <w:color w:val="0000FF"/>
                  <w:w w:val="92"/>
                </w:rPr>
                <w:t xml:space="preserve"> GIP III Zephyr Acquisition Partners, L.P.</w:t>
              </w:r>
            </w:hyperlink>
          </w:p>
        </w:tc>
        <w:tc>
          <w:tcPr>
            <w:tcW w:w="2080" w:type="dxa"/>
            <w:vAlign w:val="bottom"/>
            <w:gridSpan w:val="19"/>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900" w:type="dxa"/>
            <w:vAlign w:val="bottom"/>
          </w:tcPr>
          <w:p>
            <w:pPr>
              <w:spacing w:after="0"/>
              <w:rPr>
                <w:sz w:val="20"/>
                <w:szCs w:val="20"/>
                <w:color w:val="auto"/>
              </w:rPr>
            </w:pPr>
            <w:r>
              <w:rPr>
                <w:rFonts w:ascii="Arial" w:cs="Arial" w:eastAsia="Arial" w:hAnsi="Arial"/>
                <w:sz w:val="16"/>
                <w:szCs w:val="16"/>
                <w:color w:val="auto"/>
              </w:rPr>
              <w:t>10.3.2</w:t>
            </w:r>
          </w:p>
        </w:tc>
        <w:tc>
          <w:tcPr>
            <w:tcW w:w="5080" w:type="dxa"/>
            <w:vAlign w:val="bottom"/>
            <w:gridSpan w:val="30"/>
          </w:tcPr>
          <w:p>
            <w:pPr>
              <w:spacing w:after="0"/>
              <w:rPr>
                <w:rFonts w:ascii="Arial" w:cs="Arial" w:eastAsia="Arial" w:hAnsi="Arial"/>
                <w:sz w:val="16"/>
                <w:szCs w:val="16"/>
                <w:color w:val="0000FF"/>
              </w:rPr>
            </w:pPr>
            <w:hyperlink r:id="rId221">
              <w:r>
                <w:rPr>
                  <w:rFonts w:ascii="Arial" w:cs="Arial" w:eastAsia="Arial" w:hAnsi="Arial"/>
                  <w:sz w:val="16"/>
                  <w:szCs w:val="16"/>
                  <w:color w:val="0000FF"/>
                </w:rPr>
                <w:t>First Amendment to Right of First Offer Agreement, dated February 14,</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60" w:type="dxa"/>
            <w:vAlign w:val="bottom"/>
            <w:gridSpan w:val="7"/>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00" w:type="dxa"/>
            <w:vAlign w:val="bottom"/>
          </w:tcPr>
          <w:p>
            <w:pPr>
              <w:spacing w:after="0"/>
              <w:rPr>
                <w:sz w:val="12"/>
                <w:szCs w:val="12"/>
                <w:color w:val="auto"/>
              </w:rPr>
            </w:pPr>
          </w:p>
        </w:tc>
        <w:tc>
          <w:tcPr>
            <w:tcW w:w="5080" w:type="dxa"/>
            <w:vAlign w:val="bottom"/>
            <w:gridSpan w:val="30"/>
          </w:tcPr>
          <w:p>
            <w:pPr>
              <w:spacing w:after="0" w:line="140" w:lineRule="exact"/>
              <w:rPr>
                <w:rFonts w:ascii="Arial" w:cs="Arial" w:eastAsia="Arial" w:hAnsi="Arial"/>
                <w:sz w:val="16"/>
                <w:szCs w:val="16"/>
                <w:color w:val="0000FF"/>
                <w:w w:val="95"/>
              </w:rPr>
            </w:pPr>
            <w:hyperlink r:id="rId221">
              <w:r>
                <w:rPr>
                  <w:rFonts w:ascii="Arial" w:cs="Arial" w:eastAsia="Arial" w:hAnsi="Arial"/>
                  <w:sz w:val="16"/>
                  <w:szCs w:val="16"/>
                  <w:color w:val="0000FF"/>
                  <w:w w:val="95"/>
                </w:rPr>
                <w:t>2019, by and between Clearway Energy Group LLC and Clearway Energy,</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800" w:type="dxa"/>
            <w:vAlign w:val="bottom"/>
            <w:tcBorders>
              <w:top w:val="single" w:sz="8" w:color="0000FF"/>
            </w:tcBorders>
            <w:gridSpan w:val="18"/>
          </w:tcPr>
          <w:p>
            <w:pPr>
              <w:spacing w:after="0" w:line="140" w:lineRule="exact"/>
              <w:rPr>
                <w:rFonts w:ascii="Arial" w:cs="Arial" w:eastAsia="Arial" w:hAnsi="Arial"/>
                <w:sz w:val="16"/>
                <w:szCs w:val="16"/>
                <w:color w:val="0000FF"/>
              </w:rPr>
            </w:pPr>
            <w:hyperlink r:id="rId221">
              <w:r>
                <w:rPr>
                  <w:rFonts w:ascii="Arial" w:cs="Arial" w:eastAsia="Arial" w:hAnsi="Arial"/>
                  <w:sz w:val="16"/>
                  <w:szCs w:val="16"/>
                  <w:color w:val="0000FF"/>
                </w:rPr>
                <w:t>Inc.</w:t>
              </w:r>
            </w:hyperlink>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900" w:type="dxa"/>
            <w:vAlign w:val="bottom"/>
          </w:tcPr>
          <w:p>
            <w:pPr>
              <w:spacing w:after="0"/>
              <w:rPr>
                <w:sz w:val="20"/>
                <w:szCs w:val="20"/>
                <w:color w:val="auto"/>
              </w:rPr>
            </w:pPr>
            <w:r>
              <w:rPr>
                <w:rFonts w:ascii="Arial" w:cs="Arial" w:eastAsia="Arial" w:hAnsi="Arial"/>
                <w:sz w:val="16"/>
                <w:szCs w:val="16"/>
                <w:color w:val="auto"/>
              </w:rPr>
              <w:t>10.3.3</w:t>
            </w:r>
          </w:p>
        </w:tc>
        <w:tc>
          <w:tcPr>
            <w:tcW w:w="5080" w:type="dxa"/>
            <w:vAlign w:val="bottom"/>
            <w:gridSpan w:val="30"/>
          </w:tcPr>
          <w:p>
            <w:pPr>
              <w:spacing w:after="0"/>
              <w:rPr>
                <w:rFonts w:ascii="Arial" w:cs="Arial" w:eastAsia="Arial" w:hAnsi="Arial"/>
                <w:sz w:val="16"/>
                <w:szCs w:val="16"/>
                <w:color w:val="0000FF"/>
                <w:w w:val="92"/>
              </w:rPr>
            </w:pPr>
            <w:hyperlink r:id="rId222">
              <w:r>
                <w:rPr>
                  <w:rFonts w:ascii="Arial" w:cs="Arial" w:eastAsia="Arial" w:hAnsi="Arial"/>
                  <w:sz w:val="16"/>
                  <w:szCs w:val="16"/>
                  <w:color w:val="0000FF"/>
                  <w:w w:val="92"/>
                </w:rPr>
                <w:t>Second Amendment to Right of First Offer Agreement, dated August 1, 2019,</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680" w:type="dxa"/>
            <w:vAlign w:val="bottom"/>
            <w:tcBorders>
              <w:top w:val="single" w:sz="8" w:color="0000FF"/>
              <w:bottom w:val="single" w:sz="8" w:color="0000FF"/>
            </w:tcBorders>
            <w:gridSpan w:val="13"/>
          </w:tcPr>
          <w:p>
            <w:pPr>
              <w:spacing w:after="0" w:line="140" w:lineRule="exact"/>
              <w:rPr>
                <w:rFonts w:ascii="Arial" w:cs="Arial" w:eastAsia="Arial" w:hAnsi="Arial"/>
                <w:sz w:val="16"/>
                <w:szCs w:val="16"/>
                <w:color w:val="0000FF"/>
                <w:w w:val="90"/>
              </w:rPr>
            </w:pPr>
            <w:hyperlink r:id="rId222">
              <w:r>
                <w:rPr>
                  <w:rFonts w:ascii="Arial" w:cs="Arial" w:eastAsia="Arial" w:hAnsi="Arial"/>
                  <w:sz w:val="16"/>
                  <w:szCs w:val="16"/>
                  <w:color w:val="0000FF"/>
                  <w:w w:val="90"/>
                </w:rPr>
                <w:t>by and between Clearway Energy Group LLC and Clearway Energy, Inc.</w:t>
              </w:r>
            </w:hyperlink>
          </w:p>
        </w:tc>
        <w:tc>
          <w:tcPr>
            <w:tcW w:w="360" w:type="dxa"/>
            <w:vAlign w:val="bottom"/>
            <w:tcBorders>
              <w:top w:val="single" w:sz="8" w:color="0000FF"/>
            </w:tcBorders>
            <w:gridSpan w:val="15"/>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526"/>
        </w:trPr>
        <w:tc>
          <w:tcPr>
            <w:tcW w:w="900" w:type="dxa"/>
            <w:vAlign w:val="bottom"/>
          </w:tcPr>
          <w:p>
            <w:pPr>
              <w:spacing w:after="0"/>
              <w:rPr>
                <w:sz w:val="20"/>
                <w:szCs w:val="20"/>
                <w:color w:val="auto"/>
              </w:rPr>
            </w:pPr>
            <w:r>
              <w:rPr>
                <w:rFonts w:ascii="Arial" w:cs="Arial" w:eastAsia="Arial" w:hAnsi="Arial"/>
                <w:sz w:val="16"/>
                <w:szCs w:val="16"/>
                <w:color w:val="auto"/>
              </w:rPr>
              <w:t>10.3.4</w:t>
            </w:r>
          </w:p>
        </w:tc>
        <w:tc>
          <w:tcPr>
            <w:tcW w:w="5080" w:type="dxa"/>
            <w:vAlign w:val="bottom"/>
            <w:gridSpan w:val="30"/>
          </w:tcPr>
          <w:p>
            <w:pPr>
              <w:spacing w:after="0"/>
              <w:rPr>
                <w:rFonts w:ascii="Arial" w:cs="Arial" w:eastAsia="Arial" w:hAnsi="Arial"/>
                <w:sz w:val="16"/>
                <w:szCs w:val="16"/>
                <w:color w:val="0000FF"/>
                <w:w w:val="95"/>
              </w:rPr>
            </w:pPr>
            <w:hyperlink r:id="rId223">
              <w:r>
                <w:rPr>
                  <w:rFonts w:ascii="Arial" w:cs="Arial" w:eastAsia="Arial" w:hAnsi="Arial"/>
                  <w:sz w:val="16"/>
                  <w:szCs w:val="16"/>
                  <w:color w:val="0000FF"/>
                  <w:w w:val="95"/>
                </w:rPr>
                <w:t>Third Amendment to Right of First Offer Agreement, dated as of December</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860" w:type="dxa"/>
            <w:vAlign w:val="bottom"/>
            <w:tcBorders>
              <w:top w:val="single" w:sz="8" w:color="0000FF"/>
            </w:tcBorders>
            <w:gridSpan w:val="20"/>
          </w:tcPr>
          <w:p>
            <w:pPr>
              <w:spacing w:after="0" w:line="140" w:lineRule="exact"/>
              <w:rPr>
                <w:rFonts w:ascii="Arial" w:cs="Arial" w:eastAsia="Arial" w:hAnsi="Arial"/>
                <w:sz w:val="16"/>
                <w:szCs w:val="16"/>
                <w:color w:val="0000FF"/>
                <w:w w:val="93"/>
              </w:rPr>
            </w:pPr>
            <w:hyperlink r:id="rId223">
              <w:r>
                <w:rPr>
                  <w:rFonts w:ascii="Arial" w:cs="Arial" w:eastAsia="Arial" w:hAnsi="Arial"/>
                  <w:sz w:val="16"/>
                  <w:szCs w:val="16"/>
                  <w:color w:val="0000FF"/>
                  <w:w w:val="93"/>
                </w:rPr>
                <w:t>6, 2019, by and between Clearway Energy Group LLC, Clearway Energy,</w:t>
              </w:r>
            </w:hyperlink>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3200" w:type="dxa"/>
            <w:vAlign w:val="bottom"/>
            <w:tcBorders>
              <w:top w:val="single" w:sz="8" w:color="0000FF"/>
              <w:bottom w:val="single" w:sz="8" w:color="0000FF"/>
            </w:tcBorders>
            <w:gridSpan w:val="8"/>
          </w:tcPr>
          <w:p>
            <w:pPr>
              <w:spacing w:after="0" w:line="140" w:lineRule="exact"/>
              <w:rPr>
                <w:rFonts w:ascii="Arial" w:cs="Arial" w:eastAsia="Arial" w:hAnsi="Arial"/>
                <w:sz w:val="16"/>
                <w:szCs w:val="16"/>
                <w:color w:val="0000FF"/>
                <w:w w:val="92"/>
              </w:rPr>
            </w:pPr>
            <w:hyperlink r:id="rId223">
              <w:r>
                <w:rPr>
                  <w:rFonts w:ascii="Arial" w:cs="Arial" w:eastAsia="Arial" w:hAnsi="Arial"/>
                  <w:sz w:val="16"/>
                  <w:szCs w:val="16"/>
                  <w:color w:val="0000FF"/>
                  <w:w w:val="92"/>
                </w:rPr>
                <w:t>Inc. and GIP III Zephyr Acquisition Partners, L.P.</w:t>
              </w:r>
            </w:hyperlink>
          </w:p>
        </w:tc>
        <w:tc>
          <w:tcPr>
            <w:tcW w:w="1540" w:type="dxa"/>
            <w:vAlign w:val="bottom"/>
            <w:tcBorders>
              <w:top w:val="single" w:sz="8" w:color="0000FF"/>
            </w:tcBorders>
            <w:gridSpan w:val="7"/>
          </w:tcPr>
          <w:p>
            <w:pPr>
              <w:spacing w:after="0"/>
              <w:rPr>
                <w:sz w:val="12"/>
                <w:szCs w:val="12"/>
                <w:color w:val="auto"/>
              </w:rPr>
            </w:pPr>
          </w:p>
        </w:tc>
        <w:tc>
          <w:tcPr>
            <w:tcW w:w="20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366"/>
        </w:trPr>
        <w:tc>
          <w:tcPr>
            <w:tcW w:w="900" w:type="dxa"/>
            <w:vAlign w:val="bottom"/>
          </w:tcPr>
          <w:p>
            <w:pPr>
              <w:spacing w:after="0"/>
              <w:rPr>
                <w:sz w:val="20"/>
                <w:szCs w:val="20"/>
                <w:color w:val="auto"/>
              </w:rPr>
            </w:pPr>
            <w:r>
              <w:rPr>
                <w:rFonts w:ascii="Arial" w:cs="Arial" w:eastAsia="Arial" w:hAnsi="Arial"/>
                <w:sz w:val="16"/>
                <w:szCs w:val="16"/>
                <w:color w:val="auto"/>
              </w:rPr>
              <w:t>10.3.5</w:t>
            </w:r>
          </w:p>
        </w:tc>
        <w:tc>
          <w:tcPr>
            <w:tcW w:w="5080" w:type="dxa"/>
            <w:vAlign w:val="bottom"/>
            <w:gridSpan w:val="30"/>
          </w:tcPr>
          <w:p>
            <w:pPr>
              <w:spacing w:after="0"/>
              <w:rPr>
                <w:rFonts w:ascii="Arial" w:cs="Arial" w:eastAsia="Arial" w:hAnsi="Arial"/>
                <w:sz w:val="16"/>
                <w:szCs w:val="16"/>
                <w:color w:val="0000FF"/>
                <w:w w:val="93"/>
              </w:rPr>
            </w:pPr>
            <w:hyperlink r:id="rId224">
              <w:r>
                <w:rPr>
                  <w:rFonts w:ascii="Arial" w:cs="Arial" w:eastAsia="Arial" w:hAnsi="Arial"/>
                  <w:sz w:val="16"/>
                  <w:szCs w:val="16"/>
                  <w:color w:val="0000FF"/>
                  <w:w w:val="93"/>
                </w:rPr>
                <w:t>Fourth Amendment to Right of First Offer Agreement, dated as of November</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940" w:type="dxa"/>
            <w:vAlign w:val="bottom"/>
            <w:tcBorders>
              <w:top w:val="single" w:sz="8" w:color="0000FF"/>
              <w:bottom w:val="single" w:sz="8" w:color="0000FF"/>
            </w:tcBorders>
            <w:gridSpan w:val="23"/>
          </w:tcPr>
          <w:p>
            <w:pPr>
              <w:spacing w:after="0" w:line="140" w:lineRule="exact"/>
              <w:rPr>
                <w:rFonts w:ascii="Arial" w:cs="Arial" w:eastAsia="Arial" w:hAnsi="Arial"/>
                <w:sz w:val="16"/>
                <w:szCs w:val="16"/>
                <w:color w:val="0000FF"/>
                <w:w w:val="90"/>
              </w:rPr>
            </w:pPr>
            <w:hyperlink r:id="rId224">
              <w:r>
                <w:rPr>
                  <w:rFonts w:ascii="Arial" w:cs="Arial" w:eastAsia="Arial" w:hAnsi="Arial"/>
                  <w:sz w:val="16"/>
                  <w:szCs w:val="16"/>
                  <w:color w:val="0000FF"/>
                  <w:w w:val="90"/>
                </w:rPr>
                <w:t>2, 2020, by and between Clearway Energy Group LLC and Clearway Energy,</w:t>
              </w:r>
            </w:hyperlink>
          </w:p>
        </w:tc>
        <w:tc>
          <w:tcPr>
            <w:tcW w:w="40" w:type="dxa"/>
            <w:vAlign w:val="bottom"/>
            <w:tcBorders>
              <w:bottom w:val="single" w:sz="8" w:color="0000FF"/>
            </w:tcBorders>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980" w:type="dxa"/>
            <w:vAlign w:val="bottom"/>
            <w:gridSpan w:val="25"/>
          </w:tcPr>
          <w:p>
            <w:pPr>
              <w:spacing w:after="0" w:line="140" w:lineRule="exact"/>
              <w:rPr>
                <w:rFonts w:ascii="Arial" w:cs="Arial" w:eastAsia="Arial" w:hAnsi="Arial"/>
                <w:sz w:val="16"/>
                <w:szCs w:val="16"/>
                <w:color w:val="0000FF"/>
              </w:rPr>
            </w:pPr>
            <w:hyperlink r:id="rId224">
              <w:r>
                <w:rPr>
                  <w:rFonts w:ascii="Arial" w:cs="Arial" w:eastAsia="Arial" w:hAnsi="Arial"/>
                  <w:sz w:val="16"/>
                  <w:szCs w:val="16"/>
                  <w:color w:val="0000FF"/>
                </w:rPr>
                <w:t>Inc.</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ind w:right="540"/>
              <w:spacing w:after="0"/>
              <w:rPr>
                <w:sz w:val="20"/>
                <w:szCs w:val="20"/>
                <w:color w:val="auto"/>
              </w:rPr>
            </w:pPr>
            <w:r>
              <w:rPr>
                <w:rFonts w:ascii="Arial" w:cs="Arial" w:eastAsia="Arial" w:hAnsi="Arial"/>
                <w:sz w:val="16"/>
                <w:szCs w:val="16"/>
                <w:color w:val="auto"/>
                <w:w w:val="83"/>
              </w:rPr>
              <w:t>10.4</w:t>
            </w:r>
          </w:p>
        </w:tc>
        <w:tc>
          <w:tcPr>
            <w:tcW w:w="4900" w:type="dxa"/>
            <w:vAlign w:val="bottom"/>
            <w:gridSpan w:val="3"/>
            <w:vMerge w:val="restart"/>
          </w:tcPr>
          <w:p>
            <w:pPr>
              <w:spacing w:after="0"/>
              <w:rPr>
                <w:rFonts w:ascii="Arial" w:cs="Arial" w:eastAsia="Arial" w:hAnsi="Arial"/>
                <w:sz w:val="16"/>
                <w:szCs w:val="16"/>
                <w:color w:val="0000FF"/>
                <w:w w:val="90"/>
              </w:rPr>
            </w:pPr>
            <w:hyperlink r:id="rId225">
              <w:r>
                <w:rPr>
                  <w:rFonts w:ascii="Arial" w:cs="Arial" w:eastAsia="Arial" w:hAnsi="Arial"/>
                  <w:sz w:val="16"/>
                  <w:szCs w:val="16"/>
                  <w:color w:val="0000FF"/>
                  <w:w w:val="90"/>
                </w:rPr>
                <w:t>Zephyr Voting and Governance Agreement, dated as of August 31, 2018, by</w:t>
              </w:r>
            </w:hyperlink>
          </w:p>
        </w:tc>
        <w:tc>
          <w:tcPr>
            <w:tcW w:w="0" w:type="dxa"/>
            <w:vAlign w:val="bottom"/>
          </w:tcPr>
          <w:p>
            <w:pPr>
              <w:spacing w:after="0"/>
              <w:rPr>
                <w:sz w:val="1"/>
                <w:szCs w:val="1"/>
                <w:color w:val="auto"/>
              </w:rPr>
            </w:pPr>
          </w:p>
        </w:tc>
      </w:tr>
      <w:tr>
        <w:trPr>
          <w:trHeight w:val="59"/>
        </w:trPr>
        <w:tc>
          <w:tcPr>
            <w:tcW w:w="900" w:type="dxa"/>
            <w:vAlign w:val="bottom"/>
          </w:tcPr>
          <w:p>
            <w:pPr>
              <w:spacing w:after="0"/>
              <w:rPr>
                <w:sz w:val="5"/>
                <w:szCs w:val="5"/>
                <w:color w:val="auto"/>
              </w:rPr>
            </w:pPr>
          </w:p>
        </w:tc>
        <w:tc>
          <w:tcPr>
            <w:tcW w:w="49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3860" w:type="dxa"/>
            <w:vAlign w:val="bottom"/>
            <w:tcBorders>
              <w:top w:val="single" w:sz="8" w:color="0000FF"/>
              <w:bottom w:val="single" w:sz="8" w:color="0000FF"/>
            </w:tcBorders>
          </w:tcPr>
          <w:p>
            <w:pPr>
              <w:spacing w:after="0" w:line="140" w:lineRule="exact"/>
              <w:rPr>
                <w:rFonts w:ascii="Arial" w:cs="Arial" w:eastAsia="Arial" w:hAnsi="Arial"/>
                <w:sz w:val="16"/>
                <w:szCs w:val="16"/>
                <w:color w:val="0000FF"/>
                <w:w w:val="90"/>
              </w:rPr>
            </w:pPr>
            <w:hyperlink r:id="rId225">
              <w:r>
                <w:rPr>
                  <w:rFonts w:ascii="Arial" w:cs="Arial" w:eastAsia="Arial" w:hAnsi="Arial"/>
                  <w:sz w:val="16"/>
                  <w:szCs w:val="16"/>
                  <w:color w:val="0000FF"/>
                  <w:w w:val="90"/>
                </w:rPr>
                <w:t>and between NRG Yield, Inc. and Zephyr Renewables LLC.</w:t>
              </w:r>
            </w:hyperlink>
          </w:p>
        </w:tc>
        <w:tc>
          <w:tcPr>
            <w:tcW w:w="10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399"/>
        <w:spacing w:after="0" w:line="227" w:lineRule="auto"/>
        <w:rPr>
          <w:sz w:val="20"/>
          <w:szCs w:val="20"/>
          <w:color w:val="auto"/>
        </w:rPr>
      </w:pPr>
      <w:r>
        <w:rPr>
          <w:rFonts w:ascii="Arial" w:cs="Arial" w:eastAsia="Arial" w:hAnsi="Arial"/>
          <w:sz w:val="16"/>
          <w:szCs w:val="16"/>
          <w:color w:val="auto"/>
        </w:rPr>
        <w:t>Incorporated herein by reference to Exhibit 4.3 to the Company's Current Report on Form 8-K filed on May 19, 2021.</w:t>
      </w:r>
    </w:p>
    <w:p>
      <w:pPr>
        <w:spacing w:after="0" w:line="11" w:lineRule="exact"/>
        <w:rPr>
          <w:sz w:val="20"/>
          <w:szCs w:val="20"/>
          <w:color w:val="auto"/>
        </w:rPr>
      </w:pPr>
    </w:p>
    <w:p>
      <w:pPr>
        <w:ind w:right="419"/>
        <w:spacing w:after="0" w:line="227" w:lineRule="auto"/>
        <w:rPr>
          <w:sz w:val="20"/>
          <w:szCs w:val="20"/>
          <w:color w:val="auto"/>
        </w:rPr>
      </w:pPr>
      <w:r>
        <w:rPr>
          <w:rFonts w:ascii="Arial" w:cs="Arial" w:eastAsia="Arial" w:hAnsi="Arial"/>
          <w:sz w:val="16"/>
          <w:szCs w:val="16"/>
          <w:color w:val="auto"/>
        </w:rPr>
        <w:t>Incorporated herein by reference to Exhibit 4.1 to the Company's Current Report on Form 8-K filed on October 1, 2021.</w:t>
      </w:r>
    </w:p>
    <w:p>
      <w:pPr>
        <w:spacing w:after="0" w:line="11" w:lineRule="exact"/>
        <w:rPr>
          <w:sz w:val="20"/>
          <w:szCs w:val="20"/>
          <w:color w:val="auto"/>
        </w:rPr>
      </w:pPr>
    </w:p>
    <w:p>
      <w:pPr>
        <w:ind w:right="419"/>
        <w:spacing w:after="0" w:line="227" w:lineRule="auto"/>
        <w:rPr>
          <w:sz w:val="20"/>
          <w:szCs w:val="20"/>
          <w:color w:val="auto"/>
        </w:rPr>
      </w:pPr>
      <w:r>
        <w:rPr>
          <w:rFonts w:ascii="Arial" w:cs="Arial" w:eastAsia="Arial" w:hAnsi="Arial"/>
          <w:sz w:val="16"/>
          <w:szCs w:val="16"/>
          <w:color w:val="auto"/>
        </w:rPr>
        <w:t>Incorporated herein by reference to Exhibit 4.2 to the Company's Current Report on Form 8-K filed on October 1, 2021.</w:t>
      </w:r>
    </w:p>
    <w:p>
      <w:pPr>
        <w:spacing w:after="0" w:line="11" w:lineRule="exact"/>
        <w:rPr>
          <w:sz w:val="20"/>
          <w:szCs w:val="20"/>
          <w:color w:val="auto"/>
        </w:rPr>
      </w:pPr>
    </w:p>
    <w:p>
      <w:pPr>
        <w:ind w:right="419"/>
        <w:spacing w:after="0" w:line="227" w:lineRule="auto"/>
        <w:rPr>
          <w:sz w:val="20"/>
          <w:szCs w:val="20"/>
          <w:color w:val="auto"/>
        </w:rPr>
      </w:pPr>
      <w:r>
        <w:rPr>
          <w:rFonts w:ascii="Arial" w:cs="Arial" w:eastAsia="Arial" w:hAnsi="Arial"/>
          <w:sz w:val="16"/>
          <w:szCs w:val="16"/>
          <w:color w:val="auto"/>
        </w:rPr>
        <w:t>Incorporated herein by reference to Exhibit 4.2 to the Company's Current Report on Form 8-K filed on October 8, 2021.</w:t>
      </w:r>
    </w:p>
    <w:p>
      <w:pPr>
        <w:spacing w:after="0" w:line="11" w:lineRule="exact"/>
        <w:rPr>
          <w:sz w:val="20"/>
          <w:szCs w:val="20"/>
          <w:color w:val="auto"/>
        </w:rPr>
      </w:pPr>
    </w:p>
    <w:p>
      <w:pPr>
        <w:ind w:right="419"/>
        <w:spacing w:after="0" w:line="227" w:lineRule="auto"/>
        <w:rPr>
          <w:sz w:val="20"/>
          <w:szCs w:val="20"/>
          <w:color w:val="auto"/>
        </w:rPr>
      </w:pPr>
      <w:r>
        <w:rPr>
          <w:rFonts w:ascii="Arial" w:cs="Arial" w:eastAsia="Arial" w:hAnsi="Arial"/>
          <w:sz w:val="16"/>
          <w:szCs w:val="16"/>
          <w:color w:val="auto"/>
        </w:rPr>
        <w:t>Incorporated herein by reference to Exhibit 4.3 to the Company's Current Report on Form 8-K filed on October 8, 2021.</w:t>
      </w:r>
    </w:p>
    <w:p>
      <w:pPr>
        <w:spacing w:after="0" w:line="11" w:lineRule="exact"/>
        <w:rPr>
          <w:sz w:val="20"/>
          <w:szCs w:val="20"/>
          <w:color w:val="auto"/>
        </w:rPr>
      </w:pPr>
    </w:p>
    <w:p>
      <w:pPr>
        <w:ind w:right="419"/>
        <w:spacing w:after="0" w:line="227" w:lineRule="auto"/>
        <w:rPr>
          <w:sz w:val="20"/>
          <w:szCs w:val="20"/>
          <w:color w:val="auto"/>
        </w:rPr>
      </w:pPr>
      <w:r>
        <w:rPr>
          <w:rFonts w:ascii="Arial" w:cs="Arial" w:eastAsia="Arial" w:hAnsi="Arial"/>
          <w:sz w:val="16"/>
          <w:szCs w:val="16"/>
          <w:color w:val="auto"/>
        </w:rPr>
        <w:t>Incorporated herein by reference to Exhibit 4.4 to the Company's Current Report on Form 8-K filed on October 8, 2021.</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3"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September 5, 2018.</w:t>
      </w:r>
    </w:p>
    <w:p>
      <w:pPr>
        <w:spacing w:after="0" w:line="184"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10.2 to the Company's Current Report on Form 8-K filed on September 5, 2018.</w:t>
      </w:r>
    </w:p>
    <w:p>
      <w:pPr>
        <w:spacing w:after="0" w:line="184"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10.3 to the Company's Current Report on Form 8-K filed on September 5, 2018.</w:t>
      </w:r>
    </w:p>
    <w:p>
      <w:pPr>
        <w:spacing w:after="0" w:line="184"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February 14, 2019.</w:t>
      </w:r>
    </w:p>
    <w:p>
      <w:pPr>
        <w:spacing w:after="0" w:line="184"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August 6, 2019.</w:t>
      </w:r>
    </w:p>
    <w:p>
      <w:pPr>
        <w:spacing w:after="0" w:line="184"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9, 2019.</w:t>
      </w:r>
    </w:p>
    <w:p>
      <w:pPr>
        <w:spacing w:after="0" w:line="91"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November 5, 2020.</w:t>
      </w:r>
    </w:p>
    <w:p>
      <w:pPr>
        <w:spacing w:after="0" w:line="104"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10.4 to the Company's Current Report on Form 8-K filed on September 5, 2018.</w:t>
      </w:r>
    </w:p>
    <w:p>
      <w:pPr>
        <w:spacing w:after="0" w:line="91" w:lineRule="exact"/>
        <w:rPr>
          <w:sz w:val="20"/>
          <w:szCs w:val="20"/>
          <w:color w:val="auto"/>
        </w:rPr>
      </w:pPr>
    </w:p>
    <w:p>
      <w:pPr>
        <w:sectPr>
          <w:pgSz w:w="11900" w:h="16838" w:orient="portrait"/>
          <w:cols w:equalWidth="0" w:num="2">
            <w:col w:w="5900" w:space="120"/>
            <w:col w:w="4099"/>
          </w:cols>
          <w:pgMar w:left="340" w:top="915" w:right="1440" w:bottom="1440" w:gutter="0" w:footer="0" w:header="0"/>
        </w:sectPr>
      </w:pPr>
    </w:p>
    <w:p>
      <w:pPr>
        <w:spacing w:after="0"/>
        <w:rPr>
          <w:sz w:val="20"/>
          <w:szCs w:val="20"/>
          <w:color w:val="auto"/>
        </w:rPr>
      </w:pPr>
      <w:r>
        <w:rPr>
          <w:rFonts w:ascii="Arial" w:cs="Arial" w:eastAsia="Arial" w:hAnsi="Arial"/>
          <w:sz w:val="14"/>
          <w:szCs w:val="14"/>
          <w:color w:val="auto"/>
        </w:rPr>
        <w:t>10.5</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280"/>
        <w:spacing w:after="0" w:line="303" w:lineRule="auto"/>
        <w:rPr>
          <w:rFonts w:ascii="Arial" w:cs="Arial" w:eastAsia="Arial" w:hAnsi="Arial"/>
          <w:sz w:val="14"/>
          <w:szCs w:val="14"/>
          <w:u w:val="single" w:color="auto"/>
          <w:color w:val="0000FF"/>
        </w:rPr>
      </w:pPr>
      <w:hyperlink r:id="rId226">
        <w:r>
          <w:rPr>
            <w:rFonts w:ascii="Arial" w:cs="Arial" w:eastAsia="Arial" w:hAnsi="Arial"/>
            <w:sz w:val="14"/>
            <w:szCs w:val="14"/>
            <w:u w:val="single" w:color="auto"/>
            <w:color w:val="0000FF"/>
          </w:rPr>
          <w:t>Third Amended and Restated Right of First Offer Agreement, dated as of</w:t>
        </w:r>
      </w:hyperlink>
      <w:r>
        <w:rPr>
          <w:rFonts w:ascii="Arial" w:cs="Arial" w:eastAsia="Arial" w:hAnsi="Arial"/>
          <w:sz w:val="14"/>
          <w:szCs w:val="14"/>
          <w:u w:val="single" w:color="auto"/>
          <w:color w:val="0000FF"/>
        </w:rPr>
        <w:t xml:space="preserve"> </w:t>
      </w:r>
      <w:hyperlink r:id="rId226">
        <w:r>
          <w:rPr>
            <w:rFonts w:ascii="Arial" w:cs="Arial" w:eastAsia="Arial" w:hAnsi="Arial"/>
            <w:sz w:val="14"/>
            <w:szCs w:val="14"/>
            <w:u w:val="single" w:color="auto"/>
            <w:color w:val="0000FF"/>
          </w:rPr>
          <w:t>August 31, 2018, by and between NRG Yield, Inc. and NRG Energy, Inc.</w:t>
        </w:r>
      </w:hyperlink>
    </w:p>
    <w:p>
      <w:pPr>
        <w:spacing w:after="0" w:line="47" w:lineRule="exact"/>
        <w:rPr>
          <w:sz w:val="20"/>
          <w:szCs w:val="20"/>
          <w:color w:val="auto"/>
        </w:rPr>
      </w:pPr>
    </w:p>
    <w:p>
      <w:pPr>
        <w:spacing w:after="0" w:line="237" w:lineRule="auto"/>
        <w:rPr>
          <w:rFonts w:ascii="Arial" w:cs="Arial" w:eastAsia="Arial" w:hAnsi="Arial"/>
          <w:sz w:val="16"/>
          <w:szCs w:val="16"/>
          <w:u w:val="single" w:color="auto"/>
          <w:color w:val="0000FF"/>
        </w:rPr>
      </w:pPr>
      <w:hyperlink r:id="rId227">
        <w:r>
          <w:rPr>
            <w:rFonts w:ascii="Arial" w:cs="Arial" w:eastAsia="Arial" w:hAnsi="Arial"/>
            <w:sz w:val="16"/>
            <w:szCs w:val="16"/>
            <w:u w:val="single" w:color="auto"/>
            <w:color w:val="0000FF"/>
          </w:rPr>
          <w:t>Transition Services Agreement, dated August 31, 2018, by and between NRG</w:t>
        </w:r>
      </w:hyperlink>
      <w:r>
        <w:rPr>
          <w:rFonts w:ascii="Arial" w:cs="Arial" w:eastAsia="Arial" w:hAnsi="Arial"/>
          <w:sz w:val="16"/>
          <w:szCs w:val="16"/>
          <w:u w:val="single" w:color="auto"/>
          <w:color w:val="0000FF"/>
        </w:rPr>
        <w:t xml:space="preserve"> </w:t>
      </w:r>
      <w:hyperlink r:id="rId227">
        <w:r>
          <w:rPr>
            <w:rFonts w:ascii="Arial" w:cs="Arial" w:eastAsia="Arial" w:hAnsi="Arial"/>
            <w:sz w:val="16"/>
            <w:szCs w:val="16"/>
            <w:u w:val="single" w:color="auto"/>
            <w:color w:val="0000FF"/>
          </w:rPr>
          <w:t>Yield, Inc. and NRG Energy, Inc.</w:t>
        </w:r>
      </w:hyperlink>
    </w:p>
    <w:p>
      <w:pPr>
        <w:spacing w:after="0" w:line="20" w:lineRule="exact"/>
        <w:rPr>
          <w:sz w:val="20"/>
          <w:szCs w:val="20"/>
          <w:color w:val="auto"/>
        </w:rPr>
      </w:pPr>
      <w:r>
        <w:rPr>
          <w:sz w:val="20"/>
          <w:szCs w:val="20"/>
          <w:color w:val="auto"/>
        </w:rPr>
        <w:br w:type="column"/>
      </w: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10.5 to the Company's Current Report on Form 8-K filed on September 5, 2018.</w:t>
      </w:r>
    </w:p>
    <w:p>
      <w:pPr>
        <w:spacing w:after="0" w:line="118"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10.7 to the Company's Current Report on Form 8-K filed on September 5, 2018.</w:t>
      </w:r>
    </w:p>
    <w:p>
      <w:pPr>
        <w:spacing w:after="0" w:line="91" w:lineRule="exact"/>
        <w:rPr>
          <w:sz w:val="20"/>
          <w:szCs w:val="20"/>
          <w:color w:val="auto"/>
        </w:rPr>
      </w:pPr>
    </w:p>
    <w:p>
      <w:pPr>
        <w:sectPr>
          <w:pgSz w:w="11900" w:h="16838" w:orient="portrait"/>
          <w:cols w:equalWidth="0" w:num="3">
            <w:col w:w="280" w:space="620"/>
            <w:col w:w="4980" w:space="140"/>
            <w:col w:w="4099"/>
          </w:cols>
          <w:pgMar w:left="340" w:top="915" w:right="1440" w:bottom="1440" w:gutter="0" w:footer="0" w:header="0"/>
          <w:type w:val="continuous"/>
        </w:sectPr>
      </w:pPr>
    </w:p>
    <w:p>
      <w:pPr>
        <w:spacing w:after="0"/>
        <w:rPr>
          <w:sz w:val="20"/>
          <w:szCs w:val="20"/>
          <w:color w:val="auto"/>
        </w:rPr>
      </w:pPr>
      <w:r>
        <w:rPr>
          <w:rFonts w:ascii="Arial" w:cs="Arial" w:eastAsia="Arial" w:hAnsi="Arial"/>
          <w:sz w:val="16"/>
          <w:szCs w:val="16"/>
          <w:color w:val="auto"/>
        </w:rPr>
        <w:t>10.7</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10.8†</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10.9</w:t>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10.10.1</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120"/>
        <w:spacing w:after="0" w:line="227" w:lineRule="auto"/>
        <w:rPr>
          <w:rFonts w:ascii="Arial" w:cs="Arial" w:eastAsia="Arial" w:hAnsi="Arial"/>
          <w:sz w:val="16"/>
          <w:szCs w:val="16"/>
          <w:u w:val="single" w:color="auto"/>
          <w:color w:val="0000FF"/>
        </w:rPr>
      </w:pPr>
      <w:hyperlink r:id="rId228">
        <w:r>
          <w:rPr>
            <w:rFonts w:ascii="Arial" w:cs="Arial" w:eastAsia="Arial" w:hAnsi="Arial"/>
            <w:sz w:val="16"/>
            <w:szCs w:val="16"/>
            <w:u w:val="single" w:color="auto"/>
            <w:color w:val="0000FF"/>
          </w:rPr>
          <w:t>Termination Agreement, dated as of August 31, 2018, by and among NRG</w:t>
        </w:r>
      </w:hyperlink>
      <w:r>
        <w:rPr>
          <w:rFonts w:ascii="Arial" w:cs="Arial" w:eastAsia="Arial" w:hAnsi="Arial"/>
          <w:sz w:val="16"/>
          <w:szCs w:val="16"/>
          <w:u w:val="single" w:color="auto"/>
          <w:color w:val="0000FF"/>
        </w:rPr>
        <w:t xml:space="preserve"> </w:t>
      </w:r>
      <w:hyperlink r:id="rId228">
        <w:r>
          <w:rPr>
            <w:rFonts w:ascii="Arial" w:cs="Arial" w:eastAsia="Arial" w:hAnsi="Arial"/>
            <w:sz w:val="16"/>
            <w:szCs w:val="16"/>
            <w:u w:val="single" w:color="auto"/>
            <w:color w:val="0000FF"/>
          </w:rPr>
          <w:t>Yield, Inc., NRG Yield LLC, NRG Yield Operating LLC and NRG Energy,</w:t>
        </w:r>
      </w:hyperlink>
      <w:r>
        <w:rPr>
          <w:rFonts w:ascii="Arial" w:cs="Arial" w:eastAsia="Arial" w:hAnsi="Arial"/>
          <w:sz w:val="16"/>
          <w:szCs w:val="16"/>
          <w:u w:val="single" w:color="auto"/>
          <w:color w:val="0000FF"/>
        </w:rPr>
        <w:t xml:space="preserve"> </w:t>
      </w:r>
      <w:hyperlink r:id="rId228">
        <w:r>
          <w:rPr>
            <w:rFonts w:ascii="Arial" w:cs="Arial" w:eastAsia="Arial" w:hAnsi="Arial"/>
            <w:sz w:val="16"/>
            <w:szCs w:val="16"/>
            <w:u w:val="single" w:color="auto"/>
            <w:color w:val="0000FF"/>
          </w:rPr>
          <w:t>Inc.</w:t>
        </w:r>
      </w:hyperlink>
    </w:p>
    <w:p>
      <w:pPr>
        <w:spacing w:after="0" w:line="91" w:lineRule="exact"/>
        <w:rPr>
          <w:rFonts w:ascii="Arial" w:cs="Arial" w:eastAsia="Arial" w:hAnsi="Arial"/>
          <w:sz w:val="16"/>
          <w:szCs w:val="16"/>
          <w:u w:val="single" w:color="auto"/>
          <w:color w:val="0000FF"/>
        </w:rPr>
      </w:pPr>
    </w:p>
    <w:p>
      <w:pPr>
        <w:spacing w:after="0" w:line="252" w:lineRule="auto"/>
        <w:rPr>
          <w:rFonts w:ascii="Arial" w:cs="Arial" w:eastAsia="Arial" w:hAnsi="Arial"/>
          <w:sz w:val="16"/>
          <w:szCs w:val="16"/>
          <w:u w:val="single" w:color="auto"/>
          <w:color w:val="0000FF"/>
        </w:rPr>
      </w:pPr>
      <w:hyperlink r:id="rId229">
        <w:r>
          <w:rPr>
            <w:rFonts w:ascii="Arial" w:cs="Arial" w:eastAsia="Arial" w:hAnsi="Arial"/>
            <w:sz w:val="16"/>
            <w:szCs w:val="16"/>
            <w:u w:val="single" w:color="auto"/>
            <w:color w:val="0000FF"/>
          </w:rPr>
          <w:t>Clearway Energy, Inc. Amended and Restated 2013 Equity Incentive Plan, as</w:t>
        </w:r>
      </w:hyperlink>
      <w:r>
        <w:rPr>
          <w:rFonts w:ascii="Arial" w:cs="Arial" w:eastAsia="Arial" w:hAnsi="Arial"/>
          <w:sz w:val="16"/>
          <w:szCs w:val="16"/>
          <w:u w:val="single" w:color="auto"/>
          <w:color w:val="0000FF"/>
        </w:rPr>
        <w:t xml:space="preserve"> </w:t>
      </w:r>
      <w:hyperlink r:id="rId229">
        <w:r>
          <w:rPr>
            <w:rFonts w:ascii="Arial" w:cs="Arial" w:eastAsia="Arial" w:hAnsi="Arial"/>
            <w:sz w:val="16"/>
            <w:szCs w:val="16"/>
            <w:u w:val="single" w:color="auto"/>
            <w:color w:val="0000FF"/>
          </w:rPr>
          <w:t>amended and restated effective February 19, 2021.</w:t>
        </w:r>
      </w:hyperlink>
    </w:p>
    <w:p>
      <w:pPr>
        <w:spacing w:after="0" w:line="147" w:lineRule="exact"/>
        <w:rPr>
          <w:sz w:val="20"/>
          <w:szCs w:val="20"/>
          <w:color w:val="auto"/>
        </w:rPr>
      </w:pPr>
    </w:p>
    <w:p>
      <w:pPr>
        <w:spacing w:after="0"/>
        <w:rPr>
          <w:rFonts w:ascii="Arial" w:cs="Arial" w:eastAsia="Arial" w:hAnsi="Arial"/>
          <w:sz w:val="16"/>
          <w:szCs w:val="16"/>
          <w:u w:val="single" w:color="auto"/>
          <w:color w:val="0000FF"/>
        </w:rPr>
      </w:pPr>
      <w:hyperlink r:id="rId230">
        <w:r>
          <w:rPr>
            <w:rFonts w:ascii="Arial" w:cs="Arial" w:eastAsia="Arial" w:hAnsi="Arial"/>
            <w:sz w:val="16"/>
            <w:szCs w:val="16"/>
            <w:u w:val="single" w:color="auto"/>
            <w:color w:val="0000FF"/>
          </w:rPr>
          <w:t>Form of Indemnification Agreement.</w:t>
        </w:r>
      </w:hyperlink>
    </w:p>
    <w:p>
      <w:pPr>
        <w:spacing w:after="0" w:line="349" w:lineRule="exact"/>
        <w:rPr>
          <w:sz w:val="20"/>
          <w:szCs w:val="20"/>
          <w:color w:val="auto"/>
        </w:rPr>
      </w:pPr>
    </w:p>
    <w:p>
      <w:pPr>
        <w:spacing w:after="0" w:line="232" w:lineRule="auto"/>
        <w:rPr>
          <w:rFonts w:ascii="Arial" w:cs="Arial" w:eastAsia="Arial" w:hAnsi="Arial"/>
          <w:sz w:val="16"/>
          <w:szCs w:val="16"/>
          <w:u w:val="single" w:color="auto"/>
          <w:color w:val="0000FF"/>
        </w:rPr>
      </w:pPr>
      <w:hyperlink r:id="rId231">
        <w:r>
          <w:rPr>
            <w:rFonts w:ascii="Arial" w:cs="Arial" w:eastAsia="Arial" w:hAnsi="Arial"/>
            <w:sz w:val="16"/>
            <w:szCs w:val="16"/>
            <w:u w:val="single" w:color="auto"/>
            <w:color w:val="0000FF"/>
          </w:rPr>
          <w:t>Amended and Restated Credit Agreement, dated April 25, 2014, by and</w:t>
        </w:r>
      </w:hyperlink>
      <w:r>
        <w:rPr>
          <w:rFonts w:ascii="Arial" w:cs="Arial" w:eastAsia="Arial" w:hAnsi="Arial"/>
          <w:sz w:val="16"/>
          <w:szCs w:val="16"/>
          <w:u w:val="single" w:color="auto"/>
          <w:color w:val="0000FF"/>
        </w:rPr>
        <w:t xml:space="preserve"> </w:t>
      </w:r>
      <w:hyperlink r:id="rId231">
        <w:r>
          <w:rPr>
            <w:rFonts w:ascii="Arial" w:cs="Arial" w:eastAsia="Arial" w:hAnsi="Arial"/>
            <w:sz w:val="16"/>
            <w:szCs w:val="16"/>
            <w:u w:val="single" w:color="auto"/>
            <w:color w:val="0000FF"/>
          </w:rPr>
          <w:t>among NRG Yield Operating LLC, NRG Yield LLC, Royal Bank of Canada,</w:t>
        </w:r>
      </w:hyperlink>
      <w:r>
        <w:rPr>
          <w:rFonts w:ascii="Arial" w:cs="Arial" w:eastAsia="Arial" w:hAnsi="Arial"/>
          <w:sz w:val="16"/>
          <w:szCs w:val="16"/>
          <w:u w:val="single" w:color="auto"/>
          <w:color w:val="0000FF"/>
        </w:rPr>
        <w:t xml:space="preserve"> </w:t>
      </w:r>
      <w:hyperlink r:id="rId231">
        <w:r>
          <w:rPr>
            <w:rFonts w:ascii="Arial" w:cs="Arial" w:eastAsia="Arial" w:hAnsi="Arial"/>
            <w:sz w:val="16"/>
            <w:szCs w:val="16"/>
            <w:u w:val="single" w:color="auto"/>
            <w:color w:val="0000FF"/>
          </w:rPr>
          <w:t>as Administrative Agent, the lenders party thereto, Royal Bank of Canada,</w:t>
        </w:r>
      </w:hyperlink>
      <w:r>
        <w:rPr>
          <w:rFonts w:ascii="Arial" w:cs="Arial" w:eastAsia="Arial" w:hAnsi="Arial"/>
          <w:sz w:val="16"/>
          <w:szCs w:val="16"/>
          <w:u w:val="single" w:color="auto"/>
          <w:color w:val="0000FF"/>
        </w:rPr>
        <w:t xml:space="preserve"> </w:t>
      </w:r>
      <w:hyperlink r:id="rId231">
        <w:r>
          <w:rPr>
            <w:rFonts w:ascii="Arial" w:cs="Arial" w:eastAsia="Arial" w:hAnsi="Arial"/>
            <w:sz w:val="16"/>
            <w:szCs w:val="16"/>
            <w:u w:val="single" w:color="auto"/>
            <w:color w:val="0000FF"/>
          </w:rPr>
          <w:t>Goldman Sachs Bank USA and Bank of America, N.A., as L/C Issuers and</w:t>
        </w:r>
      </w:hyperlink>
      <w:r>
        <w:rPr>
          <w:rFonts w:ascii="Arial" w:cs="Arial" w:eastAsia="Arial" w:hAnsi="Arial"/>
          <w:sz w:val="16"/>
          <w:szCs w:val="16"/>
          <w:u w:val="single" w:color="auto"/>
          <w:color w:val="0000FF"/>
        </w:rPr>
        <w:t xml:space="preserve"> </w:t>
      </w:r>
      <w:hyperlink r:id="rId231">
        <w:r>
          <w:rPr>
            <w:rFonts w:ascii="Arial" w:cs="Arial" w:eastAsia="Arial" w:hAnsi="Arial"/>
            <w:sz w:val="16"/>
            <w:szCs w:val="16"/>
            <w:u w:val="single" w:color="auto"/>
            <w:color w:val="0000FF"/>
          </w:rPr>
          <w:t>RBC Capital Markets as Sole Left Lead Arranger and Sole Left Lead Book</w:t>
        </w:r>
      </w:hyperlink>
      <w:r>
        <w:rPr>
          <w:rFonts w:ascii="Arial" w:cs="Arial" w:eastAsia="Arial" w:hAnsi="Arial"/>
          <w:sz w:val="16"/>
          <w:szCs w:val="16"/>
          <w:u w:val="single" w:color="auto"/>
          <w:color w:val="0000FF"/>
        </w:rPr>
        <w:t xml:space="preserve"> </w:t>
      </w:r>
      <w:hyperlink r:id="rId231">
        <w:r>
          <w:rPr>
            <w:rFonts w:ascii="Arial" w:cs="Arial" w:eastAsia="Arial" w:hAnsi="Arial"/>
            <w:sz w:val="16"/>
            <w:szCs w:val="16"/>
            <w:u w:val="single" w:color="auto"/>
            <w:color w:val="0000FF"/>
          </w:rPr>
          <w:t>Runner.</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73" w:lineRule="exact"/>
        <w:rPr>
          <w:rFonts w:ascii="Arial" w:cs="Arial" w:eastAsia="Arial" w:hAnsi="Arial"/>
          <w:sz w:val="16"/>
          <w:szCs w:val="16"/>
          <w:u w:val="single" w:color="auto"/>
          <w:color w:val="0000FF"/>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10.9 to the Company's Current Report on Form 8-K filed on September 5, 2018.</w:t>
      </w:r>
    </w:p>
    <w:p>
      <w:pPr>
        <w:spacing w:after="0" w:line="91" w:lineRule="exact"/>
        <w:rPr>
          <w:rFonts w:ascii="Arial" w:cs="Arial" w:eastAsia="Arial" w:hAnsi="Arial"/>
          <w:sz w:val="16"/>
          <w:szCs w:val="16"/>
          <w:u w:val="single" w:color="auto"/>
          <w:color w:val="0000FF"/>
        </w:rPr>
      </w:pPr>
    </w:p>
    <w:p>
      <w:pPr>
        <w:ind w:right="479"/>
        <w:spacing w:after="0" w:line="227"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May 3, 2021.</w:t>
      </w:r>
    </w:p>
    <w:p>
      <w:pPr>
        <w:spacing w:after="0" w:line="11" w:lineRule="exact"/>
        <w:rPr>
          <w:rFonts w:ascii="Arial" w:cs="Arial" w:eastAsia="Arial" w:hAnsi="Arial"/>
          <w:sz w:val="16"/>
          <w:szCs w:val="16"/>
          <w:u w:val="single" w:color="auto"/>
          <w:color w:val="0000FF"/>
        </w:rPr>
      </w:pPr>
    </w:p>
    <w:p>
      <w:pPr>
        <w:ind w:right="519"/>
        <w:spacing w:after="0" w:line="227" w:lineRule="auto"/>
        <w:rPr>
          <w:sz w:val="20"/>
          <w:szCs w:val="20"/>
          <w:color w:val="auto"/>
        </w:rPr>
      </w:pPr>
      <w:r>
        <w:rPr>
          <w:rFonts w:ascii="Arial" w:cs="Arial" w:eastAsia="Arial" w:hAnsi="Arial"/>
          <w:sz w:val="16"/>
          <w:szCs w:val="16"/>
          <w:color w:val="auto"/>
        </w:rPr>
        <w:t>Incorporated herein by reference to Exhibit 10.10 to the Company's Annual Report on Form 10-K filed on February 28, 2019.</w:t>
      </w:r>
    </w:p>
    <w:p>
      <w:pPr>
        <w:spacing w:after="0" w:line="11" w:lineRule="exact"/>
        <w:rPr>
          <w:rFonts w:ascii="Arial" w:cs="Arial" w:eastAsia="Arial" w:hAnsi="Arial"/>
          <w:sz w:val="16"/>
          <w:szCs w:val="16"/>
          <w:u w:val="single" w:color="auto"/>
          <w:color w:val="0000FF"/>
        </w:rPr>
      </w:pPr>
    </w:p>
    <w:p>
      <w:pPr>
        <w:jc w:val="both"/>
        <w:ind w:right="579"/>
        <w:spacing w:after="0" w:line="239"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April 28, 2014.</w:t>
      </w:r>
    </w:p>
    <w:p>
      <w:pPr>
        <w:spacing w:after="0" w:line="717" w:lineRule="exact"/>
        <w:rPr>
          <w:rFonts w:ascii="Arial" w:cs="Arial" w:eastAsia="Arial" w:hAnsi="Arial"/>
          <w:sz w:val="16"/>
          <w:szCs w:val="16"/>
          <w:u w:val="single" w:color="auto"/>
          <w:color w:val="0000FF"/>
        </w:rPr>
      </w:pPr>
    </w:p>
    <w:p>
      <w:pPr>
        <w:sectPr>
          <w:pgSz w:w="11900" w:h="16838" w:orient="portrait"/>
          <w:cols w:equalWidth="0" w:num="3">
            <w:col w:w="480" w:space="420"/>
            <w:col w:w="4940" w:space="180"/>
            <w:col w:w="4099"/>
          </w:cols>
          <w:pgMar w:left="340" w:top="915" w:right="1440"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303" w:lineRule="exact"/>
        <w:rPr>
          <w:rFonts w:ascii="Arial" w:cs="Arial" w:eastAsia="Arial" w:hAnsi="Arial"/>
          <w:sz w:val="16"/>
          <w:szCs w:val="16"/>
          <w:u w:val="single" w:color="auto"/>
          <w:color w:val="0000FF"/>
        </w:rPr>
      </w:pPr>
    </w:p>
    <w:p>
      <w:pPr>
        <w:ind w:left="5480"/>
        <w:spacing w:after="0"/>
        <w:rPr>
          <w:sz w:val="20"/>
          <w:szCs w:val="20"/>
          <w:color w:val="auto"/>
        </w:rPr>
      </w:pPr>
      <w:r>
        <w:rPr>
          <w:rFonts w:ascii="Arial" w:cs="Arial" w:eastAsia="Arial" w:hAnsi="Arial"/>
          <w:sz w:val="14"/>
          <w:szCs w:val="14"/>
          <w:color w:val="auto"/>
        </w:rPr>
        <w:t>139</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-20320</wp:posOffset>
            </wp:positionH>
            <wp:positionV relativeFrom="paragraph">
              <wp:posOffset>95885</wp:posOffset>
            </wp:positionV>
            <wp:extent cx="715962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19"/>
          </w:cols>
          <w:pgMar w:left="340" w:top="915" w:right="1440" w:bottom="1440" w:gutter="0" w:footer="0" w:header="0"/>
          <w:type w:val="continuous"/>
        </w:sectPr>
      </w:pPr>
    </w:p>
    <w:bookmarkStart w:id="139" w:name="page140"/>
    <w:bookmarkEnd w:id="139"/>
    <w:p>
      <w:pPr>
        <w:ind w:left="900" w:hanging="892"/>
        <w:spacing w:after="0" w:line="227"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10.10.2</w:t>
      </w:r>
      <w:r>
        <w:rPr>
          <w:sz w:val="20"/>
          <w:szCs w:val="20"/>
          <w:color w:val="auto"/>
        </w:rPr>
        <w:tab/>
      </w:r>
      <w:hyperlink r:id="rId233">
        <w:r>
          <w:rPr>
            <w:rFonts w:ascii="Arial" w:cs="Arial" w:eastAsia="Arial" w:hAnsi="Arial"/>
            <w:sz w:val="16"/>
            <w:szCs w:val="16"/>
            <w:u w:val="single" w:color="auto"/>
            <w:color w:val="0000FF"/>
          </w:rPr>
          <w:t>First Amendment to Amended &amp; Restated Credit Agreement, dated June 26,</w:t>
        </w:r>
      </w:hyperlink>
      <w:r>
        <w:rPr>
          <w:rFonts w:ascii="Arial" w:cs="Arial" w:eastAsia="Arial" w:hAnsi="Arial"/>
          <w:sz w:val="16"/>
          <w:szCs w:val="16"/>
          <w:u w:val="single" w:color="auto"/>
          <w:color w:val="0000FF"/>
        </w:rPr>
        <w:t xml:space="preserve"> </w:t>
      </w:r>
      <w:hyperlink r:id="rId233">
        <w:r>
          <w:rPr>
            <w:rFonts w:ascii="Arial" w:cs="Arial" w:eastAsia="Arial" w:hAnsi="Arial"/>
            <w:sz w:val="16"/>
            <w:szCs w:val="16"/>
            <w:u w:val="single" w:color="auto"/>
            <w:color w:val="0000FF"/>
          </w:rPr>
          <w:t>2015, by and among NRG Yield Operating LLC, NRG Yield LLC, Royal</w:t>
        </w:r>
      </w:hyperlink>
      <w:r>
        <w:rPr>
          <w:rFonts w:ascii="Arial" w:cs="Arial" w:eastAsia="Arial" w:hAnsi="Arial"/>
          <w:sz w:val="16"/>
          <w:szCs w:val="16"/>
          <w:u w:val="single" w:color="auto"/>
          <w:color w:val="0000FF"/>
        </w:rPr>
        <w:t xml:space="preserve"> </w:t>
      </w:r>
      <w:hyperlink r:id="rId233">
        <w:r>
          <w:rPr>
            <w:rFonts w:ascii="Arial" w:cs="Arial" w:eastAsia="Arial" w:hAnsi="Arial"/>
            <w:sz w:val="16"/>
            <w:szCs w:val="16"/>
            <w:u w:val="single" w:color="auto"/>
            <w:color w:val="0000FF"/>
          </w:rPr>
          <w:t>Bank of Canada and the Lenders party thereto.</w:t>
        </w:r>
      </w:hyperlink>
    </w:p>
    <w:p>
      <w:pPr>
        <w:spacing w:after="0" w:line="11" w:lineRule="exact"/>
        <w:rPr>
          <w:rFonts w:ascii="Arial" w:cs="Arial" w:eastAsia="Arial" w:hAnsi="Arial"/>
          <w:sz w:val="16"/>
          <w:szCs w:val="16"/>
          <w:u w:val="single" w:color="auto"/>
          <w:color w:val="0000FF"/>
        </w:rPr>
      </w:pPr>
    </w:p>
    <w:p>
      <w:pPr>
        <w:ind w:left="900" w:right="20" w:hanging="892"/>
        <w:spacing w:after="0" w:line="223"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10.10.3</w:t>
      </w:r>
      <w:r>
        <w:rPr>
          <w:sz w:val="20"/>
          <w:szCs w:val="20"/>
          <w:color w:val="auto"/>
        </w:rPr>
        <w:tab/>
      </w:r>
      <w:hyperlink r:id="rId234">
        <w:r>
          <w:rPr>
            <w:rFonts w:ascii="Arial" w:cs="Arial" w:eastAsia="Arial" w:hAnsi="Arial"/>
            <w:sz w:val="16"/>
            <w:szCs w:val="16"/>
            <w:u w:val="single" w:color="auto"/>
            <w:color w:val="0000FF"/>
          </w:rPr>
          <w:t>Second Amendment to Amended &amp; Restated Credit Agreement, dated</w:t>
        </w:r>
      </w:hyperlink>
      <w:r>
        <w:rPr>
          <w:rFonts w:ascii="Arial" w:cs="Arial" w:eastAsia="Arial" w:hAnsi="Arial"/>
          <w:sz w:val="16"/>
          <w:szCs w:val="16"/>
          <w:u w:val="single" w:color="auto"/>
          <w:color w:val="0000FF"/>
        </w:rPr>
        <w:t xml:space="preserve"> </w:t>
      </w:r>
      <w:hyperlink r:id="rId234">
        <w:r>
          <w:rPr>
            <w:rFonts w:ascii="Arial" w:cs="Arial" w:eastAsia="Arial" w:hAnsi="Arial"/>
            <w:sz w:val="16"/>
            <w:szCs w:val="16"/>
            <w:u w:val="single" w:color="auto"/>
            <w:color w:val="0000FF"/>
          </w:rPr>
          <w:t>February 6, 2018, by and among NRG Yield Operating LLC, NRG Yield</w:t>
        </w:r>
      </w:hyperlink>
      <w:r>
        <w:rPr>
          <w:rFonts w:ascii="Arial" w:cs="Arial" w:eastAsia="Arial" w:hAnsi="Arial"/>
          <w:sz w:val="16"/>
          <w:szCs w:val="16"/>
          <w:u w:val="single" w:color="auto"/>
          <w:color w:val="0000FF"/>
        </w:rPr>
        <w:t xml:space="preserve"> </w:t>
      </w:r>
      <w:hyperlink r:id="rId234">
        <w:r>
          <w:rPr>
            <w:rFonts w:ascii="Arial" w:cs="Arial" w:eastAsia="Arial" w:hAnsi="Arial"/>
            <w:sz w:val="16"/>
            <w:szCs w:val="16"/>
            <w:u w:val="single" w:color="auto"/>
            <w:color w:val="0000FF"/>
          </w:rPr>
          <w:t>LLC, the guarantors party thereto, Royal Bank of Canada, as Administrative</w:t>
        </w:r>
      </w:hyperlink>
      <w:r>
        <w:rPr>
          <w:rFonts w:ascii="Arial" w:cs="Arial" w:eastAsia="Arial" w:hAnsi="Arial"/>
          <w:sz w:val="16"/>
          <w:szCs w:val="16"/>
          <w:u w:val="single" w:color="auto"/>
          <w:color w:val="0000FF"/>
        </w:rPr>
        <w:t xml:space="preserve"> </w:t>
      </w:r>
      <w:hyperlink r:id="rId234">
        <w:r>
          <w:rPr>
            <w:rFonts w:ascii="Arial" w:cs="Arial" w:eastAsia="Arial" w:hAnsi="Arial"/>
            <w:sz w:val="16"/>
            <w:szCs w:val="16"/>
            <w:u w:val="single" w:color="auto"/>
            <w:color w:val="0000FF"/>
          </w:rPr>
          <w:t>Agent, and the lenders party thereto.</w:t>
        </w:r>
      </w:hyperlink>
    </w:p>
    <w:p>
      <w:pPr>
        <w:spacing w:after="0" w:line="9" w:lineRule="exact"/>
        <w:rPr>
          <w:rFonts w:ascii="Arial" w:cs="Arial" w:eastAsia="Arial" w:hAnsi="Arial"/>
          <w:sz w:val="16"/>
          <w:szCs w:val="16"/>
          <w:u w:val="single" w:color="auto"/>
          <w:color w:val="0000FF"/>
        </w:rPr>
      </w:pPr>
    </w:p>
    <w:p>
      <w:pPr>
        <w:ind w:left="900" w:hanging="892"/>
        <w:spacing w:after="0" w:line="218" w:lineRule="auto"/>
        <w:tabs>
          <w:tab w:leader="none" w:pos="880" w:val="left"/>
        </w:tabs>
        <w:rPr>
          <w:rFonts w:ascii="Arial" w:cs="Arial" w:eastAsia="Arial" w:hAnsi="Arial"/>
          <w:sz w:val="16"/>
          <w:szCs w:val="16"/>
          <w:u w:val="single" w:color="auto"/>
          <w:color w:val="0000FF"/>
        </w:rPr>
      </w:pPr>
      <w:r>
        <w:rPr>
          <w:rFonts w:ascii="Arial" w:cs="Arial" w:eastAsia="Arial" w:hAnsi="Arial"/>
          <w:sz w:val="16"/>
          <w:szCs w:val="16"/>
          <w:color w:val="auto"/>
        </w:rPr>
        <w:t>10.10.4</w:t>
      </w:r>
      <w:r>
        <w:rPr>
          <w:sz w:val="20"/>
          <w:szCs w:val="20"/>
          <w:color w:val="auto"/>
        </w:rPr>
        <w:tab/>
      </w:r>
      <w:hyperlink r:id="rId235">
        <w:r>
          <w:rPr>
            <w:rFonts w:ascii="Arial" w:cs="Arial" w:eastAsia="Arial" w:hAnsi="Arial"/>
            <w:sz w:val="16"/>
            <w:szCs w:val="16"/>
            <w:u w:val="single" w:color="auto"/>
            <w:color w:val="0000FF"/>
          </w:rPr>
          <w:t>Third Amendment to Amended and Restated Credit Agreement and</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Administrative Agent Resignation and Appointment Agreement, dated as of</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April 30, 2018, by and among NRG Yield Operating LLC, NRG Yield LLC,</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the guarantors party thereto, Royal Bank of Canada, as Resigning</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Administrative Agent, JPMorgan Chase Bank, N.A., as Successor</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Administrative Agent, and the lenders party thereto.</w:t>
        </w:r>
      </w:hyperlink>
    </w:p>
    <w:p>
      <w:pPr>
        <w:spacing w:after="0" w:line="10" w:lineRule="exact"/>
        <w:rPr>
          <w:rFonts w:ascii="Arial" w:cs="Arial" w:eastAsia="Arial" w:hAnsi="Arial"/>
          <w:sz w:val="16"/>
          <w:szCs w:val="16"/>
          <w:u w:val="single" w:color="auto"/>
          <w:color w:val="0000FF"/>
        </w:rPr>
      </w:pPr>
    </w:p>
    <w:p>
      <w:pPr>
        <w:ind w:left="900" w:hanging="892"/>
        <w:spacing w:after="0" w:line="238" w:lineRule="auto"/>
        <w:tabs>
          <w:tab w:leader="none" w:pos="880" w:val="left"/>
        </w:tabs>
        <w:rPr>
          <w:rFonts w:ascii="Arial" w:cs="Arial" w:eastAsia="Arial" w:hAnsi="Arial"/>
          <w:sz w:val="15"/>
          <w:szCs w:val="15"/>
          <w:u w:val="single" w:color="auto"/>
          <w:color w:val="0000FF"/>
        </w:rPr>
      </w:pPr>
      <w:r>
        <w:rPr>
          <w:rFonts w:ascii="Arial" w:cs="Arial" w:eastAsia="Arial" w:hAnsi="Arial"/>
          <w:sz w:val="16"/>
          <w:szCs w:val="16"/>
          <w:color w:val="auto"/>
        </w:rPr>
        <w:t>10.10.5</w:t>
      </w:r>
      <w:r>
        <w:rPr>
          <w:sz w:val="20"/>
          <w:szCs w:val="20"/>
          <w:color w:val="auto"/>
        </w:rPr>
        <w:tab/>
      </w:r>
      <w:hyperlink r:id="rId236">
        <w:r>
          <w:rPr>
            <w:rFonts w:ascii="Arial" w:cs="Arial" w:eastAsia="Arial" w:hAnsi="Arial"/>
            <w:sz w:val="15"/>
            <w:szCs w:val="15"/>
            <w:u w:val="single" w:color="auto"/>
            <w:color w:val="0000FF"/>
          </w:rPr>
          <w:t>Fourth Amendment to Amended and Restated Credit Agreement, dated as of</w:t>
        </w:r>
      </w:hyperlink>
      <w:r>
        <w:rPr>
          <w:rFonts w:ascii="Arial" w:cs="Arial" w:eastAsia="Arial" w:hAnsi="Arial"/>
          <w:sz w:val="15"/>
          <w:szCs w:val="15"/>
          <w:u w:val="single" w:color="auto"/>
          <w:color w:val="0000FF"/>
        </w:rPr>
        <w:t xml:space="preserve"> </w:t>
      </w:r>
      <w:hyperlink r:id="rId236">
        <w:r>
          <w:rPr>
            <w:rFonts w:ascii="Arial" w:cs="Arial" w:eastAsia="Arial" w:hAnsi="Arial"/>
            <w:sz w:val="15"/>
            <w:szCs w:val="15"/>
            <w:u w:val="single" w:color="auto"/>
            <w:color w:val="0000FF"/>
          </w:rPr>
          <w:t>November 30, 2018, by and among Clearway Energy Operating LLC,</w:t>
        </w:r>
      </w:hyperlink>
      <w:r>
        <w:rPr>
          <w:rFonts w:ascii="Arial" w:cs="Arial" w:eastAsia="Arial" w:hAnsi="Arial"/>
          <w:sz w:val="15"/>
          <w:szCs w:val="15"/>
          <w:u w:val="single" w:color="auto"/>
          <w:color w:val="0000FF"/>
        </w:rPr>
        <w:t xml:space="preserve"> </w:t>
      </w:r>
      <w:hyperlink r:id="rId236">
        <w:r>
          <w:rPr>
            <w:rFonts w:ascii="Arial" w:cs="Arial" w:eastAsia="Arial" w:hAnsi="Arial"/>
            <w:sz w:val="15"/>
            <w:szCs w:val="15"/>
            <w:u w:val="single" w:color="auto"/>
            <w:color w:val="0000FF"/>
          </w:rPr>
          <w:t>Clearway Energy LLC, the guarantors party thereto, JPMorgan Chase Bank,</w:t>
        </w:r>
      </w:hyperlink>
      <w:r>
        <w:rPr>
          <w:rFonts w:ascii="Arial" w:cs="Arial" w:eastAsia="Arial" w:hAnsi="Arial"/>
          <w:sz w:val="15"/>
          <w:szCs w:val="15"/>
          <w:u w:val="single" w:color="auto"/>
          <w:color w:val="0000FF"/>
        </w:rPr>
        <w:t xml:space="preserve"> </w:t>
      </w:r>
      <w:hyperlink r:id="rId236">
        <w:r>
          <w:rPr>
            <w:rFonts w:ascii="Arial" w:cs="Arial" w:eastAsia="Arial" w:hAnsi="Arial"/>
            <w:sz w:val="15"/>
            <w:szCs w:val="15"/>
            <w:u w:val="single" w:color="auto"/>
            <w:color w:val="0000FF"/>
          </w:rPr>
          <w:t>N.A., as administrative agent, and the lenders party thereto.</w:t>
        </w:r>
      </w:hyperlink>
    </w:p>
    <w:p>
      <w:pPr>
        <w:spacing w:after="0" w:line="9" w:lineRule="exact"/>
        <w:rPr>
          <w:rFonts w:ascii="Arial" w:cs="Arial" w:eastAsia="Arial" w:hAnsi="Arial"/>
          <w:sz w:val="15"/>
          <w:szCs w:val="15"/>
          <w:u w:val="single" w:color="auto"/>
          <w:color w:val="0000FF"/>
        </w:rPr>
      </w:pPr>
    </w:p>
    <w:p>
      <w:pPr>
        <w:ind w:left="900" w:right="20" w:hanging="892"/>
        <w:spacing w:after="0" w:line="238" w:lineRule="auto"/>
        <w:tabs>
          <w:tab w:leader="none" w:pos="880" w:val="left"/>
        </w:tabs>
        <w:rPr>
          <w:rFonts w:ascii="Arial" w:cs="Arial" w:eastAsia="Arial" w:hAnsi="Arial"/>
          <w:sz w:val="15"/>
          <w:szCs w:val="15"/>
          <w:u w:val="single" w:color="auto"/>
          <w:color w:val="0000FF"/>
        </w:rPr>
      </w:pPr>
      <w:r>
        <w:rPr>
          <w:rFonts w:ascii="Arial" w:cs="Arial" w:eastAsia="Arial" w:hAnsi="Arial"/>
          <w:sz w:val="16"/>
          <w:szCs w:val="16"/>
          <w:color w:val="auto"/>
        </w:rPr>
        <w:t>10.10.6</w:t>
      </w:r>
      <w:r>
        <w:rPr>
          <w:sz w:val="20"/>
          <w:szCs w:val="20"/>
          <w:color w:val="auto"/>
        </w:rPr>
        <w:tab/>
      </w:r>
      <w:hyperlink r:id="rId237">
        <w:r>
          <w:rPr>
            <w:rFonts w:ascii="Arial" w:cs="Arial" w:eastAsia="Arial" w:hAnsi="Arial"/>
            <w:sz w:val="15"/>
            <w:szCs w:val="15"/>
            <w:u w:val="single" w:color="auto"/>
            <w:color w:val="0000FF"/>
          </w:rPr>
          <w:t>Fifth Amendment to Amended and Restated Credit Agreement, dated as of</w:t>
        </w:r>
      </w:hyperlink>
      <w:r>
        <w:rPr>
          <w:rFonts w:ascii="Arial" w:cs="Arial" w:eastAsia="Arial" w:hAnsi="Arial"/>
          <w:sz w:val="15"/>
          <w:szCs w:val="15"/>
          <w:u w:val="single" w:color="auto"/>
          <w:color w:val="0000FF"/>
        </w:rPr>
        <w:t xml:space="preserve"> </w:t>
      </w:r>
      <w:hyperlink r:id="rId237">
        <w:r>
          <w:rPr>
            <w:rFonts w:ascii="Arial" w:cs="Arial" w:eastAsia="Arial" w:hAnsi="Arial"/>
            <w:sz w:val="15"/>
            <w:szCs w:val="15"/>
            <w:u w:val="single" w:color="auto"/>
            <w:color w:val="0000FF"/>
          </w:rPr>
          <w:t>December 20, 2019, by and among Clearway Energy Operating LLC,</w:t>
        </w:r>
      </w:hyperlink>
      <w:r>
        <w:rPr>
          <w:rFonts w:ascii="Arial" w:cs="Arial" w:eastAsia="Arial" w:hAnsi="Arial"/>
          <w:sz w:val="15"/>
          <w:szCs w:val="15"/>
          <w:u w:val="single" w:color="auto"/>
          <w:color w:val="0000FF"/>
        </w:rPr>
        <w:t xml:space="preserve"> </w:t>
      </w:r>
      <w:hyperlink r:id="rId237">
        <w:r>
          <w:rPr>
            <w:rFonts w:ascii="Arial" w:cs="Arial" w:eastAsia="Arial" w:hAnsi="Arial"/>
            <w:sz w:val="15"/>
            <w:szCs w:val="15"/>
            <w:u w:val="single" w:color="auto"/>
            <w:color w:val="0000FF"/>
          </w:rPr>
          <w:t>Clearway Energy LLC, the guarantors party thereto, JPMorgan Chase Bank,</w:t>
        </w:r>
      </w:hyperlink>
      <w:r>
        <w:rPr>
          <w:rFonts w:ascii="Arial" w:cs="Arial" w:eastAsia="Arial" w:hAnsi="Arial"/>
          <w:sz w:val="15"/>
          <w:szCs w:val="15"/>
          <w:u w:val="single" w:color="auto"/>
          <w:color w:val="0000FF"/>
        </w:rPr>
        <w:t xml:space="preserve"> </w:t>
      </w:r>
      <w:hyperlink r:id="rId237">
        <w:r>
          <w:rPr>
            <w:rFonts w:ascii="Arial" w:cs="Arial" w:eastAsia="Arial" w:hAnsi="Arial"/>
            <w:sz w:val="15"/>
            <w:szCs w:val="15"/>
            <w:u w:val="single" w:color="auto"/>
            <w:color w:val="0000FF"/>
          </w:rPr>
          <w:t>N.A., as administrative agent, and the lenders party thereto.</w:t>
        </w:r>
      </w:hyperlink>
    </w:p>
    <w:p>
      <w:pPr>
        <w:spacing w:after="0" w:line="9" w:lineRule="exact"/>
        <w:rPr>
          <w:rFonts w:ascii="Arial" w:cs="Arial" w:eastAsia="Arial" w:hAnsi="Arial"/>
          <w:sz w:val="15"/>
          <w:szCs w:val="15"/>
          <w:u w:val="single" w:color="auto"/>
          <w:color w:val="0000FF"/>
        </w:rPr>
      </w:pPr>
    </w:p>
    <w:p>
      <w:pPr>
        <w:ind w:left="900" w:right="20" w:hanging="892"/>
        <w:spacing w:after="0" w:line="255" w:lineRule="auto"/>
        <w:tabs>
          <w:tab w:leader="none" w:pos="880" w:val="left"/>
        </w:tabs>
        <w:rPr>
          <w:rFonts w:ascii="Arial" w:cs="Arial" w:eastAsia="Arial" w:hAnsi="Arial"/>
          <w:sz w:val="15"/>
          <w:szCs w:val="15"/>
          <w:u w:val="single" w:color="auto"/>
          <w:color w:val="0000FF"/>
        </w:rPr>
      </w:pPr>
      <w:r>
        <w:rPr>
          <w:rFonts w:ascii="Arial" w:cs="Arial" w:eastAsia="Arial" w:hAnsi="Arial"/>
          <w:sz w:val="16"/>
          <w:szCs w:val="16"/>
          <w:color w:val="auto"/>
        </w:rPr>
        <w:t>10.10.7</w:t>
      </w:r>
      <w:r>
        <w:rPr>
          <w:sz w:val="20"/>
          <w:szCs w:val="20"/>
          <w:color w:val="auto"/>
        </w:rPr>
        <w:tab/>
      </w:r>
      <w:hyperlink r:id="rId238">
        <w:r>
          <w:rPr>
            <w:rFonts w:ascii="Arial" w:cs="Arial" w:eastAsia="Arial" w:hAnsi="Arial"/>
            <w:sz w:val="15"/>
            <w:szCs w:val="15"/>
            <w:u w:val="single" w:color="auto"/>
            <w:color w:val="0000FF"/>
          </w:rPr>
          <w:t>Sixth Amendment to Amended and Restated Credit Agreement, effective as</w:t>
        </w:r>
      </w:hyperlink>
      <w:r>
        <w:rPr>
          <w:rFonts w:ascii="Arial" w:cs="Arial" w:eastAsia="Arial" w:hAnsi="Arial"/>
          <w:sz w:val="15"/>
          <w:szCs w:val="15"/>
          <w:u w:val="single" w:color="auto"/>
          <w:color w:val="0000FF"/>
        </w:rPr>
        <w:t xml:space="preserve"> </w:t>
      </w:r>
      <w:hyperlink r:id="rId238">
        <w:r>
          <w:rPr>
            <w:rFonts w:ascii="Arial" w:cs="Arial" w:eastAsia="Arial" w:hAnsi="Arial"/>
            <w:sz w:val="15"/>
            <w:szCs w:val="15"/>
            <w:u w:val="single" w:color="auto"/>
            <w:color w:val="0000FF"/>
          </w:rPr>
          <w:t>of November 30, 2021, by and among Clearway Energy Operating LLC,</w:t>
        </w:r>
      </w:hyperlink>
      <w:r>
        <w:rPr>
          <w:rFonts w:ascii="Arial" w:cs="Arial" w:eastAsia="Arial" w:hAnsi="Arial"/>
          <w:sz w:val="15"/>
          <w:szCs w:val="15"/>
          <w:u w:val="single" w:color="auto"/>
          <w:color w:val="0000FF"/>
        </w:rPr>
        <w:t xml:space="preserve"> </w:t>
      </w:r>
      <w:hyperlink r:id="rId238">
        <w:r>
          <w:rPr>
            <w:rFonts w:ascii="Arial" w:cs="Arial" w:eastAsia="Arial" w:hAnsi="Arial"/>
            <w:sz w:val="15"/>
            <w:szCs w:val="15"/>
            <w:u w:val="single" w:color="auto"/>
            <w:color w:val="0000FF"/>
          </w:rPr>
          <w:t>Clearway Energy LLC, the guarantors party thereto, JPMorgan Chase Bank,</w:t>
        </w:r>
      </w:hyperlink>
      <w:r>
        <w:rPr>
          <w:rFonts w:ascii="Arial" w:cs="Arial" w:eastAsia="Arial" w:hAnsi="Arial"/>
          <w:sz w:val="15"/>
          <w:szCs w:val="15"/>
          <w:u w:val="single" w:color="auto"/>
          <w:color w:val="0000FF"/>
        </w:rPr>
        <w:t xml:space="preserve"> </w:t>
      </w:r>
      <w:hyperlink r:id="rId238">
        <w:r>
          <w:rPr>
            <w:rFonts w:ascii="Arial" w:cs="Arial" w:eastAsia="Arial" w:hAnsi="Arial"/>
            <w:sz w:val="15"/>
            <w:szCs w:val="15"/>
            <w:u w:val="single" w:color="auto"/>
            <w:color w:val="0000FF"/>
          </w:rPr>
          <w:t>N.A., as administrative agent, and the lenders party thereto.</w:t>
        </w:r>
      </w:hyperlink>
    </w:p>
    <w:p>
      <w:pPr>
        <w:spacing w:after="0" w:line="13" w:lineRule="exact"/>
        <w:rPr>
          <w:rFonts w:ascii="Arial" w:cs="Arial" w:eastAsia="Arial" w:hAnsi="Arial"/>
          <w:sz w:val="15"/>
          <w:szCs w:val="15"/>
          <w:u w:val="single" w:color="auto"/>
          <w:color w:val="0000FF"/>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Arial" w:cs="Arial" w:eastAsia="Arial" w:hAnsi="Arial"/>
                <w:sz w:val="16"/>
                <w:szCs w:val="16"/>
                <w:color w:val="auto"/>
              </w:rPr>
              <w:t>10.11†</w:t>
            </w:r>
          </w:p>
        </w:tc>
        <w:tc>
          <w:tcPr>
            <w:tcW w:w="4880" w:type="dxa"/>
            <w:vAlign w:val="bottom"/>
            <w:gridSpan w:val="7"/>
            <w:vMerge w:val="restart"/>
          </w:tcPr>
          <w:p>
            <w:pPr>
              <w:spacing w:after="0"/>
              <w:rPr>
                <w:rFonts w:ascii="Arial" w:cs="Arial" w:eastAsia="Arial" w:hAnsi="Arial"/>
                <w:sz w:val="16"/>
                <w:szCs w:val="16"/>
                <w:color w:val="0000FF"/>
                <w:w w:val="91"/>
              </w:rPr>
            </w:pPr>
            <w:hyperlink r:id="rId239">
              <w:r>
                <w:rPr>
                  <w:rFonts w:ascii="Arial" w:cs="Arial" w:eastAsia="Arial" w:hAnsi="Arial"/>
                  <w:sz w:val="16"/>
                  <w:szCs w:val="16"/>
                  <w:color w:val="0000FF"/>
                  <w:w w:val="91"/>
                </w:rPr>
                <w:t>Form of Clearway Energy, Inc. 2013 Equity Incentive Plan Restricted Stock</w:t>
              </w:r>
            </w:hyperlink>
          </w:p>
        </w:tc>
        <w:tc>
          <w:tcPr>
            <w:tcW w:w="0" w:type="dxa"/>
            <w:vAlign w:val="bottom"/>
          </w:tcPr>
          <w:p>
            <w:pPr>
              <w:spacing w:after="0"/>
              <w:rPr>
                <w:sz w:val="1"/>
                <w:szCs w:val="1"/>
                <w:color w:val="auto"/>
              </w:rPr>
            </w:pPr>
          </w:p>
        </w:tc>
      </w:tr>
      <w:tr>
        <w:trPr>
          <w:trHeight w:val="59"/>
        </w:trPr>
        <w:tc>
          <w:tcPr>
            <w:tcW w:w="900" w:type="dxa"/>
            <w:vAlign w:val="bottom"/>
          </w:tcPr>
          <w:p>
            <w:pPr>
              <w:spacing w:after="0"/>
              <w:rPr>
                <w:sz w:val="5"/>
                <w:szCs w:val="5"/>
                <w:color w:val="auto"/>
              </w:rPr>
            </w:pPr>
          </w:p>
        </w:tc>
        <w:tc>
          <w:tcPr>
            <w:tcW w:w="48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1860" w:type="dxa"/>
            <w:vAlign w:val="bottom"/>
            <w:tcBorders>
              <w:top w:val="single" w:sz="8" w:color="0000FF"/>
              <w:bottom w:val="single" w:sz="8" w:color="0000FF"/>
            </w:tcBorders>
          </w:tcPr>
          <w:p>
            <w:pPr>
              <w:spacing w:after="0" w:line="140" w:lineRule="exact"/>
              <w:rPr>
                <w:rFonts w:ascii="Arial" w:cs="Arial" w:eastAsia="Arial" w:hAnsi="Arial"/>
                <w:sz w:val="16"/>
                <w:szCs w:val="16"/>
                <w:color w:val="0000FF"/>
                <w:w w:val="92"/>
              </w:rPr>
            </w:pPr>
            <w:hyperlink r:id="rId239">
              <w:r>
                <w:rPr>
                  <w:rFonts w:ascii="Arial" w:cs="Arial" w:eastAsia="Arial" w:hAnsi="Arial"/>
                  <w:sz w:val="16"/>
                  <w:szCs w:val="16"/>
                  <w:color w:val="0000FF"/>
                  <w:w w:val="92"/>
                </w:rPr>
                <w:t>Unit Agreement for Officers.</w:t>
              </w:r>
            </w:hyperlink>
          </w:p>
        </w:tc>
        <w:tc>
          <w:tcPr>
            <w:tcW w:w="30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900" w:type="dxa"/>
            <w:vAlign w:val="bottom"/>
          </w:tcPr>
          <w:p>
            <w:pPr>
              <w:spacing w:after="0"/>
              <w:rPr>
                <w:sz w:val="20"/>
                <w:szCs w:val="20"/>
                <w:color w:val="auto"/>
              </w:rPr>
            </w:pPr>
            <w:r>
              <w:rPr>
                <w:rFonts w:ascii="Arial" w:cs="Arial" w:eastAsia="Arial" w:hAnsi="Arial"/>
                <w:sz w:val="16"/>
                <w:szCs w:val="16"/>
                <w:color w:val="auto"/>
              </w:rPr>
              <w:t>10.12†</w:t>
            </w:r>
          </w:p>
        </w:tc>
        <w:tc>
          <w:tcPr>
            <w:tcW w:w="4880" w:type="dxa"/>
            <w:vAlign w:val="bottom"/>
            <w:gridSpan w:val="7"/>
            <w:vMerge w:val="restart"/>
          </w:tcPr>
          <w:p>
            <w:pPr>
              <w:spacing w:after="0"/>
              <w:rPr>
                <w:rFonts w:ascii="Arial" w:cs="Arial" w:eastAsia="Arial" w:hAnsi="Arial"/>
                <w:sz w:val="16"/>
                <w:szCs w:val="16"/>
                <w:color w:val="0000FF"/>
                <w:w w:val="91"/>
              </w:rPr>
            </w:pPr>
            <w:hyperlink r:id="rId240">
              <w:r>
                <w:rPr>
                  <w:rFonts w:ascii="Arial" w:cs="Arial" w:eastAsia="Arial" w:hAnsi="Arial"/>
                  <w:sz w:val="16"/>
                  <w:szCs w:val="16"/>
                  <w:color w:val="0000FF"/>
                  <w:w w:val="91"/>
                </w:rPr>
                <w:t>Form of Clearway Energy, Inc. 2013 Equity Incentive Plan Restricted Stock</w:t>
              </w:r>
            </w:hyperlink>
          </w:p>
        </w:tc>
        <w:tc>
          <w:tcPr>
            <w:tcW w:w="0" w:type="dxa"/>
            <w:vAlign w:val="bottom"/>
          </w:tcPr>
          <w:p>
            <w:pPr>
              <w:spacing w:after="0"/>
              <w:rPr>
                <w:sz w:val="1"/>
                <w:szCs w:val="1"/>
                <w:color w:val="auto"/>
              </w:rPr>
            </w:pPr>
          </w:p>
        </w:tc>
      </w:tr>
      <w:tr>
        <w:trPr>
          <w:trHeight w:val="59"/>
        </w:trPr>
        <w:tc>
          <w:tcPr>
            <w:tcW w:w="900" w:type="dxa"/>
            <w:vAlign w:val="bottom"/>
          </w:tcPr>
          <w:p>
            <w:pPr>
              <w:spacing w:after="0"/>
              <w:rPr>
                <w:sz w:val="5"/>
                <w:szCs w:val="5"/>
                <w:color w:val="auto"/>
              </w:rPr>
            </w:pPr>
          </w:p>
        </w:tc>
        <w:tc>
          <w:tcPr>
            <w:tcW w:w="48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2160" w:type="dxa"/>
            <w:vAlign w:val="bottom"/>
            <w:tcBorders>
              <w:top w:val="single" w:sz="8" w:color="0000FF"/>
              <w:bottom w:val="single" w:sz="8" w:color="0000FF"/>
            </w:tcBorders>
            <w:gridSpan w:val="2"/>
          </w:tcPr>
          <w:p>
            <w:pPr>
              <w:spacing w:after="0" w:line="140" w:lineRule="exact"/>
              <w:rPr>
                <w:rFonts w:ascii="Arial" w:cs="Arial" w:eastAsia="Arial" w:hAnsi="Arial"/>
                <w:sz w:val="16"/>
                <w:szCs w:val="16"/>
                <w:color w:val="0000FF"/>
                <w:w w:val="93"/>
              </w:rPr>
            </w:pPr>
            <w:hyperlink r:id="rId240">
              <w:r>
                <w:rPr>
                  <w:rFonts w:ascii="Arial" w:cs="Arial" w:eastAsia="Arial" w:hAnsi="Arial"/>
                  <w:sz w:val="16"/>
                  <w:szCs w:val="16"/>
                  <w:color w:val="0000FF"/>
                  <w:w w:val="93"/>
                </w:rPr>
                <w:t>Unit Agreement for Non-officers.</w:t>
              </w:r>
            </w:hyperlink>
          </w:p>
        </w:tc>
        <w:tc>
          <w:tcPr>
            <w:tcW w:w="270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900" w:type="dxa"/>
            <w:vAlign w:val="bottom"/>
          </w:tcPr>
          <w:p>
            <w:pPr>
              <w:spacing w:after="0"/>
              <w:rPr>
                <w:sz w:val="20"/>
                <w:szCs w:val="20"/>
                <w:color w:val="auto"/>
              </w:rPr>
            </w:pPr>
            <w:r>
              <w:rPr>
                <w:rFonts w:ascii="Arial" w:cs="Arial" w:eastAsia="Arial" w:hAnsi="Arial"/>
                <w:sz w:val="16"/>
                <w:szCs w:val="16"/>
                <w:color w:val="auto"/>
              </w:rPr>
              <w:t>10.13†</w:t>
            </w:r>
          </w:p>
        </w:tc>
        <w:tc>
          <w:tcPr>
            <w:tcW w:w="4880" w:type="dxa"/>
            <w:vAlign w:val="bottom"/>
            <w:gridSpan w:val="7"/>
            <w:vMerge w:val="restart"/>
          </w:tcPr>
          <w:p>
            <w:pPr>
              <w:spacing w:after="0"/>
              <w:rPr>
                <w:rFonts w:ascii="Arial" w:cs="Arial" w:eastAsia="Arial" w:hAnsi="Arial"/>
                <w:sz w:val="16"/>
                <w:szCs w:val="16"/>
                <w:color w:val="0000FF"/>
              </w:rPr>
            </w:pPr>
            <w:hyperlink r:id="rId241">
              <w:r>
                <w:rPr>
                  <w:rFonts w:ascii="Arial" w:cs="Arial" w:eastAsia="Arial" w:hAnsi="Arial"/>
                  <w:sz w:val="16"/>
                  <w:szCs w:val="16"/>
                  <w:color w:val="0000FF"/>
                </w:rPr>
                <w:t>Form of Clearway Energy, Inc. 2013 Equity Incentive Plan Relative</w:t>
              </w:r>
            </w:hyperlink>
          </w:p>
        </w:tc>
        <w:tc>
          <w:tcPr>
            <w:tcW w:w="0" w:type="dxa"/>
            <w:vAlign w:val="bottom"/>
          </w:tcPr>
          <w:p>
            <w:pPr>
              <w:spacing w:after="0"/>
              <w:rPr>
                <w:sz w:val="1"/>
                <w:szCs w:val="1"/>
                <w:color w:val="auto"/>
              </w:rPr>
            </w:pPr>
          </w:p>
        </w:tc>
      </w:tr>
      <w:tr>
        <w:trPr>
          <w:trHeight w:val="59"/>
        </w:trPr>
        <w:tc>
          <w:tcPr>
            <w:tcW w:w="900" w:type="dxa"/>
            <w:vAlign w:val="bottom"/>
          </w:tcPr>
          <w:p>
            <w:pPr>
              <w:spacing w:after="0"/>
              <w:rPr>
                <w:sz w:val="5"/>
                <w:szCs w:val="5"/>
                <w:color w:val="auto"/>
              </w:rPr>
            </w:pPr>
          </w:p>
        </w:tc>
        <w:tc>
          <w:tcPr>
            <w:tcW w:w="48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2340" w:type="dxa"/>
            <w:vAlign w:val="bottom"/>
            <w:tcBorders>
              <w:top w:val="single" w:sz="8" w:color="0000FF"/>
              <w:bottom w:val="single" w:sz="8" w:color="0000FF"/>
            </w:tcBorders>
            <w:gridSpan w:val="3"/>
          </w:tcPr>
          <w:p>
            <w:pPr>
              <w:spacing w:after="0" w:line="140" w:lineRule="exact"/>
              <w:rPr>
                <w:rFonts w:ascii="Arial" w:cs="Arial" w:eastAsia="Arial" w:hAnsi="Arial"/>
                <w:sz w:val="16"/>
                <w:szCs w:val="16"/>
                <w:color w:val="0000FF"/>
                <w:w w:val="90"/>
              </w:rPr>
            </w:pPr>
            <w:hyperlink r:id="rId241">
              <w:r>
                <w:rPr>
                  <w:rFonts w:ascii="Arial" w:cs="Arial" w:eastAsia="Arial" w:hAnsi="Arial"/>
                  <w:sz w:val="16"/>
                  <w:szCs w:val="16"/>
                  <w:color w:val="0000FF"/>
                  <w:w w:val="90"/>
                </w:rPr>
                <w:t>Performance Stock Unit Agreement.</w:t>
              </w:r>
            </w:hyperlink>
          </w:p>
        </w:tc>
        <w:tc>
          <w:tcPr>
            <w:tcW w:w="2000" w:type="dxa"/>
            <w:vAlign w:val="bottom"/>
            <w:tcBorders>
              <w:top w:val="single" w:sz="8" w:color="0000FF"/>
            </w:tcBorders>
            <w:gridSpan w:val="2"/>
          </w:tcPr>
          <w:p>
            <w:pPr>
              <w:spacing w:after="0"/>
              <w:rPr>
                <w:sz w:val="12"/>
                <w:szCs w:val="12"/>
                <w:color w:val="auto"/>
              </w:rPr>
            </w:pPr>
          </w:p>
        </w:tc>
        <w:tc>
          <w:tcPr>
            <w:tcW w:w="5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900" w:type="dxa"/>
            <w:vAlign w:val="bottom"/>
          </w:tcPr>
          <w:p>
            <w:pPr>
              <w:spacing w:after="0"/>
              <w:rPr>
                <w:sz w:val="20"/>
                <w:szCs w:val="20"/>
                <w:color w:val="auto"/>
              </w:rPr>
            </w:pPr>
            <w:r>
              <w:rPr>
                <w:rFonts w:ascii="Arial" w:cs="Arial" w:eastAsia="Arial" w:hAnsi="Arial"/>
                <w:sz w:val="16"/>
                <w:szCs w:val="16"/>
                <w:color w:val="auto"/>
              </w:rPr>
              <w:t>10.14†</w:t>
            </w:r>
          </w:p>
        </w:tc>
        <w:tc>
          <w:tcPr>
            <w:tcW w:w="2940" w:type="dxa"/>
            <w:vAlign w:val="bottom"/>
            <w:gridSpan w:val="4"/>
            <w:vMerge w:val="restart"/>
          </w:tcPr>
          <w:p>
            <w:pPr>
              <w:spacing w:after="0"/>
              <w:rPr>
                <w:rFonts w:ascii="Arial" w:cs="Arial" w:eastAsia="Arial" w:hAnsi="Arial"/>
                <w:sz w:val="16"/>
                <w:szCs w:val="16"/>
                <w:color w:val="0000FF"/>
                <w:w w:val="91"/>
              </w:rPr>
            </w:pPr>
            <w:hyperlink r:id="rId242">
              <w:r>
                <w:rPr>
                  <w:rFonts w:ascii="Arial" w:cs="Arial" w:eastAsia="Arial" w:hAnsi="Arial"/>
                  <w:sz w:val="16"/>
                  <w:szCs w:val="16"/>
                  <w:color w:val="0000FF"/>
                  <w:w w:val="91"/>
                </w:rPr>
                <w:t>Clearway Energy, Inc. Annual Incentive Plan.</w:t>
              </w:r>
            </w:hyperlink>
          </w:p>
        </w:tc>
        <w:tc>
          <w:tcPr>
            <w:tcW w:w="194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900" w:type="dxa"/>
            <w:vAlign w:val="bottom"/>
          </w:tcPr>
          <w:p>
            <w:pPr>
              <w:spacing w:after="0"/>
              <w:rPr>
                <w:sz w:val="5"/>
                <w:szCs w:val="5"/>
                <w:color w:val="auto"/>
              </w:rPr>
            </w:pPr>
          </w:p>
        </w:tc>
        <w:tc>
          <w:tcPr>
            <w:tcW w:w="2940" w:type="dxa"/>
            <w:vAlign w:val="bottom"/>
            <w:tcBorders>
              <w:bottom w:val="single" w:sz="8" w:color="0000FF"/>
            </w:tcBorders>
            <w:gridSpan w:val="4"/>
            <w:vMerge w:val="continue"/>
          </w:tcPr>
          <w:p>
            <w:pPr>
              <w:spacing w:after="0"/>
              <w:rPr>
                <w:sz w:val="5"/>
                <w:szCs w:val="5"/>
                <w:color w:val="auto"/>
              </w:rPr>
            </w:pPr>
          </w:p>
        </w:tc>
        <w:tc>
          <w:tcPr>
            <w:tcW w:w="19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10.9 to the Company's Quarterly Report on Form 10-Q filed on August 4, 2015.</w:t>
      </w:r>
    </w:p>
    <w:p>
      <w:pPr>
        <w:spacing w:after="0" w:line="11"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February 12, 2018.</w:t>
      </w:r>
    </w:p>
    <w:p>
      <w:pPr>
        <w:spacing w:after="0" w:line="171" w:lineRule="exact"/>
        <w:rPr>
          <w:sz w:val="20"/>
          <w:szCs w:val="20"/>
          <w:color w:val="auto"/>
        </w:rPr>
      </w:pPr>
    </w:p>
    <w:p>
      <w:pPr>
        <w:ind w:right="419"/>
        <w:spacing w:after="0" w:line="227"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May 3, 2018.</w:t>
      </w:r>
    </w:p>
    <w:p>
      <w:pPr>
        <w:spacing w:after="0" w:line="200" w:lineRule="exact"/>
        <w:rPr>
          <w:sz w:val="20"/>
          <w:szCs w:val="20"/>
          <w:color w:val="auto"/>
        </w:rPr>
      </w:pPr>
    </w:p>
    <w:p>
      <w:pPr>
        <w:spacing w:after="0" w:line="291"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6, 2018.</w:t>
      </w:r>
    </w:p>
    <w:p>
      <w:pPr>
        <w:spacing w:after="0" w:line="171"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23, 2019.</w:t>
      </w:r>
    </w:p>
    <w:p>
      <w:pPr>
        <w:spacing w:after="0" w:line="171" w:lineRule="exact"/>
        <w:rPr>
          <w:sz w:val="20"/>
          <w:szCs w:val="20"/>
          <w:color w:val="auto"/>
        </w:rPr>
      </w:pPr>
    </w:p>
    <w:p>
      <w:pPr>
        <w:ind w:right="599"/>
        <w:spacing w:after="0" w:line="239"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1, 2021.</w:t>
      </w:r>
    </w:p>
    <w:p>
      <w:pPr>
        <w:spacing w:after="0" w:line="197" w:lineRule="exact"/>
        <w:rPr>
          <w:sz w:val="20"/>
          <w:szCs w:val="20"/>
          <w:color w:val="auto"/>
        </w:rPr>
      </w:pPr>
    </w:p>
    <w:p>
      <w:pPr>
        <w:ind w:right="519"/>
        <w:spacing w:after="0" w:line="227" w:lineRule="auto"/>
        <w:rPr>
          <w:sz w:val="20"/>
          <w:szCs w:val="20"/>
          <w:color w:val="auto"/>
        </w:rPr>
      </w:pPr>
      <w:r>
        <w:rPr>
          <w:rFonts w:ascii="Arial" w:cs="Arial" w:eastAsia="Arial" w:hAnsi="Arial"/>
          <w:sz w:val="16"/>
          <w:szCs w:val="16"/>
          <w:color w:val="auto"/>
        </w:rPr>
        <w:t>Incorporated herein by reference to Exhibit 10.22 to the Company's Annual Report on Form 10-K filed on February 28, 2019.</w:t>
      </w:r>
    </w:p>
    <w:p>
      <w:pPr>
        <w:spacing w:after="0" w:line="24" w:lineRule="exact"/>
        <w:rPr>
          <w:sz w:val="20"/>
          <w:szCs w:val="20"/>
          <w:color w:val="auto"/>
        </w:rPr>
      </w:pPr>
    </w:p>
    <w:p>
      <w:pPr>
        <w:ind w:right="519"/>
        <w:spacing w:after="0" w:line="227" w:lineRule="auto"/>
        <w:rPr>
          <w:sz w:val="20"/>
          <w:szCs w:val="20"/>
          <w:color w:val="auto"/>
        </w:rPr>
      </w:pPr>
      <w:r>
        <w:rPr>
          <w:rFonts w:ascii="Arial" w:cs="Arial" w:eastAsia="Arial" w:hAnsi="Arial"/>
          <w:sz w:val="16"/>
          <w:szCs w:val="16"/>
          <w:color w:val="auto"/>
        </w:rPr>
        <w:t>Incorporated herein by reference to Exhibit 10.23 to the Company's Annual Report on Form 10-K filed on February 28, 2019.</w:t>
      </w:r>
    </w:p>
    <w:p>
      <w:pPr>
        <w:spacing w:after="0" w:line="24" w:lineRule="exact"/>
        <w:rPr>
          <w:sz w:val="20"/>
          <w:szCs w:val="20"/>
          <w:color w:val="auto"/>
        </w:rPr>
      </w:pPr>
    </w:p>
    <w:p>
      <w:pPr>
        <w:ind w:right="519"/>
        <w:spacing w:after="0" w:line="227" w:lineRule="auto"/>
        <w:rPr>
          <w:sz w:val="20"/>
          <w:szCs w:val="20"/>
          <w:color w:val="auto"/>
        </w:rPr>
      </w:pPr>
      <w:r>
        <w:rPr>
          <w:rFonts w:ascii="Arial" w:cs="Arial" w:eastAsia="Arial" w:hAnsi="Arial"/>
          <w:sz w:val="16"/>
          <w:szCs w:val="16"/>
          <w:color w:val="auto"/>
        </w:rPr>
        <w:t>Incorporated herein by reference to Exhibit 10.24 to the Company's Annual Report on Form 10-K filed on February 28, 2019.</w:t>
      </w:r>
    </w:p>
    <w:p>
      <w:pPr>
        <w:spacing w:after="0" w:line="118" w:lineRule="exact"/>
        <w:rPr>
          <w:sz w:val="20"/>
          <w:szCs w:val="20"/>
          <w:color w:val="auto"/>
        </w:rPr>
      </w:pPr>
    </w:p>
    <w:p>
      <w:pPr>
        <w:ind w:right="519"/>
        <w:spacing w:after="0" w:line="227" w:lineRule="auto"/>
        <w:rPr>
          <w:sz w:val="20"/>
          <w:szCs w:val="20"/>
          <w:color w:val="auto"/>
        </w:rPr>
      </w:pPr>
      <w:r>
        <w:rPr>
          <w:rFonts w:ascii="Arial" w:cs="Arial" w:eastAsia="Arial" w:hAnsi="Arial"/>
          <w:sz w:val="16"/>
          <w:szCs w:val="16"/>
          <w:color w:val="auto"/>
        </w:rPr>
        <w:t>Incorporated herein by reference to Exhibit 10.25 to the Company's Annual Report on Form 10-K filed on February 28, 2019.</w:t>
      </w:r>
    </w:p>
    <w:p>
      <w:pPr>
        <w:spacing w:after="0" w:line="91" w:lineRule="exact"/>
        <w:rPr>
          <w:sz w:val="20"/>
          <w:szCs w:val="20"/>
          <w:color w:val="auto"/>
        </w:rPr>
      </w:pPr>
    </w:p>
    <w:p>
      <w:pPr>
        <w:sectPr>
          <w:pgSz w:w="11900" w:h="16838" w:orient="portrait"/>
          <w:cols w:equalWidth="0" w:num="2">
            <w:col w:w="5800" w:space="220"/>
            <w:col w:w="4099"/>
          </w:cols>
          <w:pgMar w:left="340" w:top="929" w:right="1440" w:bottom="1440" w:gutter="0" w:footer="0" w:header="0"/>
        </w:sect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Arial" w:cs="Arial" w:eastAsia="Arial" w:hAnsi="Arial"/>
                <w:sz w:val="16"/>
                <w:szCs w:val="16"/>
                <w:color w:val="auto"/>
              </w:rPr>
              <w:t>10.15†</w:t>
            </w:r>
          </w:p>
        </w:tc>
        <w:tc>
          <w:tcPr>
            <w:tcW w:w="5000" w:type="dxa"/>
            <w:vAlign w:val="bottom"/>
            <w:gridSpan w:val="4"/>
            <w:vMerge w:val="restart"/>
          </w:tcPr>
          <w:p>
            <w:pPr>
              <w:spacing w:after="0"/>
              <w:rPr>
                <w:rFonts w:ascii="Arial" w:cs="Arial" w:eastAsia="Arial" w:hAnsi="Arial"/>
                <w:sz w:val="16"/>
                <w:szCs w:val="16"/>
                <w:color w:val="0000FF"/>
              </w:rPr>
            </w:pPr>
            <w:hyperlink r:id="rId243">
              <w:r>
                <w:rPr>
                  <w:rFonts w:ascii="Arial" w:cs="Arial" w:eastAsia="Arial" w:hAnsi="Arial"/>
                  <w:sz w:val="16"/>
                  <w:szCs w:val="16"/>
                  <w:color w:val="0000FF"/>
                </w:rPr>
                <w:t>Clearway Energy, Inc. Involuntary Severance Plan.</w:t>
              </w:r>
            </w:hyperlink>
          </w:p>
        </w:tc>
        <w:tc>
          <w:tcPr>
            <w:tcW w:w="3820" w:type="dxa"/>
            <w:vAlign w:val="bottom"/>
            <w:vMerge w:val="restart"/>
          </w:tcPr>
          <w:p>
            <w:pPr>
              <w:ind w:left="120"/>
              <w:spacing w:after="0"/>
              <w:rPr>
                <w:sz w:val="20"/>
                <w:szCs w:val="20"/>
                <w:color w:val="auto"/>
              </w:rPr>
            </w:pPr>
            <w:r>
              <w:rPr>
                <w:rFonts w:ascii="Arial" w:cs="Arial" w:eastAsia="Arial" w:hAnsi="Arial"/>
                <w:sz w:val="16"/>
                <w:szCs w:val="16"/>
                <w:color w:val="auto"/>
                <w:w w:val="94"/>
              </w:rPr>
              <w:t>Incorporated herein by reference to Exhibit 10.26 to the</w:t>
            </w:r>
          </w:p>
        </w:tc>
        <w:tc>
          <w:tcPr>
            <w:tcW w:w="0" w:type="dxa"/>
            <w:vAlign w:val="bottom"/>
          </w:tcPr>
          <w:p>
            <w:pPr>
              <w:spacing w:after="0"/>
              <w:rPr>
                <w:sz w:val="1"/>
                <w:szCs w:val="1"/>
                <w:color w:val="auto"/>
              </w:rPr>
            </w:pPr>
          </w:p>
        </w:tc>
      </w:tr>
      <w:tr>
        <w:trPr>
          <w:trHeight w:val="59"/>
        </w:trPr>
        <w:tc>
          <w:tcPr>
            <w:tcW w:w="900" w:type="dxa"/>
            <w:vAlign w:val="bottom"/>
          </w:tcPr>
          <w:p>
            <w:pPr>
              <w:spacing w:after="0"/>
              <w:rPr>
                <w:sz w:val="5"/>
                <w:szCs w:val="5"/>
                <w:color w:val="auto"/>
              </w:rPr>
            </w:pPr>
          </w:p>
        </w:tc>
        <w:tc>
          <w:tcPr>
            <w:tcW w:w="5000" w:type="dxa"/>
            <w:vAlign w:val="bottom"/>
            <w:gridSpan w:val="4"/>
            <w:vMerge w:val="continue"/>
          </w:tcPr>
          <w:p>
            <w:pPr>
              <w:spacing w:after="0"/>
              <w:rPr>
                <w:sz w:val="5"/>
                <w:szCs w:val="5"/>
                <w:color w:val="auto"/>
              </w:rPr>
            </w:pPr>
          </w:p>
        </w:tc>
        <w:tc>
          <w:tcPr>
            <w:tcW w:w="3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90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2960" w:type="dxa"/>
            <w:vAlign w:val="bottom"/>
            <w:tcBorders>
              <w:top w:val="single" w:sz="8" w:color="0000FF"/>
            </w:tcBorders>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20" w:type="dxa"/>
            <w:vAlign w:val="bottom"/>
          </w:tcPr>
          <w:p>
            <w:pPr>
              <w:ind w:left="120"/>
              <w:spacing w:after="0" w:line="130" w:lineRule="exact"/>
              <w:rPr>
                <w:sz w:val="20"/>
                <w:szCs w:val="20"/>
                <w:color w:val="auto"/>
              </w:rPr>
            </w:pPr>
            <w:r>
              <w:rPr>
                <w:rFonts w:ascii="Arial" w:cs="Arial" w:eastAsia="Arial" w:hAnsi="Arial"/>
                <w:sz w:val="15"/>
                <w:szCs w:val="15"/>
                <w:color w:val="auto"/>
                <w:w w:val="99"/>
              </w:rPr>
              <w:t>Company's Annual Report on Form 10-K filed on March</w:t>
            </w: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Pr>
          <w:p>
            <w:pPr>
              <w:ind w:left="120"/>
              <w:spacing w:after="0"/>
              <w:rPr>
                <w:sz w:val="20"/>
                <w:szCs w:val="20"/>
                <w:color w:val="auto"/>
              </w:rPr>
            </w:pPr>
            <w:r>
              <w:rPr>
                <w:rFonts w:ascii="Arial" w:cs="Arial" w:eastAsia="Arial" w:hAnsi="Arial"/>
                <w:sz w:val="16"/>
                <w:szCs w:val="16"/>
                <w:color w:val="auto"/>
              </w:rPr>
              <w:t>2, 2020.</w:t>
            </w:r>
          </w:p>
        </w:tc>
        <w:tc>
          <w:tcPr>
            <w:tcW w:w="0" w:type="dxa"/>
            <w:vAlign w:val="bottom"/>
          </w:tcPr>
          <w:p>
            <w:pPr>
              <w:spacing w:after="0"/>
              <w:rPr>
                <w:sz w:val="1"/>
                <w:szCs w:val="1"/>
                <w:color w:val="auto"/>
              </w:rPr>
            </w:pPr>
          </w:p>
        </w:tc>
      </w:tr>
      <w:tr>
        <w:trPr>
          <w:trHeight w:val="293"/>
        </w:trPr>
        <w:tc>
          <w:tcPr>
            <w:tcW w:w="900" w:type="dxa"/>
            <w:vAlign w:val="bottom"/>
          </w:tcPr>
          <w:p>
            <w:pPr>
              <w:spacing w:after="0"/>
              <w:rPr>
                <w:sz w:val="20"/>
                <w:szCs w:val="20"/>
                <w:color w:val="auto"/>
              </w:rPr>
            </w:pPr>
            <w:r>
              <w:rPr>
                <w:rFonts w:ascii="Arial" w:cs="Arial" w:eastAsia="Arial" w:hAnsi="Arial"/>
                <w:sz w:val="16"/>
                <w:szCs w:val="16"/>
                <w:color w:val="auto"/>
              </w:rPr>
              <w:t>10.16†</w:t>
            </w:r>
          </w:p>
        </w:tc>
        <w:tc>
          <w:tcPr>
            <w:tcW w:w="5000" w:type="dxa"/>
            <w:vAlign w:val="bottom"/>
            <w:gridSpan w:val="4"/>
            <w:vMerge w:val="restart"/>
          </w:tcPr>
          <w:p>
            <w:pPr>
              <w:spacing w:after="0"/>
              <w:rPr>
                <w:rFonts w:ascii="Arial" w:cs="Arial" w:eastAsia="Arial" w:hAnsi="Arial"/>
                <w:sz w:val="16"/>
                <w:szCs w:val="16"/>
                <w:color w:val="0000FF"/>
                <w:w w:val="92"/>
              </w:rPr>
            </w:pPr>
            <w:hyperlink r:id="rId244">
              <w:r>
                <w:rPr>
                  <w:rFonts w:ascii="Arial" w:cs="Arial" w:eastAsia="Arial" w:hAnsi="Arial"/>
                  <w:sz w:val="16"/>
                  <w:szCs w:val="16"/>
                  <w:color w:val="0000FF"/>
                  <w:w w:val="92"/>
                </w:rPr>
                <w:t>Clearway Energy, Inc. Executive Change-in-Control and General Severance</w:t>
              </w:r>
            </w:hyperlink>
          </w:p>
        </w:tc>
        <w:tc>
          <w:tcPr>
            <w:tcW w:w="3820" w:type="dxa"/>
            <w:vAlign w:val="bottom"/>
            <w:vMerge w:val="restart"/>
          </w:tcPr>
          <w:p>
            <w:pPr>
              <w:ind w:left="120"/>
              <w:spacing w:after="0"/>
              <w:rPr>
                <w:sz w:val="20"/>
                <w:szCs w:val="20"/>
                <w:color w:val="auto"/>
              </w:rPr>
            </w:pPr>
            <w:r>
              <w:rPr>
                <w:rFonts w:ascii="Arial" w:cs="Arial" w:eastAsia="Arial" w:hAnsi="Arial"/>
                <w:sz w:val="16"/>
                <w:szCs w:val="16"/>
                <w:color w:val="auto"/>
              </w:rPr>
              <w:t>Incorporated by reference to Exhibit 10.19 to the</w:t>
            </w:r>
          </w:p>
        </w:tc>
        <w:tc>
          <w:tcPr>
            <w:tcW w:w="0" w:type="dxa"/>
            <w:vAlign w:val="bottom"/>
          </w:tcPr>
          <w:p>
            <w:pPr>
              <w:spacing w:after="0"/>
              <w:rPr>
                <w:sz w:val="1"/>
                <w:szCs w:val="1"/>
                <w:color w:val="auto"/>
              </w:rPr>
            </w:pPr>
          </w:p>
        </w:tc>
      </w:tr>
      <w:tr>
        <w:trPr>
          <w:trHeight w:val="59"/>
        </w:trPr>
        <w:tc>
          <w:tcPr>
            <w:tcW w:w="900" w:type="dxa"/>
            <w:vAlign w:val="bottom"/>
          </w:tcPr>
          <w:p>
            <w:pPr>
              <w:spacing w:after="0"/>
              <w:rPr>
                <w:sz w:val="5"/>
                <w:szCs w:val="5"/>
                <w:color w:val="auto"/>
              </w:rPr>
            </w:pPr>
          </w:p>
        </w:tc>
        <w:tc>
          <w:tcPr>
            <w:tcW w:w="5000" w:type="dxa"/>
            <w:vAlign w:val="bottom"/>
            <w:gridSpan w:val="4"/>
            <w:vMerge w:val="continue"/>
          </w:tcPr>
          <w:p>
            <w:pPr>
              <w:spacing w:after="0"/>
              <w:rPr>
                <w:sz w:val="5"/>
                <w:szCs w:val="5"/>
                <w:color w:val="auto"/>
              </w:rPr>
            </w:pPr>
          </w:p>
        </w:tc>
        <w:tc>
          <w:tcPr>
            <w:tcW w:w="3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860" w:type="dxa"/>
            <w:vAlign w:val="bottom"/>
            <w:tcBorders>
              <w:top w:val="single" w:sz="8" w:color="0000FF"/>
            </w:tcBorders>
            <w:gridSpan w:val="3"/>
          </w:tcPr>
          <w:p>
            <w:pPr>
              <w:spacing w:after="0" w:line="140" w:lineRule="exact"/>
              <w:rPr>
                <w:rFonts w:ascii="Arial" w:cs="Arial" w:eastAsia="Arial" w:hAnsi="Arial"/>
                <w:sz w:val="16"/>
                <w:szCs w:val="16"/>
                <w:color w:val="0000FF"/>
              </w:rPr>
            </w:pPr>
            <w:hyperlink r:id="rId244">
              <w:r>
                <w:rPr>
                  <w:rFonts w:ascii="Arial" w:cs="Arial" w:eastAsia="Arial" w:hAnsi="Arial"/>
                  <w:sz w:val="16"/>
                  <w:szCs w:val="16"/>
                  <w:color w:val="0000FF"/>
                </w:rPr>
                <w:t>Plan.</w:t>
              </w:r>
            </w:hyperlink>
          </w:p>
        </w:tc>
        <w:tc>
          <w:tcPr>
            <w:tcW w:w="140" w:type="dxa"/>
            <w:vAlign w:val="bottom"/>
          </w:tcPr>
          <w:p>
            <w:pPr>
              <w:spacing w:after="0"/>
              <w:rPr>
                <w:sz w:val="12"/>
                <w:szCs w:val="12"/>
                <w:color w:val="auto"/>
              </w:rPr>
            </w:pPr>
          </w:p>
        </w:tc>
        <w:tc>
          <w:tcPr>
            <w:tcW w:w="3820" w:type="dxa"/>
            <w:vAlign w:val="bottom"/>
          </w:tcPr>
          <w:p>
            <w:pPr>
              <w:ind w:left="120"/>
              <w:spacing w:after="0" w:line="140" w:lineRule="exact"/>
              <w:rPr>
                <w:sz w:val="20"/>
                <w:szCs w:val="20"/>
                <w:color w:val="auto"/>
              </w:rPr>
            </w:pPr>
            <w:r>
              <w:rPr>
                <w:rFonts w:ascii="Arial" w:cs="Arial" w:eastAsia="Arial" w:hAnsi="Arial"/>
                <w:sz w:val="16"/>
                <w:szCs w:val="16"/>
                <w:color w:val="auto"/>
                <w:w w:val="92"/>
              </w:rPr>
              <w:t>Company's Annual Report on Form 10-K, filed on March</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20" w:type="dxa"/>
            <w:vAlign w:val="bottom"/>
          </w:tcPr>
          <w:p>
            <w:pPr>
              <w:ind w:left="120"/>
              <w:spacing w:after="0"/>
              <w:rPr>
                <w:sz w:val="20"/>
                <w:szCs w:val="20"/>
                <w:color w:val="auto"/>
              </w:rPr>
            </w:pPr>
            <w:r>
              <w:rPr>
                <w:rFonts w:ascii="Arial" w:cs="Arial" w:eastAsia="Arial" w:hAnsi="Arial"/>
                <w:sz w:val="16"/>
                <w:szCs w:val="16"/>
                <w:color w:val="auto"/>
              </w:rPr>
              <w:t>1, 2021.</w:t>
            </w:r>
          </w:p>
        </w:tc>
        <w:tc>
          <w:tcPr>
            <w:tcW w:w="0" w:type="dxa"/>
            <w:vAlign w:val="bottom"/>
          </w:tcPr>
          <w:p>
            <w:pPr>
              <w:spacing w:after="0"/>
              <w:rPr>
                <w:sz w:val="1"/>
                <w:szCs w:val="1"/>
                <w:color w:val="auto"/>
              </w:rPr>
            </w:pPr>
          </w:p>
        </w:tc>
      </w:tr>
    </w:tbl>
    <w:p>
      <w:pPr>
        <w:spacing w:after="0" w:line="79" w:lineRule="exact"/>
        <w:rPr>
          <w:sz w:val="20"/>
          <w:szCs w:val="20"/>
          <w:color w:val="auto"/>
        </w:rPr>
      </w:pPr>
    </w:p>
    <w:p>
      <w:pPr>
        <w:sectPr>
          <w:pgSz w:w="11900" w:h="16838" w:orient="portrait"/>
          <w:cols w:equalWidth="0" w:num="1">
            <w:col w:w="10119"/>
          </w:cols>
          <w:pgMar w:left="340" w:top="929" w:right="1440"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Arial" w:cs="Arial" w:eastAsia="Arial" w:hAnsi="Arial"/>
                <w:sz w:val="16"/>
                <w:szCs w:val="16"/>
                <w:color w:val="auto"/>
              </w:rPr>
              <w:t>10.17†</w:t>
            </w:r>
          </w:p>
        </w:tc>
        <w:tc>
          <w:tcPr>
            <w:tcW w:w="5020" w:type="dxa"/>
            <w:vAlign w:val="bottom"/>
            <w:gridSpan w:val="17"/>
            <w:vMerge w:val="restart"/>
          </w:tcPr>
          <w:p>
            <w:pPr>
              <w:spacing w:after="0"/>
              <w:rPr>
                <w:rFonts w:ascii="Arial" w:cs="Arial" w:eastAsia="Arial" w:hAnsi="Arial"/>
                <w:sz w:val="16"/>
                <w:szCs w:val="16"/>
                <w:color w:val="0000FF"/>
                <w:w w:val="97"/>
              </w:rPr>
            </w:pPr>
            <w:hyperlink r:id="rId245">
              <w:r>
                <w:rPr>
                  <w:rFonts w:ascii="Arial" w:cs="Arial" w:eastAsia="Arial" w:hAnsi="Arial"/>
                  <w:sz w:val="16"/>
                  <w:szCs w:val="16"/>
                  <w:color w:val="0000FF"/>
                  <w:w w:val="97"/>
                </w:rPr>
                <w:t>Clearway Energy, Inc. Key Management Change-in-Control and General</w:t>
              </w:r>
            </w:hyperlink>
          </w:p>
        </w:tc>
        <w:tc>
          <w:tcPr>
            <w:tcW w:w="0" w:type="dxa"/>
            <w:vAlign w:val="bottom"/>
          </w:tcPr>
          <w:p>
            <w:pPr>
              <w:spacing w:after="0"/>
              <w:rPr>
                <w:sz w:val="1"/>
                <w:szCs w:val="1"/>
                <w:color w:val="auto"/>
              </w:rPr>
            </w:pPr>
          </w:p>
        </w:tc>
      </w:tr>
      <w:tr>
        <w:trPr>
          <w:trHeight w:val="59"/>
        </w:trPr>
        <w:tc>
          <w:tcPr>
            <w:tcW w:w="900" w:type="dxa"/>
            <w:vAlign w:val="bottom"/>
          </w:tcPr>
          <w:p>
            <w:pPr>
              <w:spacing w:after="0"/>
              <w:rPr>
                <w:sz w:val="5"/>
                <w:szCs w:val="5"/>
                <w:color w:val="auto"/>
              </w:rPr>
            </w:pPr>
          </w:p>
        </w:tc>
        <w:tc>
          <w:tcPr>
            <w:tcW w:w="502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2"/>
          </w:tcPr>
          <w:p>
            <w:pPr>
              <w:spacing w:after="0" w:line="140" w:lineRule="exact"/>
              <w:rPr>
                <w:rFonts w:ascii="Arial" w:cs="Arial" w:eastAsia="Arial" w:hAnsi="Arial"/>
                <w:sz w:val="16"/>
                <w:szCs w:val="16"/>
                <w:color w:val="0000FF"/>
                <w:w w:val="85"/>
              </w:rPr>
            </w:pPr>
            <w:hyperlink r:id="rId245">
              <w:r>
                <w:rPr>
                  <w:rFonts w:ascii="Arial" w:cs="Arial" w:eastAsia="Arial" w:hAnsi="Arial"/>
                  <w:sz w:val="16"/>
                  <w:szCs w:val="16"/>
                  <w:color w:val="0000FF"/>
                  <w:w w:val="85"/>
                </w:rPr>
                <w:t>Severance Plan.</w:t>
              </w:r>
            </w:hyperlink>
          </w:p>
        </w:tc>
        <w:tc>
          <w:tcPr>
            <w:tcW w:w="3680" w:type="dxa"/>
            <w:vAlign w:val="bottom"/>
            <w:tcBorders>
              <w:top w:val="single" w:sz="8" w:color="0000FF"/>
            </w:tcBorders>
            <w:gridSpan w:val="7"/>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900" w:type="dxa"/>
            <w:vAlign w:val="bottom"/>
          </w:tcPr>
          <w:p>
            <w:pPr>
              <w:spacing w:after="0"/>
              <w:rPr>
                <w:sz w:val="20"/>
                <w:szCs w:val="20"/>
                <w:color w:val="auto"/>
              </w:rPr>
            </w:pPr>
            <w:r>
              <w:rPr>
                <w:rFonts w:ascii="Arial" w:cs="Arial" w:eastAsia="Arial" w:hAnsi="Arial"/>
                <w:sz w:val="16"/>
                <w:szCs w:val="16"/>
                <w:color w:val="auto"/>
              </w:rPr>
              <w:t>10.18^</w:t>
            </w:r>
          </w:p>
        </w:tc>
        <w:tc>
          <w:tcPr>
            <w:tcW w:w="5020" w:type="dxa"/>
            <w:vAlign w:val="bottom"/>
            <w:gridSpan w:val="17"/>
            <w:vMerge w:val="restart"/>
          </w:tcPr>
          <w:p>
            <w:pPr>
              <w:spacing w:after="0"/>
              <w:rPr>
                <w:rFonts w:ascii="Arial" w:cs="Arial" w:eastAsia="Arial" w:hAnsi="Arial"/>
                <w:sz w:val="16"/>
                <w:szCs w:val="16"/>
                <w:color w:val="0000FF"/>
                <w:w w:val="96"/>
              </w:rPr>
            </w:pPr>
            <w:hyperlink r:id="rId246">
              <w:r>
                <w:rPr>
                  <w:rFonts w:ascii="Arial" w:cs="Arial" w:eastAsia="Arial" w:hAnsi="Arial"/>
                  <w:sz w:val="16"/>
                  <w:szCs w:val="16"/>
                  <w:color w:val="0000FF"/>
                  <w:w w:val="96"/>
                </w:rPr>
                <w:t>Consent and Indemnity Agreement, dated as of February 6, 2018, by and</w:t>
              </w:r>
            </w:hyperlink>
          </w:p>
        </w:tc>
        <w:tc>
          <w:tcPr>
            <w:tcW w:w="0" w:type="dxa"/>
            <w:vAlign w:val="bottom"/>
          </w:tcPr>
          <w:p>
            <w:pPr>
              <w:spacing w:after="0"/>
              <w:rPr>
                <w:sz w:val="1"/>
                <w:szCs w:val="1"/>
                <w:color w:val="auto"/>
              </w:rPr>
            </w:pPr>
          </w:p>
        </w:tc>
      </w:tr>
      <w:tr>
        <w:trPr>
          <w:trHeight w:val="59"/>
        </w:trPr>
        <w:tc>
          <w:tcPr>
            <w:tcW w:w="900" w:type="dxa"/>
            <w:vAlign w:val="bottom"/>
          </w:tcPr>
          <w:p>
            <w:pPr>
              <w:spacing w:after="0"/>
              <w:rPr>
                <w:sz w:val="5"/>
                <w:szCs w:val="5"/>
                <w:color w:val="auto"/>
              </w:rPr>
            </w:pPr>
          </w:p>
        </w:tc>
        <w:tc>
          <w:tcPr>
            <w:tcW w:w="502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680" w:type="dxa"/>
            <w:vAlign w:val="bottom"/>
            <w:tcBorders>
              <w:top w:val="single" w:sz="8" w:color="0000FF"/>
            </w:tcBorders>
            <w:gridSpan w:val="8"/>
          </w:tcPr>
          <w:p>
            <w:pPr>
              <w:spacing w:after="0" w:line="140" w:lineRule="exact"/>
              <w:rPr>
                <w:rFonts w:ascii="Arial" w:cs="Arial" w:eastAsia="Arial" w:hAnsi="Arial"/>
                <w:sz w:val="16"/>
                <w:szCs w:val="16"/>
                <w:color w:val="0000FF"/>
                <w:w w:val="92"/>
              </w:rPr>
            </w:pPr>
            <w:hyperlink r:id="rId246">
              <w:r>
                <w:rPr>
                  <w:rFonts w:ascii="Arial" w:cs="Arial" w:eastAsia="Arial" w:hAnsi="Arial"/>
                  <w:sz w:val="16"/>
                  <w:szCs w:val="16"/>
                  <w:color w:val="0000FF"/>
                  <w:w w:val="92"/>
                </w:rPr>
                <w:t>among NRG Energy, Inc., NRG Repowering Holdings LLC, NRG Yield,</w:t>
              </w:r>
            </w:hyperlink>
          </w:p>
        </w:tc>
        <w:tc>
          <w:tcPr>
            <w:tcW w:w="340" w:type="dxa"/>
            <w:vAlign w:val="bottom"/>
            <w:gridSpan w:val="9"/>
          </w:tcPr>
          <w:p>
            <w:pPr>
              <w:ind w:left="40"/>
              <w:spacing w:after="0" w:line="140" w:lineRule="exact"/>
              <w:rPr>
                <w:rFonts w:ascii="Arial" w:cs="Arial" w:eastAsia="Arial" w:hAnsi="Arial"/>
                <w:sz w:val="16"/>
                <w:szCs w:val="16"/>
                <w:color w:val="0000FF"/>
                <w:w w:val="92"/>
              </w:rPr>
            </w:pPr>
            <w:hyperlink r:id="rId246">
              <w:r>
                <w:rPr>
                  <w:rFonts w:ascii="Arial" w:cs="Arial" w:eastAsia="Arial" w:hAnsi="Arial"/>
                  <w:sz w:val="16"/>
                  <w:szCs w:val="16"/>
                  <w:color w:val="0000FF"/>
                  <w:w w:val="92"/>
                </w:rPr>
                <w:t>Inc.,</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5000" w:type="dxa"/>
            <w:vAlign w:val="bottom"/>
            <w:tcBorders>
              <w:top w:val="single" w:sz="8" w:color="0000FF"/>
            </w:tcBorders>
            <w:gridSpan w:val="16"/>
          </w:tcPr>
          <w:p>
            <w:pPr>
              <w:spacing w:after="0" w:line="140" w:lineRule="exact"/>
              <w:rPr>
                <w:rFonts w:ascii="Arial" w:cs="Arial" w:eastAsia="Arial" w:hAnsi="Arial"/>
                <w:sz w:val="16"/>
                <w:szCs w:val="16"/>
                <w:color w:val="0000FF"/>
                <w:w w:val="98"/>
              </w:rPr>
            </w:pPr>
            <w:hyperlink r:id="rId246">
              <w:r>
                <w:rPr>
                  <w:rFonts w:ascii="Arial" w:cs="Arial" w:eastAsia="Arial" w:hAnsi="Arial"/>
                  <w:sz w:val="16"/>
                  <w:szCs w:val="16"/>
                  <w:color w:val="0000FF"/>
                  <w:w w:val="98"/>
                </w:rPr>
                <w:t>and GIP III Zephyr Acquisition Partners, L.P., and NRG Yield Operating</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4"/>
          </w:tcPr>
          <w:p>
            <w:pPr>
              <w:spacing w:after="0" w:line="140" w:lineRule="exact"/>
              <w:rPr>
                <w:rFonts w:ascii="Arial" w:cs="Arial" w:eastAsia="Arial" w:hAnsi="Arial"/>
                <w:sz w:val="16"/>
                <w:szCs w:val="16"/>
                <w:color w:val="0000FF"/>
                <w:w w:val="91"/>
              </w:rPr>
            </w:pPr>
            <w:hyperlink r:id="rId246">
              <w:r>
                <w:rPr>
                  <w:rFonts w:ascii="Arial" w:cs="Arial" w:eastAsia="Arial" w:hAnsi="Arial"/>
                  <w:sz w:val="16"/>
                  <w:szCs w:val="16"/>
                  <w:color w:val="0000FF"/>
                  <w:w w:val="91"/>
                </w:rPr>
                <w:t>LLC (solely with respect to Sections E.5, E.6 and G.12).</w:t>
              </w:r>
            </w:hyperlink>
          </w:p>
        </w:tc>
        <w:tc>
          <w:tcPr>
            <w:tcW w:w="1040" w:type="dxa"/>
            <w:vAlign w:val="bottom"/>
            <w:tcBorders>
              <w:top w:val="single" w:sz="8" w:color="0000FF"/>
            </w:tcBorders>
            <w:gridSpan w:val="3"/>
          </w:tcPr>
          <w:p>
            <w:pPr>
              <w:spacing w:after="0"/>
              <w:rPr>
                <w:sz w:val="12"/>
                <w:szCs w:val="12"/>
                <w:color w:val="auto"/>
              </w:rPr>
            </w:pPr>
          </w:p>
        </w:tc>
        <w:tc>
          <w:tcPr>
            <w:tcW w:w="8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900" w:type="dxa"/>
            <w:vAlign w:val="bottom"/>
          </w:tcPr>
          <w:p>
            <w:pPr>
              <w:spacing w:after="0"/>
              <w:rPr>
                <w:sz w:val="20"/>
                <w:szCs w:val="20"/>
                <w:color w:val="auto"/>
              </w:rPr>
            </w:pPr>
            <w:r>
              <w:rPr>
                <w:rFonts w:ascii="Arial" w:cs="Arial" w:eastAsia="Arial" w:hAnsi="Arial"/>
                <w:sz w:val="16"/>
                <w:szCs w:val="16"/>
                <w:color w:val="auto"/>
              </w:rPr>
              <w:t>10.19</w:t>
            </w:r>
          </w:p>
        </w:tc>
        <w:tc>
          <w:tcPr>
            <w:tcW w:w="5020" w:type="dxa"/>
            <w:vAlign w:val="bottom"/>
            <w:gridSpan w:val="17"/>
            <w:vMerge w:val="restart"/>
          </w:tcPr>
          <w:p>
            <w:pPr>
              <w:spacing w:after="0"/>
              <w:rPr>
                <w:rFonts w:ascii="Arial" w:cs="Arial" w:eastAsia="Arial" w:hAnsi="Arial"/>
                <w:sz w:val="16"/>
                <w:szCs w:val="16"/>
                <w:color w:val="0000FF"/>
                <w:w w:val="93"/>
              </w:rPr>
            </w:pPr>
            <w:hyperlink r:id="rId247">
              <w:r>
                <w:rPr>
                  <w:rFonts w:ascii="Arial" w:cs="Arial" w:eastAsia="Arial" w:hAnsi="Arial"/>
                  <w:sz w:val="16"/>
                  <w:szCs w:val="16"/>
                  <w:color w:val="0000FF"/>
                  <w:w w:val="93"/>
                </w:rPr>
                <w:t>Assignment and Assumption Agreement, effective as of February 26, 2019,</w:t>
              </w:r>
            </w:hyperlink>
          </w:p>
        </w:tc>
        <w:tc>
          <w:tcPr>
            <w:tcW w:w="0" w:type="dxa"/>
            <w:vAlign w:val="bottom"/>
          </w:tcPr>
          <w:p>
            <w:pPr>
              <w:spacing w:after="0"/>
              <w:rPr>
                <w:sz w:val="1"/>
                <w:szCs w:val="1"/>
                <w:color w:val="auto"/>
              </w:rPr>
            </w:pPr>
          </w:p>
        </w:tc>
      </w:tr>
      <w:tr>
        <w:trPr>
          <w:trHeight w:val="59"/>
        </w:trPr>
        <w:tc>
          <w:tcPr>
            <w:tcW w:w="900" w:type="dxa"/>
            <w:vAlign w:val="bottom"/>
          </w:tcPr>
          <w:p>
            <w:pPr>
              <w:spacing w:after="0"/>
              <w:rPr>
                <w:sz w:val="5"/>
                <w:szCs w:val="5"/>
                <w:color w:val="auto"/>
              </w:rPr>
            </w:pPr>
          </w:p>
        </w:tc>
        <w:tc>
          <w:tcPr>
            <w:tcW w:w="502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840" w:type="dxa"/>
            <w:vAlign w:val="bottom"/>
            <w:tcBorders>
              <w:top w:val="single" w:sz="8" w:color="0000FF"/>
            </w:tcBorders>
            <w:gridSpan w:val="12"/>
          </w:tcPr>
          <w:p>
            <w:pPr>
              <w:spacing w:after="0" w:line="140" w:lineRule="exact"/>
              <w:rPr>
                <w:rFonts w:ascii="Arial" w:cs="Arial" w:eastAsia="Arial" w:hAnsi="Arial"/>
                <w:sz w:val="16"/>
                <w:szCs w:val="16"/>
                <w:color w:val="0000FF"/>
                <w:w w:val="98"/>
              </w:rPr>
            </w:pPr>
            <w:hyperlink r:id="rId247">
              <w:r>
                <w:rPr>
                  <w:rFonts w:ascii="Arial" w:cs="Arial" w:eastAsia="Arial" w:hAnsi="Arial"/>
                  <w:sz w:val="16"/>
                  <w:szCs w:val="16"/>
                  <w:color w:val="0000FF"/>
                  <w:w w:val="98"/>
                </w:rPr>
                <w:t>among Clearway Energy Operating LLC and GIP III Zephyr Carlsbad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480" w:type="dxa"/>
            <w:vAlign w:val="bottom"/>
            <w:tcBorders>
              <w:top w:val="single" w:sz="8" w:color="0000FF"/>
            </w:tcBorders>
            <w:gridSpan w:val="6"/>
          </w:tcPr>
          <w:p>
            <w:pPr>
              <w:spacing w:after="0" w:line="140" w:lineRule="exact"/>
              <w:rPr>
                <w:rFonts w:ascii="Arial" w:cs="Arial" w:eastAsia="Arial" w:hAnsi="Arial"/>
                <w:sz w:val="16"/>
                <w:szCs w:val="16"/>
                <w:color w:val="0000FF"/>
              </w:rPr>
            </w:pPr>
            <w:hyperlink r:id="rId247">
              <w:r>
                <w:rPr>
                  <w:rFonts w:ascii="Arial" w:cs="Arial" w:eastAsia="Arial" w:hAnsi="Arial"/>
                  <w:sz w:val="16"/>
                  <w:szCs w:val="16"/>
                  <w:color w:val="0000FF"/>
                </w:rPr>
                <w:t>Holdings, LLC.</w:t>
              </w:r>
            </w:hyperlink>
          </w:p>
        </w:tc>
        <w:tc>
          <w:tcPr>
            <w:tcW w:w="26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900" w:type="dxa"/>
            <w:vAlign w:val="bottom"/>
          </w:tcPr>
          <w:p>
            <w:pPr>
              <w:spacing w:after="0"/>
              <w:rPr>
                <w:sz w:val="20"/>
                <w:szCs w:val="20"/>
                <w:color w:val="auto"/>
              </w:rPr>
            </w:pPr>
            <w:r>
              <w:rPr>
                <w:rFonts w:ascii="Arial" w:cs="Arial" w:eastAsia="Arial" w:hAnsi="Arial"/>
                <w:sz w:val="16"/>
                <w:szCs w:val="16"/>
                <w:color w:val="auto"/>
              </w:rPr>
              <w:t>10.20</w:t>
            </w:r>
          </w:p>
        </w:tc>
        <w:tc>
          <w:tcPr>
            <w:tcW w:w="5020" w:type="dxa"/>
            <w:vAlign w:val="bottom"/>
            <w:gridSpan w:val="17"/>
          </w:tcPr>
          <w:p>
            <w:pPr>
              <w:spacing w:after="0"/>
              <w:rPr>
                <w:rFonts w:ascii="Arial" w:cs="Arial" w:eastAsia="Arial" w:hAnsi="Arial"/>
                <w:sz w:val="16"/>
                <w:szCs w:val="16"/>
                <w:color w:val="0000FF"/>
                <w:w w:val="92"/>
              </w:rPr>
            </w:pPr>
            <w:hyperlink r:id="rId248">
              <w:r>
                <w:rPr>
                  <w:rFonts w:ascii="Arial" w:cs="Arial" w:eastAsia="Arial" w:hAnsi="Arial"/>
                  <w:sz w:val="16"/>
                  <w:szCs w:val="16"/>
                  <w:color w:val="0000FF"/>
                  <w:w w:val="92"/>
                </w:rPr>
                <w:t>Amended and Restated Exchange Agreement, dated as of May 14, 2015, by</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860" w:type="dxa"/>
            <w:vAlign w:val="bottom"/>
            <w:tcBorders>
              <w:top w:val="single" w:sz="8" w:color="0000FF"/>
            </w:tcBorders>
            <w:gridSpan w:val="13"/>
          </w:tcPr>
          <w:p>
            <w:pPr>
              <w:spacing w:after="0" w:line="140" w:lineRule="exact"/>
              <w:rPr>
                <w:rFonts w:ascii="Arial" w:cs="Arial" w:eastAsia="Arial" w:hAnsi="Arial"/>
                <w:sz w:val="16"/>
                <w:szCs w:val="16"/>
                <w:color w:val="0000FF"/>
                <w:w w:val="94"/>
              </w:rPr>
            </w:pPr>
            <w:hyperlink r:id="rId248">
              <w:r>
                <w:rPr>
                  <w:rFonts w:ascii="Arial" w:cs="Arial" w:eastAsia="Arial" w:hAnsi="Arial"/>
                  <w:sz w:val="16"/>
                  <w:szCs w:val="16"/>
                  <w:color w:val="0000FF"/>
                  <w:w w:val="94"/>
                </w:rPr>
                <w:t>and among NRG Energy, Inc., NRG Yield, Inc., and NRG Yield LLC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740" w:type="dxa"/>
            <w:vAlign w:val="bottom"/>
            <w:tcBorders>
              <w:top w:val="single" w:sz="8" w:color="0000FF"/>
            </w:tcBorders>
            <w:gridSpan w:val="10"/>
          </w:tcPr>
          <w:p>
            <w:pPr>
              <w:spacing w:after="0" w:line="140" w:lineRule="exact"/>
              <w:rPr>
                <w:rFonts w:ascii="Arial" w:cs="Arial" w:eastAsia="Arial" w:hAnsi="Arial"/>
                <w:sz w:val="16"/>
                <w:szCs w:val="16"/>
                <w:color w:val="0000FF"/>
              </w:rPr>
            </w:pPr>
            <w:hyperlink r:id="rId248">
              <w:r>
                <w:rPr>
                  <w:rFonts w:ascii="Arial" w:cs="Arial" w:eastAsia="Arial" w:hAnsi="Arial"/>
                  <w:sz w:val="16"/>
                  <w:szCs w:val="16"/>
                  <w:color w:val="0000FF"/>
                </w:rPr>
                <w:t>pursuant to a joinder thereto, dated as of August 31, 2018, Zephyr</w:t>
              </w:r>
            </w:hyperlink>
          </w:p>
        </w:tc>
        <w:tc>
          <w:tcPr>
            <w:tcW w:w="8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1160" w:type="dxa"/>
            <w:vAlign w:val="bottom"/>
            <w:tcBorders>
              <w:top w:val="single" w:sz="8" w:color="0000FF"/>
              <w:bottom w:val="single" w:sz="8" w:color="0000FF"/>
            </w:tcBorders>
            <w:gridSpan w:val="3"/>
          </w:tcPr>
          <w:p>
            <w:pPr>
              <w:spacing w:after="0" w:line="140" w:lineRule="exact"/>
              <w:rPr>
                <w:rFonts w:ascii="Arial" w:cs="Arial" w:eastAsia="Arial" w:hAnsi="Arial"/>
                <w:sz w:val="16"/>
                <w:szCs w:val="16"/>
                <w:color w:val="0000FF"/>
                <w:w w:val="90"/>
              </w:rPr>
            </w:pPr>
            <w:hyperlink r:id="rId248">
              <w:r>
                <w:rPr>
                  <w:rFonts w:ascii="Arial" w:cs="Arial" w:eastAsia="Arial" w:hAnsi="Arial"/>
                  <w:sz w:val="16"/>
                  <w:szCs w:val="16"/>
                  <w:color w:val="0000FF"/>
                  <w:w w:val="90"/>
                </w:rPr>
                <w:t>Renewables LLC.</w:t>
              </w:r>
            </w:hyperlink>
          </w:p>
        </w:tc>
        <w:tc>
          <w:tcPr>
            <w:tcW w:w="3060" w:type="dxa"/>
            <w:vAlign w:val="bottom"/>
            <w:tcBorders>
              <w:top w:val="single" w:sz="8" w:color="0000FF"/>
            </w:tcBorders>
            <w:gridSpan w:val="2"/>
          </w:tcPr>
          <w:p>
            <w:pPr>
              <w:spacing w:after="0"/>
              <w:rPr>
                <w:sz w:val="12"/>
                <w:szCs w:val="12"/>
                <w:color w:val="auto"/>
              </w:rPr>
            </w:pPr>
          </w:p>
        </w:tc>
        <w:tc>
          <w:tcPr>
            <w:tcW w:w="60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10.21</w:t>
            </w:r>
          </w:p>
        </w:tc>
        <w:tc>
          <w:tcPr>
            <w:tcW w:w="5020" w:type="dxa"/>
            <w:vAlign w:val="bottom"/>
            <w:gridSpan w:val="17"/>
          </w:tcPr>
          <w:p>
            <w:pPr>
              <w:spacing w:after="0"/>
              <w:rPr>
                <w:rFonts w:ascii="Arial" w:cs="Arial" w:eastAsia="Arial" w:hAnsi="Arial"/>
                <w:sz w:val="16"/>
                <w:szCs w:val="16"/>
                <w:color w:val="0000FF"/>
                <w:w w:val="92"/>
              </w:rPr>
            </w:pPr>
            <w:hyperlink r:id="rId249">
              <w:r>
                <w:rPr>
                  <w:rFonts w:ascii="Arial" w:cs="Arial" w:eastAsia="Arial" w:hAnsi="Arial"/>
                  <w:sz w:val="16"/>
                  <w:szCs w:val="16"/>
                  <w:color w:val="0000FF"/>
                  <w:w w:val="92"/>
                </w:rPr>
                <w:t>Amended and Restated Registration Rights Agreement, dated as of May 14,</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900" w:type="dxa"/>
            <w:vAlign w:val="bottom"/>
            <w:tcBorders>
              <w:top w:val="single" w:sz="8" w:color="0000FF"/>
            </w:tcBorders>
            <w:gridSpan w:val="15"/>
          </w:tcPr>
          <w:p>
            <w:pPr>
              <w:spacing w:after="0" w:line="140" w:lineRule="exact"/>
              <w:rPr>
                <w:rFonts w:ascii="Arial" w:cs="Arial" w:eastAsia="Arial" w:hAnsi="Arial"/>
                <w:sz w:val="16"/>
                <w:szCs w:val="16"/>
                <w:color w:val="0000FF"/>
                <w:w w:val="91"/>
              </w:rPr>
            </w:pPr>
            <w:hyperlink r:id="rId249">
              <w:r>
                <w:rPr>
                  <w:rFonts w:ascii="Arial" w:cs="Arial" w:eastAsia="Arial" w:hAnsi="Arial"/>
                  <w:sz w:val="16"/>
                  <w:szCs w:val="16"/>
                  <w:color w:val="0000FF"/>
                  <w:w w:val="91"/>
                </w:rPr>
                <w:t>2015, by and between NRG Energy, Inc. and NRG Yield, Inc. and, pursuant</w:t>
              </w:r>
            </w:hyperlink>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880" w:type="dxa"/>
            <w:vAlign w:val="bottom"/>
            <w:tcBorders>
              <w:top w:val="single" w:sz="8" w:color="0000FF"/>
            </w:tcBorders>
            <w:gridSpan w:val="14"/>
          </w:tcPr>
          <w:p>
            <w:pPr>
              <w:spacing w:after="0" w:line="140" w:lineRule="exact"/>
              <w:rPr>
                <w:rFonts w:ascii="Arial" w:cs="Arial" w:eastAsia="Arial" w:hAnsi="Arial"/>
                <w:sz w:val="16"/>
                <w:szCs w:val="16"/>
                <w:color w:val="0000FF"/>
                <w:w w:val="91"/>
              </w:rPr>
            </w:pPr>
            <w:hyperlink r:id="rId249">
              <w:r>
                <w:rPr>
                  <w:rFonts w:ascii="Arial" w:cs="Arial" w:eastAsia="Arial" w:hAnsi="Arial"/>
                  <w:sz w:val="16"/>
                  <w:szCs w:val="16"/>
                  <w:color w:val="0000FF"/>
                  <w:w w:val="91"/>
                </w:rPr>
                <w:t>to a joinder thereto, dated as of August 31, 2018, Zephyr Renewables LLC.</w:t>
              </w:r>
            </w:hyperlink>
          </w:p>
        </w:tc>
        <w:tc>
          <w:tcPr>
            <w:tcW w:w="1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399"/>
        <w:spacing w:after="0" w:line="239" w:lineRule="auto"/>
        <w:rPr>
          <w:sz w:val="20"/>
          <w:szCs w:val="20"/>
          <w:color w:val="auto"/>
        </w:rPr>
      </w:pPr>
      <w:r>
        <w:rPr>
          <w:rFonts w:ascii="Arial" w:cs="Arial" w:eastAsia="Arial" w:hAnsi="Arial"/>
          <w:sz w:val="16"/>
          <w:szCs w:val="16"/>
          <w:color w:val="auto"/>
        </w:rPr>
        <w:t>Incorporated by reference to Exhibit 10.20 to the Company's Annual Report on Form 10-K, filed on March 1, 2021.</w:t>
      </w:r>
    </w:p>
    <w:p>
      <w:pPr>
        <w:spacing w:after="0" w:line="117" w:lineRule="exact"/>
        <w:rPr>
          <w:sz w:val="20"/>
          <w:szCs w:val="20"/>
          <w:color w:val="auto"/>
        </w:rPr>
      </w:pPr>
    </w:p>
    <w:p>
      <w:pPr>
        <w:ind w:right="399"/>
        <w:spacing w:after="0" w:line="227" w:lineRule="auto"/>
        <w:rPr>
          <w:sz w:val="20"/>
          <w:szCs w:val="20"/>
          <w:color w:val="auto"/>
        </w:rPr>
      </w:pPr>
      <w:r>
        <w:rPr>
          <w:rFonts w:ascii="Arial" w:cs="Arial" w:eastAsia="Arial" w:hAnsi="Arial"/>
          <w:sz w:val="16"/>
          <w:szCs w:val="16"/>
          <w:color w:val="auto"/>
        </w:rPr>
        <w:t>Incorporated by reference to Exhibit 10.34 to the Company's Annual Report on Form 10-K, filed on March 1, 2018.</w:t>
      </w:r>
    </w:p>
    <w:p>
      <w:pPr>
        <w:spacing w:after="0" w:line="344" w:lineRule="exact"/>
        <w:rPr>
          <w:sz w:val="20"/>
          <w:szCs w:val="20"/>
          <w:color w:val="auto"/>
        </w:rPr>
      </w:pPr>
    </w:p>
    <w:p>
      <w:pPr>
        <w:ind w:right="519"/>
        <w:spacing w:after="0" w:line="227" w:lineRule="auto"/>
        <w:rPr>
          <w:sz w:val="20"/>
          <w:szCs w:val="20"/>
          <w:color w:val="auto"/>
        </w:rPr>
      </w:pPr>
      <w:r>
        <w:rPr>
          <w:rFonts w:ascii="Arial" w:cs="Arial" w:eastAsia="Arial" w:hAnsi="Arial"/>
          <w:sz w:val="16"/>
          <w:szCs w:val="16"/>
          <w:color w:val="auto"/>
        </w:rPr>
        <w:t>Incorporated herein by reference to Exhibit 10.30 to the Company's Annual Report on Form 10-K filed on February 28, 2019.</w:t>
      </w:r>
    </w:p>
    <w:p>
      <w:pPr>
        <w:spacing w:after="0" w:line="91" w:lineRule="exact"/>
        <w:rPr>
          <w:sz w:val="20"/>
          <w:szCs w:val="20"/>
          <w:color w:val="auto"/>
        </w:rPr>
      </w:pPr>
    </w:p>
    <w:p>
      <w:pPr>
        <w:ind w:right="399"/>
        <w:spacing w:after="0" w:line="227"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May 15, 2015.</w:t>
      </w:r>
    </w:p>
    <w:p>
      <w:pPr>
        <w:spacing w:after="0" w:line="171" w:lineRule="exact"/>
        <w:rPr>
          <w:sz w:val="20"/>
          <w:szCs w:val="20"/>
          <w:color w:val="auto"/>
        </w:rPr>
      </w:pPr>
    </w:p>
    <w:p>
      <w:pPr>
        <w:ind w:right="399"/>
        <w:spacing w:after="0" w:line="227" w:lineRule="auto"/>
        <w:rPr>
          <w:sz w:val="20"/>
          <w:szCs w:val="20"/>
          <w:color w:val="auto"/>
        </w:rPr>
      </w:pPr>
      <w:r>
        <w:rPr>
          <w:rFonts w:ascii="Arial" w:cs="Arial" w:eastAsia="Arial" w:hAnsi="Arial"/>
          <w:sz w:val="16"/>
          <w:szCs w:val="16"/>
          <w:color w:val="auto"/>
        </w:rPr>
        <w:t>Incorporated herein by reference to Exhibit 10.2 to the Company's Current Report on Form 8-K filed on May 15, 2015.</w:t>
      </w:r>
    </w:p>
    <w:p>
      <w:pPr>
        <w:spacing w:after="0" w:line="200" w:lineRule="exact"/>
        <w:rPr>
          <w:sz w:val="20"/>
          <w:szCs w:val="20"/>
          <w:color w:val="auto"/>
        </w:rPr>
      </w:pPr>
    </w:p>
    <w:p>
      <w:pPr>
        <w:sectPr>
          <w:pgSz w:w="11900" w:h="16838" w:orient="portrait"/>
          <w:cols w:equalWidth="0" w:num="2">
            <w:col w:w="5900" w:space="120"/>
            <w:col w:w="4099"/>
          </w:cols>
          <w:pgMar w:left="340" w:top="929" w:right="1440"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95885</wp:posOffset>
            </wp:positionV>
            <wp:extent cx="715962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19"/>
          </w:cols>
          <w:pgMar w:left="340" w:top="929" w:right="1440"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20"/>
                <w:szCs w:val="20"/>
                <w:color w:val="auto"/>
              </w:rPr>
            </w:pPr>
            <w:r>
              <w:rPr>
                <w:rFonts w:ascii="Arial" w:cs="Arial" w:eastAsia="Arial" w:hAnsi="Arial"/>
                <w:sz w:val="16"/>
                <w:szCs w:val="16"/>
                <w:color w:val="auto"/>
              </w:rPr>
              <w:t>10.22*^</w:t>
            </w:r>
          </w:p>
        </w:tc>
        <w:tc>
          <w:tcPr>
            <w:tcW w:w="5020" w:type="dxa"/>
            <w:vAlign w:val="bottom"/>
            <w:gridSpan w:val="37"/>
          </w:tcPr>
          <w:p>
            <w:pPr>
              <w:spacing w:after="0"/>
              <w:rPr>
                <w:rFonts w:ascii="Arial" w:cs="Arial" w:eastAsia="Arial" w:hAnsi="Arial"/>
                <w:sz w:val="16"/>
                <w:szCs w:val="16"/>
                <w:color w:val="0000FF"/>
                <w:w w:val="94"/>
              </w:rPr>
            </w:pPr>
            <w:hyperlink r:id="rId251">
              <w:r>
                <w:rPr>
                  <w:rFonts w:ascii="Arial" w:cs="Arial" w:eastAsia="Arial" w:hAnsi="Arial"/>
                  <w:sz w:val="16"/>
                  <w:szCs w:val="16"/>
                  <w:color w:val="0000FF"/>
                  <w:w w:val="94"/>
                </w:rPr>
                <w:t>Purchase and Sale Agreement, dated as of April 17, 2020, by and between</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3960" w:type="dxa"/>
            <w:vAlign w:val="bottom"/>
            <w:tcBorders>
              <w:top w:val="single" w:sz="8" w:color="0000FF"/>
              <w:bottom w:val="single" w:sz="8" w:color="0000FF"/>
            </w:tcBorders>
            <w:gridSpan w:val="13"/>
          </w:tcPr>
          <w:p>
            <w:pPr>
              <w:spacing w:after="0" w:line="140" w:lineRule="exact"/>
              <w:rPr>
                <w:rFonts w:ascii="Arial" w:cs="Arial" w:eastAsia="Arial" w:hAnsi="Arial"/>
                <w:sz w:val="16"/>
                <w:szCs w:val="16"/>
                <w:color w:val="0000FF"/>
                <w:w w:val="92"/>
              </w:rPr>
            </w:pPr>
            <w:hyperlink r:id="rId251">
              <w:r>
                <w:rPr>
                  <w:rFonts w:ascii="Arial" w:cs="Arial" w:eastAsia="Arial" w:hAnsi="Arial"/>
                  <w:sz w:val="16"/>
                  <w:szCs w:val="16"/>
                  <w:color w:val="0000FF"/>
                  <w:w w:val="92"/>
                </w:rPr>
                <w:t>Clearway Energy Operating LLC and Clearway Renew LLC.</w:t>
              </w:r>
            </w:hyperlink>
          </w:p>
        </w:tc>
        <w:tc>
          <w:tcPr>
            <w:tcW w:w="780" w:type="dxa"/>
            <w:vAlign w:val="bottom"/>
            <w:tcBorders>
              <w:top w:val="single" w:sz="8" w:color="0000FF"/>
            </w:tcBorders>
            <w:gridSpan w:val="9"/>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3"/>
        </w:trPr>
        <w:tc>
          <w:tcPr>
            <w:tcW w:w="900" w:type="dxa"/>
            <w:vAlign w:val="bottom"/>
          </w:tcPr>
          <w:p>
            <w:pPr>
              <w:spacing w:after="0"/>
              <w:rPr>
                <w:sz w:val="20"/>
                <w:szCs w:val="20"/>
                <w:color w:val="auto"/>
              </w:rPr>
            </w:pPr>
            <w:r>
              <w:rPr>
                <w:rFonts w:ascii="Arial" w:cs="Arial" w:eastAsia="Arial" w:hAnsi="Arial"/>
                <w:sz w:val="16"/>
                <w:szCs w:val="16"/>
                <w:color w:val="auto"/>
              </w:rPr>
              <w:t>10.23*^</w:t>
            </w:r>
          </w:p>
        </w:tc>
        <w:tc>
          <w:tcPr>
            <w:tcW w:w="5020" w:type="dxa"/>
            <w:vAlign w:val="bottom"/>
            <w:gridSpan w:val="37"/>
          </w:tcPr>
          <w:p>
            <w:pPr>
              <w:spacing w:after="0"/>
              <w:rPr>
                <w:rFonts w:ascii="Arial" w:cs="Arial" w:eastAsia="Arial" w:hAnsi="Arial"/>
                <w:sz w:val="16"/>
                <w:szCs w:val="16"/>
                <w:color w:val="0000FF"/>
                <w:w w:val="91"/>
              </w:rPr>
            </w:pPr>
            <w:hyperlink r:id="rId252">
              <w:r>
                <w:rPr>
                  <w:rFonts w:ascii="Arial" w:cs="Arial" w:eastAsia="Arial" w:hAnsi="Arial"/>
                  <w:sz w:val="16"/>
                  <w:szCs w:val="16"/>
                  <w:color w:val="0000FF"/>
                  <w:w w:val="91"/>
                </w:rPr>
                <w:t>Membership Interest Purchase Agreement, dated as of April 17, 2020, by and</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960" w:type="dxa"/>
            <w:vAlign w:val="bottom"/>
            <w:tcBorders>
              <w:top w:val="single" w:sz="8" w:color="0000FF"/>
            </w:tcBorders>
            <w:gridSpan w:val="34"/>
          </w:tcPr>
          <w:p>
            <w:pPr>
              <w:spacing w:after="0" w:line="140" w:lineRule="exact"/>
              <w:rPr>
                <w:rFonts w:ascii="Arial" w:cs="Arial" w:eastAsia="Arial" w:hAnsi="Arial"/>
                <w:sz w:val="16"/>
                <w:szCs w:val="16"/>
                <w:color w:val="0000FF"/>
                <w:w w:val="98"/>
              </w:rPr>
            </w:pPr>
            <w:hyperlink r:id="rId252">
              <w:r>
                <w:rPr>
                  <w:rFonts w:ascii="Arial" w:cs="Arial" w:eastAsia="Arial" w:hAnsi="Arial"/>
                  <w:sz w:val="16"/>
                  <w:szCs w:val="16"/>
                  <w:color w:val="0000FF"/>
                  <w:w w:val="98"/>
                </w:rPr>
                <w:t>between Clearway Energy Operating LLC and SP Wind Holdings, LLC.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900" w:type="dxa"/>
            <w:vAlign w:val="bottom"/>
          </w:tcPr>
          <w:p>
            <w:pPr>
              <w:spacing w:after="0"/>
              <w:rPr>
                <w:sz w:val="20"/>
                <w:szCs w:val="20"/>
                <w:color w:val="auto"/>
              </w:rPr>
            </w:pPr>
            <w:r>
              <w:rPr>
                <w:rFonts w:ascii="Arial" w:cs="Arial" w:eastAsia="Arial" w:hAnsi="Arial"/>
                <w:sz w:val="16"/>
                <w:szCs w:val="16"/>
                <w:color w:val="auto"/>
              </w:rPr>
              <w:t>10.24*^</w:t>
            </w:r>
          </w:p>
        </w:tc>
        <w:tc>
          <w:tcPr>
            <w:tcW w:w="5020" w:type="dxa"/>
            <w:vAlign w:val="bottom"/>
            <w:gridSpan w:val="37"/>
          </w:tcPr>
          <w:p>
            <w:pPr>
              <w:spacing w:after="0"/>
              <w:rPr>
                <w:rFonts w:ascii="Arial" w:cs="Arial" w:eastAsia="Arial" w:hAnsi="Arial"/>
                <w:sz w:val="16"/>
                <w:szCs w:val="16"/>
                <w:color w:val="0000FF"/>
                <w:w w:val="91"/>
              </w:rPr>
            </w:pPr>
            <w:hyperlink r:id="rId253">
              <w:r>
                <w:rPr>
                  <w:rFonts w:ascii="Arial" w:cs="Arial" w:eastAsia="Arial" w:hAnsi="Arial"/>
                  <w:sz w:val="16"/>
                  <w:szCs w:val="16"/>
                  <w:color w:val="0000FF"/>
                  <w:w w:val="91"/>
                </w:rPr>
                <w:t>Membership Interest Purchase Agreement, dated as of April 17, 2020, by and</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900" w:type="dxa"/>
            <w:vAlign w:val="bottom"/>
            <w:tcBorders>
              <w:top w:val="single" w:sz="8" w:color="0000FF"/>
              <w:bottom w:val="single" w:sz="8" w:color="0000FF"/>
            </w:tcBorders>
            <w:gridSpan w:val="32"/>
          </w:tcPr>
          <w:p>
            <w:pPr>
              <w:spacing w:after="0" w:line="140" w:lineRule="exact"/>
              <w:rPr>
                <w:rFonts w:ascii="Arial" w:cs="Arial" w:eastAsia="Arial" w:hAnsi="Arial"/>
                <w:sz w:val="16"/>
                <w:szCs w:val="16"/>
                <w:color w:val="0000FF"/>
                <w:w w:val="93"/>
              </w:rPr>
            </w:pPr>
            <w:hyperlink r:id="rId253">
              <w:r>
                <w:rPr>
                  <w:rFonts w:ascii="Arial" w:cs="Arial" w:eastAsia="Arial" w:hAnsi="Arial"/>
                  <w:sz w:val="16"/>
                  <w:szCs w:val="16"/>
                  <w:color w:val="0000FF"/>
                  <w:w w:val="93"/>
                </w:rPr>
                <w:t>between CWSP Wildorado Elbow Holding LLC and Wind TE Holdco LLC.</w:t>
              </w:r>
            </w:hyperlink>
          </w:p>
        </w:tc>
        <w:tc>
          <w:tcPr>
            <w:tcW w:w="6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3"/>
        </w:trPr>
        <w:tc>
          <w:tcPr>
            <w:tcW w:w="900" w:type="dxa"/>
            <w:vAlign w:val="bottom"/>
          </w:tcPr>
          <w:p>
            <w:pPr>
              <w:spacing w:after="0"/>
              <w:rPr>
                <w:sz w:val="20"/>
                <w:szCs w:val="20"/>
                <w:color w:val="auto"/>
              </w:rPr>
            </w:pPr>
            <w:r>
              <w:rPr>
                <w:rFonts w:ascii="Arial" w:cs="Arial" w:eastAsia="Arial" w:hAnsi="Arial"/>
                <w:sz w:val="16"/>
                <w:szCs w:val="16"/>
                <w:color w:val="auto"/>
              </w:rPr>
              <w:t>10.25†*</w:t>
            </w:r>
          </w:p>
        </w:tc>
        <w:tc>
          <w:tcPr>
            <w:tcW w:w="5020" w:type="dxa"/>
            <w:vAlign w:val="bottom"/>
            <w:gridSpan w:val="37"/>
          </w:tcPr>
          <w:p>
            <w:pPr>
              <w:spacing w:after="0"/>
              <w:rPr>
                <w:rFonts w:ascii="Arial" w:cs="Arial" w:eastAsia="Arial" w:hAnsi="Arial"/>
                <w:sz w:val="16"/>
                <w:szCs w:val="16"/>
                <w:color w:val="0000FF"/>
                <w:w w:val="92"/>
              </w:rPr>
            </w:pPr>
            <w:hyperlink r:id="rId254">
              <w:r>
                <w:rPr>
                  <w:rFonts w:ascii="Arial" w:cs="Arial" w:eastAsia="Arial" w:hAnsi="Arial"/>
                  <w:sz w:val="16"/>
                  <w:szCs w:val="16"/>
                  <w:color w:val="0000FF"/>
                  <w:w w:val="92"/>
                </w:rPr>
                <w:t>Membership Interest Purchase Agreement, dated as of December 21, 2020,</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860" w:type="dxa"/>
            <w:vAlign w:val="bottom"/>
            <w:tcBorders>
              <w:top w:val="single" w:sz="8" w:color="0000FF"/>
            </w:tcBorders>
            <w:gridSpan w:val="27"/>
          </w:tcPr>
          <w:p>
            <w:pPr>
              <w:spacing w:after="0" w:line="140" w:lineRule="exact"/>
              <w:rPr>
                <w:rFonts w:ascii="Arial" w:cs="Arial" w:eastAsia="Arial" w:hAnsi="Arial"/>
                <w:sz w:val="16"/>
                <w:szCs w:val="16"/>
                <w:color w:val="0000FF"/>
                <w:w w:val="94"/>
              </w:rPr>
            </w:pPr>
            <w:hyperlink r:id="rId254">
              <w:r>
                <w:rPr>
                  <w:rFonts w:ascii="Arial" w:cs="Arial" w:eastAsia="Arial" w:hAnsi="Arial"/>
                  <w:sz w:val="16"/>
                  <w:szCs w:val="16"/>
                  <w:color w:val="0000FF"/>
                  <w:w w:val="94"/>
                </w:rPr>
                <w:t>by and between Renew Development HoldCo LLC and Rosamond Solar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1100" w:type="dxa"/>
            <w:vAlign w:val="bottom"/>
            <w:tcBorders>
              <w:top w:val="single" w:sz="8" w:color="0000FF"/>
              <w:bottom w:val="single" w:sz="8" w:color="0000FF"/>
            </w:tcBorders>
            <w:gridSpan w:val="3"/>
          </w:tcPr>
          <w:p>
            <w:pPr>
              <w:spacing w:after="0" w:line="140" w:lineRule="exact"/>
              <w:rPr>
                <w:rFonts w:ascii="Arial" w:cs="Arial" w:eastAsia="Arial" w:hAnsi="Arial"/>
                <w:sz w:val="16"/>
                <w:szCs w:val="16"/>
                <w:color w:val="0000FF"/>
                <w:w w:val="92"/>
              </w:rPr>
            </w:pPr>
            <w:hyperlink r:id="rId254">
              <w:r>
                <w:rPr>
                  <w:rFonts w:ascii="Arial" w:cs="Arial" w:eastAsia="Arial" w:hAnsi="Arial"/>
                  <w:sz w:val="16"/>
                  <w:szCs w:val="16"/>
                  <w:color w:val="0000FF"/>
                  <w:w w:val="92"/>
                </w:rPr>
                <w:t>Investment LLC.</w:t>
              </w:r>
            </w:hyperlink>
          </w:p>
        </w:tc>
        <w:tc>
          <w:tcPr>
            <w:tcW w:w="3540" w:type="dxa"/>
            <w:vAlign w:val="bottom"/>
            <w:tcBorders>
              <w:top w:val="single" w:sz="8" w:color="0000FF"/>
            </w:tcBorders>
            <w:gridSpan w:val="15"/>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2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10.26†*</w:t>
            </w:r>
          </w:p>
        </w:tc>
        <w:tc>
          <w:tcPr>
            <w:tcW w:w="5020" w:type="dxa"/>
            <w:vAlign w:val="bottom"/>
            <w:gridSpan w:val="37"/>
          </w:tcPr>
          <w:p>
            <w:pPr>
              <w:spacing w:after="0"/>
              <w:rPr>
                <w:rFonts w:ascii="Arial" w:cs="Arial" w:eastAsia="Arial" w:hAnsi="Arial"/>
                <w:sz w:val="16"/>
                <w:szCs w:val="16"/>
                <w:color w:val="0000FF"/>
                <w:w w:val="92"/>
              </w:rPr>
            </w:pPr>
            <w:hyperlink r:id="rId255">
              <w:r>
                <w:rPr>
                  <w:rFonts w:ascii="Arial" w:cs="Arial" w:eastAsia="Arial" w:hAnsi="Arial"/>
                  <w:sz w:val="16"/>
                  <w:szCs w:val="16"/>
                  <w:color w:val="0000FF"/>
                  <w:w w:val="92"/>
                </w:rPr>
                <w:t>Membership Interest Purchase Agreement, dated as of December 21, 2020,</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900" w:type="dxa"/>
            <w:vAlign w:val="bottom"/>
            <w:tcBorders>
              <w:top w:val="single" w:sz="8" w:color="0000FF"/>
            </w:tcBorders>
            <w:gridSpan w:val="29"/>
          </w:tcPr>
          <w:p>
            <w:pPr>
              <w:spacing w:after="0" w:line="140" w:lineRule="exact"/>
              <w:rPr>
                <w:rFonts w:ascii="Arial" w:cs="Arial" w:eastAsia="Arial" w:hAnsi="Arial"/>
                <w:sz w:val="16"/>
                <w:szCs w:val="16"/>
                <w:color w:val="0000FF"/>
                <w:w w:val="92"/>
              </w:rPr>
            </w:pPr>
            <w:hyperlink r:id="rId255">
              <w:r>
                <w:rPr>
                  <w:rFonts w:ascii="Arial" w:cs="Arial" w:eastAsia="Arial" w:hAnsi="Arial"/>
                  <w:sz w:val="16"/>
                  <w:szCs w:val="16"/>
                  <w:color w:val="0000FF"/>
                  <w:w w:val="92"/>
                </w:rPr>
                <w:t>by and between Clearway Renew LLC and Lighthouse Renewable Class A</w:t>
              </w:r>
            </w:hyperlink>
          </w:p>
        </w:tc>
        <w:tc>
          <w:tcPr>
            <w:tcW w:w="42949672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340" w:type="dxa"/>
            <w:vAlign w:val="bottom"/>
            <w:tcBorders>
              <w:top w:val="single" w:sz="8" w:color="0000FF"/>
              <w:bottom w:val="single" w:sz="8" w:color="0000FF"/>
            </w:tcBorders>
            <w:gridSpan w:val="2"/>
          </w:tcPr>
          <w:p>
            <w:pPr>
              <w:spacing w:after="0" w:line="140" w:lineRule="exact"/>
              <w:rPr>
                <w:rFonts w:ascii="Arial" w:cs="Arial" w:eastAsia="Arial" w:hAnsi="Arial"/>
                <w:sz w:val="16"/>
                <w:szCs w:val="16"/>
                <w:color w:val="0000FF"/>
                <w:w w:val="94"/>
              </w:rPr>
            </w:pPr>
            <w:hyperlink r:id="rId255">
              <w:r>
                <w:rPr>
                  <w:rFonts w:ascii="Arial" w:cs="Arial" w:eastAsia="Arial" w:hAnsi="Arial"/>
                  <w:sz w:val="16"/>
                  <w:szCs w:val="16"/>
                  <w:color w:val="0000FF"/>
                  <w:w w:val="94"/>
                </w:rPr>
                <w:t>LLC.</w:t>
              </w:r>
            </w:hyperlink>
          </w:p>
        </w:tc>
        <w:tc>
          <w:tcPr>
            <w:tcW w:w="4540" w:type="dxa"/>
            <w:vAlign w:val="bottom"/>
            <w:tcBorders>
              <w:top w:val="single" w:sz="8" w:color="0000FF"/>
            </w:tcBorders>
            <w:gridSpan w:val="26"/>
          </w:tcPr>
          <w:p>
            <w:pPr>
              <w:spacing w:after="0"/>
              <w:rPr>
                <w:sz w:val="12"/>
                <w:szCs w:val="12"/>
                <w:color w:val="auto"/>
              </w:rPr>
            </w:pPr>
          </w:p>
        </w:tc>
        <w:tc>
          <w:tcPr>
            <w:tcW w:w="4294967277"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10.27†*</w:t>
            </w:r>
          </w:p>
        </w:tc>
        <w:tc>
          <w:tcPr>
            <w:tcW w:w="5020" w:type="dxa"/>
            <w:vAlign w:val="bottom"/>
            <w:gridSpan w:val="37"/>
          </w:tcPr>
          <w:p>
            <w:pPr>
              <w:spacing w:after="0"/>
              <w:rPr>
                <w:rFonts w:ascii="Arial" w:cs="Arial" w:eastAsia="Arial" w:hAnsi="Arial"/>
                <w:sz w:val="16"/>
                <w:szCs w:val="16"/>
                <w:color w:val="0000FF"/>
                <w:w w:val="92"/>
              </w:rPr>
            </w:pPr>
            <w:hyperlink r:id="rId256">
              <w:r>
                <w:rPr>
                  <w:rFonts w:ascii="Arial" w:cs="Arial" w:eastAsia="Arial" w:hAnsi="Arial"/>
                  <w:sz w:val="16"/>
                  <w:szCs w:val="16"/>
                  <w:color w:val="0000FF"/>
                  <w:w w:val="92"/>
                </w:rPr>
                <w:t>Membership Interest Purchase Agreement, dated as of December 21, 2020,</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900" w:type="dxa"/>
            <w:vAlign w:val="bottom"/>
            <w:tcBorders>
              <w:top w:val="single" w:sz="8" w:color="0000FF"/>
            </w:tcBorders>
            <w:gridSpan w:val="29"/>
          </w:tcPr>
          <w:p>
            <w:pPr>
              <w:spacing w:after="0" w:line="140" w:lineRule="exact"/>
              <w:rPr>
                <w:rFonts w:ascii="Arial" w:cs="Arial" w:eastAsia="Arial" w:hAnsi="Arial"/>
                <w:sz w:val="16"/>
                <w:szCs w:val="16"/>
                <w:color w:val="0000FF"/>
                <w:w w:val="92"/>
              </w:rPr>
            </w:pPr>
            <w:hyperlink r:id="rId256">
              <w:r>
                <w:rPr>
                  <w:rFonts w:ascii="Arial" w:cs="Arial" w:eastAsia="Arial" w:hAnsi="Arial"/>
                  <w:sz w:val="16"/>
                  <w:szCs w:val="16"/>
                  <w:color w:val="0000FF"/>
                  <w:w w:val="92"/>
                </w:rPr>
                <w:t>by and between Clearway Renew LLC and Lighthouse Renewable Class A</w:t>
              </w:r>
            </w:hyperlink>
          </w:p>
        </w:tc>
        <w:tc>
          <w:tcPr>
            <w:tcW w:w="42949672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340" w:type="dxa"/>
            <w:vAlign w:val="bottom"/>
            <w:tcBorders>
              <w:top w:val="single" w:sz="8" w:color="0000FF"/>
              <w:bottom w:val="single" w:sz="8" w:color="0000FF"/>
            </w:tcBorders>
            <w:gridSpan w:val="2"/>
          </w:tcPr>
          <w:p>
            <w:pPr>
              <w:spacing w:after="0" w:line="140" w:lineRule="exact"/>
              <w:rPr>
                <w:rFonts w:ascii="Arial" w:cs="Arial" w:eastAsia="Arial" w:hAnsi="Arial"/>
                <w:sz w:val="16"/>
                <w:szCs w:val="16"/>
                <w:color w:val="0000FF"/>
                <w:w w:val="94"/>
              </w:rPr>
            </w:pPr>
            <w:hyperlink r:id="rId256">
              <w:r>
                <w:rPr>
                  <w:rFonts w:ascii="Arial" w:cs="Arial" w:eastAsia="Arial" w:hAnsi="Arial"/>
                  <w:sz w:val="16"/>
                  <w:szCs w:val="16"/>
                  <w:color w:val="0000FF"/>
                  <w:w w:val="94"/>
                </w:rPr>
                <w:t>LLC.</w:t>
              </w:r>
            </w:hyperlink>
          </w:p>
        </w:tc>
        <w:tc>
          <w:tcPr>
            <w:tcW w:w="4540" w:type="dxa"/>
            <w:vAlign w:val="bottom"/>
            <w:tcBorders>
              <w:top w:val="single" w:sz="8" w:color="0000FF"/>
            </w:tcBorders>
            <w:gridSpan w:val="26"/>
          </w:tcPr>
          <w:p>
            <w:pPr>
              <w:spacing w:after="0"/>
              <w:rPr>
                <w:sz w:val="12"/>
                <w:szCs w:val="12"/>
                <w:color w:val="auto"/>
              </w:rPr>
            </w:pPr>
          </w:p>
        </w:tc>
        <w:tc>
          <w:tcPr>
            <w:tcW w:w="4294967277"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10.28*^</w:t>
            </w:r>
          </w:p>
        </w:tc>
        <w:tc>
          <w:tcPr>
            <w:tcW w:w="5020" w:type="dxa"/>
            <w:vAlign w:val="bottom"/>
            <w:gridSpan w:val="37"/>
          </w:tcPr>
          <w:p>
            <w:pPr>
              <w:spacing w:after="0"/>
              <w:rPr>
                <w:rFonts w:ascii="Arial" w:cs="Arial" w:eastAsia="Arial" w:hAnsi="Arial"/>
                <w:sz w:val="16"/>
                <w:szCs w:val="16"/>
                <w:color w:val="0000FF"/>
                <w:w w:val="97"/>
              </w:rPr>
            </w:pPr>
            <w:hyperlink r:id="rId257">
              <w:r>
                <w:rPr>
                  <w:rFonts w:ascii="Arial" w:cs="Arial" w:eastAsia="Arial" w:hAnsi="Arial"/>
                  <w:sz w:val="16"/>
                  <w:szCs w:val="16"/>
                  <w:color w:val="0000FF"/>
                  <w:w w:val="97"/>
                </w:rPr>
                <w:t>Second Amended and Restated Limited Liability Company Agreement of</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520" w:type="dxa"/>
            <w:vAlign w:val="bottom"/>
            <w:tcBorders>
              <w:top w:val="single" w:sz="8" w:color="0000FF"/>
              <w:bottom w:val="single" w:sz="8" w:color="0000FF"/>
            </w:tcBorders>
            <w:gridSpan w:val="16"/>
          </w:tcPr>
          <w:p>
            <w:pPr>
              <w:spacing w:after="0" w:line="140" w:lineRule="exact"/>
              <w:rPr>
                <w:rFonts w:ascii="Arial" w:cs="Arial" w:eastAsia="Arial" w:hAnsi="Arial"/>
                <w:sz w:val="16"/>
                <w:szCs w:val="16"/>
                <w:color w:val="0000FF"/>
                <w:w w:val="90"/>
              </w:rPr>
            </w:pPr>
            <w:hyperlink r:id="rId257">
              <w:r>
                <w:rPr>
                  <w:rFonts w:ascii="Arial" w:cs="Arial" w:eastAsia="Arial" w:hAnsi="Arial"/>
                  <w:sz w:val="16"/>
                  <w:szCs w:val="16"/>
                  <w:color w:val="0000FF"/>
                  <w:w w:val="90"/>
                </w:rPr>
                <w:t>Pinnacle Repowering Partnership LLC, dated as of February 26, 2021.</w:t>
              </w:r>
            </w:hyperlink>
          </w:p>
        </w:tc>
        <w:tc>
          <w:tcPr>
            <w:tcW w:w="200" w:type="dxa"/>
            <w:vAlign w:val="bottom"/>
            <w:tcBorders>
              <w:top w:val="single" w:sz="8" w:color="0000FF"/>
            </w:tcBorders>
            <w:gridSpan w:val="5"/>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3"/>
        </w:trPr>
        <w:tc>
          <w:tcPr>
            <w:tcW w:w="900" w:type="dxa"/>
            <w:vAlign w:val="bottom"/>
          </w:tcPr>
          <w:p>
            <w:pPr>
              <w:spacing w:after="0"/>
              <w:rPr>
                <w:sz w:val="20"/>
                <w:szCs w:val="20"/>
                <w:color w:val="auto"/>
              </w:rPr>
            </w:pPr>
            <w:r>
              <w:rPr>
                <w:rFonts w:ascii="Arial" w:cs="Arial" w:eastAsia="Arial" w:hAnsi="Arial"/>
                <w:sz w:val="16"/>
                <w:szCs w:val="16"/>
                <w:color w:val="auto"/>
              </w:rPr>
              <w:t>10.29</w:t>
            </w:r>
          </w:p>
        </w:tc>
        <w:tc>
          <w:tcPr>
            <w:tcW w:w="5020" w:type="dxa"/>
            <w:vAlign w:val="bottom"/>
            <w:gridSpan w:val="37"/>
          </w:tcPr>
          <w:p>
            <w:pPr>
              <w:spacing w:after="0"/>
              <w:rPr>
                <w:rFonts w:ascii="Arial" w:cs="Arial" w:eastAsia="Arial" w:hAnsi="Arial"/>
                <w:sz w:val="16"/>
                <w:szCs w:val="16"/>
                <w:color w:val="0000FF"/>
                <w:w w:val="96"/>
              </w:rPr>
            </w:pPr>
            <w:hyperlink r:id="rId258">
              <w:r>
                <w:rPr>
                  <w:rFonts w:ascii="Arial" w:cs="Arial" w:eastAsia="Arial" w:hAnsi="Arial"/>
                  <w:sz w:val="16"/>
                  <w:szCs w:val="16"/>
                  <w:color w:val="0000FF"/>
                  <w:w w:val="96"/>
                </w:rPr>
                <w:t>Fifth Amendment to Right of First Offer Agreement, dated as of August 2,</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780" w:type="dxa"/>
            <w:vAlign w:val="bottom"/>
            <w:tcBorders>
              <w:top w:val="single" w:sz="8" w:color="0000FF"/>
              <w:bottom w:val="single" w:sz="8" w:color="0000FF"/>
            </w:tcBorders>
            <w:gridSpan w:val="23"/>
          </w:tcPr>
          <w:p>
            <w:pPr>
              <w:spacing w:after="0" w:line="140" w:lineRule="exact"/>
              <w:rPr>
                <w:rFonts w:ascii="Arial" w:cs="Arial" w:eastAsia="Arial" w:hAnsi="Arial"/>
                <w:sz w:val="16"/>
                <w:szCs w:val="16"/>
                <w:color w:val="0000FF"/>
                <w:w w:val="90"/>
              </w:rPr>
            </w:pPr>
            <w:hyperlink r:id="rId258">
              <w:r>
                <w:rPr>
                  <w:rFonts w:ascii="Arial" w:cs="Arial" w:eastAsia="Arial" w:hAnsi="Arial"/>
                  <w:sz w:val="16"/>
                  <w:szCs w:val="16"/>
                  <w:color w:val="0000FF"/>
                  <w:w w:val="90"/>
                </w:rPr>
                <w:t>2021, by and between Clearway Energy Group LLC and Clearway Energy,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840" w:type="dxa"/>
            <w:vAlign w:val="bottom"/>
            <w:gridSpan w:val="26"/>
          </w:tcPr>
          <w:p>
            <w:pPr>
              <w:spacing w:after="0" w:line="140" w:lineRule="exact"/>
              <w:rPr>
                <w:rFonts w:ascii="Arial" w:cs="Arial" w:eastAsia="Arial" w:hAnsi="Arial"/>
                <w:sz w:val="16"/>
                <w:szCs w:val="16"/>
                <w:color w:val="0000FF"/>
              </w:rPr>
            </w:pPr>
            <w:hyperlink r:id="rId258">
              <w:r>
                <w:rPr>
                  <w:rFonts w:ascii="Arial" w:cs="Arial" w:eastAsia="Arial" w:hAnsi="Arial"/>
                  <w:sz w:val="16"/>
                  <w:szCs w:val="16"/>
                  <w:color w:val="0000FF"/>
                </w:rPr>
                <w:t>Inc.</w:t>
              </w:r>
            </w:hyperlink>
          </w:p>
        </w:tc>
        <w:tc>
          <w:tcPr>
            <w:tcW w:w="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color w:val="auto"/>
              </w:rPr>
              <w:t>10.30</w:t>
            </w: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00" w:type="dxa"/>
            <w:vAlign w:val="bottom"/>
            <w:vMerge w:val="continue"/>
          </w:tcPr>
          <w:p>
            <w:pPr>
              <w:spacing w:after="0"/>
              <w:rPr>
                <w:sz w:val="19"/>
                <w:szCs w:val="19"/>
                <w:color w:val="auto"/>
              </w:rPr>
            </w:pPr>
          </w:p>
        </w:tc>
        <w:tc>
          <w:tcPr>
            <w:tcW w:w="5020" w:type="dxa"/>
            <w:vAlign w:val="bottom"/>
            <w:gridSpan w:val="37"/>
            <w:vMerge w:val="restart"/>
          </w:tcPr>
          <w:p>
            <w:pPr>
              <w:spacing w:after="0"/>
              <w:rPr>
                <w:rFonts w:ascii="Arial" w:cs="Arial" w:eastAsia="Arial" w:hAnsi="Arial"/>
                <w:sz w:val="16"/>
                <w:szCs w:val="16"/>
                <w:color w:val="0000FF"/>
                <w:w w:val="91"/>
              </w:rPr>
            </w:pPr>
            <w:hyperlink r:id="rId259">
              <w:r>
                <w:rPr>
                  <w:rFonts w:ascii="Arial" w:cs="Arial" w:eastAsia="Arial" w:hAnsi="Arial"/>
                  <w:sz w:val="16"/>
                  <w:szCs w:val="16"/>
                  <w:color w:val="0000FF"/>
                  <w:w w:val="91"/>
                </w:rPr>
                <w:t>Purchase and Sale Agreement, dated as of August 20, 2021, by and between</w:t>
              </w:r>
            </w:hyperlink>
          </w:p>
        </w:tc>
        <w:tc>
          <w:tcPr>
            <w:tcW w:w="0" w:type="dxa"/>
            <w:vAlign w:val="bottom"/>
          </w:tcPr>
          <w:p>
            <w:pPr>
              <w:spacing w:after="0"/>
              <w:rPr>
                <w:sz w:val="1"/>
                <w:szCs w:val="1"/>
                <w:color w:val="auto"/>
              </w:rPr>
            </w:pPr>
          </w:p>
        </w:tc>
      </w:tr>
      <w:tr>
        <w:trPr>
          <w:trHeight w:val="125"/>
        </w:trPr>
        <w:tc>
          <w:tcPr>
            <w:tcW w:w="900" w:type="dxa"/>
            <w:vAlign w:val="bottom"/>
          </w:tcPr>
          <w:p>
            <w:pPr>
              <w:spacing w:after="0"/>
              <w:rPr>
                <w:sz w:val="10"/>
                <w:szCs w:val="10"/>
                <w:color w:val="auto"/>
              </w:rPr>
            </w:pPr>
          </w:p>
        </w:tc>
        <w:tc>
          <w:tcPr>
            <w:tcW w:w="5020" w:type="dxa"/>
            <w:vAlign w:val="bottom"/>
            <w:gridSpan w:val="3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15"/>
          </w:tcPr>
          <w:p>
            <w:pPr>
              <w:spacing w:after="0" w:line="140" w:lineRule="exact"/>
              <w:rPr>
                <w:rFonts w:ascii="Arial" w:cs="Arial" w:eastAsia="Arial" w:hAnsi="Arial"/>
                <w:sz w:val="16"/>
                <w:szCs w:val="16"/>
                <w:color w:val="0000FF"/>
                <w:w w:val="93"/>
              </w:rPr>
            </w:pPr>
            <w:hyperlink r:id="rId259">
              <w:r>
                <w:rPr>
                  <w:rFonts w:ascii="Arial" w:cs="Arial" w:eastAsia="Arial" w:hAnsi="Arial"/>
                  <w:sz w:val="16"/>
                  <w:szCs w:val="16"/>
                  <w:color w:val="0000FF"/>
                  <w:w w:val="93"/>
                </w:rPr>
                <w:t>Dominion Solar Projects III, Inc. and Utah Solar Holdings II LLC.</w:t>
              </w:r>
            </w:hyperlink>
          </w:p>
        </w:tc>
        <w:tc>
          <w:tcPr>
            <w:tcW w:w="62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900" w:type="dxa"/>
            <w:vAlign w:val="bottom"/>
          </w:tcPr>
          <w:p>
            <w:pPr>
              <w:spacing w:after="0"/>
              <w:rPr>
                <w:sz w:val="20"/>
                <w:szCs w:val="20"/>
                <w:color w:val="auto"/>
              </w:rPr>
            </w:pPr>
            <w:r>
              <w:rPr>
                <w:rFonts w:ascii="Arial" w:cs="Arial" w:eastAsia="Arial" w:hAnsi="Arial"/>
                <w:sz w:val="16"/>
                <w:szCs w:val="16"/>
                <w:color w:val="auto"/>
              </w:rPr>
              <w:t>10.31</w:t>
            </w:r>
          </w:p>
        </w:tc>
        <w:tc>
          <w:tcPr>
            <w:tcW w:w="5020" w:type="dxa"/>
            <w:vAlign w:val="bottom"/>
            <w:gridSpan w:val="37"/>
            <w:vMerge w:val="restart"/>
          </w:tcPr>
          <w:p>
            <w:pPr>
              <w:spacing w:after="0"/>
              <w:rPr>
                <w:rFonts w:ascii="Arial" w:cs="Arial" w:eastAsia="Arial" w:hAnsi="Arial"/>
                <w:sz w:val="16"/>
                <w:szCs w:val="16"/>
                <w:color w:val="0000FF"/>
                <w:w w:val="91"/>
              </w:rPr>
            </w:pPr>
            <w:hyperlink r:id="rId260">
              <w:r>
                <w:rPr>
                  <w:rFonts w:ascii="Arial" w:cs="Arial" w:eastAsia="Arial" w:hAnsi="Arial"/>
                  <w:sz w:val="16"/>
                  <w:szCs w:val="16"/>
                  <w:color w:val="0000FF"/>
                  <w:w w:val="91"/>
                </w:rPr>
                <w:t>Amended and Restated Employment Agreement, dated September 23, 2021,</w:t>
              </w:r>
            </w:hyperlink>
          </w:p>
        </w:tc>
        <w:tc>
          <w:tcPr>
            <w:tcW w:w="0" w:type="dxa"/>
            <w:vAlign w:val="bottom"/>
          </w:tcPr>
          <w:p>
            <w:pPr>
              <w:spacing w:after="0"/>
              <w:rPr>
                <w:sz w:val="1"/>
                <w:szCs w:val="1"/>
                <w:color w:val="auto"/>
              </w:rPr>
            </w:pPr>
          </w:p>
        </w:tc>
      </w:tr>
      <w:tr>
        <w:trPr>
          <w:trHeight w:val="125"/>
        </w:trPr>
        <w:tc>
          <w:tcPr>
            <w:tcW w:w="900" w:type="dxa"/>
            <w:vAlign w:val="bottom"/>
          </w:tcPr>
          <w:p>
            <w:pPr>
              <w:spacing w:after="0"/>
              <w:rPr>
                <w:sz w:val="10"/>
                <w:szCs w:val="10"/>
                <w:color w:val="auto"/>
              </w:rPr>
            </w:pPr>
          </w:p>
        </w:tc>
        <w:tc>
          <w:tcPr>
            <w:tcW w:w="5020" w:type="dxa"/>
            <w:vAlign w:val="bottom"/>
            <w:gridSpan w:val="3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900" w:type="dxa"/>
            <w:vAlign w:val="bottom"/>
            <w:tcBorders>
              <w:top w:val="single" w:sz="8" w:color="0000FF"/>
            </w:tcBorders>
            <w:gridSpan w:val="32"/>
          </w:tcPr>
          <w:p>
            <w:pPr>
              <w:spacing w:after="0" w:line="140" w:lineRule="exact"/>
              <w:rPr>
                <w:rFonts w:ascii="Arial" w:cs="Arial" w:eastAsia="Arial" w:hAnsi="Arial"/>
                <w:sz w:val="16"/>
                <w:szCs w:val="16"/>
                <w:color w:val="0000FF"/>
              </w:rPr>
            </w:pPr>
            <w:hyperlink r:id="rId260">
              <w:r>
                <w:rPr>
                  <w:rFonts w:ascii="Arial" w:cs="Arial" w:eastAsia="Arial" w:hAnsi="Arial"/>
                  <w:sz w:val="16"/>
                  <w:szCs w:val="16"/>
                  <w:color w:val="0000FF"/>
                </w:rPr>
                <w:t>by and between Clearway Energy, Inc. and Christopher Sotos.</w:t>
              </w:r>
            </w:hyperlink>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6"/>
                <w:szCs w:val="16"/>
                <w:color w:val="auto"/>
              </w:rPr>
              <w:t>10.32</w:t>
            </w: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00" w:type="dxa"/>
            <w:vAlign w:val="bottom"/>
            <w:vMerge w:val="continue"/>
          </w:tcPr>
          <w:p>
            <w:pPr>
              <w:spacing w:after="0"/>
              <w:rPr>
                <w:sz w:val="19"/>
                <w:szCs w:val="19"/>
                <w:color w:val="auto"/>
              </w:rPr>
            </w:pPr>
          </w:p>
        </w:tc>
        <w:tc>
          <w:tcPr>
            <w:tcW w:w="5020" w:type="dxa"/>
            <w:vAlign w:val="bottom"/>
            <w:gridSpan w:val="37"/>
            <w:vMerge w:val="restart"/>
          </w:tcPr>
          <w:p>
            <w:pPr>
              <w:spacing w:after="0"/>
              <w:rPr>
                <w:rFonts w:ascii="Arial" w:cs="Arial" w:eastAsia="Arial" w:hAnsi="Arial"/>
                <w:sz w:val="16"/>
                <w:szCs w:val="16"/>
                <w:color w:val="0000FF"/>
                <w:w w:val="92"/>
              </w:rPr>
            </w:pPr>
            <w:hyperlink r:id="rId261">
              <w:r>
                <w:rPr>
                  <w:rFonts w:ascii="Arial" w:cs="Arial" w:eastAsia="Arial" w:hAnsi="Arial"/>
                  <w:sz w:val="16"/>
                  <w:szCs w:val="16"/>
                  <w:color w:val="0000FF"/>
                  <w:w w:val="92"/>
                </w:rPr>
                <w:t>Membership Interest Purchase Agreement, dated as of October 22, 2021, by</w:t>
              </w:r>
            </w:hyperlink>
          </w:p>
        </w:tc>
        <w:tc>
          <w:tcPr>
            <w:tcW w:w="0" w:type="dxa"/>
            <w:vAlign w:val="bottom"/>
          </w:tcPr>
          <w:p>
            <w:pPr>
              <w:spacing w:after="0"/>
              <w:rPr>
                <w:sz w:val="1"/>
                <w:szCs w:val="1"/>
                <w:color w:val="auto"/>
              </w:rPr>
            </w:pPr>
          </w:p>
        </w:tc>
      </w:tr>
      <w:tr>
        <w:trPr>
          <w:trHeight w:val="125"/>
        </w:trPr>
        <w:tc>
          <w:tcPr>
            <w:tcW w:w="900" w:type="dxa"/>
            <w:vAlign w:val="bottom"/>
          </w:tcPr>
          <w:p>
            <w:pPr>
              <w:spacing w:after="0"/>
              <w:rPr>
                <w:sz w:val="10"/>
                <w:szCs w:val="10"/>
                <w:color w:val="auto"/>
              </w:rPr>
            </w:pPr>
          </w:p>
        </w:tc>
        <w:tc>
          <w:tcPr>
            <w:tcW w:w="5020" w:type="dxa"/>
            <w:vAlign w:val="bottom"/>
            <w:gridSpan w:val="3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860" w:type="dxa"/>
            <w:vAlign w:val="bottom"/>
            <w:tcBorders>
              <w:top w:val="single" w:sz="8" w:color="0000FF"/>
              <w:bottom w:val="single" w:sz="8" w:color="0000FF"/>
            </w:tcBorders>
            <w:gridSpan w:val="30"/>
          </w:tcPr>
          <w:p>
            <w:pPr>
              <w:spacing w:after="0" w:line="140" w:lineRule="exact"/>
              <w:rPr>
                <w:rFonts w:ascii="Arial" w:cs="Arial" w:eastAsia="Arial" w:hAnsi="Arial"/>
                <w:sz w:val="16"/>
                <w:szCs w:val="16"/>
                <w:color w:val="0000FF"/>
                <w:w w:val="93"/>
              </w:rPr>
            </w:pPr>
            <w:hyperlink r:id="rId261">
              <w:r>
                <w:rPr>
                  <w:rFonts w:ascii="Arial" w:cs="Arial" w:eastAsia="Arial" w:hAnsi="Arial"/>
                  <w:sz w:val="16"/>
                  <w:szCs w:val="16"/>
                  <w:color w:val="0000FF"/>
                  <w:w w:val="93"/>
                </w:rPr>
                <w:t>and between Clearway Energy Operating LLC and KKR Thor Bidco, LLC.</w:t>
              </w:r>
            </w:hyperlink>
          </w:p>
        </w:tc>
        <w:tc>
          <w:tcPr>
            <w:tcW w:w="6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10.33</w:t>
            </w:r>
          </w:p>
        </w:tc>
        <w:tc>
          <w:tcPr>
            <w:tcW w:w="5020" w:type="dxa"/>
            <w:vAlign w:val="bottom"/>
            <w:gridSpan w:val="37"/>
          </w:tcPr>
          <w:p>
            <w:pPr>
              <w:spacing w:after="0"/>
              <w:rPr>
                <w:rFonts w:ascii="Arial" w:cs="Arial" w:eastAsia="Arial" w:hAnsi="Arial"/>
                <w:sz w:val="16"/>
                <w:szCs w:val="16"/>
                <w:color w:val="0000FF"/>
                <w:w w:val="90"/>
              </w:rPr>
            </w:pPr>
            <w:hyperlink r:id="rId262">
              <w:r>
                <w:rPr>
                  <w:rFonts w:ascii="Arial" w:cs="Arial" w:eastAsia="Arial" w:hAnsi="Arial"/>
                  <w:sz w:val="16"/>
                  <w:szCs w:val="16"/>
                  <w:color w:val="0000FF"/>
                  <w:w w:val="90"/>
                </w:rPr>
                <w:t>Senior Secured Bridge Credit Agreement, dated as of November 30, 2021, by</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5000" w:type="dxa"/>
            <w:vAlign w:val="bottom"/>
            <w:tcBorders>
              <w:top w:val="single" w:sz="8" w:color="0000FF"/>
            </w:tcBorders>
            <w:gridSpan w:val="36"/>
          </w:tcPr>
          <w:p>
            <w:pPr>
              <w:spacing w:after="0" w:line="140" w:lineRule="exact"/>
              <w:rPr>
                <w:rFonts w:ascii="Arial" w:cs="Arial" w:eastAsia="Arial" w:hAnsi="Arial"/>
                <w:sz w:val="16"/>
                <w:szCs w:val="16"/>
                <w:color w:val="0000FF"/>
                <w:w w:val="97"/>
              </w:rPr>
            </w:pPr>
            <w:hyperlink r:id="rId262">
              <w:r>
                <w:rPr>
                  <w:rFonts w:ascii="Arial" w:cs="Arial" w:eastAsia="Arial" w:hAnsi="Arial"/>
                  <w:sz w:val="16"/>
                  <w:szCs w:val="16"/>
                  <w:color w:val="0000FF"/>
                  <w:w w:val="97"/>
                </w:rPr>
                <w:t>and among Clearway Energy Operating LLC, Clearway Energy LLC, the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700" w:type="dxa"/>
            <w:vAlign w:val="bottom"/>
            <w:tcBorders>
              <w:top w:val="single" w:sz="8" w:color="0000FF"/>
            </w:tcBorders>
            <w:gridSpan w:val="20"/>
          </w:tcPr>
          <w:p>
            <w:pPr>
              <w:spacing w:after="0" w:line="140" w:lineRule="exact"/>
              <w:rPr>
                <w:rFonts w:ascii="Arial" w:cs="Arial" w:eastAsia="Arial" w:hAnsi="Arial"/>
                <w:sz w:val="16"/>
                <w:szCs w:val="16"/>
                <w:color w:val="0000FF"/>
                <w:w w:val="90"/>
              </w:rPr>
            </w:pPr>
            <w:hyperlink r:id="rId262">
              <w:r>
                <w:rPr>
                  <w:rFonts w:ascii="Arial" w:cs="Arial" w:eastAsia="Arial" w:hAnsi="Arial"/>
                  <w:sz w:val="16"/>
                  <w:szCs w:val="16"/>
                  <w:color w:val="0000FF"/>
                  <w:w w:val="90"/>
                </w:rPr>
                <w:t>guarantors party thereto, Bank of America, N.A., as administrative agent,</w:t>
              </w:r>
            </w:hyperlink>
          </w:p>
        </w:tc>
        <w:tc>
          <w:tcPr>
            <w:tcW w:w="320" w:type="dxa"/>
            <w:vAlign w:val="bottom"/>
            <w:gridSpan w:val="17"/>
          </w:tcPr>
          <w:p>
            <w:pPr>
              <w:ind w:left="40"/>
              <w:spacing w:after="0" w:line="140" w:lineRule="exact"/>
              <w:rPr>
                <w:rFonts w:ascii="Arial" w:cs="Arial" w:eastAsia="Arial" w:hAnsi="Arial"/>
                <w:sz w:val="16"/>
                <w:szCs w:val="16"/>
                <w:color w:val="0000FF"/>
                <w:w w:val="97"/>
              </w:rPr>
            </w:pPr>
            <w:hyperlink r:id="rId262">
              <w:r>
                <w:rPr>
                  <w:rFonts w:ascii="Arial" w:cs="Arial" w:eastAsia="Arial" w:hAnsi="Arial"/>
                  <w:sz w:val="16"/>
                  <w:szCs w:val="16"/>
                  <w:color w:val="0000FF"/>
                  <w:w w:val="97"/>
                </w:rPr>
                <w:t>and</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980" w:type="dxa"/>
            <w:vAlign w:val="bottom"/>
            <w:tcBorders>
              <w:top w:val="single" w:sz="8" w:color="0000FF"/>
            </w:tcBorders>
            <w:gridSpan w:val="35"/>
          </w:tcPr>
          <w:p>
            <w:pPr>
              <w:spacing w:after="0" w:line="140" w:lineRule="exact"/>
              <w:rPr>
                <w:rFonts w:ascii="Arial" w:cs="Arial" w:eastAsia="Arial" w:hAnsi="Arial"/>
                <w:sz w:val="16"/>
                <w:szCs w:val="16"/>
                <w:color w:val="0000FF"/>
              </w:rPr>
            </w:pPr>
            <w:hyperlink r:id="rId262">
              <w:r>
                <w:rPr>
                  <w:rFonts w:ascii="Arial" w:cs="Arial" w:eastAsia="Arial" w:hAnsi="Arial"/>
                  <w:sz w:val="16"/>
                  <w:szCs w:val="16"/>
                  <w:color w:val="0000FF"/>
                </w:rPr>
                <w:t>the lenders party thereto.</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10.34</w:t>
            </w:r>
          </w:p>
        </w:tc>
        <w:tc>
          <w:tcPr>
            <w:tcW w:w="5020" w:type="dxa"/>
            <w:vAlign w:val="bottom"/>
            <w:gridSpan w:val="37"/>
          </w:tcPr>
          <w:p>
            <w:pPr>
              <w:spacing w:after="0"/>
              <w:rPr>
                <w:rFonts w:ascii="Arial" w:cs="Arial" w:eastAsia="Arial" w:hAnsi="Arial"/>
                <w:sz w:val="16"/>
                <w:szCs w:val="16"/>
                <w:color w:val="0000FF"/>
                <w:w w:val="93"/>
              </w:rPr>
            </w:pPr>
            <w:hyperlink r:id="rId263">
              <w:r>
                <w:rPr>
                  <w:rFonts w:ascii="Arial" w:cs="Arial" w:eastAsia="Arial" w:hAnsi="Arial"/>
                  <w:sz w:val="16"/>
                  <w:szCs w:val="16"/>
                  <w:color w:val="0000FF"/>
                  <w:w w:val="93"/>
                </w:rPr>
                <w:t>First Amendment to Membership Interest Purchase Agreement, dated as of</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800" w:type="dxa"/>
            <w:vAlign w:val="bottom"/>
            <w:tcBorders>
              <w:top w:val="single" w:sz="8" w:color="0000FF"/>
            </w:tcBorders>
            <w:gridSpan w:val="24"/>
          </w:tcPr>
          <w:p>
            <w:pPr>
              <w:spacing w:after="0" w:line="140" w:lineRule="exact"/>
              <w:rPr>
                <w:rFonts w:ascii="Arial" w:cs="Arial" w:eastAsia="Arial" w:hAnsi="Arial"/>
                <w:sz w:val="16"/>
                <w:szCs w:val="16"/>
                <w:color w:val="0000FF"/>
                <w:w w:val="92"/>
              </w:rPr>
            </w:pPr>
            <w:hyperlink r:id="rId263">
              <w:r>
                <w:rPr>
                  <w:rFonts w:ascii="Arial" w:cs="Arial" w:eastAsia="Arial" w:hAnsi="Arial"/>
                  <w:sz w:val="16"/>
                  <w:szCs w:val="16"/>
                  <w:color w:val="0000FF"/>
                  <w:w w:val="92"/>
                </w:rPr>
                <w:t>December 17, 2021, by and among Lighthouse Renewable Class A LLC,</w:t>
              </w:r>
            </w:hyperlink>
          </w:p>
        </w:tc>
        <w:tc>
          <w:tcPr>
            <w:tcW w:w="20" w:type="dxa"/>
            <w:vAlign w:val="bottom"/>
          </w:tcPr>
          <w:p>
            <w:pPr>
              <w:spacing w:after="0"/>
              <w:rPr>
                <w:sz w:val="12"/>
                <w:szCs w:val="12"/>
                <w:color w:val="auto"/>
              </w:rPr>
            </w:pPr>
          </w:p>
        </w:tc>
        <w:tc>
          <w:tcPr>
            <w:tcW w:w="100" w:type="dxa"/>
            <w:vAlign w:val="bottom"/>
            <w:gridSpan w:val="8"/>
          </w:tcPr>
          <w:p>
            <w:pPr>
              <w:spacing w:after="0"/>
              <w:rPr>
                <w:sz w:val="12"/>
                <w:szCs w:val="12"/>
                <w:color w:val="auto"/>
              </w:rPr>
            </w:pPr>
          </w:p>
        </w:tc>
        <w:tc>
          <w:tcPr>
            <w:tcW w:w="1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680" w:type="dxa"/>
            <w:vAlign w:val="bottom"/>
            <w:tcBorders>
              <w:top w:val="single" w:sz="8" w:color="0000FF"/>
            </w:tcBorders>
            <w:gridSpan w:val="19"/>
          </w:tcPr>
          <w:p>
            <w:pPr>
              <w:spacing w:after="0" w:line="140" w:lineRule="exact"/>
              <w:rPr>
                <w:rFonts w:ascii="Arial" w:cs="Arial" w:eastAsia="Arial" w:hAnsi="Arial"/>
                <w:sz w:val="16"/>
                <w:szCs w:val="16"/>
                <w:color w:val="0000FF"/>
              </w:rPr>
            </w:pPr>
            <w:hyperlink r:id="rId263">
              <w:r>
                <w:rPr>
                  <w:rFonts w:ascii="Arial" w:cs="Arial" w:eastAsia="Arial" w:hAnsi="Arial"/>
                  <w:sz w:val="16"/>
                  <w:szCs w:val="16"/>
                  <w:color w:val="0000FF"/>
                </w:rPr>
                <w:t>Clearway Renew LLC and Clearway Energy Operating LLC.</w:t>
              </w:r>
            </w:hyperlink>
          </w:p>
        </w:tc>
        <w:tc>
          <w:tcPr>
            <w:tcW w:w="140" w:type="dxa"/>
            <w:vAlign w:val="bottom"/>
            <w:gridSpan w:val="6"/>
          </w:tcPr>
          <w:p>
            <w:pPr>
              <w:spacing w:after="0"/>
              <w:rPr>
                <w:sz w:val="12"/>
                <w:szCs w:val="12"/>
                <w:color w:val="auto"/>
              </w:rPr>
            </w:pPr>
          </w:p>
        </w:tc>
        <w:tc>
          <w:tcPr>
            <w:tcW w:w="100" w:type="dxa"/>
            <w:vAlign w:val="bottom"/>
            <w:gridSpan w:val="8"/>
          </w:tcPr>
          <w:p>
            <w:pPr>
              <w:spacing w:after="0"/>
              <w:rPr>
                <w:sz w:val="12"/>
                <w:szCs w:val="12"/>
                <w:color w:val="auto"/>
              </w:rPr>
            </w:pPr>
          </w:p>
        </w:tc>
        <w:tc>
          <w:tcPr>
            <w:tcW w:w="1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gridSpan w:val="11"/>
          </w:tcPr>
          <w:p>
            <w:pPr>
              <w:spacing w:after="0" w:line="20" w:lineRule="exact"/>
              <w:rPr>
                <w:sz w:val="1"/>
                <w:szCs w:val="1"/>
                <w:color w:val="auto"/>
              </w:rPr>
            </w:pPr>
          </w:p>
        </w:tc>
        <w:tc>
          <w:tcPr>
            <w:tcW w:w="10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10.35</w:t>
            </w:r>
          </w:p>
        </w:tc>
        <w:tc>
          <w:tcPr>
            <w:tcW w:w="4820" w:type="dxa"/>
            <w:vAlign w:val="bottom"/>
            <w:tcBorders>
              <w:bottom w:val="single" w:sz="8" w:color="0000FF"/>
            </w:tcBorders>
            <w:gridSpan w:val="25"/>
          </w:tcPr>
          <w:p>
            <w:pPr>
              <w:spacing w:after="0"/>
              <w:rPr>
                <w:rFonts w:ascii="Arial" w:cs="Arial" w:eastAsia="Arial" w:hAnsi="Arial"/>
                <w:sz w:val="16"/>
                <w:szCs w:val="16"/>
                <w:color w:val="0000FF"/>
                <w:w w:val="90"/>
              </w:rPr>
            </w:pPr>
            <w:hyperlink r:id="rId264">
              <w:r>
                <w:rPr>
                  <w:rFonts w:ascii="Arial" w:cs="Arial" w:eastAsia="Arial" w:hAnsi="Arial"/>
                  <w:sz w:val="16"/>
                  <w:szCs w:val="16"/>
                  <w:color w:val="0000FF"/>
                  <w:w w:val="90"/>
                </w:rPr>
                <w:t>First Amendment to Membership Interest Purchase Agreement, dated as of</w:t>
              </w:r>
            </w:hyperlink>
          </w:p>
        </w:tc>
        <w:tc>
          <w:tcPr>
            <w:tcW w:w="20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5020" w:type="dxa"/>
            <w:vAlign w:val="bottom"/>
            <w:gridSpan w:val="37"/>
          </w:tcPr>
          <w:p>
            <w:pPr>
              <w:spacing w:after="0" w:line="140" w:lineRule="exact"/>
              <w:rPr>
                <w:rFonts w:ascii="Arial" w:cs="Arial" w:eastAsia="Arial" w:hAnsi="Arial"/>
                <w:sz w:val="16"/>
                <w:szCs w:val="16"/>
                <w:color w:val="0000FF"/>
                <w:w w:val="92"/>
              </w:rPr>
            </w:pPr>
            <w:hyperlink r:id="rId264">
              <w:r>
                <w:rPr>
                  <w:rFonts w:ascii="Arial" w:cs="Arial" w:eastAsia="Arial" w:hAnsi="Arial"/>
                  <w:sz w:val="16"/>
                  <w:szCs w:val="16"/>
                  <w:color w:val="0000FF"/>
                  <w:w w:val="92"/>
                </w:rPr>
                <w:t>December 29, 2021, by and among Lighthouse Renewable Class A LLC and</w:t>
              </w:r>
            </w:hyperlink>
          </w:p>
        </w:tc>
        <w:tc>
          <w:tcPr>
            <w:tcW w:w="0" w:type="dxa"/>
            <w:vAlign w:val="bottom"/>
          </w:tcPr>
          <w:p>
            <w:pPr>
              <w:spacing w:after="0"/>
              <w:rPr>
                <w:sz w:val="1"/>
                <w:szCs w:val="1"/>
                <w:color w:val="auto"/>
              </w:rPr>
            </w:pPr>
          </w:p>
        </w:tc>
      </w:tr>
      <w:tr>
        <w:trPr>
          <w:trHeight w:val="140"/>
        </w:trPr>
        <w:tc>
          <w:tcPr>
            <w:tcW w:w="900" w:type="dxa"/>
            <w:vAlign w:val="bottom"/>
          </w:tcPr>
          <w:p>
            <w:pPr>
              <w:spacing w:after="0"/>
              <w:rPr>
                <w:sz w:val="12"/>
                <w:szCs w:val="12"/>
                <w:color w:val="auto"/>
              </w:rPr>
            </w:pPr>
          </w:p>
        </w:tc>
        <w:tc>
          <w:tcPr>
            <w:tcW w:w="4920" w:type="dxa"/>
            <w:vAlign w:val="bottom"/>
            <w:tcBorders>
              <w:top w:val="single" w:sz="8" w:color="0000FF"/>
            </w:tcBorders>
            <w:gridSpan w:val="33"/>
          </w:tcPr>
          <w:p>
            <w:pPr>
              <w:spacing w:after="0" w:line="140" w:lineRule="exact"/>
              <w:rPr>
                <w:rFonts w:ascii="Arial" w:cs="Arial" w:eastAsia="Arial" w:hAnsi="Arial"/>
                <w:sz w:val="16"/>
                <w:szCs w:val="16"/>
                <w:color w:val="0000FF"/>
              </w:rPr>
            </w:pPr>
            <w:hyperlink r:id="rId264">
              <w:r>
                <w:rPr>
                  <w:rFonts w:ascii="Arial" w:cs="Arial" w:eastAsia="Arial" w:hAnsi="Arial"/>
                  <w:sz w:val="16"/>
                  <w:szCs w:val="16"/>
                  <w:color w:val="0000FF"/>
                </w:rPr>
                <w:t>Clearway Renew LLC.</w:t>
              </w:r>
            </w:hyperlink>
          </w:p>
        </w:tc>
        <w:tc>
          <w:tcPr>
            <w:tcW w:w="1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900" w:type="dxa"/>
            <w:vAlign w:val="bottom"/>
          </w:tcPr>
          <w:p>
            <w:pPr>
              <w:spacing w:after="0"/>
              <w:rPr>
                <w:sz w:val="20"/>
                <w:szCs w:val="20"/>
                <w:color w:val="auto"/>
              </w:rPr>
            </w:pPr>
            <w:r>
              <w:rPr>
                <w:rFonts w:ascii="Arial" w:cs="Arial" w:eastAsia="Arial" w:hAnsi="Arial"/>
                <w:sz w:val="16"/>
                <w:szCs w:val="16"/>
                <w:color w:val="auto"/>
              </w:rPr>
              <w:t>16.1</w:t>
            </w:r>
          </w:p>
        </w:tc>
        <w:tc>
          <w:tcPr>
            <w:tcW w:w="2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7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94967257"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00" w:type="dxa"/>
            <w:vAlign w:val="bottom"/>
          </w:tcPr>
          <w:p>
            <w:pPr>
              <w:spacing w:after="0"/>
              <w:rPr>
                <w:sz w:val="24"/>
                <w:szCs w:val="24"/>
                <w:color w:val="auto"/>
              </w:rPr>
            </w:pPr>
          </w:p>
        </w:tc>
        <w:tc>
          <w:tcPr>
            <w:tcW w:w="5020" w:type="dxa"/>
            <w:vAlign w:val="bottom"/>
            <w:gridSpan w:val="37"/>
          </w:tcPr>
          <w:p>
            <w:pPr>
              <w:spacing w:after="0"/>
              <w:rPr>
                <w:rFonts w:ascii="Arial" w:cs="Arial" w:eastAsia="Arial" w:hAnsi="Arial"/>
                <w:sz w:val="16"/>
                <w:szCs w:val="16"/>
                <w:color w:val="0000FF"/>
              </w:rPr>
            </w:pPr>
            <w:hyperlink r:id="rId265">
              <w:r>
                <w:rPr>
                  <w:rFonts w:ascii="Arial" w:cs="Arial" w:eastAsia="Arial" w:hAnsi="Arial"/>
                  <w:sz w:val="16"/>
                  <w:szCs w:val="16"/>
                  <w:color w:val="0000FF"/>
                </w:rPr>
                <w:t>Letter from KPMG LLP, dated March 15, 2021.</w:t>
              </w:r>
            </w:hyperlink>
          </w:p>
        </w:tc>
        <w:tc>
          <w:tcPr>
            <w:tcW w:w="0" w:type="dxa"/>
            <w:vAlign w:val="bottom"/>
          </w:tcPr>
          <w:p>
            <w:pPr>
              <w:spacing w:after="0"/>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21.1</w:t>
            </w:r>
          </w:p>
        </w:tc>
        <w:tc>
          <w:tcPr>
            <w:tcW w:w="2420" w:type="dxa"/>
            <w:vAlign w:val="bottom"/>
            <w:tcBorders>
              <w:top w:val="single" w:sz="8" w:color="0000FF"/>
              <w:bottom w:val="single" w:sz="8" w:color="0000FF"/>
            </w:tcBorders>
            <w:gridSpan w:val="8"/>
          </w:tcPr>
          <w:p>
            <w:pPr>
              <w:spacing w:after="0"/>
              <w:rPr>
                <w:rFonts w:ascii="Arial" w:cs="Arial" w:eastAsia="Arial" w:hAnsi="Arial"/>
                <w:sz w:val="16"/>
                <w:szCs w:val="16"/>
                <w:color w:val="0000FF"/>
                <w:w w:val="90"/>
              </w:rPr>
            </w:pPr>
            <w:hyperlink w:anchor="page156">
              <w:r>
                <w:rPr>
                  <w:rFonts w:ascii="Arial" w:cs="Arial" w:eastAsia="Arial" w:hAnsi="Arial"/>
                  <w:sz w:val="16"/>
                  <w:szCs w:val="16"/>
                  <w:color w:val="0000FF"/>
                  <w:w w:val="90"/>
                </w:rPr>
                <w:t>Subsidiaries of Clearway Energy, Inc.</w:t>
              </w:r>
            </w:hyperlink>
          </w:p>
        </w:tc>
        <w:tc>
          <w:tcPr>
            <w:tcW w:w="640" w:type="dxa"/>
            <w:vAlign w:val="bottom"/>
            <w:tcBorders>
              <w:top w:val="single" w:sz="8" w:color="0000FF"/>
            </w:tcBorders>
          </w:tcPr>
          <w:p>
            <w:pPr>
              <w:spacing w:after="0"/>
              <w:rPr>
                <w:sz w:val="16"/>
                <w:szCs w:val="16"/>
                <w:color w:val="auto"/>
              </w:rPr>
            </w:pPr>
          </w:p>
        </w:tc>
        <w:tc>
          <w:tcPr>
            <w:tcW w:w="1960" w:type="dxa"/>
            <w:vAlign w:val="bottom"/>
            <w:gridSpan w:val="2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23.1</w:t>
            </w:r>
          </w:p>
        </w:tc>
        <w:tc>
          <w:tcPr>
            <w:tcW w:w="5020" w:type="dxa"/>
            <w:vAlign w:val="bottom"/>
            <w:gridSpan w:val="37"/>
          </w:tcPr>
          <w:p>
            <w:pPr>
              <w:spacing w:after="0"/>
              <w:rPr>
                <w:rFonts w:ascii="Arial" w:cs="Arial" w:eastAsia="Arial" w:hAnsi="Arial"/>
                <w:sz w:val="16"/>
                <w:szCs w:val="16"/>
                <w:color w:val="0000FF"/>
              </w:rPr>
            </w:pPr>
            <w:hyperlink w:anchor="page167">
              <w:r>
                <w:rPr>
                  <w:rFonts w:ascii="Arial" w:cs="Arial" w:eastAsia="Arial" w:hAnsi="Arial"/>
                  <w:sz w:val="16"/>
                  <w:szCs w:val="16"/>
                  <w:color w:val="0000FF"/>
                </w:rPr>
                <w:t>Consent of Ernst &amp; Young LLP.</w:t>
              </w:r>
            </w:hyperlink>
          </w:p>
        </w:tc>
        <w:tc>
          <w:tcPr>
            <w:tcW w:w="0" w:type="dxa"/>
            <w:vAlign w:val="bottom"/>
          </w:tcPr>
          <w:p>
            <w:pPr>
              <w:spacing w:after="0"/>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23.2</w:t>
            </w:r>
          </w:p>
        </w:tc>
        <w:tc>
          <w:tcPr>
            <w:tcW w:w="2040" w:type="dxa"/>
            <w:vAlign w:val="bottom"/>
            <w:tcBorders>
              <w:top w:val="single" w:sz="8" w:color="0000FF"/>
            </w:tcBorders>
            <w:gridSpan w:val="7"/>
          </w:tcPr>
          <w:p>
            <w:pPr>
              <w:spacing w:after="0"/>
              <w:rPr>
                <w:rFonts w:ascii="Arial" w:cs="Arial" w:eastAsia="Arial" w:hAnsi="Arial"/>
                <w:sz w:val="16"/>
                <w:szCs w:val="16"/>
                <w:color w:val="0000FF"/>
              </w:rPr>
            </w:pPr>
            <w:hyperlink w:anchor="page168">
              <w:r>
                <w:rPr>
                  <w:rFonts w:ascii="Arial" w:cs="Arial" w:eastAsia="Arial" w:hAnsi="Arial"/>
                  <w:sz w:val="16"/>
                  <w:szCs w:val="16"/>
                  <w:color w:val="0000FF"/>
                </w:rPr>
                <w:t>Consent of KPMG LLP.</w:t>
              </w:r>
            </w:hyperlink>
          </w:p>
        </w:tc>
        <w:tc>
          <w:tcPr>
            <w:tcW w:w="2980" w:type="dxa"/>
            <w:vAlign w:val="bottom"/>
            <w:gridSpan w:val="30"/>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24.1</w:t>
            </w:r>
          </w:p>
        </w:tc>
        <w:tc>
          <w:tcPr>
            <w:tcW w:w="1580" w:type="dxa"/>
            <w:vAlign w:val="bottom"/>
            <w:tcBorders>
              <w:top w:val="single" w:sz="8" w:color="0000FF"/>
            </w:tcBorders>
            <w:gridSpan w:val="6"/>
          </w:tcPr>
          <w:p>
            <w:pPr>
              <w:spacing w:after="0"/>
              <w:rPr>
                <w:rFonts w:ascii="Arial" w:cs="Arial" w:eastAsia="Arial" w:hAnsi="Arial"/>
                <w:sz w:val="16"/>
                <w:szCs w:val="16"/>
                <w:color w:val="0000FF"/>
              </w:rPr>
            </w:pPr>
            <w:hyperlink w:anchor="page144">
              <w:r>
                <w:rPr>
                  <w:rFonts w:ascii="Arial" w:cs="Arial" w:eastAsia="Arial" w:hAnsi="Arial"/>
                  <w:sz w:val="16"/>
                  <w:szCs w:val="16"/>
                  <w:color w:val="0000FF"/>
                </w:rPr>
                <w:t>Power of Attorney</w:t>
              </w:r>
            </w:hyperlink>
          </w:p>
        </w:tc>
        <w:tc>
          <w:tcPr>
            <w:tcW w:w="3440" w:type="dxa"/>
            <w:vAlign w:val="bottom"/>
            <w:gridSpan w:val="3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900" w:type="dxa"/>
            <w:vAlign w:val="bottom"/>
          </w:tcPr>
          <w:p>
            <w:pPr>
              <w:spacing w:after="0"/>
              <w:rPr>
                <w:sz w:val="20"/>
                <w:szCs w:val="20"/>
                <w:color w:val="auto"/>
              </w:rPr>
            </w:pPr>
            <w:r>
              <w:rPr>
                <w:rFonts w:ascii="Arial" w:cs="Arial" w:eastAsia="Arial" w:hAnsi="Arial"/>
                <w:sz w:val="16"/>
                <w:szCs w:val="16"/>
                <w:color w:val="auto"/>
              </w:rPr>
              <w:t>31.1</w:t>
            </w:r>
          </w:p>
        </w:tc>
        <w:tc>
          <w:tcPr>
            <w:tcW w:w="5020" w:type="dxa"/>
            <w:vAlign w:val="bottom"/>
            <w:gridSpan w:val="37"/>
          </w:tcPr>
          <w:p>
            <w:pPr>
              <w:spacing w:after="0"/>
              <w:rPr>
                <w:rFonts w:ascii="Arial" w:cs="Arial" w:eastAsia="Arial" w:hAnsi="Arial"/>
                <w:sz w:val="16"/>
                <w:szCs w:val="16"/>
                <w:color w:val="0000FF"/>
              </w:rPr>
            </w:pPr>
            <w:hyperlink w:anchor="page169">
              <w:r>
                <w:rPr>
                  <w:rFonts w:ascii="Arial" w:cs="Arial" w:eastAsia="Arial" w:hAnsi="Arial"/>
                  <w:sz w:val="16"/>
                  <w:szCs w:val="16"/>
                  <w:color w:val="0000FF"/>
                </w:rPr>
                <w:t>Rule 13a-14(a)/15d-14(a) certification of Christopher S. Sotos.</w:t>
              </w:r>
            </w:hyperlink>
          </w:p>
        </w:tc>
        <w:tc>
          <w:tcPr>
            <w:tcW w:w="0" w:type="dxa"/>
            <w:vAlign w:val="bottom"/>
          </w:tcPr>
          <w:p>
            <w:pPr>
              <w:spacing w:after="0"/>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31.2</w:t>
            </w:r>
          </w:p>
        </w:tc>
        <w:tc>
          <w:tcPr>
            <w:tcW w:w="4020" w:type="dxa"/>
            <w:vAlign w:val="bottom"/>
            <w:tcBorders>
              <w:top w:val="single" w:sz="8" w:color="0000FF"/>
            </w:tcBorders>
            <w:gridSpan w:val="14"/>
          </w:tcPr>
          <w:p>
            <w:pPr>
              <w:spacing w:after="0"/>
              <w:rPr>
                <w:rFonts w:ascii="Arial" w:cs="Arial" w:eastAsia="Arial" w:hAnsi="Arial"/>
                <w:sz w:val="16"/>
                <w:szCs w:val="16"/>
                <w:color w:val="0000FF"/>
              </w:rPr>
            </w:pPr>
            <w:hyperlink w:anchor="page170">
              <w:r>
                <w:rPr>
                  <w:rFonts w:ascii="Arial" w:cs="Arial" w:eastAsia="Arial" w:hAnsi="Arial"/>
                  <w:sz w:val="16"/>
                  <w:szCs w:val="16"/>
                  <w:color w:val="0000FF"/>
                </w:rPr>
                <w:t>Rule 13a-14(a)/15d-14(a) certification of Chad Plotkin.</w:t>
              </w:r>
            </w:hyperlink>
          </w:p>
        </w:tc>
        <w:tc>
          <w:tcPr>
            <w:tcW w:w="100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540" w:type="dxa"/>
            <w:vAlign w:val="bottom"/>
            <w:gridSpan w:val="10"/>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00" w:type="dxa"/>
            <w:vAlign w:val="bottom"/>
          </w:tcPr>
          <w:p>
            <w:pPr>
              <w:spacing w:after="0"/>
              <w:rPr>
                <w:sz w:val="20"/>
                <w:szCs w:val="20"/>
                <w:color w:val="auto"/>
              </w:rPr>
            </w:pPr>
            <w:r>
              <w:rPr>
                <w:rFonts w:ascii="Arial" w:cs="Arial" w:eastAsia="Arial" w:hAnsi="Arial"/>
                <w:sz w:val="16"/>
                <w:szCs w:val="16"/>
                <w:color w:val="auto"/>
              </w:rPr>
              <w:t>31.3</w:t>
            </w:r>
          </w:p>
        </w:tc>
        <w:tc>
          <w:tcPr>
            <w:tcW w:w="5020" w:type="dxa"/>
            <w:vAlign w:val="bottom"/>
            <w:gridSpan w:val="37"/>
          </w:tcPr>
          <w:p>
            <w:pPr>
              <w:spacing w:after="0"/>
              <w:rPr>
                <w:rFonts w:ascii="Arial" w:cs="Arial" w:eastAsia="Arial" w:hAnsi="Arial"/>
                <w:sz w:val="16"/>
                <w:szCs w:val="16"/>
                <w:color w:val="0000FF"/>
              </w:rPr>
            </w:pPr>
            <w:hyperlink w:anchor="page171">
              <w:r>
                <w:rPr>
                  <w:rFonts w:ascii="Arial" w:cs="Arial" w:eastAsia="Arial" w:hAnsi="Arial"/>
                  <w:sz w:val="16"/>
                  <w:szCs w:val="16"/>
                  <w:color w:val="0000FF"/>
                </w:rPr>
                <w:t>Rule 13a-14(a)/15d-14(a) certification of Sarah Rubenstein.</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ind w:left="900" w:hanging="896"/>
        <w:spacing w:after="0"/>
        <w:tabs>
          <w:tab w:leader="none" w:pos="900" w:val="left"/>
        </w:tabs>
        <w:numPr>
          <w:ilvl w:val="0"/>
          <w:numId w:val="70"/>
        </w:numPr>
        <w:rPr>
          <w:rFonts w:ascii="Arial" w:cs="Arial" w:eastAsia="Arial" w:hAnsi="Arial"/>
          <w:sz w:val="16"/>
          <w:szCs w:val="16"/>
          <w:u w:val="single" w:color="auto"/>
          <w:color w:val="0000FF"/>
        </w:rPr>
      </w:pPr>
      <w:hyperlink w:anchor="page172">
        <w:r>
          <w:rPr>
            <w:rFonts w:ascii="Arial" w:cs="Arial" w:eastAsia="Arial" w:hAnsi="Arial"/>
            <w:sz w:val="16"/>
            <w:szCs w:val="16"/>
            <w:u w:val="single" w:color="auto"/>
            <w:color w:val="0000FF"/>
          </w:rPr>
          <w:t>Section 1350 Certification.</w:t>
        </w:r>
      </w:hyperlink>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00" w:type="dxa"/>
            <w:vAlign w:val="bottom"/>
          </w:tcPr>
          <w:p>
            <w:pPr>
              <w:ind w:left="20"/>
              <w:spacing w:after="0"/>
              <w:rPr>
                <w:sz w:val="20"/>
                <w:szCs w:val="20"/>
                <w:color w:val="auto"/>
              </w:rPr>
            </w:pPr>
            <w:r>
              <w:rPr>
                <w:rFonts w:ascii="Arial" w:cs="Arial" w:eastAsia="Arial" w:hAnsi="Arial"/>
                <w:sz w:val="16"/>
                <w:szCs w:val="16"/>
                <w:color w:val="auto"/>
              </w:rPr>
              <w:t>INS</w:t>
            </w:r>
          </w:p>
        </w:tc>
        <w:tc>
          <w:tcPr>
            <w:tcW w:w="3880" w:type="dxa"/>
            <w:vAlign w:val="bottom"/>
          </w:tcPr>
          <w:p>
            <w:pPr>
              <w:ind w:left="140"/>
              <w:spacing w:after="0"/>
              <w:rPr>
                <w:sz w:val="20"/>
                <w:szCs w:val="20"/>
                <w:color w:val="auto"/>
              </w:rPr>
            </w:pPr>
            <w:r>
              <w:rPr>
                <w:rFonts w:ascii="Arial" w:cs="Arial" w:eastAsia="Arial" w:hAnsi="Arial"/>
                <w:sz w:val="16"/>
                <w:szCs w:val="16"/>
                <w:color w:val="auto"/>
              </w:rPr>
              <w:t>Inline XBRL Instance Document.</w:t>
            </w:r>
          </w:p>
        </w:tc>
      </w:tr>
      <w:tr>
        <w:trPr>
          <w:trHeight w:val="213"/>
        </w:trPr>
        <w:tc>
          <w:tcPr>
            <w:tcW w:w="760" w:type="dxa"/>
            <w:vAlign w:val="bottom"/>
            <w:gridSpan w:val="2"/>
          </w:tcPr>
          <w:p>
            <w:pPr>
              <w:spacing w:after="0"/>
              <w:rPr>
                <w:sz w:val="20"/>
                <w:szCs w:val="20"/>
                <w:color w:val="auto"/>
              </w:rPr>
            </w:pPr>
            <w:r>
              <w:rPr>
                <w:rFonts w:ascii="Arial" w:cs="Arial" w:eastAsia="Arial" w:hAnsi="Arial"/>
                <w:sz w:val="16"/>
                <w:szCs w:val="16"/>
                <w:color w:val="auto"/>
              </w:rPr>
              <w:t>101 SCH</w:t>
            </w:r>
          </w:p>
        </w:tc>
        <w:tc>
          <w:tcPr>
            <w:tcW w:w="3880" w:type="dxa"/>
            <w:vAlign w:val="bottom"/>
          </w:tcPr>
          <w:p>
            <w:pPr>
              <w:ind w:left="140"/>
              <w:spacing w:after="0"/>
              <w:rPr>
                <w:sz w:val="20"/>
                <w:szCs w:val="20"/>
                <w:color w:val="auto"/>
              </w:rPr>
            </w:pPr>
            <w:r>
              <w:rPr>
                <w:rFonts w:ascii="Arial" w:cs="Arial" w:eastAsia="Arial" w:hAnsi="Arial"/>
                <w:sz w:val="16"/>
                <w:szCs w:val="16"/>
                <w:color w:val="auto"/>
              </w:rPr>
              <w:t>Inline XBRL Taxonomy Extension Schema.</w:t>
            </w:r>
          </w:p>
        </w:tc>
      </w:tr>
      <w:tr>
        <w:trPr>
          <w:trHeight w:val="213"/>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00" w:type="dxa"/>
            <w:vAlign w:val="bottom"/>
          </w:tcPr>
          <w:p>
            <w:pPr>
              <w:ind w:left="20"/>
              <w:spacing w:after="0"/>
              <w:rPr>
                <w:sz w:val="20"/>
                <w:szCs w:val="20"/>
                <w:color w:val="auto"/>
              </w:rPr>
            </w:pPr>
            <w:r>
              <w:rPr>
                <w:rFonts w:ascii="Arial" w:cs="Arial" w:eastAsia="Arial" w:hAnsi="Arial"/>
                <w:sz w:val="16"/>
                <w:szCs w:val="16"/>
                <w:color w:val="auto"/>
              </w:rPr>
              <w:t>CAL</w:t>
            </w:r>
          </w:p>
        </w:tc>
        <w:tc>
          <w:tcPr>
            <w:tcW w:w="3880" w:type="dxa"/>
            <w:vAlign w:val="bottom"/>
          </w:tcPr>
          <w:p>
            <w:pPr>
              <w:ind w:left="140"/>
              <w:spacing w:after="0"/>
              <w:rPr>
                <w:sz w:val="20"/>
                <w:szCs w:val="20"/>
                <w:color w:val="auto"/>
              </w:rPr>
            </w:pPr>
            <w:r>
              <w:rPr>
                <w:rFonts w:ascii="Arial" w:cs="Arial" w:eastAsia="Arial" w:hAnsi="Arial"/>
                <w:sz w:val="16"/>
                <w:szCs w:val="16"/>
                <w:color w:val="auto"/>
                <w:w w:val="94"/>
              </w:rPr>
              <w:t>Inline XBRL Taxonomy Extension Calculation Linkbase.</w:t>
            </w:r>
          </w:p>
        </w:tc>
      </w:tr>
      <w:tr>
        <w:trPr>
          <w:trHeight w:val="213"/>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00" w:type="dxa"/>
            <w:vAlign w:val="bottom"/>
          </w:tcPr>
          <w:p>
            <w:pPr>
              <w:ind w:left="20"/>
              <w:spacing w:after="0"/>
              <w:rPr>
                <w:sz w:val="20"/>
                <w:szCs w:val="20"/>
                <w:color w:val="auto"/>
              </w:rPr>
            </w:pPr>
            <w:r>
              <w:rPr>
                <w:rFonts w:ascii="Arial" w:cs="Arial" w:eastAsia="Arial" w:hAnsi="Arial"/>
                <w:sz w:val="16"/>
                <w:szCs w:val="16"/>
                <w:color w:val="auto"/>
              </w:rPr>
              <w:t>DEF</w:t>
            </w:r>
          </w:p>
        </w:tc>
        <w:tc>
          <w:tcPr>
            <w:tcW w:w="3880" w:type="dxa"/>
            <w:vAlign w:val="bottom"/>
          </w:tcPr>
          <w:p>
            <w:pPr>
              <w:ind w:left="140"/>
              <w:spacing w:after="0"/>
              <w:rPr>
                <w:sz w:val="20"/>
                <w:szCs w:val="20"/>
                <w:color w:val="auto"/>
              </w:rPr>
            </w:pPr>
            <w:r>
              <w:rPr>
                <w:rFonts w:ascii="Arial" w:cs="Arial" w:eastAsia="Arial" w:hAnsi="Arial"/>
                <w:sz w:val="16"/>
                <w:szCs w:val="16"/>
                <w:color w:val="auto"/>
                <w:w w:val="97"/>
              </w:rPr>
              <w:t>Inline XBRL Taxonomy Extension Definition Linkbase.</w:t>
            </w:r>
          </w:p>
        </w:tc>
      </w:tr>
      <w:tr>
        <w:trPr>
          <w:trHeight w:val="213"/>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00" w:type="dxa"/>
            <w:vAlign w:val="bottom"/>
          </w:tcPr>
          <w:p>
            <w:pPr>
              <w:ind w:left="20"/>
              <w:spacing w:after="0"/>
              <w:rPr>
                <w:sz w:val="20"/>
                <w:szCs w:val="20"/>
                <w:color w:val="auto"/>
              </w:rPr>
            </w:pPr>
            <w:r>
              <w:rPr>
                <w:rFonts w:ascii="Arial" w:cs="Arial" w:eastAsia="Arial" w:hAnsi="Arial"/>
                <w:sz w:val="16"/>
                <w:szCs w:val="16"/>
                <w:color w:val="auto"/>
              </w:rPr>
              <w:t>LAB</w:t>
            </w:r>
          </w:p>
        </w:tc>
        <w:tc>
          <w:tcPr>
            <w:tcW w:w="3880" w:type="dxa"/>
            <w:vAlign w:val="bottom"/>
          </w:tcPr>
          <w:p>
            <w:pPr>
              <w:ind w:left="140"/>
              <w:spacing w:after="0"/>
              <w:rPr>
                <w:sz w:val="20"/>
                <w:szCs w:val="20"/>
                <w:color w:val="auto"/>
              </w:rPr>
            </w:pPr>
            <w:r>
              <w:rPr>
                <w:rFonts w:ascii="Arial" w:cs="Arial" w:eastAsia="Arial" w:hAnsi="Arial"/>
                <w:sz w:val="16"/>
                <w:szCs w:val="16"/>
                <w:color w:val="auto"/>
              </w:rPr>
              <w:t>Inline XBRL Taxonomy Extension Label Linkbase.</w:t>
            </w:r>
          </w:p>
        </w:tc>
      </w:tr>
      <w:tr>
        <w:trPr>
          <w:trHeight w:val="213"/>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00" w:type="dxa"/>
            <w:vAlign w:val="bottom"/>
          </w:tcPr>
          <w:p>
            <w:pPr>
              <w:ind w:left="20"/>
              <w:spacing w:after="0"/>
              <w:rPr>
                <w:sz w:val="20"/>
                <w:szCs w:val="20"/>
                <w:color w:val="auto"/>
              </w:rPr>
            </w:pPr>
            <w:r>
              <w:rPr>
                <w:rFonts w:ascii="Arial" w:cs="Arial" w:eastAsia="Arial" w:hAnsi="Arial"/>
                <w:sz w:val="16"/>
                <w:szCs w:val="16"/>
                <w:color w:val="auto"/>
              </w:rPr>
              <w:t>PRE</w:t>
            </w:r>
          </w:p>
        </w:tc>
        <w:tc>
          <w:tcPr>
            <w:tcW w:w="3880" w:type="dxa"/>
            <w:vAlign w:val="bottom"/>
          </w:tcPr>
          <w:p>
            <w:pPr>
              <w:ind w:left="140"/>
              <w:spacing w:after="0"/>
              <w:rPr>
                <w:sz w:val="20"/>
                <w:szCs w:val="20"/>
                <w:color w:val="auto"/>
              </w:rPr>
            </w:pPr>
            <w:r>
              <w:rPr>
                <w:rFonts w:ascii="Arial" w:cs="Arial" w:eastAsia="Arial" w:hAnsi="Arial"/>
                <w:sz w:val="16"/>
                <w:szCs w:val="16"/>
                <w:color w:val="auto"/>
                <w:w w:val="91"/>
              </w:rPr>
              <w:t>Inline XBRL Taxonomy Extension Presentation Linkbase.</w:t>
            </w:r>
          </w:p>
        </w:tc>
      </w:tr>
    </w:tbl>
    <w:p>
      <w:pPr>
        <w:spacing w:after="0" w:line="20" w:lineRule="exact"/>
        <w:rPr>
          <w:sz w:val="20"/>
          <w:szCs w:val="20"/>
          <w:color w:val="auto"/>
        </w:rPr>
      </w:pPr>
      <w:r>
        <w:rPr>
          <w:sz w:val="20"/>
          <w:szCs w:val="20"/>
          <w:color w:val="auto"/>
        </w:rPr>
        <w:br w:type="column"/>
      </w:r>
    </w:p>
    <w:p>
      <w:pPr>
        <w:jc w:val="both"/>
        <w:ind w:right="579"/>
        <w:spacing w:after="0" w:line="227"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April 20, 2020.</w:t>
      </w:r>
    </w:p>
    <w:p>
      <w:pPr>
        <w:spacing w:after="0" w:line="11" w:lineRule="exact"/>
        <w:rPr>
          <w:sz w:val="20"/>
          <w:szCs w:val="20"/>
          <w:color w:val="auto"/>
        </w:rPr>
      </w:pPr>
    </w:p>
    <w:p>
      <w:pPr>
        <w:jc w:val="both"/>
        <w:ind w:right="579"/>
        <w:spacing w:after="0" w:line="227" w:lineRule="auto"/>
        <w:rPr>
          <w:sz w:val="20"/>
          <w:szCs w:val="20"/>
          <w:color w:val="auto"/>
        </w:rPr>
      </w:pPr>
      <w:r>
        <w:rPr>
          <w:rFonts w:ascii="Arial" w:cs="Arial" w:eastAsia="Arial" w:hAnsi="Arial"/>
          <w:sz w:val="16"/>
          <w:szCs w:val="16"/>
          <w:color w:val="auto"/>
        </w:rPr>
        <w:t>Incorporated herein by reference to Exhibit 10.2 to the Company's Current Report on Form 8-K filed on April 20, 2020.</w:t>
      </w:r>
    </w:p>
    <w:p>
      <w:pPr>
        <w:spacing w:after="0" w:line="11" w:lineRule="exact"/>
        <w:rPr>
          <w:sz w:val="20"/>
          <w:szCs w:val="20"/>
          <w:color w:val="auto"/>
        </w:rPr>
      </w:pPr>
    </w:p>
    <w:p>
      <w:pPr>
        <w:jc w:val="both"/>
        <w:ind w:right="579"/>
        <w:spacing w:after="0" w:line="227" w:lineRule="auto"/>
        <w:rPr>
          <w:sz w:val="20"/>
          <w:szCs w:val="20"/>
          <w:color w:val="auto"/>
        </w:rPr>
      </w:pPr>
      <w:r>
        <w:rPr>
          <w:rFonts w:ascii="Arial" w:cs="Arial" w:eastAsia="Arial" w:hAnsi="Arial"/>
          <w:sz w:val="16"/>
          <w:szCs w:val="16"/>
          <w:color w:val="auto"/>
        </w:rPr>
        <w:t>Incorporated herein by reference to Exhibit 10.3 to the Company's Current Report on Form 8-K filed on April 20, 2020.</w:t>
      </w:r>
    </w:p>
    <w:p>
      <w:pPr>
        <w:spacing w:after="0" w:line="11"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22, 2020.</w:t>
      </w:r>
    </w:p>
    <w:p>
      <w:pPr>
        <w:spacing w:after="0" w:line="11"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10.2 to the Company's Current Report on Form 8-K filed on December 22, 2020.</w:t>
      </w:r>
    </w:p>
    <w:p>
      <w:pPr>
        <w:spacing w:after="0" w:line="11" w:lineRule="exact"/>
        <w:rPr>
          <w:sz w:val="20"/>
          <w:szCs w:val="20"/>
          <w:color w:val="auto"/>
        </w:rPr>
      </w:pPr>
    </w:p>
    <w:p>
      <w:pPr>
        <w:ind w:right="599"/>
        <w:spacing w:after="0" w:line="227" w:lineRule="auto"/>
        <w:rPr>
          <w:sz w:val="20"/>
          <w:szCs w:val="20"/>
          <w:color w:val="auto"/>
        </w:rPr>
      </w:pPr>
      <w:r>
        <w:rPr>
          <w:rFonts w:ascii="Arial" w:cs="Arial" w:eastAsia="Arial" w:hAnsi="Arial"/>
          <w:sz w:val="16"/>
          <w:szCs w:val="16"/>
          <w:color w:val="auto"/>
        </w:rPr>
        <w:t>Incorporated herein by reference to Exhibit 10.3 to the Company's Current Report on Form 8-K filed on December 22, 2020.</w:t>
      </w:r>
    </w:p>
    <w:p>
      <w:pPr>
        <w:spacing w:after="0" w:line="11" w:lineRule="exact"/>
        <w:rPr>
          <w:sz w:val="20"/>
          <w:szCs w:val="20"/>
          <w:color w:val="auto"/>
        </w:rPr>
      </w:pPr>
    </w:p>
    <w:p>
      <w:pPr>
        <w:ind w:right="399"/>
        <w:spacing w:after="0" w:line="239" w:lineRule="auto"/>
        <w:rPr>
          <w:sz w:val="20"/>
          <w:szCs w:val="20"/>
          <w:color w:val="auto"/>
        </w:rPr>
      </w:pPr>
      <w:r>
        <w:rPr>
          <w:rFonts w:ascii="Arial" w:cs="Arial" w:eastAsia="Arial" w:hAnsi="Arial"/>
          <w:sz w:val="16"/>
          <w:szCs w:val="16"/>
          <w:color w:val="auto"/>
        </w:rPr>
        <w:t>Incorporated by reference to Exhibit 10.31 to the Company's Annual Report on Form 10-K, filed on March 1, 2021.</w:t>
      </w:r>
    </w:p>
    <w:p>
      <w:pPr>
        <w:spacing w:after="0" w:line="23" w:lineRule="exact"/>
        <w:rPr>
          <w:sz w:val="20"/>
          <w:szCs w:val="20"/>
          <w:color w:val="auto"/>
        </w:rPr>
      </w:pPr>
    </w:p>
    <w:p>
      <w:pPr>
        <w:ind w:right="719"/>
        <w:spacing w:after="0" w:line="227" w:lineRule="auto"/>
        <w:rPr>
          <w:sz w:val="20"/>
          <w:szCs w:val="20"/>
          <w:color w:val="auto"/>
        </w:rPr>
      </w:pPr>
      <w:r>
        <w:rPr>
          <w:rFonts w:ascii="Arial" w:cs="Arial" w:eastAsia="Arial" w:hAnsi="Arial"/>
          <w:sz w:val="16"/>
          <w:szCs w:val="16"/>
          <w:color w:val="auto"/>
        </w:rPr>
        <w:t>Incorporated by reference to Exhibit 10.2 to the Company's Quarterly Report on Form 10-Q, filed on August 3, 2021.</w:t>
      </w:r>
    </w:p>
    <w:p>
      <w:pPr>
        <w:spacing w:after="0" w:line="11" w:lineRule="exact"/>
        <w:rPr>
          <w:sz w:val="20"/>
          <w:szCs w:val="20"/>
          <w:color w:val="auto"/>
        </w:rPr>
      </w:pPr>
    </w:p>
    <w:p>
      <w:pPr>
        <w:ind w:right="419"/>
        <w:spacing w:after="0" w:line="227" w:lineRule="auto"/>
        <w:rPr>
          <w:sz w:val="20"/>
          <w:szCs w:val="20"/>
          <w:color w:val="auto"/>
        </w:rPr>
      </w:pPr>
      <w:r>
        <w:rPr>
          <w:rFonts w:ascii="Arial" w:cs="Arial" w:eastAsia="Arial" w:hAnsi="Arial"/>
          <w:sz w:val="16"/>
          <w:szCs w:val="16"/>
          <w:color w:val="auto"/>
        </w:rPr>
        <w:t>Incorporated by reference to Exhibit 10.1 to the Company's Current Report on Form 8-K, filed on August 23, 2021.</w:t>
      </w:r>
    </w:p>
    <w:p>
      <w:pPr>
        <w:spacing w:after="0" w:line="11" w:lineRule="exact"/>
        <w:rPr>
          <w:sz w:val="20"/>
          <w:szCs w:val="20"/>
          <w:color w:val="auto"/>
        </w:rPr>
      </w:pPr>
    </w:p>
    <w:p>
      <w:pPr>
        <w:ind w:right="919"/>
        <w:spacing w:after="0" w:line="227" w:lineRule="auto"/>
        <w:rPr>
          <w:sz w:val="20"/>
          <w:szCs w:val="20"/>
          <w:color w:val="auto"/>
        </w:rPr>
      </w:pPr>
      <w:r>
        <w:rPr>
          <w:rFonts w:ascii="Arial" w:cs="Arial" w:eastAsia="Arial" w:hAnsi="Arial"/>
          <w:sz w:val="16"/>
          <w:szCs w:val="16"/>
          <w:color w:val="auto"/>
        </w:rPr>
        <w:t>Incorporated by reference to Exhibit 10.1 to the Company's Current Report on Form 8-K, filed on September 23, 2021.</w:t>
      </w:r>
    </w:p>
    <w:p>
      <w:pPr>
        <w:spacing w:after="0" w:line="11" w:lineRule="exact"/>
        <w:rPr>
          <w:sz w:val="20"/>
          <w:szCs w:val="20"/>
          <w:color w:val="auto"/>
        </w:rPr>
      </w:pPr>
    </w:p>
    <w:p>
      <w:pPr>
        <w:ind w:right="379"/>
        <w:spacing w:after="0" w:line="227" w:lineRule="auto"/>
        <w:rPr>
          <w:sz w:val="20"/>
          <w:szCs w:val="20"/>
          <w:color w:val="auto"/>
        </w:rPr>
      </w:pPr>
      <w:r>
        <w:rPr>
          <w:rFonts w:ascii="Arial" w:cs="Arial" w:eastAsia="Arial" w:hAnsi="Arial"/>
          <w:sz w:val="16"/>
          <w:szCs w:val="16"/>
          <w:color w:val="auto"/>
        </w:rPr>
        <w:t>Incorporated by reference to Exhibit 10.1 to the Company's Current Report on Form 8-K, filed on October 26, 2021.</w:t>
      </w:r>
    </w:p>
    <w:p>
      <w:pPr>
        <w:spacing w:after="0" w:line="171" w:lineRule="exact"/>
        <w:rPr>
          <w:sz w:val="20"/>
          <w:szCs w:val="20"/>
          <w:color w:val="auto"/>
        </w:rPr>
      </w:pPr>
    </w:p>
    <w:p>
      <w:pPr>
        <w:ind w:right="919"/>
        <w:spacing w:after="0" w:line="227" w:lineRule="auto"/>
        <w:rPr>
          <w:sz w:val="20"/>
          <w:szCs w:val="20"/>
          <w:color w:val="auto"/>
        </w:rPr>
      </w:pPr>
      <w:r>
        <w:rPr>
          <w:rFonts w:ascii="Arial" w:cs="Arial" w:eastAsia="Arial" w:hAnsi="Arial"/>
          <w:sz w:val="16"/>
          <w:szCs w:val="16"/>
          <w:color w:val="auto"/>
        </w:rPr>
        <w:t>Incorporated by reference to Exhibit 10.2 to the Company's Current Report on Form 8-K, filed on December 1, 2021.</w:t>
      </w:r>
    </w:p>
    <w:p>
      <w:pPr>
        <w:spacing w:after="0" w:line="11" w:lineRule="exact"/>
        <w:rPr>
          <w:sz w:val="20"/>
          <w:szCs w:val="20"/>
          <w:color w:val="auto"/>
        </w:rPr>
      </w:pPr>
    </w:p>
    <w:p>
      <w:pPr>
        <w:ind w:right="419"/>
        <w:spacing w:after="0" w:line="227"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January 18, 2022.</w:t>
      </w:r>
    </w:p>
    <w:p>
      <w:pPr>
        <w:spacing w:after="0" w:line="11" w:lineRule="exact"/>
        <w:rPr>
          <w:sz w:val="20"/>
          <w:szCs w:val="20"/>
          <w:color w:val="auto"/>
        </w:rPr>
      </w:pPr>
    </w:p>
    <w:p>
      <w:pPr>
        <w:ind w:right="419"/>
        <w:spacing w:after="0" w:line="227" w:lineRule="auto"/>
        <w:rPr>
          <w:sz w:val="20"/>
          <w:szCs w:val="20"/>
          <w:color w:val="auto"/>
        </w:rPr>
      </w:pPr>
      <w:r>
        <w:rPr>
          <w:rFonts w:ascii="Arial" w:cs="Arial" w:eastAsia="Arial" w:hAnsi="Arial"/>
          <w:sz w:val="16"/>
          <w:szCs w:val="16"/>
          <w:color w:val="auto"/>
        </w:rPr>
        <w:t>Incorporated herein by reference to Exhibit 10.2 to the Company's Current Report on Form 8-K filed on January 18, 2022.</w:t>
      </w:r>
    </w:p>
    <w:p>
      <w:pPr>
        <w:spacing w:after="0" w:line="11" w:lineRule="exact"/>
        <w:rPr>
          <w:sz w:val="20"/>
          <w:szCs w:val="20"/>
          <w:color w:val="auto"/>
        </w:rPr>
      </w:pPr>
    </w:p>
    <w:p>
      <w:pPr>
        <w:ind w:right="499"/>
        <w:spacing w:after="0" w:line="227" w:lineRule="auto"/>
        <w:rPr>
          <w:sz w:val="20"/>
          <w:szCs w:val="20"/>
          <w:color w:val="auto"/>
        </w:rPr>
      </w:pPr>
      <w:r>
        <w:rPr>
          <w:rFonts w:ascii="Arial" w:cs="Arial" w:eastAsia="Arial" w:hAnsi="Arial"/>
          <w:sz w:val="16"/>
          <w:szCs w:val="16"/>
          <w:color w:val="auto"/>
        </w:rPr>
        <w:t>Incorporated herein by reference to Exhibit 16.1 to the Company’s Current Report on Form 8-K filed on March 15, 2021.</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9" w:lineRule="exact"/>
        <w:rPr>
          <w:sz w:val="20"/>
          <w:szCs w:val="20"/>
          <w:color w:val="auto"/>
        </w:rPr>
      </w:pPr>
    </w:p>
    <w:p>
      <w:pPr>
        <w:ind w:right="499"/>
        <w:spacing w:after="0" w:line="237" w:lineRule="auto"/>
        <w:rPr>
          <w:sz w:val="20"/>
          <w:szCs w:val="20"/>
          <w:color w:val="auto"/>
        </w:rPr>
      </w:pPr>
      <w:r>
        <w:rPr>
          <w:rFonts w:ascii="Arial" w:cs="Arial" w:eastAsia="Arial" w:hAnsi="Arial"/>
          <w:sz w:val="16"/>
          <w:szCs w:val="16"/>
          <w:color w:val="auto"/>
        </w:rPr>
        <w:t>Included on the signature page of this Annual Report on Form 10-K.</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20" w:lineRule="exact"/>
        <w:rPr>
          <w:sz w:val="20"/>
          <w:szCs w:val="20"/>
          <w:color w:val="auto"/>
        </w:rPr>
      </w:pPr>
    </w:p>
    <w:p>
      <w:pPr>
        <w:sectPr>
          <w:pgSz w:w="11900" w:h="16838" w:orient="portrait"/>
          <w:cols w:equalWidth="0" w:num="2">
            <w:col w:w="5860" w:space="160"/>
            <w:col w:w="4099"/>
          </w:cols>
          <w:pgMar w:left="340" w:top="915"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95885</wp:posOffset>
            </wp:positionV>
            <wp:extent cx="715962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19"/>
          </w:cols>
          <w:pgMar w:left="340" w:top="915" w:right="1440" w:bottom="1440" w:gutter="0" w:footer="0" w:header="0"/>
          <w:type w:val="continuous"/>
        </w:sectPr>
      </w:pPr>
    </w:p>
    <w:bookmarkStart w:id="141" w:name="page142"/>
    <w:bookmarkEnd w:id="141"/>
    <w:p>
      <w:pPr>
        <w:ind w:left="896" w:right="5180" w:hanging="896"/>
        <w:spacing w:after="0" w:line="227" w:lineRule="auto"/>
        <w:tabs>
          <w:tab w:leader="none" w:pos="896"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Cover Page Interactive Data File (the cover page interactive date file does not appear in Exhibit 104 because its Inline XBRL tags are embedded within the Inline XBRL document)</w:t>
      </w:r>
    </w:p>
    <w:p>
      <w:pPr>
        <w:spacing w:after="0" w:line="184" w:lineRule="exact"/>
        <w:rPr>
          <w:sz w:val="20"/>
          <w:szCs w:val="20"/>
          <w:color w:val="auto"/>
        </w:rPr>
      </w:pPr>
    </w:p>
    <w:p>
      <w:pPr>
        <w:ind w:left="676" w:hanging="676"/>
        <w:spacing w:after="0"/>
        <w:tabs>
          <w:tab w:leader="none" w:pos="676"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Indicates exhibits that constitute compensatory plans or arrangements.</w:t>
      </w:r>
    </w:p>
    <w:p>
      <w:pPr>
        <w:spacing w:after="0" w:line="29" w:lineRule="exact"/>
        <w:rPr>
          <w:sz w:val="20"/>
          <w:szCs w:val="20"/>
          <w:color w:val="auto"/>
        </w:rPr>
      </w:pPr>
    </w:p>
    <w:p>
      <w:pPr>
        <w:ind w:left="676" w:right="60" w:hanging="676"/>
        <w:spacing w:after="0" w:line="237" w:lineRule="auto"/>
        <w:tabs>
          <w:tab w:leader="none" w:pos="676"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This filing excludes schedules pursuant to Item 601(a)(5) of Regulation S-K, which the registrant agrees to furnish supplementary to the Securities and Exchange Commission upon request by the Commission.</w:t>
      </w:r>
    </w:p>
    <w:p>
      <w:pPr>
        <w:spacing w:after="0" w:line="10" w:lineRule="exact"/>
        <w:rPr>
          <w:sz w:val="20"/>
          <w:szCs w:val="20"/>
          <w:color w:val="auto"/>
        </w:rPr>
      </w:pPr>
    </w:p>
    <w:p>
      <w:pPr>
        <w:ind w:left="676" w:hanging="676"/>
        <w:spacing w:after="0" w:line="237" w:lineRule="auto"/>
        <w:tabs>
          <w:tab w:leader="none" w:pos="676"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Information in this exhibit identified by the mark “[***]” is confidential and has been excluded pursuant to Item 601(b)(10)(iv) of Regulation S-K because it (i) is not material and (ii) would likely cause competitive harm to the Registrant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55"/>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66675</wp:posOffset>
            </wp:positionV>
            <wp:extent cx="715962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56"/>
          </w:cols>
          <w:pgMar w:left="344" w:top="929" w:right="49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Item 16 — Form 10-K Summary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881" w:right="1440"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2" w:lineRule="exact"/>
        <w:rPr>
          <w:sz w:val="20"/>
          <w:szCs w:val="20"/>
          <w:color w:val="auto"/>
        </w:rPr>
      </w:pPr>
    </w:p>
    <w:p>
      <w:pPr>
        <w:ind w:firstLine="280"/>
        <w:spacing w:after="0" w:line="26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CLEARWAY ENERGY, INC.</w:t>
      </w:r>
    </w:p>
    <w:p>
      <w:pPr>
        <w:ind w:left="7000"/>
        <w:spacing w:after="0"/>
        <w:rPr>
          <w:sz w:val="20"/>
          <w:szCs w:val="20"/>
          <w:color w:val="auto"/>
        </w:rPr>
      </w:pPr>
      <w:r>
        <w:rPr>
          <w:rFonts w:ascii="Arial" w:cs="Arial" w:eastAsia="Arial" w:hAnsi="Arial"/>
          <w:sz w:val="18"/>
          <w:szCs w:val="18"/>
          <w:color w:val="auto"/>
        </w:rPr>
        <w:t>(Registrant)</w:t>
      </w:r>
    </w:p>
    <w:p>
      <w:pPr>
        <w:spacing w:after="0" w:line="25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12065</wp:posOffset>
            </wp:positionV>
            <wp:extent cx="210693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9">
                      <a:extLst>
                        <a:ext uri="{28A0092B-C50C-407E-A947-70E740481C1C}"/>
                      </a:extLst>
                    </a:blip>
                    <a:srcRect/>
                    <a:stretch>
                      <a:fillRect/>
                    </a:stretch>
                  </pic:blipFill>
                  <pic:spPr bwMode="auto">
                    <a:xfrm>
                      <a:off x="0" y="0"/>
                      <a:ext cx="2106930" cy="8255"/>
                    </a:xfrm>
                    <a:prstGeom prst="rect">
                      <a:avLst/>
                    </a:prstGeom>
                    <a:noFill/>
                  </pic:spPr>
                </pic:pic>
              </a:graphicData>
            </a:graphic>
          </wp:anchor>
        </w:drawing>
      </w:r>
    </w:p>
    <w:p>
      <w:pPr>
        <w:spacing w:after="0" w:line="1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Christopher S. Sotos</w:t>
      </w:r>
    </w:p>
    <w:p>
      <w:pPr>
        <w:ind w:left="7280"/>
        <w:spacing w:after="0"/>
        <w:rPr>
          <w:sz w:val="20"/>
          <w:szCs w:val="20"/>
          <w:color w:val="auto"/>
        </w:rPr>
      </w:pPr>
      <w:r>
        <w:rPr>
          <w:rFonts w:ascii="Arial" w:cs="Arial" w:eastAsia="Arial" w:hAnsi="Arial"/>
          <w:sz w:val="18"/>
          <w:szCs w:val="18"/>
          <w:i w:val="1"/>
          <w:iCs w:val="1"/>
          <w:color w:val="auto"/>
        </w:rPr>
        <w:t>Chief Executive Officer</w:t>
      </w:r>
    </w:p>
    <w:p>
      <w:pPr>
        <w:ind w:left="7280"/>
        <w:spacing w:after="0"/>
        <w:rPr>
          <w:sz w:val="20"/>
          <w:szCs w:val="20"/>
          <w:color w:val="auto"/>
        </w:rPr>
      </w:pPr>
      <w:r>
        <w:rPr>
          <w:rFonts w:ascii="Arial" w:cs="Arial" w:eastAsia="Arial" w:hAnsi="Arial"/>
          <w:sz w:val="18"/>
          <w:szCs w:val="18"/>
          <w:i w:val="1"/>
          <w:iCs w:val="1"/>
          <w:color w:val="auto"/>
        </w:rPr>
        <w:t>(Principal Executive Officer)</w:t>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Date: February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81" w:right="35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59" w:lineRule="exact"/>
        <w:rPr>
          <w:sz w:val="20"/>
          <w:szCs w:val="20"/>
          <w:color w:val="auto"/>
        </w:rPr>
      </w:pPr>
    </w:p>
    <w:p>
      <w:pPr>
        <w:jc w:val="both"/>
        <w:ind w:firstLine="440"/>
        <w:spacing w:after="0" w:line="267" w:lineRule="auto"/>
        <w:rPr>
          <w:sz w:val="20"/>
          <w:szCs w:val="20"/>
          <w:color w:val="auto"/>
        </w:rPr>
      </w:pPr>
      <w:r>
        <w:rPr>
          <w:rFonts w:ascii="Arial" w:cs="Arial" w:eastAsia="Arial" w:hAnsi="Arial"/>
          <w:sz w:val="17"/>
          <w:szCs w:val="17"/>
          <w:color w:val="auto"/>
        </w:rPr>
        <w:t>Each person whose signature appears below constitutes and appoints Christopher S. Sotos, Kevin P. Malcarney and Amelia McKeithen,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130" w:lineRule="exact"/>
        <w:rPr>
          <w:sz w:val="20"/>
          <w:szCs w:val="20"/>
          <w:color w:val="auto"/>
        </w:rPr>
      </w:pPr>
    </w:p>
    <w:p>
      <w:pPr>
        <w:jc w:val="both"/>
        <w:ind w:firstLine="440"/>
        <w:spacing w:after="0" w:line="26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881" w:right="339" w:bottom="1440" w:gutter="0" w:footer="0" w:header="0"/>
        </w:sectPr>
      </w:pPr>
    </w:p>
    <w:p>
      <w:pPr>
        <w:spacing w:after="0" w:line="160"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25107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1">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192"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22510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2">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2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Christopher S. Sotos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2510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3">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2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Chad Plotkin</w:t>
      </w:r>
    </w:p>
    <w:p>
      <w:pPr>
        <w:spacing w:after="0" w:line="16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2510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4">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2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Sarah Rubenstein</w:t>
      </w:r>
    </w:p>
    <w:p>
      <w:pPr>
        <w:spacing w:after="0" w:line="16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2510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5">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2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Jonathan Bram</w:t>
      </w:r>
    </w:p>
    <w:p>
      <w:pPr>
        <w:spacing w:after="0" w:line="166"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/s/ 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22510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6">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3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Nathaniel Anschuetz</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 BRIAN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2510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7">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2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Brian Ford</w:t>
      </w:r>
    </w:p>
    <w:p>
      <w:pPr>
        <w:spacing w:after="0" w:line="15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 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2510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8">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2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Bruce MacLennan</w:t>
      </w:r>
    </w:p>
    <w:p>
      <w:pPr>
        <w:spacing w:after="0" w:line="16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 FERRELL MCCLEAN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2510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9">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2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Ferrell McClean</w:t>
      </w:r>
    </w:p>
    <w:p>
      <w:pPr>
        <w:spacing w:after="0" w:line="11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 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2510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0">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2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Daniel B. More</w:t>
      </w:r>
    </w:p>
    <w:p>
      <w:pPr>
        <w:spacing w:after="0" w:line="15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 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2510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1">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2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E. Stanley O'Neal</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15875</wp:posOffset>
            </wp:positionV>
            <wp:extent cx="33597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2">
                      <a:extLst>
                        <a:ext uri="{28A0092B-C50C-407E-A947-70E740481C1C}"/>
                      </a:extLst>
                    </a:blip>
                    <a:srcRect/>
                    <a:stretch>
                      <a:fillRect/>
                    </a:stretch>
                  </pic:blipFill>
                  <pic:spPr bwMode="auto">
                    <a:xfrm>
                      <a:off x="0" y="0"/>
                      <a:ext cx="3359785" cy="8255"/>
                    </a:xfrm>
                    <a:prstGeom prst="rect">
                      <a:avLst/>
                    </a:prstGeom>
                    <a:noFill/>
                  </pic:spPr>
                </pic:pic>
              </a:graphicData>
            </a:graphic>
          </wp:anchor>
        </w:drawing>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President, Chief Executive Officer and Director</w:t>
      </w:r>
    </w:p>
    <w:p>
      <w:pPr>
        <w:spacing w:after="0" w:line="16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(Principal Executive Officer)</w:t>
      </w:r>
    </w:p>
    <w:p>
      <w:pPr>
        <w:spacing w:after="0" w:line="46"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Executive Vice President and Chief Financial Officer</w:t>
      </w:r>
    </w:p>
    <w:p>
      <w:pPr>
        <w:spacing w:after="0" w:line="69"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(Principal Financial Officer)</w:t>
      </w:r>
    </w:p>
    <w:p>
      <w:pPr>
        <w:spacing w:after="0" w:line="166"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Senior Vice President and Chief Accounting Officer</w:t>
      </w:r>
    </w:p>
    <w:p>
      <w:pPr>
        <w:spacing w:after="0" w:line="69"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(Principal Accounting Officer)</w:t>
      </w:r>
    </w:p>
    <w:p>
      <w:pPr>
        <w:spacing w:after="0" w:line="219"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Chairman of the Board</w:t>
      </w:r>
    </w:p>
    <w:p>
      <w:pPr>
        <w:spacing w:after="0" w:line="200" w:lineRule="exact"/>
        <w:rPr>
          <w:sz w:val="20"/>
          <w:szCs w:val="20"/>
          <w:color w:val="auto"/>
        </w:rPr>
      </w:pPr>
    </w:p>
    <w:p>
      <w:pPr>
        <w:spacing w:after="0" w:line="219"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9"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6"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9"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Director</w:t>
      </w:r>
    </w:p>
    <w:p>
      <w:pPr>
        <w:spacing w:after="0" w:line="39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Director</w:t>
      </w:r>
    </w:p>
    <w:p>
      <w:pPr>
        <w:spacing w:after="0" w:line="379"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15875</wp:posOffset>
            </wp:positionV>
            <wp:extent cx="13881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3">
                      <a:extLst>
                        <a:ext uri="{28A0092B-C50C-407E-A947-70E740481C1C}"/>
                      </a:extLst>
                    </a:blip>
                    <a:srcRect/>
                    <a:stretch>
                      <a:fillRect/>
                    </a:stretch>
                  </pic:blipFill>
                  <pic:spPr bwMode="auto">
                    <a:xfrm>
                      <a:off x="0" y="0"/>
                      <a:ext cx="138811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2022</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2022</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2022</w:t>
      </w:r>
    </w:p>
    <w:p>
      <w:pPr>
        <w:spacing w:after="0" w:line="445" w:lineRule="exact"/>
        <w:rPr>
          <w:sz w:val="20"/>
          <w:szCs w:val="20"/>
          <w:color w:val="auto"/>
        </w:rPr>
      </w:pPr>
    </w:p>
    <w:p>
      <w:pPr>
        <w:sectPr>
          <w:pgSz w:w="11900" w:h="16838" w:orient="portrait"/>
          <w:cols w:equalWidth="0" w:num="3">
            <w:col w:w="3700" w:space="720"/>
            <w:col w:w="4360" w:space="720"/>
            <w:col w:w="1740"/>
          </w:cols>
          <w:pgMar w:left="320" w:top="88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240"/>
          </w:cols>
          <w:pgMar w:left="320" w:top="881" w:right="33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00" w:lineRule="exact"/>
        <w:rPr>
          <w:sz w:val="20"/>
          <w:szCs w:val="20"/>
          <w:color w:val="auto"/>
        </w:rPr>
      </w:pPr>
    </w:p>
    <w:p>
      <w:pPr>
        <w:spacing w:after="0" w:line="248"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As of December 31, 2021, Clearway Energy, Inc. (the “</w:t>
      </w:r>
      <w:r>
        <w:rPr>
          <w:rFonts w:ascii="Arial" w:cs="Arial" w:eastAsia="Arial" w:hAnsi="Arial"/>
          <w:sz w:val="18"/>
          <w:szCs w:val="18"/>
          <w:i w:val="1"/>
          <w:iCs w:val="1"/>
          <w:color w:val="auto"/>
        </w:rPr>
        <w:t>Registrant</w:t>
      </w:r>
      <w:r>
        <w:rPr>
          <w:rFonts w:ascii="Arial" w:cs="Arial" w:eastAsia="Arial" w:hAnsi="Arial"/>
          <w:sz w:val="18"/>
          <w:szCs w:val="18"/>
          <w:color w:val="auto"/>
        </w:rPr>
        <w:t>” or “</w:t>
      </w:r>
      <w:r>
        <w:rPr>
          <w:rFonts w:ascii="Arial" w:cs="Arial" w:eastAsia="Arial" w:hAnsi="Arial"/>
          <w:sz w:val="18"/>
          <w:szCs w:val="18"/>
          <w:i w:val="1"/>
          <w:iCs w:val="1"/>
          <w:color w:val="auto"/>
        </w:rPr>
        <w:t>Clearway Inc</w:t>
      </w:r>
      <w:r>
        <w:rPr>
          <w:rFonts w:ascii="Arial" w:cs="Arial" w:eastAsia="Arial" w:hAnsi="Arial"/>
          <w:sz w:val="18"/>
          <w:szCs w:val="18"/>
          <w:color w:val="auto"/>
        </w:rPr>
        <w:t>.”) had two classes of securities registered under Section 12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(i) Common Stock, Class A, par value $0.01 per share, and (ii) Common Stock, Class C, par value $0.01 per share.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Clearway Inc.’s Capital Stock</w:t>
      </w:r>
    </w:p>
    <w:p>
      <w:pPr>
        <w:spacing w:after="0" w:line="172"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auto"/>
        </w:rPr>
        <w:t>The following description of Clearway Inc.’s common stock is a summary and does not purport to be complete. It is subject to and qualified in its entirety by reference to Clearway Inc.’s amended and restated certificate of incorporation, and Clearway Inc.’s fourth amended and restated bylaws, which are exhibits to this Annual Report on Form 10-K and are incorporated by reference herein. The following description may not contain all of the information that is important to you. To understand them fully, you should read Clearway Inc.’s amended and restated certificate of incorporation, Clearway Inc.’s fourth amended and restated bylaws and the applicable provisions of the Delaware General Corporation Law (the “</w:t>
      </w:r>
      <w:r>
        <w:rPr>
          <w:rFonts w:ascii="Arial" w:cs="Arial" w:eastAsia="Arial" w:hAnsi="Arial"/>
          <w:sz w:val="17"/>
          <w:szCs w:val="17"/>
          <w:i w:val="1"/>
          <w:iCs w:val="1"/>
          <w:color w:val="auto"/>
        </w:rPr>
        <w:t>DGCL</w:t>
      </w:r>
      <w:r>
        <w:rPr>
          <w:rFonts w:ascii="Arial" w:cs="Arial" w:eastAsia="Arial" w:hAnsi="Arial"/>
          <w:sz w:val="17"/>
          <w:szCs w:val="17"/>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authorized capital stock consists, as of December 31, 2021, of:</w:t>
      </w:r>
    </w:p>
    <w:p>
      <w:pPr>
        <w:spacing w:after="0" w:line="166" w:lineRule="exact"/>
        <w:rPr>
          <w:sz w:val="20"/>
          <w:szCs w:val="20"/>
          <w:color w:val="auto"/>
        </w:rPr>
      </w:pPr>
    </w:p>
    <w:p>
      <w:pPr>
        <w:ind w:left="1280" w:right="20" w:hanging="634"/>
        <w:spacing w:after="0" w:line="267" w:lineRule="auto"/>
        <w:tabs>
          <w:tab w:leader="none" w:pos="1274" w:val="left"/>
        </w:tabs>
        <w:numPr>
          <w:ilvl w:val="0"/>
          <w:numId w:val="75"/>
        </w:numPr>
        <w:rPr>
          <w:rFonts w:ascii="Arial" w:cs="Arial" w:eastAsia="Arial" w:hAnsi="Arial"/>
          <w:sz w:val="18"/>
          <w:szCs w:val="18"/>
          <w:color w:val="auto"/>
        </w:rPr>
      </w:pPr>
      <w:r>
        <w:rPr>
          <w:rFonts w:ascii="Arial" w:cs="Arial" w:eastAsia="Arial" w:hAnsi="Arial"/>
          <w:sz w:val="18"/>
          <w:szCs w:val="18"/>
          <w:color w:val="auto"/>
        </w:rPr>
        <w:t>500,000,000 shares of Class A common stock, par value $0.01 per share (“</w:t>
      </w:r>
      <w:r>
        <w:rPr>
          <w:rFonts w:ascii="Arial" w:cs="Arial" w:eastAsia="Arial" w:hAnsi="Arial"/>
          <w:sz w:val="18"/>
          <w:szCs w:val="18"/>
          <w:i w:val="1"/>
          <w:iCs w:val="1"/>
          <w:color w:val="auto"/>
        </w:rPr>
        <w:t>Class A common stock</w:t>
      </w:r>
      <w:r>
        <w:rPr>
          <w:rFonts w:ascii="Arial" w:cs="Arial" w:eastAsia="Arial" w:hAnsi="Arial"/>
          <w:sz w:val="18"/>
          <w:szCs w:val="18"/>
          <w:color w:val="auto"/>
        </w:rPr>
        <w:t>”), of which 34,599,645 shares are issued and outstanding;</w:t>
      </w:r>
    </w:p>
    <w:p>
      <w:pPr>
        <w:spacing w:after="0" w:line="125" w:lineRule="exact"/>
        <w:rPr>
          <w:rFonts w:ascii="Arial" w:cs="Arial" w:eastAsia="Arial" w:hAnsi="Arial"/>
          <w:sz w:val="18"/>
          <w:szCs w:val="18"/>
          <w:color w:val="auto"/>
        </w:rPr>
      </w:pPr>
    </w:p>
    <w:p>
      <w:pPr>
        <w:ind w:left="1280" w:hanging="634"/>
        <w:spacing w:after="0" w:line="267" w:lineRule="auto"/>
        <w:tabs>
          <w:tab w:leader="none" w:pos="1042" w:val="left"/>
        </w:tabs>
        <w:numPr>
          <w:ilvl w:val="0"/>
          <w:numId w:val="75"/>
        </w:numPr>
        <w:rPr>
          <w:rFonts w:ascii="Arial" w:cs="Arial" w:eastAsia="Arial" w:hAnsi="Arial"/>
          <w:sz w:val="18"/>
          <w:szCs w:val="18"/>
          <w:color w:val="auto"/>
        </w:rPr>
      </w:pPr>
      <w:r>
        <w:rPr>
          <w:rFonts w:ascii="Arial" w:cs="Arial" w:eastAsia="Arial" w:hAnsi="Arial"/>
          <w:sz w:val="18"/>
          <w:szCs w:val="18"/>
          <w:color w:val="auto"/>
        </w:rPr>
        <w:t>500,000,000 shares of Class B common stock, par value $0.01 per share (“</w:t>
      </w:r>
      <w:r>
        <w:rPr>
          <w:rFonts w:ascii="Arial" w:cs="Arial" w:eastAsia="Arial" w:hAnsi="Arial"/>
          <w:sz w:val="18"/>
          <w:szCs w:val="18"/>
          <w:i w:val="1"/>
          <w:iCs w:val="1"/>
          <w:color w:val="auto"/>
        </w:rPr>
        <w:t>Class B common stock</w:t>
      </w:r>
      <w:r>
        <w:rPr>
          <w:rFonts w:ascii="Arial" w:cs="Arial" w:eastAsia="Arial" w:hAnsi="Arial"/>
          <w:sz w:val="18"/>
          <w:szCs w:val="18"/>
          <w:color w:val="auto"/>
        </w:rPr>
        <w:t>”), of which 42,738,750 shares are issued and outstanding;</w:t>
      </w:r>
    </w:p>
    <w:p>
      <w:pPr>
        <w:spacing w:after="0" w:line="125" w:lineRule="exact"/>
        <w:rPr>
          <w:rFonts w:ascii="Arial" w:cs="Arial" w:eastAsia="Arial" w:hAnsi="Arial"/>
          <w:sz w:val="18"/>
          <w:szCs w:val="18"/>
          <w:color w:val="auto"/>
        </w:rPr>
      </w:pPr>
    </w:p>
    <w:p>
      <w:pPr>
        <w:ind w:left="1280" w:hanging="634"/>
        <w:spacing w:after="0" w:line="267" w:lineRule="auto"/>
        <w:tabs>
          <w:tab w:leader="none" w:pos="1108" w:val="left"/>
        </w:tabs>
        <w:numPr>
          <w:ilvl w:val="0"/>
          <w:numId w:val="75"/>
        </w:numPr>
        <w:rPr>
          <w:rFonts w:ascii="Arial" w:cs="Arial" w:eastAsia="Arial" w:hAnsi="Arial"/>
          <w:sz w:val="18"/>
          <w:szCs w:val="18"/>
          <w:color w:val="auto"/>
        </w:rPr>
      </w:pPr>
      <w:r>
        <w:rPr>
          <w:rFonts w:ascii="Arial" w:cs="Arial" w:eastAsia="Arial" w:hAnsi="Arial"/>
          <w:sz w:val="18"/>
          <w:szCs w:val="18"/>
          <w:color w:val="auto"/>
        </w:rPr>
        <w:t>1,000,000,000 shares of Class C common stock, par value $0.01 per share (“</w:t>
      </w:r>
      <w:r>
        <w:rPr>
          <w:rFonts w:ascii="Arial" w:cs="Arial" w:eastAsia="Arial" w:hAnsi="Arial"/>
          <w:sz w:val="18"/>
          <w:szCs w:val="18"/>
          <w:i w:val="1"/>
          <w:iCs w:val="1"/>
          <w:color w:val="auto"/>
        </w:rPr>
        <w:t>Class C common stock</w:t>
      </w:r>
      <w:r>
        <w:rPr>
          <w:rFonts w:ascii="Arial" w:cs="Arial" w:eastAsia="Arial" w:hAnsi="Arial"/>
          <w:sz w:val="18"/>
          <w:szCs w:val="18"/>
          <w:color w:val="auto"/>
        </w:rPr>
        <w:t>”), of which 81,779,021 shares are issued and outstanding;</w:t>
      </w:r>
    </w:p>
    <w:p>
      <w:pPr>
        <w:spacing w:after="0" w:line="125" w:lineRule="exact"/>
        <w:rPr>
          <w:rFonts w:ascii="Arial" w:cs="Arial" w:eastAsia="Arial" w:hAnsi="Arial"/>
          <w:sz w:val="18"/>
          <w:szCs w:val="18"/>
          <w:color w:val="auto"/>
        </w:rPr>
      </w:pPr>
    </w:p>
    <w:p>
      <w:pPr>
        <w:ind w:left="1280" w:hanging="634"/>
        <w:spacing w:after="0" w:line="267" w:lineRule="auto"/>
        <w:tabs>
          <w:tab w:leader="none" w:pos="1098" w:val="left"/>
        </w:tabs>
        <w:numPr>
          <w:ilvl w:val="0"/>
          <w:numId w:val="75"/>
        </w:numPr>
        <w:rPr>
          <w:rFonts w:ascii="Arial" w:cs="Arial" w:eastAsia="Arial" w:hAnsi="Arial"/>
          <w:sz w:val="18"/>
          <w:szCs w:val="18"/>
          <w:color w:val="auto"/>
        </w:rPr>
      </w:pPr>
      <w:r>
        <w:rPr>
          <w:rFonts w:ascii="Arial" w:cs="Arial" w:eastAsia="Arial" w:hAnsi="Arial"/>
          <w:sz w:val="18"/>
          <w:szCs w:val="18"/>
          <w:color w:val="auto"/>
        </w:rPr>
        <w:t>1,000,000,000 shares of Class D common stock, par value $0.01 per share (“</w:t>
      </w:r>
      <w:r>
        <w:rPr>
          <w:rFonts w:ascii="Arial" w:cs="Arial" w:eastAsia="Arial" w:hAnsi="Arial"/>
          <w:sz w:val="18"/>
          <w:szCs w:val="18"/>
          <w:i w:val="1"/>
          <w:iCs w:val="1"/>
          <w:color w:val="auto"/>
        </w:rPr>
        <w:t>Class D common stock</w:t>
      </w:r>
      <w:r>
        <w:rPr>
          <w:rFonts w:ascii="Arial" w:cs="Arial" w:eastAsia="Arial" w:hAnsi="Arial"/>
          <w:sz w:val="18"/>
          <w:szCs w:val="18"/>
          <w:color w:val="auto"/>
        </w:rPr>
        <w:t>”), of which 42,738,750 shares are issued and outstanding; and</w:t>
      </w:r>
    </w:p>
    <w:p>
      <w:pPr>
        <w:spacing w:after="0" w:line="125" w:lineRule="exact"/>
        <w:rPr>
          <w:rFonts w:ascii="Arial" w:cs="Arial" w:eastAsia="Arial" w:hAnsi="Arial"/>
          <w:sz w:val="18"/>
          <w:szCs w:val="18"/>
          <w:color w:val="auto"/>
        </w:rPr>
      </w:pPr>
    </w:p>
    <w:p>
      <w:pPr>
        <w:ind w:left="1040" w:hanging="394"/>
        <w:spacing w:after="0"/>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10,000,000 shares of preferred stock, par value $0.01 per share, none of which are issued and outstanding.</w:t>
      </w:r>
    </w:p>
    <w:p>
      <w:pPr>
        <w:spacing w:after="0" w:line="166"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In addition, as of December 31, 2020, (i) an aggregate of 3,269,598 shares of Class A common stock and Class C common stock are reserved for issuance under Clearway Inc.’s equity-based compensation plans, (ii) an aggregate of 42,738,750 shares of Class A common stock are reserved for issuance upon the exchange of Class B units of Clearway LLC and (iii) an aggregate of 42,738,750 shares of Class C common stock are reserved for issuance upon the exchange of Class D units of Clearway LLC. Unless Clearway Inc.’s Board of Directors (the “</w:t>
      </w:r>
      <w:r>
        <w:rPr>
          <w:rFonts w:ascii="Arial" w:cs="Arial" w:eastAsia="Arial" w:hAnsi="Arial"/>
          <w:sz w:val="18"/>
          <w:szCs w:val="18"/>
          <w:i w:val="1"/>
          <w:iCs w:val="1"/>
          <w:color w:val="auto"/>
        </w:rPr>
        <w:t>Board of Directors</w:t>
      </w:r>
      <w:r>
        <w:rPr>
          <w:rFonts w:ascii="Arial" w:cs="Arial" w:eastAsia="Arial" w:hAnsi="Arial"/>
          <w:sz w:val="18"/>
          <w:szCs w:val="18"/>
          <w:color w:val="auto"/>
        </w:rPr>
        <w:t>”) determines otherwise, Clearway Inc. will issue all shares of its capital stock in uncertificated form.</w:t>
      </w:r>
    </w:p>
    <w:p>
      <w:pPr>
        <w:sectPr>
          <w:pgSz w:w="11900" w:h="16838" w:orient="portrait"/>
          <w:cols w:equalWidth="0" w:num="1">
            <w:col w:w="11240"/>
          </w:cols>
          <w:pgMar w:left="320" w:top="12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66" w:lineRule="exact"/>
        <w:rPr>
          <w:sz w:val="20"/>
          <w:szCs w:val="20"/>
          <w:color w:val="auto"/>
        </w:rPr>
      </w:pPr>
    </w:p>
    <w:p>
      <w:pPr>
        <w:jc w:val="both"/>
        <w:ind w:firstLine="400"/>
        <w:spacing w:after="0" w:line="284" w:lineRule="auto"/>
        <w:rPr>
          <w:sz w:val="20"/>
          <w:szCs w:val="20"/>
          <w:color w:val="auto"/>
        </w:rPr>
      </w:pPr>
      <w:r>
        <w:rPr>
          <w:rFonts w:ascii="Arial" w:cs="Arial" w:eastAsia="Arial" w:hAnsi="Arial"/>
          <w:sz w:val="16"/>
          <w:szCs w:val="16"/>
          <w:color w:val="auto"/>
        </w:rPr>
        <w:t>Each share of Class A common stock entitles the holder to one vote with respect to each matter presented to Clearway Inc.’s stockholders on which the holders of Class A common stock are entitled to vote. Holders of shares of Class A common stock, Class B common stock, Class C common stock and Class D common stock vote together as a single class on all matters presented to stockholders for their vote or approval, except as otherwise required by applicable law or the listing requirements of any exchange on which shares of Clearway Inc.’s common stock are listed. Holders of Class A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the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stockholders must be approved by a plurality of the votes entitled to be cast by all shares of common stock on a combined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66"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Subject to preferences that may be applicable to any then outstanding preferred stock, the holders of Clearway Inc.’s outstanding shares of Class A common stock are entitled to receive dividends, if any, as may be declared from time to time by the Board of Directors out of legally available funds. Dividends upon shares of the Class A common stock may be declared by the Board of Directors at any regular or special meeting, and may be paid in cash, in property or in shares of capital stock. The holders of shares of Class A common stock and Class C common stock will share ratably in all dividends as may be declared by the Board of Directors in respect of the outstanding common stock. Before payment of any dividend, there may be set aside out of any of Clearway Inc.’s funds available for dividends, such sums as the Board of Directors deems proper as reserves to meet contingencies, or for equalizing dividends, or for repairing or maintaining any of Clearway Inc.’s property or for any proper purpose, and the Board of Directors may modify or abolish any such reserve. Furthermore, because Clearway Inc. is a holding company, its ability to pay dividends on the Class A common stock is limited by restrictions on the ability of its subsidiaries to pay dividends or make other distributions to Clearway Inc., including restrictions under the terms of the agreements governing its indebtedness.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66" w:lineRule="exact"/>
        <w:rPr>
          <w:sz w:val="20"/>
          <w:szCs w:val="20"/>
          <w:color w:val="auto"/>
        </w:rPr>
      </w:pPr>
    </w:p>
    <w:p>
      <w:pPr>
        <w:jc w:val="both"/>
        <w:ind w:firstLine="400"/>
        <w:spacing w:after="0" w:line="295" w:lineRule="auto"/>
        <w:rPr>
          <w:sz w:val="20"/>
          <w:szCs w:val="20"/>
          <w:color w:val="auto"/>
        </w:rPr>
      </w:pPr>
      <w:r>
        <w:rPr>
          <w:rFonts w:ascii="Arial" w:cs="Arial" w:eastAsia="Arial" w:hAnsi="Arial"/>
          <w:sz w:val="16"/>
          <w:szCs w:val="16"/>
          <w:color w:val="auto"/>
        </w:rPr>
        <w:t>In the event of any voluntary or involuntary liquidation, dissolution or winding up of Clearway Inc.’s affairs, holders of shares of Class A common stock would be entitled to share ratably in Clearway Inc.’s assets that are legally available for distribution to stockholders after payment of its debts and other liabilities and the liquidation preference of any of the outstanding shares of preferred stock, subject only to the right of the holders of shares of Class B common stock and Class D common stock to receive payment for the par value of their shares in connection with Clearway Inc.’s liquidation.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16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Holders of shares of Clearway Inc.’s Class A common stock have no preemptive, conversion or other rights to subscribe for additional shares. All outstanding shares are, when sold, validly issued, fully paid and nonassessable. The rights, preferences and privileges of the holders of shares of Class A common stock are subject to, and may be adversely affected by, the rights of the holders of shares of any series of preferred stock that Clearway Inc. may designate and issue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Class A common stock is listed on the NYSE under the symbol “CWEN.A.”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transfer agent and registrar for the Class A common stock is Computershare Shareowner Services, LLC.</w:t>
      </w:r>
    </w:p>
    <w:p>
      <w:pPr>
        <w:sectPr>
          <w:pgSz w:w="11900" w:h="16838" w:orient="portrait"/>
          <w:cols w:equalWidth="0" w:num="1">
            <w:col w:w="11240"/>
          </w:cols>
          <w:pgMar w:left="320" w:top="12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66"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Each share of Class B common stock entitles the holder to one vote with respect to each matter presented to Clearway Inc.’s stockholders on which the holders of Class B common stock are entitled to vote. Holders of shares of Class A common stock, Class B common stock, Class C common stock and Class D common stock vote together as a single class on all matters presented to Clearway Inc.’s stockholders for their vote or approval, except as otherwise required by applicable law or the listing requirements of any exchange on which shares of Clearway Inc.’s common stock are listed. Holders of shares of Class B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Clearway Inc.’s stockholders must be approved by a plurality of the votes entitled to be cast by all shares of common stock on a combined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Liquidation Rights</w:t>
      </w:r>
    </w:p>
    <w:p>
      <w:pPr>
        <w:spacing w:after="0" w:line="16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Holders of shares of Class B common stock do not have any right to receive dividends, other than dividends payable solely in shares of Class B common stock in the event of payment of a dividend in shares of common stock payable to holders of Class A common stock and Class C common stock, or to receive a distribution upon liquidation or winding up except for their right to receive payment for the par value of their shares of Class B common stock in connection with Clearway Inc.’s liquidation.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Redemption</w:t>
      </w:r>
    </w:p>
    <w:p>
      <w:pPr>
        <w:spacing w:after="0" w:line="166" w:lineRule="exact"/>
        <w:rPr>
          <w:sz w:val="20"/>
          <w:szCs w:val="20"/>
          <w:color w:val="auto"/>
        </w:rPr>
      </w:pPr>
    </w:p>
    <w:p>
      <w:pPr>
        <w:jc w:val="both"/>
        <w:ind w:right="20" w:firstLine="400"/>
        <w:spacing w:after="0" w:line="330" w:lineRule="auto"/>
        <w:rPr>
          <w:sz w:val="20"/>
          <w:szCs w:val="20"/>
          <w:color w:val="auto"/>
        </w:rPr>
      </w:pPr>
      <w:r>
        <w:rPr>
          <w:rFonts w:ascii="Arial" w:cs="Arial" w:eastAsia="Arial" w:hAnsi="Arial"/>
          <w:sz w:val="16"/>
          <w:szCs w:val="16"/>
          <w:color w:val="auto"/>
        </w:rPr>
        <w:t>Shares of Class B common stock are subject to redemption at a price per share equal to par value upon the conversion of Class B units of Clearway LLC to Class A units of Clearway LLC. Shares of Class B common stock so redeemed are automatically cancelled and are not available to be reissued.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C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66" w:lineRule="exact"/>
        <w:rPr>
          <w:sz w:val="20"/>
          <w:szCs w:val="20"/>
          <w:color w:val="auto"/>
        </w:rPr>
      </w:pPr>
    </w:p>
    <w:p>
      <w:pPr>
        <w:jc w:val="both"/>
        <w:ind w:firstLine="400"/>
        <w:spacing w:after="0" w:line="284" w:lineRule="auto"/>
        <w:rPr>
          <w:sz w:val="20"/>
          <w:szCs w:val="20"/>
          <w:color w:val="auto"/>
        </w:rPr>
      </w:pPr>
      <w:r>
        <w:rPr>
          <w:rFonts w:ascii="Arial" w:cs="Arial" w:eastAsia="Arial" w:hAnsi="Arial"/>
          <w:sz w:val="16"/>
          <w:szCs w:val="16"/>
          <w:color w:val="auto"/>
        </w:rPr>
        <w:t>Each share of Class C common stock entitles the holder to 1/100th of one vote with respect to each matter presented to Clearway Inc.’s stockholders on which the holders of Class C common stock are entitled to vote. Holders of shares of Class A common stock, Class B common stock, Class C common stock and Class D common stock vote together as a single class on all matters presented to stockholders for their vote or approval, except as otherwise required by applicable law or the listing requirements of any exchange on which shares of Clearway Inc.’s common stock are listed. Holders of shares of Class C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the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stockholders must be approved by a plurality of the votes entitled to be cast by all shares of common stock on a combined basis.</w:t>
      </w:r>
    </w:p>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66"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Subject to preferences that may be applicable to any then outstanding preferred stock, the holders of Clearway Inc.’s outstanding shares of Class C common stock are entitled to receive dividends, if any, as may be declared from time to time by the Board of Directors out of legally available funds. Dividends upon shares of Class C common stock may be declared by the Board of Directors at any regular or special meeting, and may be paid in cash, in property or in shares of capital stock. The holders of shares of Class C common stock and Class A common stock will share ratably in all dividends as may be declared by the Board of Directors in respect of the outstanding common stock. Before payment of any dividend, there may be set aside out of any of Clearway Inc.’s funds available for dividends, such sums as the Board of Directors deems proper as reserves to meet contingencies, or for equalizing dividends, or for repairing or maintaining any of Clearway Inc.’s property or for any proper purpose, and the Board of Directors may modify or abolish any such reserve. Furthermore, because Clearway Inc. is a holding company, its ability to pay dividends on shares of Class C common stock is limited by restrictions on the ability of its subsidiaries to pay dividends or make other distributions to Clearway Inc., including restrictions under the terms of the agreements governing its indebtedness.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66" w:lineRule="exact"/>
        <w:rPr>
          <w:sz w:val="20"/>
          <w:szCs w:val="20"/>
          <w:color w:val="auto"/>
        </w:rPr>
      </w:pPr>
    </w:p>
    <w:p>
      <w:pPr>
        <w:jc w:val="both"/>
        <w:ind w:firstLine="400"/>
        <w:spacing w:after="0" w:line="295" w:lineRule="auto"/>
        <w:rPr>
          <w:sz w:val="20"/>
          <w:szCs w:val="20"/>
          <w:color w:val="auto"/>
        </w:rPr>
      </w:pPr>
      <w:r>
        <w:rPr>
          <w:rFonts w:ascii="Arial" w:cs="Arial" w:eastAsia="Arial" w:hAnsi="Arial"/>
          <w:sz w:val="16"/>
          <w:szCs w:val="16"/>
          <w:color w:val="auto"/>
        </w:rPr>
        <w:t>In the event of any voluntary or involuntary liquidation, dissolution or winding up of Clearway Inc.’s affairs, holders of shares of Class C common stock would be entitled to share ratably in Clearway Inc.’s assets that are legally available for distribution to stockholders after payment of its debts and other liabilities and the liquidation preference of any of the outstanding shares of preferred stock, subject only to the right of the holders of shares of Class B common stock and Class D common stock to receive payment for the par value of their shares in connection with Clearway Inc.’s liquidation.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16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Holders of shares of Clearway Inc.’s Class C common stock have no preemptive, conversion or other rights to subscribe for additional shares. All outstanding shares are, when issued, validly issued, fully paid and nonassessable. The rights, preferences and privileges of the holders of shares of Class C common stock are subject to, and may be adversely affected by, the rights of the holders of shares of any series of preferred stock that Clearway Inc. may designate and issue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 Status</w:t>
      </w:r>
    </w:p>
    <w:p>
      <w:pPr>
        <w:spacing w:after="0" w:line="166" w:lineRule="exact"/>
        <w:rPr>
          <w:sz w:val="20"/>
          <w:szCs w:val="20"/>
          <w:color w:val="auto"/>
        </w:rPr>
      </w:pPr>
    </w:p>
    <w:p>
      <w:pPr>
        <w:jc w:val="both"/>
        <w:ind w:firstLine="400"/>
        <w:spacing w:after="0" w:line="281" w:lineRule="auto"/>
        <w:rPr>
          <w:sz w:val="20"/>
          <w:szCs w:val="20"/>
          <w:color w:val="auto"/>
        </w:rPr>
      </w:pPr>
      <w:r>
        <w:rPr>
          <w:rFonts w:ascii="Arial" w:cs="Arial" w:eastAsia="Arial" w:hAnsi="Arial"/>
          <w:sz w:val="16"/>
          <w:szCs w:val="16"/>
          <w:color w:val="auto"/>
        </w:rPr>
        <w:t>Except as expressly provided in Clearway Inc.’s amended and restated certificate of incorporation,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In the event of any merger, consolidation, or other business combination requiring the approval of Clearway Inc.’s stockholders entitled to vote thereon (whether or not Clearway Inc. is the surviving entity), the holders of shares of Class C common stock will receive the same amount and form of consideration on a per share basis as the consideration, if any, received by holders of shares of Class A common stock in connection with such merger, consolidation or combination (and if holders of shares of Class A common stock are entitled to make an election as to the amount or form of consideration that such holders will receive in any such merger, consolidation or combination with respect to their shares of Class A common stock, then the holders of shares of Class C common stock will be entitled to make the same election as to their shares of Class C common stock). In the event of any (i) tender or exchange offer to acquire any shares of Class A common stock or Class B common stock by any third party pursuant to an agreement to which Clearway Inc. is a party; or (ii) any tender or exchange offer or any other redemption or repurchase by Clearway Inc. to acquire any shares of Class A common stock or Class B common stock, the holders of shares of Class C common stock will receive the same amount and form of consideration on a per share basis as the consideration received by holders of shares of Class A common stock (and if holders of shares of Class A common stock are entitled to make an election as to the amount or form of consideration that such holders will receive in any such tender or exchange offer or other repurchase with respect to their shares of Class A common stock, then the holders of shares of Class C common stock will be entitled to make the same election as to their shares of Class C common stock).</w:t>
      </w:r>
    </w:p>
    <w:p>
      <w:pPr>
        <w:sectPr>
          <w:pgSz w:w="11900" w:h="16838" w:orient="portrait"/>
          <w:cols w:equalWidth="0" w:num="1">
            <w:col w:w="11240"/>
          </w:cols>
          <w:pgMar w:left="320" w:top="12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Class C common stock is listed on the NYSE under the symbol “CWEN.”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the Class C common stock is Computershare Shareowner Services, LLC.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D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66"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Each share of Class D common stock entitles the holder to 1/100th of one vote with respect to each matter presented to Clearway Inc.’s stockholders on which the holders of Class D common stock are entitled to vote. Holders of shares of Class A common stock, Class B common stock, Class C common stock and Class D common stock vote together as a single class on all matters presented to Clearway Inc.’s stockholders for their vote or approval, except as otherwise required by applicable law or the listing requirements of any exchange on which shares of Clearway Inc.’s amended and common stock are listed. Holders of shares of Class D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Clearway Inc.’s stockholders must be approved by a plurality of the votes entitled to be cast by all shares of common stock on a combined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Liquidation Rights</w:t>
      </w:r>
    </w:p>
    <w:p>
      <w:pPr>
        <w:spacing w:after="0" w:line="16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Holders of shares of Class D common stock do not have any right to receive dividends, other than dividends payable solely in shares of Class D common stock in the event of payment of a dividend in shares of common stock payable to holders of Class A common stock and Class C common stock, or to receive a distribution upon liquidation or winding up except for their right to receive payment for the par value of their shares of Class D common stock in connection with Clearway Inc.’s liquidation.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Redemption</w:t>
      </w:r>
    </w:p>
    <w:p>
      <w:pPr>
        <w:spacing w:after="0" w:line="16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Shares of Class D common stock are subject to redemption at a price per share equal to par value upon the conversion of Class D units of Clearway LLC. Shares of Class D common stock so redeemed are automatically cancelled and are not available to be reissued.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66"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the NYSE, which would apply so long as the shares of Class A common stock and Class C common stock remain listed on the NYSE, require stockholder approval of certain issuances equal to or exceeding 20% of the then outstanding voting power or the then outstanding number of shares of Class A common stock and Class C common stock. These additional shares may be used for a variety of corporate purposes, including future public offerings, to raise additional capital or to facilitate acquisitions.</w:t>
      </w:r>
    </w:p>
    <w:p>
      <w:pPr>
        <w:spacing w:after="0" w:line="139"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the Board of Directors to issue shares to persons friendly to current management, which issuance could render more difficult or discourage an attempt to obtain control of Clearway Inc. by means of a merger, tender offer, proxy contest or otherwise, and thereby protect the continuity of Clearway Inc.’s management and possibly deprive the stockholders of opportunities to sell their shares at prices higher than prevailing market prices.</w:t>
      </w:r>
    </w:p>
    <w:p>
      <w:pPr>
        <w:sectPr>
          <w:pgSz w:w="11900" w:h="16838" w:orient="portrait"/>
          <w:cols w:equalWidth="0" w:num="1">
            <w:col w:w="11240"/>
          </w:cols>
          <w:pgMar w:left="320" w:top="12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2" w:lineRule="exact"/>
        <w:rPr>
          <w:sz w:val="20"/>
          <w:szCs w:val="20"/>
          <w:color w:val="auto"/>
        </w:rPr>
      </w:pPr>
    </w:p>
    <w:p>
      <w:pPr>
        <w:jc w:val="both"/>
        <w:ind w:right="20" w:firstLine="400"/>
        <w:spacing w:after="0" w:line="267" w:lineRule="auto"/>
        <w:rPr>
          <w:sz w:val="20"/>
          <w:szCs w:val="20"/>
          <w:color w:val="auto"/>
        </w:rPr>
      </w:pPr>
      <w:r>
        <w:rPr>
          <w:rFonts w:ascii="Arial" w:cs="Arial" w:eastAsia="Arial" w:hAnsi="Arial"/>
          <w:sz w:val="18"/>
          <w:szCs w:val="18"/>
          <w:color w:val="auto"/>
        </w:rPr>
        <w:t>Under Clearway Inc.’s amended and restated certificate of incorporation, Clearway Inc. will continue to be authorized to issue up to 10,000,000 shares of preferred stock, par value $0.01 per share, none of which is issued and outstanding.</w:t>
      </w:r>
    </w:p>
    <w:p>
      <w:pPr>
        <w:spacing w:after="0" w:line="126" w:lineRule="exact"/>
        <w:rPr>
          <w:sz w:val="20"/>
          <w:szCs w:val="20"/>
          <w:color w:val="auto"/>
        </w:rPr>
      </w:pPr>
    </w:p>
    <w:p>
      <w:pPr>
        <w:jc w:val="both"/>
        <w:ind w:firstLine="400"/>
        <w:spacing w:after="0" w:line="285" w:lineRule="auto"/>
        <w:rPr>
          <w:sz w:val="20"/>
          <w:szCs w:val="20"/>
          <w:color w:val="auto"/>
        </w:rPr>
      </w:pPr>
      <w:r>
        <w:rPr>
          <w:rFonts w:ascii="Arial" w:cs="Arial" w:eastAsia="Arial" w:hAnsi="Arial"/>
          <w:sz w:val="16"/>
          <w:szCs w:val="16"/>
          <w:color w:val="auto"/>
        </w:rPr>
        <w:t>The Board of Directors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Clearway Inc.’s stockholders. Any preferred stock so issued may rank senior to Clearway Inc.’s common stock with respect to the payment of dividends or amounts upon liquidation, dissolution or winding up, or both. The issuance of preferred stock may have the effect of delaying, deferring or preventing a change in control of Clearway Inc.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Clearway Inc. has no plans to issue any preferred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Clearway Inc.’s Certificate of Incorporation and Bylaws</w:t>
      </w:r>
    </w:p>
    <w:p>
      <w:pPr>
        <w:spacing w:after="0" w:line="172" w:lineRule="exact"/>
        <w:rPr>
          <w:sz w:val="20"/>
          <w:szCs w:val="20"/>
          <w:color w:val="auto"/>
        </w:rPr>
      </w:pPr>
    </w:p>
    <w:p>
      <w:pPr>
        <w:jc w:val="both"/>
        <w:ind w:firstLine="400"/>
        <w:spacing w:after="0" w:line="288" w:lineRule="auto"/>
        <w:rPr>
          <w:sz w:val="20"/>
          <w:szCs w:val="20"/>
          <w:color w:val="auto"/>
        </w:rPr>
      </w:pPr>
      <w:r>
        <w:rPr>
          <w:rFonts w:ascii="Arial" w:cs="Arial" w:eastAsia="Arial" w:hAnsi="Arial"/>
          <w:sz w:val="16"/>
          <w:szCs w:val="16"/>
          <w:color w:val="auto"/>
        </w:rPr>
        <w:t>In addition to the disproportionate voting rights that Global Infrastructure Investors III, LLC (“GIP”) has as a result of its indirect ownership of Class B common stock and Class D common stock, some provisions of Delaware law contain, and Clearway Inc.’s amended and restated certificate of incorporation and Clearway Inc.’s fourth amended and restated bylaws described below contain, a number of provisions which may have the effect of encouraging persons considering unsolicited tender offers or other unilateral takeover proposals to negotiate with the Board of Directors rather than pursue non-negotiated takeover attempts, which Clearway Inc. believes may result in an improvement of the terms of any such acquisition in favor of Clearway Inc.’s stockholders. However, they also give the Board of Directors the power to discourage acquisitions that some stockholders may favor.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66" w:lineRule="exact"/>
        <w:rPr>
          <w:sz w:val="20"/>
          <w:szCs w:val="20"/>
          <w:color w:val="auto"/>
        </w:rPr>
      </w:pPr>
    </w:p>
    <w:p>
      <w:pPr>
        <w:jc w:val="both"/>
        <w:ind w:firstLine="400"/>
        <w:spacing w:after="0" w:line="253" w:lineRule="auto"/>
        <w:rPr>
          <w:sz w:val="20"/>
          <w:szCs w:val="20"/>
          <w:color w:val="auto"/>
        </w:rPr>
      </w:pPr>
      <w:r>
        <w:rPr>
          <w:rFonts w:ascii="Arial" w:cs="Arial" w:eastAsia="Arial" w:hAnsi="Arial"/>
          <w:sz w:val="18"/>
          <w:szCs w:val="18"/>
          <w:color w:val="auto"/>
        </w:rPr>
        <w:t>The ability to authorize undesignated preferred stock will make it possible for the Board of Directors to issue preferred stock with superior voting, special approval, dividend or other rights or preferences on a discriminatory basis that could impede the success of any attempt to acquire Clearway Inc.. These and other provisions may have the effect of deferring, delaying or discouraging hostile takeovers, or changes in control or management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Elections of Directors</w:t>
      </w:r>
    </w:p>
    <w:p>
      <w:pPr>
        <w:spacing w:after="0" w:line="166" w:lineRule="exact"/>
        <w:rPr>
          <w:sz w:val="20"/>
          <w:szCs w:val="20"/>
          <w:color w:val="auto"/>
        </w:rPr>
      </w:pPr>
    </w:p>
    <w:p>
      <w:pPr>
        <w:jc w:val="both"/>
        <w:ind w:firstLine="400"/>
        <w:spacing w:after="0" w:line="330" w:lineRule="auto"/>
        <w:rPr>
          <w:sz w:val="20"/>
          <w:szCs w:val="20"/>
          <w:color w:val="auto"/>
        </w:rPr>
      </w:pPr>
      <w:r>
        <w:rPr>
          <w:rFonts w:ascii="Arial" w:cs="Arial" w:eastAsia="Arial" w:hAnsi="Arial"/>
          <w:sz w:val="16"/>
          <w:szCs w:val="16"/>
          <w:i w:val="1"/>
          <w:iCs w:val="1"/>
          <w:color w:val="auto"/>
        </w:rPr>
        <w:t xml:space="preserve">Special Meetings of Stockholders. </w:t>
      </w:r>
      <w:r>
        <w:rPr>
          <w:rFonts w:ascii="Arial" w:cs="Arial" w:eastAsia="Arial" w:hAnsi="Arial"/>
          <w:sz w:val="16"/>
          <w:szCs w:val="16"/>
          <w:color w:val="auto"/>
        </w:rPr>
        <w:t>Clearway Inc.’s amended and restated certificate of incorporation provides that a special meeting of stockholders may</w:t>
      </w:r>
      <w:r>
        <w:rPr>
          <w:rFonts w:ascii="Arial" w:cs="Arial" w:eastAsia="Arial" w:hAnsi="Arial"/>
          <w:sz w:val="16"/>
          <w:szCs w:val="16"/>
          <w:i w:val="1"/>
          <w:iCs w:val="1"/>
          <w:color w:val="auto"/>
        </w:rPr>
        <w:t xml:space="preserve"> </w:t>
      </w:r>
      <w:r>
        <w:rPr>
          <w:rFonts w:ascii="Arial" w:cs="Arial" w:eastAsia="Arial" w:hAnsi="Arial"/>
          <w:sz w:val="16"/>
          <w:szCs w:val="16"/>
          <w:color w:val="auto"/>
        </w:rPr>
        <w:t>be called only by the Board of Directors by a resolution adopted by the affirmative vote of a majority of the total number of directors then in office.</w:t>
      </w:r>
    </w:p>
    <w:p>
      <w:pPr>
        <w:spacing w:after="0" w:line="80"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i w:val="1"/>
          <w:iCs w:val="1"/>
          <w:color w:val="auto"/>
        </w:rPr>
        <w:t xml:space="preserve">Elimination of Stockholder Action by Written Consent. </w:t>
      </w:r>
      <w:r>
        <w:rPr>
          <w:rFonts w:ascii="Arial" w:cs="Arial" w:eastAsia="Arial" w:hAnsi="Arial"/>
          <w:sz w:val="18"/>
          <w:szCs w:val="18"/>
          <w:color w:val="auto"/>
        </w:rPr>
        <w:t>Clearway Inc.’s amended and restated certificate of incorporation and its fourth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bylaws provide that holders of Clearway Inc.’s common stock cannot act by written consent in lieu of a meeting.</w:t>
      </w:r>
    </w:p>
    <w:p>
      <w:pPr>
        <w:spacing w:after="0" w:line="12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i w:val="1"/>
          <w:iCs w:val="1"/>
          <w:color w:val="auto"/>
        </w:rPr>
        <w:t xml:space="preserve">Vacancies. </w:t>
      </w:r>
      <w:r>
        <w:rPr>
          <w:rFonts w:ascii="Arial" w:cs="Arial" w:eastAsia="Arial" w:hAnsi="Arial"/>
          <w:sz w:val="18"/>
          <w:szCs w:val="18"/>
          <w:color w:val="auto"/>
        </w:rPr>
        <w:t>Any vacancy occurring on the Board of Directors and any newly created directorship may be filled only by a majority of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in office (even if less than a quorum), subject to the rights of holders of any series of preferred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166" w:lineRule="exact"/>
        <w:rPr>
          <w:sz w:val="20"/>
          <w:szCs w:val="20"/>
          <w:color w:val="auto"/>
        </w:rPr>
      </w:pPr>
    </w:p>
    <w:p>
      <w:pPr>
        <w:jc w:val="both"/>
        <w:ind w:firstLine="400"/>
        <w:spacing w:after="0" w:line="304" w:lineRule="auto"/>
        <w:rPr>
          <w:sz w:val="20"/>
          <w:szCs w:val="20"/>
          <w:color w:val="auto"/>
        </w:rPr>
      </w:pPr>
      <w:r>
        <w:rPr>
          <w:rFonts w:ascii="Arial" w:cs="Arial" w:eastAsia="Arial" w:hAnsi="Arial"/>
          <w:sz w:val="16"/>
          <w:szCs w:val="16"/>
          <w:i w:val="1"/>
          <w:iCs w:val="1"/>
          <w:color w:val="auto"/>
        </w:rPr>
        <w:t xml:space="preserve">Amendments of Certificate of Incorporation. </w:t>
      </w:r>
      <w:r>
        <w:rPr>
          <w:rFonts w:ascii="Arial" w:cs="Arial" w:eastAsia="Arial" w:hAnsi="Arial"/>
          <w:sz w:val="16"/>
          <w:szCs w:val="16"/>
          <w:color w:val="auto"/>
        </w:rPr>
        <w:t>The provisions described above under “—Special Meetings of Stockholders,” “—Elimination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Action by Written Consent” and “—Vacancies” may be amended only by the affirmative vote of holders of at least two-thirds of the combined voting power of outstanding shares of Clearway Inc.’s capital stock entitled to vote in the election of directors, voting together as a single class.</w:t>
      </w:r>
    </w:p>
    <w:p>
      <w:pPr>
        <w:sectPr>
          <w:pgSz w:w="11900" w:h="16838" w:orient="portrait"/>
          <w:cols w:equalWidth="0" w:num="1">
            <w:col w:w="11240"/>
          </w:cols>
          <w:pgMar w:left="320" w:top="12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i w:val="1"/>
          <w:iCs w:val="1"/>
          <w:color w:val="auto"/>
        </w:rPr>
        <w:t xml:space="preserve">Amendment of Bylaws. </w:t>
      </w:r>
      <w:r>
        <w:rPr>
          <w:rFonts w:ascii="Arial" w:cs="Arial" w:eastAsia="Arial" w:hAnsi="Arial"/>
          <w:sz w:val="18"/>
          <w:szCs w:val="18"/>
          <w:color w:val="auto"/>
        </w:rPr>
        <w:t>The Board of Directors has the power to make, alter, amend, change or repeal Clearway Inc.’s bylaws or adopt new bylaws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affirmative vote of a majority of the total number of directors then in office.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Provisions Relating to Stockholder Proposals and Nominees</w:t>
      </w:r>
    </w:p>
    <w:p>
      <w:pPr>
        <w:spacing w:after="0" w:line="166"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Clearway Inc.’s fourth amended and restated bylaws also impose some procedural requirements on stockholders who wish to make nominations in the election of directors or propose any other business to be brought before an annual or special meeting of stockholders.</w:t>
      </w:r>
    </w:p>
    <w:p>
      <w:pPr>
        <w:spacing w:after="0" w:line="126"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color w:val="auto"/>
        </w:rPr>
        <w:t>Specifically, a stockholder may (i) bring a proposal before an annual meeting of stockholders, (ii) nominate a candidate for election to the Board of Directors at an annual meeting of stockholders, or (iii) nominate a candidate for election to the Board of Directors at a special meeting of stockholders that has been called for the purpose of electing directors, only if such stockholder delivers timely notice to Clearway Inc.’s corporate secretary. The notice must be in writing and must include certain information and comply with the delivery requirements as set forth in the bylaws.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To be timely, a stockholder’s notice must be received at Clearway Inc.’s principal executive offices:</w:t>
      </w:r>
    </w:p>
    <w:p>
      <w:pPr>
        <w:spacing w:after="0" w:line="166" w:lineRule="exact"/>
        <w:rPr>
          <w:sz w:val="20"/>
          <w:szCs w:val="20"/>
          <w:color w:val="auto"/>
        </w:rPr>
      </w:pPr>
    </w:p>
    <w:p>
      <w:pPr>
        <w:jc w:val="both"/>
        <w:ind w:left="640" w:hanging="314"/>
        <w:spacing w:after="0" w:line="268" w:lineRule="auto"/>
        <w:tabs>
          <w:tab w:leader="none" w:pos="635"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date of the annual meeting is advanced more than 30 days before or delayed more than 70 days after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anniversary of the preceding year’s annual meeting,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Clearway Inc.;</w:t>
      </w:r>
    </w:p>
    <w:p>
      <w:pPr>
        <w:spacing w:after="0" w:line="129" w:lineRule="exact"/>
        <w:rPr>
          <w:rFonts w:ascii="Arial" w:cs="Arial" w:eastAsia="Arial" w:hAnsi="Arial"/>
          <w:sz w:val="17"/>
          <w:szCs w:val="17"/>
          <w:color w:val="auto"/>
        </w:rPr>
      </w:pPr>
    </w:p>
    <w:p>
      <w:pPr>
        <w:jc w:val="both"/>
        <w:ind w:left="640" w:hanging="314"/>
        <w:spacing w:after="0" w:line="257" w:lineRule="auto"/>
        <w:tabs>
          <w:tab w:leader="none" w:pos="6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case of a nomination in connection with a special meeting of stockholders, not earlier than the 120th day prior to such special meeting and not later than the close of business on the later of the 90th day before such special meeting or the 10th day following the day on which public announcement of the date of such meeting is first made by Clearway Inc..</w:t>
      </w:r>
    </w:p>
    <w:p>
      <w:pPr>
        <w:spacing w:after="0" w:line="135" w:lineRule="exact"/>
        <w:rPr>
          <w:sz w:val="20"/>
          <w:szCs w:val="20"/>
          <w:color w:val="auto"/>
        </w:rPr>
      </w:pPr>
    </w:p>
    <w:p>
      <w:pPr>
        <w:ind w:right="720" w:firstLine="400"/>
        <w:spacing w:after="0" w:line="267" w:lineRule="auto"/>
        <w:rPr>
          <w:sz w:val="20"/>
          <w:szCs w:val="20"/>
          <w:color w:val="auto"/>
        </w:rPr>
      </w:pPr>
      <w:r>
        <w:rPr>
          <w:rFonts w:ascii="Arial" w:cs="Arial" w:eastAsia="Arial" w:hAnsi="Arial"/>
          <w:sz w:val="18"/>
          <w:szCs w:val="18"/>
          <w:color w:val="auto"/>
        </w:rPr>
        <w:t>With respect to special meetings of stockholders, Clearway Inc.’s fourth amended and restated bylaws provide that only such business shall be conducted as shall have been stated in the notice of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66"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Clearway Inc. is presently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135" w:lineRule="exact"/>
        <w:rPr>
          <w:sz w:val="20"/>
          <w:szCs w:val="20"/>
          <w:color w:val="auto"/>
        </w:rPr>
      </w:pPr>
    </w:p>
    <w:p>
      <w:pPr>
        <w:ind w:left="640" w:hanging="314"/>
        <w:spacing w:after="0" w:line="267"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that resulted in the stockholder becoming an interested stockholder;</w:t>
      </w:r>
    </w:p>
    <w:p>
      <w:pPr>
        <w:spacing w:after="0" w:line="125" w:lineRule="exact"/>
        <w:rPr>
          <w:rFonts w:ascii="Arial" w:cs="Arial" w:eastAsia="Arial" w:hAnsi="Arial"/>
          <w:sz w:val="18"/>
          <w:szCs w:val="18"/>
          <w:color w:val="auto"/>
        </w:rPr>
      </w:pPr>
    </w:p>
    <w:p>
      <w:pPr>
        <w:ind w:left="640" w:hanging="314"/>
        <w:spacing w:after="0" w:line="267"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125" w:lineRule="exact"/>
        <w:rPr>
          <w:rFonts w:ascii="Arial" w:cs="Arial" w:eastAsia="Arial" w:hAnsi="Arial"/>
          <w:sz w:val="18"/>
          <w:szCs w:val="18"/>
          <w:color w:val="auto"/>
        </w:rPr>
      </w:pPr>
    </w:p>
    <w:p>
      <w:pPr>
        <w:ind w:left="640" w:hanging="314"/>
        <w:spacing w:after="0" w:line="267"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the Board of Directors and by the affirmative vote of holders of at least 66 2/3% of the outstanding voting stock that is not owned by the interested stockholder.</w:t>
      </w:r>
    </w:p>
    <w:p>
      <w:pPr>
        <w:sectPr>
          <w:pgSz w:w="11900" w:h="16838" w:orient="portrait"/>
          <w:cols w:equalWidth="0" w:num="1">
            <w:col w:w="11240"/>
          </w:cols>
          <w:pgMar w:left="320" w:top="121" w:right="339" w:bottom="1440" w:gutter="0" w:footer="0" w:header="0"/>
        </w:sectPr>
      </w:pPr>
    </w:p>
    <w:bookmarkStart w:id="152" w:name="page153"/>
    <w:bookmarkEnd w:id="152"/>
    <w:p>
      <w:pPr>
        <w:ind w:left="10320"/>
        <w:spacing w:after="0"/>
        <w:rPr>
          <w:sz w:val="20"/>
          <w:szCs w:val="20"/>
          <w:color w:val="auto"/>
        </w:rPr>
      </w:pPr>
      <w:r>
        <w:rPr>
          <w:rFonts w:ascii="Arial" w:cs="Arial" w:eastAsia="Arial" w:hAnsi="Arial"/>
          <w:sz w:val="16"/>
          <w:szCs w:val="16"/>
          <w:b w:val="1"/>
          <w:bCs w:val="1"/>
          <w:color w:val="auto"/>
        </w:rPr>
        <w:t>Exhibit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Clearway Inc.’s voting stock.</w:t>
      </w:r>
    </w:p>
    <w:p>
      <w:pPr>
        <w:spacing w:after="0" w:line="135" w:lineRule="exact"/>
        <w:rPr>
          <w:sz w:val="20"/>
          <w:szCs w:val="20"/>
          <w:color w:val="auto"/>
        </w:rPr>
      </w:pPr>
    </w:p>
    <w:p>
      <w:pPr>
        <w:jc w:val="both"/>
        <w:ind w:firstLine="400"/>
        <w:spacing w:after="0" w:line="270" w:lineRule="auto"/>
        <w:rPr>
          <w:sz w:val="20"/>
          <w:szCs w:val="20"/>
          <w:color w:val="auto"/>
        </w:rPr>
      </w:pPr>
      <w:r>
        <w:rPr>
          <w:rFonts w:ascii="Arial" w:cs="Arial" w:eastAsia="Arial" w:hAnsi="Arial"/>
          <w:sz w:val="17"/>
          <w:szCs w:val="17"/>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Clearway Inc. to negotiate in advance with the Board of Directors because the stockholder approval requirement would be avoided if the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172" w:lineRule="exact"/>
        <w:rPr>
          <w:sz w:val="20"/>
          <w:szCs w:val="20"/>
          <w:color w:val="auto"/>
        </w:rPr>
      </w:pPr>
    </w:p>
    <w:p>
      <w:pPr>
        <w:jc w:val="both"/>
        <w:ind w:firstLine="400"/>
        <w:spacing w:after="0" w:line="279" w:lineRule="auto"/>
        <w:rPr>
          <w:sz w:val="20"/>
          <w:szCs w:val="20"/>
          <w:color w:val="auto"/>
        </w:rPr>
      </w:pPr>
      <w:r>
        <w:rPr>
          <w:rFonts w:ascii="Arial" w:cs="Arial" w:eastAsia="Arial" w:hAnsi="Arial"/>
          <w:sz w:val="17"/>
          <w:szCs w:val="17"/>
          <w:color w:val="auto"/>
        </w:rPr>
        <w:t>Any amendments to Clearway Inc.’s amended and restated certificate of incorporation, subject to the rights of holders of Clearway Inc.’s preferred stock, regarding the provisions thereof summarized under “—Antitakeover Effects of Delaware Law and Clearway Inc.’s Certificate of Incorporation and Bylaws” will require the affirmative vote of at least 66 2/3% of the voting power of all shares of common stock then outstanding.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Amended and Restated Limited Liability Company Agreement of Clearway Energy LLC</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is a description of the material terms of the fourth amended and restated limited liability company agreement of Clearway LLC.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166"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color w:val="auto"/>
        </w:rPr>
        <w:t>Clearway Inc. serves as the sole managing member of Clearway LLC. As such, Clearway Inc., and effectively the Board of Directors, controls the business and affairs of Clearway LLC and is responsible for the management of its business. No other member of Clearway LLC, in its capacity as such, has any authority or right to control the management of Clearway LLC or to bind it in connection with any matter. Any amendment, supplement or waiver of the Clearway LLC operating agreement must be approved by a majority of Clearway Inc.’s independent directors.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Economic Rights of Members</w:t>
      </w:r>
    </w:p>
    <w:p>
      <w:pPr>
        <w:spacing w:after="0" w:line="166"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6"/>
          <w:szCs w:val="16"/>
          <w:color w:val="auto"/>
        </w:rPr>
        <w:t>Clearway LLC has issued four classes of units: Class A units and Class C units, which may only be issued to Clearway Inc., as the sole managing member, and Class B units and Class D units, which may only be issued to GIP and held by GIP or its permitted transferees. Units of each of the four classes have equivalent economic and other rights, except that upon issuance, each holder of a Class B unit will also be issued a share of Clearway Inc.’s Class B common stock and each holder of a Class D unit will also be issued a share of Clearway Inc.’s Class D common stock. Each Class B unit is exchangeable for a share of Clearway Inc.’s Class A common stock, subject to equitable adjustments for stock splits, dividends and reclassifications in accordance with the terms of the Amended and Restated Exchange Agreement (as described below), and each Class D unit is exchangeable for a share of Clearway Inc.’s Class C common stock, subject to equitable adjustments for stock splits, dividends and reclassifications in accordance with the terms of the Amended and Restated Exchange Agreement. When GIP or its permitted transferee exchanges a Class B unit of Clearway LLC for a share of Clearway Inc.’s Class A common stock, Clearway Inc. will automatically redeem and cancel a corresponding share of Class B common stock, and the Class B unit will automatically convert into a Class A unit of Clearway LLC issued to Clearway Inc. When GIP or its permitted transferee exchanges a Class D unit of Clearway LLC for a share of Clearway Inc.’s Class C common stock, Clearway Inc. will automatically redeem and cancel a corresponding share of Clearway Inc.’s Class D common stock, and the Class D unit will automatically convert into a Class C unit of Clearway LLC issued to us. None of the units have any voting rights.</w:t>
      </w:r>
    </w:p>
    <w:p>
      <w:pPr>
        <w:sectPr>
          <w:pgSz w:w="11900" w:h="16838" w:orient="portrait"/>
          <w:cols w:equalWidth="0" w:num="1">
            <w:col w:w="11240"/>
          </w:cols>
          <w:pgMar w:left="320" w:top="12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color w:val="auto"/>
        </w:rPr>
        <w:t>Net profits and net losses and distributions by Clearway LLC are allocated and made to holders of units in accordance with the respective number of membership units of Clearway LLC held. Clearway LLC will make distributions to Clearway Inc. and GIP for the purpose of funding tax obligations in respect of income of Clearway LLC that is allocated to the members of Clearway LLC. However, Clearway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all of Clearway Inc.’s operations are conducted through Clearway Energy Operating LLC (“Clearway Operating LLC”), a wholly owed subsidiary of Clearway LLC, and Clearway Operating LLC’s Amended and Restated Credit Agreement restricts the ability of Clearway Operating LLC to make distributions to Clearway LLC, Clearway LLC may not have any funds available to make distributions to Clearway Inc. and GIP (including with respect to tax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Coordination of Clearway Inc. and Clearway LLC</w:t>
      </w:r>
    </w:p>
    <w:p>
      <w:pPr>
        <w:spacing w:after="0" w:line="166" w:lineRule="exact"/>
        <w:rPr>
          <w:sz w:val="20"/>
          <w:szCs w:val="20"/>
          <w:color w:val="auto"/>
        </w:rPr>
      </w:pPr>
    </w:p>
    <w:p>
      <w:pPr>
        <w:ind w:right="160" w:firstLine="400"/>
        <w:spacing w:after="0" w:line="267" w:lineRule="auto"/>
        <w:rPr>
          <w:sz w:val="20"/>
          <w:szCs w:val="20"/>
          <w:color w:val="auto"/>
        </w:rPr>
      </w:pPr>
      <w:r>
        <w:rPr>
          <w:rFonts w:ascii="Arial" w:cs="Arial" w:eastAsia="Arial" w:hAnsi="Arial"/>
          <w:sz w:val="18"/>
          <w:szCs w:val="18"/>
          <w:color w:val="auto"/>
        </w:rPr>
        <w:t>At any time Clearway Inc. issues a share of its Class A common stock or Class C common stock for cash, the net proceeds therefrom will promptly be transferred to Clearway LLC and Clearway LLC will either:</w:t>
      </w:r>
    </w:p>
    <w:p>
      <w:pPr>
        <w:spacing w:after="0" w:line="126" w:lineRule="exact"/>
        <w:rPr>
          <w:sz w:val="20"/>
          <w:szCs w:val="20"/>
          <w:color w:val="auto"/>
        </w:rPr>
      </w:pPr>
    </w:p>
    <w:p>
      <w:pPr>
        <w:ind w:left="640" w:hanging="314"/>
        <w:spacing w:after="0" w:line="297" w:lineRule="auto"/>
        <w:tabs>
          <w:tab w:leader="none" w:pos="635" w:val="left"/>
        </w:tabs>
        <w:numPr>
          <w:ilvl w:val="0"/>
          <w:numId w:val="78"/>
        </w:numPr>
        <w:rPr>
          <w:rFonts w:ascii="Arial" w:cs="Arial" w:eastAsia="Arial" w:hAnsi="Arial"/>
          <w:sz w:val="17"/>
          <w:szCs w:val="17"/>
          <w:color w:val="auto"/>
        </w:rPr>
      </w:pPr>
      <w:r>
        <w:rPr>
          <w:rFonts w:ascii="Arial" w:cs="Arial" w:eastAsia="Arial" w:hAnsi="Arial"/>
          <w:sz w:val="17"/>
          <w:szCs w:val="17"/>
          <w:color w:val="auto"/>
        </w:rPr>
        <w:t>transfer a newly issued Class A unit of Clearway LLC to Clearway Inc. in the case of the issuance of a share of Class A common stock, or transfer a newly issued Class C unit of Clearway LLC to Clearway Inc. in the case of the issuance of a share of Class C common stock; or</w:t>
      </w:r>
    </w:p>
    <w:p>
      <w:pPr>
        <w:spacing w:after="0" w:line="102" w:lineRule="exact"/>
        <w:rPr>
          <w:rFonts w:ascii="Arial" w:cs="Arial" w:eastAsia="Arial" w:hAnsi="Arial"/>
          <w:sz w:val="17"/>
          <w:szCs w:val="17"/>
          <w:color w:val="auto"/>
        </w:rPr>
      </w:pPr>
    </w:p>
    <w:p>
      <w:pPr>
        <w:jc w:val="both"/>
        <w:ind w:left="640" w:hanging="314"/>
        <w:spacing w:after="0" w:line="253"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use the net proceeds to purchase a Class B unit of Clearway LLC from GIP in the case of the issuance of a share of Class A common stock, which Class B unit will automatically convert into a Class A unit of Clearway LLC when transferred to Clearway Inc. or use the net proceeds to purchase a Class D unit of Clearway LLC from GIP in the case of the issuance of a share of Class C common stock, which Class D unit will automatically convert into a Class C unit of Clearway LLC when transferred to Clearway Inc.</w:t>
      </w:r>
    </w:p>
    <w:p>
      <w:pPr>
        <w:spacing w:after="0" w:line="140" w:lineRule="exact"/>
        <w:rPr>
          <w:sz w:val="20"/>
          <w:szCs w:val="20"/>
          <w:color w:val="auto"/>
        </w:rPr>
      </w:pPr>
    </w:p>
    <w:p>
      <w:pPr>
        <w:jc w:val="both"/>
        <w:ind w:firstLine="400"/>
        <w:spacing w:after="0" w:line="267" w:lineRule="auto"/>
        <w:rPr>
          <w:sz w:val="20"/>
          <w:szCs w:val="20"/>
          <w:color w:val="auto"/>
        </w:rPr>
      </w:pPr>
      <w:r>
        <w:rPr>
          <w:rFonts w:ascii="Arial" w:cs="Arial" w:eastAsia="Arial" w:hAnsi="Arial"/>
          <w:sz w:val="18"/>
          <w:szCs w:val="18"/>
          <w:color w:val="auto"/>
        </w:rPr>
        <w:t>In the event Clearway LLC purchases a Class B unit or a Class D unit of Clearway LLC from GIP, Clearway Inc. will concurrently redeem and cancel the corresponding share of its Class B common stock or Class D common stock, as applicable.</w:t>
      </w:r>
    </w:p>
    <w:p>
      <w:pPr>
        <w:spacing w:after="0" w:line="126"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If Clearway Inc. issues other classes or series of equity securities, Clearway LLC will issue, and Clearway Inc. will use the net proceeds therefrom to purchase, an equal amount of units with designations, preferences and other rights and terms that are substantially the same as Clearway Inc.’s newly-issued equity securities. Conversely, if Clearway Inc. elects to redeem any shares of its Class A common stock or Class C common stock (or its equity securities of other classes or series) for cash, Clearway LLC will, immediately prior to such redemption, redeem an equal number of Class A units or Class C units (or its units of the corresponding classes or series) held by Clearway Inc. upon the same terms and for the same price, as the shares of Class A common stock or Class C common stock (or equity securities of such other classes or series) so redeemed.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and Transfer of Units</w:t>
      </w:r>
    </w:p>
    <w:p>
      <w:pPr>
        <w:spacing w:after="0" w:line="166"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7"/>
          <w:szCs w:val="17"/>
          <w:color w:val="auto"/>
        </w:rPr>
        <w:t>Class A units and Class C units may only be issued to Clearway Inc., as the sole managing member of Clearway LLC, and are non-transferable except upon redemption by Clearway LLC. Class B units and Class D units may only be issued to GIP. Class B units and Class D units may not be transferred without Clearway Inc.’s consent, which may not be unreasonably withheld, conditioned or delayed, except GIP may transfer Class B units or Class D units to any of its direct or indirect limited partners or other equityholders and to a permitted transferee (including an affiliate) without Clearway Inc.’s consent. GIP may not transfer any Class B units or Class D units to any person unless GIP transfers an equal number of shares of Clearway Inc.’s Class B common stock or Class D common stock, as applicable, to the same transferee.</w:t>
      </w:r>
    </w:p>
    <w:p>
      <w:pPr>
        <w:sectPr>
          <w:pgSz w:w="11900" w:h="16838" w:orient="portrait"/>
          <w:cols w:equalWidth="0" w:num="1">
            <w:col w:w="11240"/>
          </w:cols>
          <w:pgMar w:left="320" w:top="121"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Exchange Agreement</w:t>
      </w:r>
    </w:p>
    <w:p>
      <w:pPr>
        <w:spacing w:after="0" w:line="166" w:lineRule="exact"/>
        <w:rPr>
          <w:sz w:val="20"/>
          <w:szCs w:val="20"/>
          <w:color w:val="auto"/>
        </w:rPr>
      </w:pPr>
    </w:p>
    <w:p>
      <w:pPr>
        <w:jc w:val="both"/>
        <w:ind w:firstLine="400"/>
        <w:spacing w:after="0" w:line="266" w:lineRule="auto"/>
        <w:rPr>
          <w:sz w:val="20"/>
          <w:szCs w:val="20"/>
          <w:color w:val="auto"/>
        </w:rPr>
      </w:pPr>
      <w:r>
        <w:rPr>
          <w:rFonts w:ascii="Arial" w:cs="Arial" w:eastAsia="Arial" w:hAnsi="Arial"/>
          <w:sz w:val="17"/>
          <w:szCs w:val="17"/>
          <w:color w:val="auto"/>
        </w:rPr>
        <w:t>Clearway Inc. entered into an amended and restated exchange agreement pursuant to which GIP (as successor-in-interest to NRG Energy, Inc.) (and certain permitted assignees and permitted transferees who acquire Class B units or Class D units of Clearway LLC) may from time to time cause Clearway LLC to exchange its Class B units for shares of Clearway Inc.’s Class A common stock on a one-for-one basis, subject to adjustments for stock splits, stock dividends and reclassifications, or to exchange its Class D units for shares of Clearway Inc.’s Class C common stock on a one-for-one basis, subject to adjustments for stock splits, stock dividends, and reclassifications (the “</w:t>
      </w:r>
      <w:r>
        <w:rPr>
          <w:rFonts w:ascii="Arial" w:cs="Arial" w:eastAsia="Arial" w:hAnsi="Arial"/>
          <w:sz w:val="17"/>
          <w:szCs w:val="17"/>
          <w:i w:val="1"/>
          <w:iCs w:val="1"/>
          <w:color w:val="auto"/>
        </w:rPr>
        <w:t>Amended and Restated Exchange Agreement</w:t>
      </w:r>
      <w:r>
        <w:rPr>
          <w:rFonts w:ascii="Arial" w:cs="Arial" w:eastAsia="Arial" w:hAnsi="Arial"/>
          <w:sz w:val="17"/>
          <w:szCs w:val="17"/>
          <w:color w:val="auto"/>
        </w:rPr>
        <w:t>”). The Amended and Restated Exchange Agreement also provides that, subject to certain exceptions, holders do not have the right to cause Clearway LLC to exchange Class B or Class D units if Clearway LLC determines that such exchange would be prohibited by law or regulation or would violate other agreements to which Clearway Inc. may be subject, and Clearway Inc. may impose additional restrictions on exchange that it determines necessary or advisable so that Clearway LLC is not treated as a “publicly traded partnership” for U.S. federal income tax purposes.</w:t>
      </w:r>
    </w:p>
    <w:p>
      <w:pPr>
        <w:spacing w:after="0" w:line="129" w:lineRule="exact"/>
        <w:rPr>
          <w:sz w:val="20"/>
          <w:szCs w:val="20"/>
          <w:color w:val="auto"/>
        </w:rPr>
      </w:pPr>
    </w:p>
    <w:p>
      <w:pPr>
        <w:jc w:val="both"/>
        <w:ind w:firstLine="400"/>
        <w:spacing w:after="0" w:line="283" w:lineRule="auto"/>
        <w:rPr>
          <w:sz w:val="20"/>
          <w:szCs w:val="20"/>
          <w:color w:val="auto"/>
        </w:rPr>
      </w:pPr>
      <w:r>
        <w:rPr>
          <w:rFonts w:ascii="Arial" w:cs="Arial" w:eastAsia="Arial" w:hAnsi="Arial"/>
          <w:sz w:val="16"/>
          <w:szCs w:val="16"/>
          <w:color w:val="auto"/>
        </w:rPr>
        <w:t>When GIP or its permitted transferee exchanges a Class B unit of Clearway LLC for a share of Clearway Inc.’s Class A common stock, Clearway Inc. will automatically redeem and cancel a corresponding share of Clearway Inc.’s Class B common stock and the Class B unit will automatically convert into a Class A unit when issued to Clearway Inc. Similarly, when GIP or its permitted transferee exchanges a Class D unit of Clearway LLC for a share of Clearway Inc.’s Class C common stock, Clearway Inc. will automatically redeem and cancel a corresponding share of Clearway Inc.’s Class D common stock and the Class D unit will automatically convert into a Class C unit when issued to Clearway Inc. As a result, when a holder exchanges its Class B units for shares of Clearway Inc.’s Class A common stock, or its Class D units for shares of Clearway Inc.’s Class C common stock, Clearway Inc.’s interest in Clearway LLC will be correspondingly increased. Clearway Inc. has reserved for issuance 42,738,750 shares of Clearway Inc.’s Class A common stock, which is the aggregate number of shares of Class A common stock expected to be issued over time upon the exchange of all Class B units of Clearway LLC currently outstanding, and 42,738,750 shares of Clearway Inc.’s Class C common stock, which is the aggregate number of shares of Class C common stock expected to be issued over time upon the exchange of all Class D units of Clearway LLC currently outstanding.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and Exculpation</w:t>
      </w:r>
    </w:p>
    <w:p>
      <w:pPr>
        <w:spacing w:after="0" w:line="219" w:lineRule="exact"/>
        <w:rPr>
          <w:sz w:val="20"/>
          <w:szCs w:val="20"/>
          <w:color w:val="auto"/>
        </w:rPr>
      </w:pPr>
    </w:p>
    <w:p>
      <w:pPr>
        <w:jc w:val="both"/>
        <w:ind w:firstLine="400"/>
        <w:spacing w:after="0" w:line="273" w:lineRule="auto"/>
        <w:rPr>
          <w:sz w:val="20"/>
          <w:szCs w:val="20"/>
          <w:color w:val="auto"/>
        </w:rPr>
      </w:pPr>
      <w:r>
        <w:rPr>
          <w:rFonts w:ascii="Arial" w:cs="Arial" w:eastAsia="Arial" w:hAnsi="Arial"/>
          <w:sz w:val="17"/>
          <w:szCs w:val="17"/>
          <w:color w:val="auto"/>
        </w:rPr>
        <w:t>To the extent permitted by applicable law, Clearway LLC will indemnify its managing member, Clearway Inc.’s authorized officers and Clearway Inc.’s other employees and agents from and against any losses, liabilities, 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w:t>
      </w:r>
    </w:p>
    <w:p>
      <w:pPr>
        <w:spacing w:after="0" w:line="123" w:lineRule="exact"/>
        <w:rPr>
          <w:sz w:val="20"/>
          <w:szCs w:val="20"/>
          <w:color w:val="auto"/>
        </w:rPr>
      </w:pPr>
    </w:p>
    <w:p>
      <w:pPr>
        <w:jc w:val="both"/>
        <w:ind w:firstLine="400"/>
        <w:spacing w:after="0" w:line="304" w:lineRule="auto"/>
        <w:rPr>
          <w:sz w:val="20"/>
          <w:szCs w:val="20"/>
          <w:color w:val="auto"/>
        </w:rPr>
      </w:pPr>
      <w:r>
        <w:rPr>
          <w:rFonts w:ascii="Arial" w:cs="Arial" w:eastAsia="Arial" w:hAnsi="Arial"/>
          <w:sz w:val="16"/>
          <w:szCs w:val="16"/>
          <w:color w:val="auto"/>
        </w:rPr>
        <w:t>Such authorized officers and other employees and agents will not be liable to Clearway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72" w:lineRule="exact"/>
        <w:rPr>
          <w:sz w:val="20"/>
          <w:szCs w:val="20"/>
          <w:color w:val="auto"/>
        </w:rPr>
      </w:pPr>
    </w:p>
    <w:p>
      <w:pPr>
        <w:jc w:val="both"/>
        <w:ind w:firstLine="400"/>
        <w:spacing w:after="0" w:line="295" w:lineRule="auto"/>
        <w:rPr>
          <w:sz w:val="20"/>
          <w:szCs w:val="20"/>
          <w:color w:val="auto"/>
        </w:rPr>
      </w:pPr>
      <w:r>
        <w:rPr>
          <w:rFonts w:ascii="Arial" w:cs="Arial" w:eastAsia="Arial" w:hAnsi="Arial"/>
          <w:sz w:val="16"/>
          <w:szCs w:val="16"/>
          <w:color w:val="auto"/>
        </w:rPr>
        <w:t>Clearway Inc. entered into an amended and restated registration rights agreement with GIP (as successor-in-interest to NRG) pursuant to which GIP and its affiliates will be entitled to demand registration rights, including the right to demand that a shelf registration statement be filed, and “piggyback” registration rights, for shares of Clearway Inc.’s Class A common stock that are issuable upon exchange of Class B units of Clearway LLC that it owns, and for shares of Clearway Inc.’s Class C common stock that are issuable upon exchange of Class D units of Clearway LLC that it owns.</w:t>
      </w:r>
    </w:p>
    <w:p>
      <w:pPr>
        <w:sectPr>
          <w:pgSz w:w="11900" w:h="16838" w:orient="portrait"/>
          <w:cols w:equalWidth="0" w:num="1">
            <w:col w:w="11240"/>
          </w:cols>
          <w:pgMar w:left="320" w:top="121" w:right="339" w:bottom="1440" w:gutter="0" w:footer="0" w:header="0"/>
        </w:sectPr>
      </w:pPr>
    </w:p>
    <w:bookmarkStart w:id="155" w:name="page156"/>
    <w:bookmarkEnd w:id="155"/>
    <w:p>
      <w:pPr>
        <w:ind w:left="9940"/>
        <w:spacing w:after="0"/>
        <w:rPr>
          <w:sz w:val="20"/>
          <w:szCs w:val="20"/>
          <w:color w:val="auto"/>
        </w:rPr>
      </w:pPr>
      <w:r>
        <w:rPr>
          <w:rFonts w:ascii="Arial" w:cs="Arial" w:eastAsia="Arial" w:hAnsi="Arial"/>
          <w:sz w:val="20"/>
          <w:szCs w:val="20"/>
          <w:b w:val="1"/>
          <w:bCs w:val="1"/>
          <w:color w:val="auto"/>
        </w:rPr>
        <w:t>EXHIBIT 21.1</w:t>
      </w:r>
    </w:p>
    <w:p>
      <w:pPr>
        <w:spacing w:after="0" w:line="6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7160" w:type="dxa"/>
            <w:vAlign w:val="bottom"/>
            <w:tcBorders>
              <w:left w:val="single" w:sz="8" w:color="auto"/>
              <w:right w:val="single" w:sz="8" w:color="auto"/>
            </w:tcBorders>
            <w:vMerge w:val="restart"/>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right w:val="single" w:sz="8" w:color="auto"/>
            </w:tcBorders>
            <w:shd w:val="clear" w:color="auto" w:fill="828282"/>
          </w:tcPr>
          <w:p>
            <w:pPr>
              <w:spacing w:after="0" w:line="20" w:lineRule="exact"/>
              <w:rPr>
                <w:sz w:val="1"/>
                <w:szCs w:val="1"/>
                <w:color w:val="auto"/>
              </w:rPr>
            </w:pPr>
          </w:p>
        </w:tc>
        <w:tc>
          <w:tcPr>
            <w:tcW w:w="3640" w:type="dxa"/>
            <w:vAlign w:val="bottom"/>
            <w:tcBorders>
              <w:right w:val="single" w:sz="8" w:color="auto"/>
            </w:tcBorders>
            <w:vMerge w:val="restart"/>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c>
          <w:tcPr>
            <w:tcW w:w="0" w:type="dxa"/>
            <w:vAlign w:val="bottom"/>
          </w:tcPr>
          <w:p>
            <w:pPr>
              <w:spacing w:after="0" w:line="20" w:lineRule="exact"/>
              <w:rPr>
                <w:sz w:val="1"/>
                <w:szCs w:val="1"/>
                <w:color w:val="auto"/>
              </w:rPr>
            </w:pPr>
          </w:p>
        </w:tc>
      </w:tr>
      <w:tr>
        <w:trPr>
          <w:trHeight w:val="233"/>
        </w:trPr>
        <w:tc>
          <w:tcPr>
            <w:tcW w:w="7160" w:type="dxa"/>
            <w:vAlign w:val="bottom"/>
            <w:tcBorders>
              <w:left w:val="single" w:sz="8" w:color="auto"/>
              <w:bottom w:val="single" w:sz="8" w:color="auto"/>
              <w:right w:val="single" w:sz="8" w:color="auto"/>
            </w:tcBorders>
            <w:vMerge w:val="continue"/>
            <w:shd w:val="clear" w:color="auto" w:fill="828282"/>
          </w:tcPr>
          <w:p>
            <w:pPr>
              <w:spacing w:after="0"/>
              <w:rPr>
                <w:sz w:val="20"/>
                <w:szCs w:val="20"/>
                <w:color w:val="auto"/>
              </w:rPr>
            </w:pPr>
          </w:p>
        </w:tc>
        <w:tc>
          <w:tcPr>
            <w:tcW w:w="380" w:type="dxa"/>
            <w:vAlign w:val="bottom"/>
            <w:tcBorders>
              <w:bottom w:val="single" w:sz="8" w:color="auto"/>
              <w:right w:val="single" w:sz="8" w:color="auto"/>
            </w:tcBorders>
            <w:shd w:val="clear" w:color="auto" w:fill="828282"/>
          </w:tcPr>
          <w:p>
            <w:pPr>
              <w:spacing w:after="0"/>
              <w:rPr>
                <w:sz w:val="20"/>
                <w:szCs w:val="20"/>
                <w:color w:val="auto"/>
              </w:rPr>
            </w:pPr>
          </w:p>
        </w:tc>
        <w:tc>
          <w:tcPr>
            <w:tcW w:w="3640" w:type="dxa"/>
            <w:vAlign w:val="bottom"/>
            <w:tcBorders>
              <w:bottom w:val="single" w:sz="8" w:color="auto"/>
              <w:right w:val="single" w:sz="8" w:color="auto"/>
            </w:tcBorders>
            <w:vMerge w:val="continue"/>
            <w:shd w:val="clear" w:color="auto" w:fill="82828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2011 Finance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AC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Adams Community Solar Garden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Adams Community Solar Garden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Colorado</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Adams Community Solar Garden III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Adams Community Solar Gardens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Colorado</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Agua Caliente Borrower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Agua Caliente Borrower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Agua Caliente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Agua Caliente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Interconnection Management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Interconnection Management III,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Interconnection Management,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Realty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Realty Investments,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Vista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1-5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Asset Management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Asset Management,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I Holding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II Holding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III Holding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III,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IV Holding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IV,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V Holding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V,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X Holding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X,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XI Holding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XI,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X-XI TE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Apple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Arapahoe Community Solar Garden 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Colorado</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Avenal Park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Avenal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Bashaw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Big Lake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180"/>
          </w:cols>
          <w:pgMar w:left="400" w:top="170" w:right="319" w:bottom="1440" w:gutter="0" w:footer="0" w:header="0"/>
        </w:sectPr>
      </w:pPr>
    </w:p>
    <w:bookmarkStart w:id="156" w:name="page157"/>
    <w:bookmarkEnd w:id="156"/>
    <w:p>
      <w:pPr>
        <w:ind w:left="9940"/>
        <w:spacing w:after="0"/>
        <w:rPr>
          <w:sz w:val="20"/>
          <w:szCs w:val="20"/>
          <w:color w:val="auto"/>
        </w:rPr>
      </w:pPr>
      <w:r>
        <w:rPr>
          <w:rFonts w:ascii="Arial" w:cs="Arial" w:eastAsia="Arial" w:hAnsi="Arial"/>
          <w:sz w:val="20"/>
          <w:szCs w:val="20"/>
          <w:b w:val="1"/>
          <w:bCs w:val="1"/>
          <w:color w:val="auto"/>
        </w:rPr>
        <w:t>EXHIBIT 21.1</w:t>
      </w:r>
    </w:p>
    <w:p>
      <w:pPr>
        <w:spacing w:after="0" w:line="6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7160" w:type="dxa"/>
            <w:vAlign w:val="bottom"/>
            <w:tcBorders>
              <w:left w:val="single" w:sz="8" w:color="auto"/>
              <w:right w:val="single" w:sz="8" w:color="auto"/>
            </w:tcBorders>
            <w:vMerge w:val="restart"/>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right w:val="single" w:sz="8" w:color="auto"/>
            </w:tcBorders>
            <w:shd w:val="clear" w:color="auto" w:fill="828282"/>
          </w:tcPr>
          <w:p>
            <w:pPr>
              <w:spacing w:after="0" w:line="20" w:lineRule="exact"/>
              <w:rPr>
                <w:sz w:val="1"/>
                <w:szCs w:val="1"/>
                <w:color w:val="auto"/>
              </w:rPr>
            </w:pPr>
          </w:p>
        </w:tc>
        <w:tc>
          <w:tcPr>
            <w:tcW w:w="3640" w:type="dxa"/>
            <w:vAlign w:val="bottom"/>
            <w:tcBorders>
              <w:right w:val="single" w:sz="8" w:color="auto"/>
            </w:tcBorders>
            <w:vMerge w:val="restart"/>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c>
          <w:tcPr>
            <w:tcW w:w="0" w:type="dxa"/>
            <w:vAlign w:val="bottom"/>
          </w:tcPr>
          <w:p>
            <w:pPr>
              <w:spacing w:after="0" w:line="20" w:lineRule="exact"/>
              <w:rPr>
                <w:sz w:val="1"/>
                <w:szCs w:val="1"/>
                <w:color w:val="auto"/>
              </w:rPr>
            </w:pPr>
          </w:p>
        </w:tc>
      </w:tr>
      <w:tr>
        <w:trPr>
          <w:trHeight w:val="233"/>
        </w:trPr>
        <w:tc>
          <w:tcPr>
            <w:tcW w:w="7160" w:type="dxa"/>
            <w:vAlign w:val="bottom"/>
            <w:tcBorders>
              <w:left w:val="single" w:sz="8" w:color="auto"/>
              <w:bottom w:val="single" w:sz="8" w:color="auto"/>
              <w:right w:val="single" w:sz="8" w:color="auto"/>
            </w:tcBorders>
            <w:vMerge w:val="continue"/>
            <w:shd w:val="clear" w:color="auto" w:fill="828282"/>
          </w:tcPr>
          <w:p>
            <w:pPr>
              <w:spacing w:after="0"/>
              <w:rPr>
                <w:sz w:val="20"/>
                <w:szCs w:val="20"/>
                <w:color w:val="auto"/>
              </w:rPr>
            </w:pPr>
          </w:p>
        </w:tc>
        <w:tc>
          <w:tcPr>
            <w:tcW w:w="380" w:type="dxa"/>
            <w:vAlign w:val="bottom"/>
            <w:tcBorders>
              <w:bottom w:val="single" w:sz="8" w:color="auto"/>
              <w:right w:val="single" w:sz="8" w:color="auto"/>
            </w:tcBorders>
            <w:shd w:val="clear" w:color="auto" w:fill="828282"/>
          </w:tcPr>
          <w:p>
            <w:pPr>
              <w:spacing w:after="0"/>
              <w:rPr>
                <w:sz w:val="20"/>
                <w:szCs w:val="20"/>
                <w:color w:val="auto"/>
              </w:rPr>
            </w:pPr>
          </w:p>
        </w:tc>
        <w:tc>
          <w:tcPr>
            <w:tcW w:w="3640" w:type="dxa"/>
            <w:vAlign w:val="bottom"/>
            <w:tcBorders>
              <w:bottom w:val="single" w:sz="8" w:color="auto"/>
              <w:right w:val="single" w:sz="8" w:color="auto"/>
            </w:tcBorders>
            <w:vMerge w:val="continue"/>
            <w:shd w:val="clear" w:color="auto" w:fill="82828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Black Cat Road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Black Rock Class B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Black Rock TE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Black Rock Wind Force,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Black Rock Wind Holding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Black Start Battery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Black Start Battery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Bluestone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BMP Wind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Brook Street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Buckthorn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Buckthorn Renewables,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Buckthorn Solar Portfolio,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Buckthorn Westex,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Buffalo Bear,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Oklahoma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Bullock Road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BWC Swan Pond River,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Carlsbad Energy Center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Carlsbad Energy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Carlsbad Holdco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Carlsbad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CBAD Holdings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CBAD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Center St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Central CA Fuel Cell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Chestnut Class 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Chestnut Fund Sub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Chisago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Clara City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 View Acres Wind Farm,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&amp; EFS Distributed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AC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Chestnut Fund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Community Energy Development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DG Lakeland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Energy Operating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Solar Star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Thermal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Clearway Walnut Creek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West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CMR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180"/>
          </w:cols>
          <w:pgMar w:left="400" w:top="170" w:right="319" w:bottom="1440" w:gutter="0" w:footer="0" w:header="0"/>
        </w:sectPr>
      </w:pPr>
    </w:p>
    <w:bookmarkStart w:id="157" w:name="page158"/>
    <w:bookmarkEnd w:id="157"/>
    <w:p>
      <w:pPr>
        <w:ind w:left="9940"/>
        <w:spacing w:after="0"/>
        <w:rPr>
          <w:sz w:val="20"/>
          <w:szCs w:val="20"/>
          <w:color w:val="auto"/>
        </w:rPr>
      </w:pPr>
      <w:r>
        <w:rPr>
          <w:rFonts w:ascii="Arial" w:cs="Arial" w:eastAsia="Arial" w:hAnsi="Arial"/>
          <w:sz w:val="20"/>
          <w:szCs w:val="20"/>
          <w:b w:val="1"/>
          <w:bCs w:val="1"/>
          <w:color w:val="auto"/>
        </w:rPr>
        <w:t>EXHIBIT 21.1</w:t>
      </w:r>
    </w:p>
    <w:p>
      <w:pPr>
        <w:spacing w:after="0" w:line="6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7160" w:type="dxa"/>
            <w:vAlign w:val="bottom"/>
            <w:tcBorders>
              <w:left w:val="single" w:sz="8" w:color="auto"/>
              <w:right w:val="single" w:sz="8" w:color="auto"/>
            </w:tcBorders>
            <w:vMerge w:val="restart"/>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right w:val="single" w:sz="8" w:color="auto"/>
            </w:tcBorders>
            <w:shd w:val="clear" w:color="auto" w:fill="828282"/>
          </w:tcPr>
          <w:p>
            <w:pPr>
              <w:spacing w:after="0" w:line="20" w:lineRule="exact"/>
              <w:rPr>
                <w:sz w:val="1"/>
                <w:szCs w:val="1"/>
                <w:color w:val="auto"/>
              </w:rPr>
            </w:pPr>
          </w:p>
        </w:tc>
        <w:tc>
          <w:tcPr>
            <w:tcW w:w="3640" w:type="dxa"/>
            <w:vAlign w:val="bottom"/>
            <w:tcBorders>
              <w:right w:val="single" w:sz="8" w:color="auto"/>
            </w:tcBorders>
            <w:vMerge w:val="restart"/>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c>
          <w:tcPr>
            <w:tcW w:w="0" w:type="dxa"/>
            <w:vAlign w:val="bottom"/>
          </w:tcPr>
          <w:p>
            <w:pPr>
              <w:spacing w:after="0" w:line="20" w:lineRule="exact"/>
              <w:rPr>
                <w:sz w:val="1"/>
                <w:szCs w:val="1"/>
                <w:color w:val="auto"/>
              </w:rPr>
            </w:pPr>
          </w:p>
        </w:tc>
      </w:tr>
      <w:tr>
        <w:trPr>
          <w:trHeight w:val="233"/>
        </w:trPr>
        <w:tc>
          <w:tcPr>
            <w:tcW w:w="7160" w:type="dxa"/>
            <w:vAlign w:val="bottom"/>
            <w:tcBorders>
              <w:left w:val="single" w:sz="8" w:color="auto"/>
              <w:bottom w:val="single" w:sz="8" w:color="auto"/>
              <w:right w:val="single" w:sz="8" w:color="auto"/>
            </w:tcBorders>
            <w:vMerge w:val="continue"/>
            <w:shd w:val="clear" w:color="auto" w:fill="828282"/>
          </w:tcPr>
          <w:p>
            <w:pPr>
              <w:spacing w:after="0"/>
              <w:rPr>
                <w:sz w:val="20"/>
                <w:szCs w:val="20"/>
                <w:color w:val="auto"/>
              </w:rPr>
            </w:pPr>
          </w:p>
        </w:tc>
        <w:tc>
          <w:tcPr>
            <w:tcW w:w="380" w:type="dxa"/>
            <w:vAlign w:val="bottom"/>
            <w:tcBorders>
              <w:bottom w:val="single" w:sz="8" w:color="auto"/>
              <w:right w:val="single" w:sz="8" w:color="auto"/>
            </w:tcBorders>
            <w:shd w:val="clear" w:color="auto" w:fill="828282"/>
          </w:tcPr>
          <w:p>
            <w:pPr>
              <w:spacing w:after="0"/>
              <w:rPr>
                <w:sz w:val="20"/>
                <w:szCs w:val="20"/>
                <w:color w:val="auto"/>
              </w:rPr>
            </w:pPr>
          </w:p>
        </w:tc>
        <w:tc>
          <w:tcPr>
            <w:tcW w:w="3640" w:type="dxa"/>
            <w:vAlign w:val="bottom"/>
            <w:tcBorders>
              <w:bottom w:val="single" w:sz="8" w:color="auto"/>
              <w:right w:val="single" w:sz="8" w:color="auto"/>
            </w:tcBorders>
            <w:vMerge w:val="continue"/>
            <w:shd w:val="clear" w:color="auto" w:fill="82828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Colorado Shared Solar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Colorado Springs Solar Garden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Colorado</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Continental Energy,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Arizona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Crosswind Transmission,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CVSR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CVSR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CWEN Pinnacle Repowering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CWEN Pinnacle Repowering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CWSP Rattlesnake Holding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Cy-Hawk Wind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Daggett Solar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Daggett Solar Investment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Denver Community Solar Garden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Denver Community Solar Garden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Colorado</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Desert Sunlight 250,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Desert Sunlight 300,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Desert Sunlight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Desert Sunlight Investment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Berkeley Rec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Berkeley Village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Central East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Central West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Contra Costa Operations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Contra Costa Waste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Crystal Spring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Dighton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Foxborough Elm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Foxborough Landfill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Grantland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Haverhill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Imperial Admin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Imperial Building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Lathrop Louise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Lincoln Middle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Marathon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Rosedale Elementary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Rosedale Middle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San Joaquin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SREC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SREC Holdings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Tufts Knoll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Tufts Science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180"/>
          </w:cols>
          <w:pgMar w:left="400" w:top="170" w:right="319" w:bottom="1440" w:gutter="0" w:footer="0" w:header="0"/>
        </w:sectPr>
      </w:pPr>
    </w:p>
    <w:bookmarkStart w:id="158" w:name="page159"/>
    <w:bookmarkEnd w:id="158"/>
    <w:p>
      <w:pPr>
        <w:ind w:left="9940"/>
        <w:spacing w:after="0"/>
        <w:rPr>
          <w:sz w:val="20"/>
          <w:szCs w:val="20"/>
          <w:color w:val="auto"/>
        </w:rPr>
      </w:pPr>
      <w:r>
        <w:rPr>
          <w:rFonts w:ascii="Arial" w:cs="Arial" w:eastAsia="Arial" w:hAnsi="Arial"/>
          <w:sz w:val="20"/>
          <w:szCs w:val="20"/>
          <w:b w:val="1"/>
          <w:bCs w:val="1"/>
          <w:color w:val="auto"/>
        </w:rPr>
        <w:t>EXHIBIT 21.1</w:t>
      </w:r>
    </w:p>
    <w:p>
      <w:pPr>
        <w:spacing w:after="0" w:line="6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7160" w:type="dxa"/>
            <w:vAlign w:val="bottom"/>
            <w:tcBorders>
              <w:left w:val="single" w:sz="8" w:color="auto"/>
              <w:right w:val="single" w:sz="8" w:color="auto"/>
            </w:tcBorders>
            <w:vMerge w:val="restart"/>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right w:val="single" w:sz="8" w:color="auto"/>
            </w:tcBorders>
            <w:shd w:val="clear" w:color="auto" w:fill="828282"/>
          </w:tcPr>
          <w:p>
            <w:pPr>
              <w:spacing w:after="0" w:line="20" w:lineRule="exact"/>
              <w:rPr>
                <w:sz w:val="1"/>
                <w:szCs w:val="1"/>
                <w:color w:val="auto"/>
              </w:rPr>
            </w:pPr>
          </w:p>
        </w:tc>
        <w:tc>
          <w:tcPr>
            <w:tcW w:w="3640" w:type="dxa"/>
            <w:vAlign w:val="bottom"/>
            <w:tcBorders>
              <w:right w:val="single" w:sz="8" w:color="auto"/>
            </w:tcBorders>
            <w:vMerge w:val="restart"/>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c>
          <w:tcPr>
            <w:tcW w:w="0" w:type="dxa"/>
            <w:vAlign w:val="bottom"/>
          </w:tcPr>
          <w:p>
            <w:pPr>
              <w:spacing w:after="0" w:line="20" w:lineRule="exact"/>
              <w:rPr>
                <w:sz w:val="1"/>
                <w:szCs w:val="1"/>
                <w:color w:val="auto"/>
              </w:rPr>
            </w:pPr>
          </w:p>
        </w:tc>
      </w:tr>
      <w:tr>
        <w:trPr>
          <w:trHeight w:val="233"/>
        </w:trPr>
        <w:tc>
          <w:tcPr>
            <w:tcW w:w="7160" w:type="dxa"/>
            <w:vAlign w:val="bottom"/>
            <w:tcBorders>
              <w:left w:val="single" w:sz="8" w:color="auto"/>
              <w:bottom w:val="single" w:sz="8" w:color="auto"/>
              <w:right w:val="single" w:sz="8" w:color="auto"/>
            </w:tcBorders>
            <w:vMerge w:val="continue"/>
            <w:shd w:val="clear" w:color="auto" w:fill="828282"/>
          </w:tcPr>
          <w:p>
            <w:pPr>
              <w:spacing w:after="0"/>
              <w:rPr>
                <w:sz w:val="20"/>
                <w:szCs w:val="20"/>
                <w:color w:val="auto"/>
              </w:rPr>
            </w:pPr>
          </w:p>
        </w:tc>
        <w:tc>
          <w:tcPr>
            <w:tcW w:w="380" w:type="dxa"/>
            <w:vAlign w:val="bottom"/>
            <w:tcBorders>
              <w:bottom w:val="single" w:sz="8" w:color="auto"/>
              <w:right w:val="single" w:sz="8" w:color="auto"/>
            </w:tcBorders>
            <w:shd w:val="clear" w:color="auto" w:fill="828282"/>
          </w:tcPr>
          <w:p>
            <w:pPr>
              <w:spacing w:after="0"/>
              <w:rPr>
                <w:sz w:val="20"/>
                <w:szCs w:val="20"/>
                <w:color w:val="auto"/>
              </w:rPr>
            </w:pPr>
          </w:p>
        </w:tc>
        <w:tc>
          <w:tcPr>
            <w:tcW w:w="3640" w:type="dxa"/>
            <w:vAlign w:val="bottom"/>
            <w:tcBorders>
              <w:bottom w:val="single" w:sz="8" w:color="auto"/>
              <w:right w:val="single" w:sz="8" w:color="auto"/>
            </w:tcBorders>
            <w:vMerge w:val="continue"/>
            <w:shd w:val="clear" w:color="auto" w:fill="82828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Washington Middle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 Webster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DG-CS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DG-CS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DG-CS Master Borrower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2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3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4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Fund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Fund 2 HoldCo A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Fund 2 HoldCo 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Fund 2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Fund 4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Fund 4 Sub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DGPV Holding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Dodge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Eagle View Acres Wind Farm,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Eastman Street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ECP Uptown Campus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ECP Uptown Campus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ECP Uptown Campus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 Mirage Energy,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Arizona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El Segundo Energy Center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Elbow Creek Repowering Tax Equity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Elbow Creek Wind Project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Texas</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Electricity Sales Princeton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Elk Lake Wind Farm,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Elkhorn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Elkhorn Ridge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Baltimore Medical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Caguas East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Puerto Rico</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Caguas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Caguas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Caguas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Puerto Rico</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Cajuhu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Puerto Rico</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Fajardo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Fajardo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Fajardo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Puerto Rico</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Harrisburg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HCEC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Honolulu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180"/>
          </w:cols>
          <w:pgMar w:left="400" w:top="170" w:right="319" w:bottom="1440" w:gutter="0" w:footer="0" w:header="0"/>
        </w:sectPr>
      </w:pPr>
    </w:p>
    <w:bookmarkStart w:id="159" w:name="page160"/>
    <w:bookmarkEnd w:id="159"/>
    <w:p>
      <w:pPr>
        <w:ind w:left="9940"/>
        <w:spacing w:after="0"/>
        <w:rPr>
          <w:sz w:val="20"/>
          <w:szCs w:val="20"/>
          <w:color w:val="auto"/>
        </w:rPr>
      </w:pPr>
      <w:r>
        <w:rPr>
          <w:rFonts w:ascii="Arial" w:cs="Arial" w:eastAsia="Arial" w:hAnsi="Arial"/>
          <w:sz w:val="20"/>
          <w:szCs w:val="20"/>
          <w:b w:val="1"/>
          <w:bCs w:val="1"/>
          <w:color w:val="auto"/>
        </w:rPr>
        <w:t>EXHIBIT 21.1</w:t>
      </w:r>
    </w:p>
    <w:p>
      <w:pPr>
        <w:spacing w:after="0" w:line="6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7160" w:type="dxa"/>
            <w:vAlign w:val="bottom"/>
            <w:tcBorders>
              <w:top w:val="single" w:sz="8" w:color="828282"/>
              <w:left w:val="single" w:sz="8" w:color="auto"/>
              <w:bottom w:val="single" w:sz="8" w:color="auto"/>
              <w:right w:val="single" w:sz="8" w:color="auto"/>
            </w:tcBorders>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top w:val="single" w:sz="8" w:color="828282"/>
              <w:bottom w:val="single" w:sz="8" w:color="auto"/>
              <w:right w:val="single" w:sz="8" w:color="auto"/>
            </w:tcBorders>
            <w:shd w:val="clear" w:color="auto" w:fill="828282"/>
          </w:tcPr>
          <w:p>
            <w:pPr>
              <w:spacing w:after="0"/>
              <w:rPr>
                <w:sz w:val="22"/>
                <w:szCs w:val="22"/>
                <w:color w:val="auto"/>
              </w:rPr>
            </w:pPr>
          </w:p>
        </w:tc>
        <w:tc>
          <w:tcPr>
            <w:tcW w:w="3640" w:type="dxa"/>
            <w:vAlign w:val="bottom"/>
            <w:tcBorders>
              <w:top w:val="single" w:sz="8" w:color="828282"/>
              <w:bottom w:val="single" w:sz="8" w:color="auto"/>
              <w:right w:val="single" w:sz="8" w:color="auto"/>
            </w:tcBorders>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Honolulu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Honolulu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Minneapolis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Omaha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Omaha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Paxton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Phoenix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Pittsburgh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Princeton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San Diego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San Francisco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Tucson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Enterprise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Escalante Solar 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Escalante Solar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Escalante Solar III,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ETCAP NES CS MN 02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ETCAP NES CS MN 06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Farmington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Federal Road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Forest Lake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Forward WindPower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Four Brothers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Four Brothers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Frontenac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Fuel Cell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FUSD Energy,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Arizona</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GCE Holding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Connecticut</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GenConn Devon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Connecticut</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GenConn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Connecticut</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GenConn Middletown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Connecticut</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Goat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Texas</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Golden Fields Solar III,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Golden Puma Fund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Grabinski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Granite Mountain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Granite Mountain Renewables,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Granite Mountain Solar East,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Granite Mountain Solar West,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Green Prairie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Greene Wind Energy,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Hardin Hilltop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bl>
    <w:p>
      <w:pPr>
        <w:sectPr>
          <w:pgSz w:w="11900" w:h="16838" w:orient="portrait"/>
          <w:cols w:equalWidth="0" w:num="1">
            <w:col w:w="11180"/>
          </w:cols>
          <w:pgMar w:left="400" w:top="170" w:right="319" w:bottom="1440" w:gutter="0" w:footer="0" w:header="0"/>
        </w:sectPr>
      </w:pPr>
    </w:p>
    <w:bookmarkStart w:id="160" w:name="page161"/>
    <w:bookmarkEnd w:id="160"/>
    <w:p>
      <w:pPr>
        <w:ind w:left="9940"/>
        <w:spacing w:after="0"/>
        <w:rPr>
          <w:sz w:val="20"/>
          <w:szCs w:val="20"/>
          <w:color w:val="auto"/>
        </w:rPr>
      </w:pPr>
      <w:r>
        <w:rPr>
          <w:rFonts w:ascii="Arial" w:cs="Arial" w:eastAsia="Arial" w:hAnsi="Arial"/>
          <w:sz w:val="20"/>
          <w:szCs w:val="20"/>
          <w:b w:val="1"/>
          <w:bCs w:val="1"/>
          <w:color w:val="auto"/>
        </w:rPr>
        <w:t>EXHIBIT 21.1</w:t>
      </w:r>
    </w:p>
    <w:p>
      <w:pPr>
        <w:spacing w:after="0" w:line="6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7160" w:type="dxa"/>
            <w:vAlign w:val="bottom"/>
            <w:tcBorders>
              <w:top w:val="single" w:sz="8" w:color="828282"/>
              <w:left w:val="single" w:sz="8" w:color="auto"/>
              <w:bottom w:val="single" w:sz="8" w:color="auto"/>
              <w:right w:val="single" w:sz="8" w:color="auto"/>
            </w:tcBorders>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top w:val="single" w:sz="8" w:color="828282"/>
              <w:bottom w:val="single" w:sz="8" w:color="auto"/>
              <w:right w:val="single" w:sz="8" w:color="auto"/>
            </w:tcBorders>
            <w:shd w:val="clear" w:color="auto" w:fill="828282"/>
          </w:tcPr>
          <w:p>
            <w:pPr>
              <w:spacing w:after="0"/>
              <w:rPr>
                <w:sz w:val="22"/>
                <w:szCs w:val="22"/>
                <w:color w:val="auto"/>
              </w:rPr>
            </w:pPr>
          </w:p>
        </w:tc>
        <w:tc>
          <w:tcPr>
            <w:tcW w:w="3640" w:type="dxa"/>
            <w:vAlign w:val="bottom"/>
            <w:tcBorders>
              <w:top w:val="single" w:sz="8" w:color="828282"/>
              <w:bottom w:val="single" w:sz="8" w:color="auto"/>
              <w:right w:val="single" w:sz="8" w:color="auto"/>
            </w:tcBorders>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Hardin Wind Energy,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Harrisburg Cooling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High Plains Ranch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Highland Township Wind Farm,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HLE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HSD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California</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Huntington Beach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Hwy 14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Iron Springs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Iron Springs Renewables,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Iron Springs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Kawailoa Renewables,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Kawailoa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Kawailoa Solar Portfolio,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Kawailoa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Langford Class B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Langford Holding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Langford Tax Equity Partnership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Langford Wind Power,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Texas</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Lanikuhana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Hawaii</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Laredo Ridge Wind,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Lenape II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Lighthouse Renewable Class A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Lighthouse Renewable Holdco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Lighthouse Renewable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Lighthouse Renewable Holding Sub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Lighthouse Renewable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Lindberg Field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Lindberg Field Solar 2,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Longhorn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Lookout WindPower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Mapleton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Marsh Landing Holdco</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Marsh Landing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Marsh Landing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MC1 Solar Farm,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North Carolina</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Mesquite Sky Class B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Mesquite Sky Holding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Mesquite Sky TE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Mesquite Star Class B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Mesquite Star Special,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Mesquite Star Tax Equity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180"/>
          </w:cols>
          <w:pgMar w:left="400" w:top="170" w:right="319" w:bottom="1440" w:gutter="0" w:footer="0" w:header="0"/>
        </w:sectPr>
      </w:pPr>
    </w:p>
    <w:bookmarkStart w:id="161" w:name="page162"/>
    <w:bookmarkEnd w:id="161"/>
    <w:p>
      <w:pPr>
        <w:ind w:left="9940"/>
        <w:spacing w:after="0"/>
        <w:rPr>
          <w:sz w:val="20"/>
          <w:szCs w:val="20"/>
          <w:color w:val="auto"/>
        </w:rPr>
      </w:pPr>
      <w:r>
        <w:rPr>
          <w:rFonts w:ascii="Arial" w:cs="Arial" w:eastAsia="Arial" w:hAnsi="Arial"/>
          <w:sz w:val="20"/>
          <w:szCs w:val="20"/>
          <w:b w:val="1"/>
          <w:bCs w:val="1"/>
          <w:color w:val="auto"/>
        </w:rPr>
        <w:t>EXHIBIT 21.1</w:t>
      </w:r>
    </w:p>
    <w:p>
      <w:pPr>
        <w:spacing w:after="0" w:line="6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7160" w:type="dxa"/>
            <w:vAlign w:val="bottom"/>
            <w:tcBorders>
              <w:left w:val="single" w:sz="8" w:color="auto"/>
              <w:right w:val="single" w:sz="8" w:color="auto"/>
            </w:tcBorders>
            <w:vMerge w:val="restart"/>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right w:val="single" w:sz="8" w:color="auto"/>
            </w:tcBorders>
            <w:shd w:val="clear" w:color="auto" w:fill="828282"/>
          </w:tcPr>
          <w:p>
            <w:pPr>
              <w:spacing w:after="0" w:line="20" w:lineRule="exact"/>
              <w:rPr>
                <w:sz w:val="1"/>
                <w:szCs w:val="1"/>
                <w:color w:val="auto"/>
              </w:rPr>
            </w:pPr>
          </w:p>
        </w:tc>
        <w:tc>
          <w:tcPr>
            <w:tcW w:w="3640" w:type="dxa"/>
            <w:vAlign w:val="bottom"/>
            <w:tcBorders>
              <w:right w:val="single" w:sz="8" w:color="auto"/>
            </w:tcBorders>
            <w:vMerge w:val="restart"/>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c>
          <w:tcPr>
            <w:tcW w:w="0" w:type="dxa"/>
            <w:vAlign w:val="bottom"/>
          </w:tcPr>
          <w:p>
            <w:pPr>
              <w:spacing w:after="0" w:line="20" w:lineRule="exact"/>
              <w:rPr>
                <w:sz w:val="1"/>
                <w:szCs w:val="1"/>
                <w:color w:val="auto"/>
              </w:rPr>
            </w:pPr>
          </w:p>
        </w:tc>
      </w:tr>
      <w:tr>
        <w:trPr>
          <w:trHeight w:val="233"/>
        </w:trPr>
        <w:tc>
          <w:tcPr>
            <w:tcW w:w="7160" w:type="dxa"/>
            <w:vAlign w:val="bottom"/>
            <w:tcBorders>
              <w:left w:val="single" w:sz="8" w:color="auto"/>
              <w:bottom w:val="single" w:sz="8" w:color="auto"/>
              <w:right w:val="single" w:sz="8" w:color="auto"/>
            </w:tcBorders>
            <w:vMerge w:val="continue"/>
            <w:shd w:val="clear" w:color="auto" w:fill="828282"/>
          </w:tcPr>
          <w:p>
            <w:pPr>
              <w:spacing w:after="0"/>
              <w:rPr>
                <w:sz w:val="20"/>
                <w:szCs w:val="20"/>
                <w:color w:val="auto"/>
              </w:rPr>
            </w:pPr>
          </w:p>
        </w:tc>
        <w:tc>
          <w:tcPr>
            <w:tcW w:w="380" w:type="dxa"/>
            <w:vAlign w:val="bottom"/>
            <w:tcBorders>
              <w:bottom w:val="single" w:sz="8" w:color="auto"/>
              <w:right w:val="single" w:sz="8" w:color="auto"/>
            </w:tcBorders>
            <w:shd w:val="clear" w:color="auto" w:fill="828282"/>
          </w:tcPr>
          <w:p>
            <w:pPr>
              <w:spacing w:after="0"/>
              <w:rPr>
                <w:sz w:val="20"/>
                <w:szCs w:val="20"/>
                <w:color w:val="auto"/>
              </w:rPr>
            </w:pPr>
          </w:p>
        </w:tc>
        <w:tc>
          <w:tcPr>
            <w:tcW w:w="3640" w:type="dxa"/>
            <w:vAlign w:val="bottom"/>
            <w:tcBorders>
              <w:bottom w:val="single" w:sz="8" w:color="auto"/>
              <w:right w:val="single" w:sz="8" w:color="auto"/>
            </w:tcBorders>
            <w:vMerge w:val="continue"/>
            <w:shd w:val="clear" w:color="auto" w:fill="82828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Minisink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Minisink Solar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Mission Iowa Wind,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Minnesota Wind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Mission Wind Laredo,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Wind New Mexico,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Mission Wind Oklahoma,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Wind PA One,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Mission Wind PA Three,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Wind PA Two,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Mission Wind Pennsylvania,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Mission Wind Utah,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Monster Energy,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Arizona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Montevideo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Mount Hope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Natural Gas Repowering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NedPower Mount Storm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New Munich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NIMH Solar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NIMH Solar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NIMH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Northfield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NS Smith,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Oahu Renewables,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Oahu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Oahu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OC Solar 2010,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Ocotillo Windpower Holdco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Ocotillo Windpower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Ocotillo Windpower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Ocotillo Windpower, LP</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Odin Wind Farm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Old Westminster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Old Westminster Solar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Olinda Trail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Osakis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OWF Eight,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Minnesota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OWF Five,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OWF Four,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Minnesota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OWF One,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OWF Seven,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Minnesota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OWF Six,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c>
          <w:tcPr>
            <w:tcW w:w="0" w:type="dxa"/>
            <w:vAlign w:val="bottom"/>
          </w:tcPr>
          <w:p>
            <w:pPr>
              <w:spacing w:after="0"/>
              <w:rPr>
                <w:sz w:val="1"/>
                <w:szCs w:val="1"/>
                <w:color w:val="auto"/>
              </w:rPr>
            </w:pPr>
          </w:p>
        </w:tc>
      </w:tr>
    </w:tbl>
    <w:p>
      <w:pPr>
        <w:sectPr>
          <w:pgSz w:w="11900" w:h="16838" w:orient="portrait"/>
          <w:cols w:equalWidth="0" w:num="1">
            <w:col w:w="11180"/>
          </w:cols>
          <w:pgMar w:left="400" w:top="170" w:right="319" w:bottom="1440" w:gutter="0" w:footer="0" w:header="0"/>
        </w:sectPr>
      </w:pPr>
    </w:p>
    <w:bookmarkStart w:id="162" w:name="page163"/>
    <w:bookmarkEnd w:id="162"/>
    <w:p>
      <w:pPr>
        <w:ind w:left="9940"/>
        <w:spacing w:after="0"/>
        <w:rPr>
          <w:sz w:val="20"/>
          <w:szCs w:val="20"/>
          <w:color w:val="auto"/>
        </w:rPr>
      </w:pPr>
      <w:r>
        <w:rPr>
          <w:rFonts w:ascii="Arial" w:cs="Arial" w:eastAsia="Arial" w:hAnsi="Arial"/>
          <w:sz w:val="20"/>
          <w:szCs w:val="20"/>
          <w:b w:val="1"/>
          <w:bCs w:val="1"/>
          <w:color w:val="auto"/>
        </w:rPr>
        <w:t>EXHIBIT 21.1</w:t>
      </w:r>
    </w:p>
    <w:p>
      <w:pPr>
        <w:spacing w:after="0" w:line="6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7160" w:type="dxa"/>
            <w:vAlign w:val="bottom"/>
            <w:tcBorders>
              <w:left w:val="single" w:sz="8" w:color="auto"/>
              <w:right w:val="single" w:sz="8" w:color="auto"/>
            </w:tcBorders>
            <w:vMerge w:val="restart"/>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right w:val="single" w:sz="8" w:color="auto"/>
            </w:tcBorders>
            <w:shd w:val="clear" w:color="auto" w:fill="828282"/>
          </w:tcPr>
          <w:p>
            <w:pPr>
              <w:spacing w:after="0" w:line="20" w:lineRule="exact"/>
              <w:rPr>
                <w:sz w:val="1"/>
                <w:szCs w:val="1"/>
                <w:color w:val="auto"/>
              </w:rPr>
            </w:pPr>
          </w:p>
        </w:tc>
        <w:tc>
          <w:tcPr>
            <w:tcW w:w="3640" w:type="dxa"/>
            <w:vAlign w:val="bottom"/>
            <w:tcBorders>
              <w:right w:val="single" w:sz="8" w:color="auto"/>
            </w:tcBorders>
            <w:vMerge w:val="restart"/>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c>
          <w:tcPr>
            <w:tcW w:w="0" w:type="dxa"/>
            <w:vAlign w:val="bottom"/>
          </w:tcPr>
          <w:p>
            <w:pPr>
              <w:spacing w:after="0" w:line="20" w:lineRule="exact"/>
              <w:rPr>
                <w:sz w:val="1"/>
                <w:szCs w:val="1"/>
                <w:color w:val="auto"/>
              </w:rPr>
            </w:pPr>
          </w:p>
        </w:tc>
      </w:tr>
      <w:tr>
        <w:trPr>
          <w:trHeight w:val="233"/>
        </w:trPr>
        <w:tc>
          <w:tcPr>
            <w:tcW w:w="7160" w:type="dxa"/>
            <w:vAlign w:val="bottom"/>
            <w:tcBorders>
              <w:left w:val="single" w:sz="8" w:color="auto"/>
              <w:bottom w:val="single" w:sz="8" w:color="auto"/>
              <w:right w:val="single" w:sz="8" w:color="auto"/>
            </w:tcBorders>
            <w:vMerge w:val="continue"/>
            <w:shd w:val="clear" w:color="auto" w:fill="828282"/>
          </w:tcPr>
          <w:p>
            <w:pPr>
              <w:spacing w:after="0"/>
              <w:rPr>
                <w:sz w:val="20"/>
                <w:szCs w:val="20"/>
                <w:color w:val="auto"/>
              </w:rPr>
            </w:pPr>
          </w:p>
        </w:tc>
        <w:tc>
          <w:tcPr>
            <w:tcW w:w="380" w:type="dxa"/>
            <w:vAlign w:val="bottom"/>
            <w:tcBorders>
              <w:bottom w:val="single" w:sz="8" w:color="auto"/>
              <w:right w:val="single" w:sz="8" w:color="auto"/>
            </w:tcBorders>
            <w:shd w:val="clear" w:color="auto" w:fill="828282"/>
          </w:tcPr>
          <w:p>
            <w:pPr>
              <w:spacing w:after="0"/>
              <w:rPr>
                <w:sz w:val="20"/>
                <w:szCs w:val="20"/>
                <w:color w:val="auto"/>
              </w:rPr>
            </w:pPr>
          </w:p>
        </w:tc>
        <w:tc>
          <w:tcPr>
            <w:tcW w:w="3640" w:type="dxa"/>
            <w:vAlign w:val="bottom"/>
            <w:tcBorders>
              <w:bottom w:val="single" w:sz="8" w:color="auto"/>
              <w:right w:val="single" w:sz="8" w:color="auto"/>
            </w:tcBorders>
            <w:vMerge w:val="continue"/>
            <w:shd w:val="clear" w:color="auto" w:fill="82828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OWF Three,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Minnesota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OWF Two,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Minnesota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Palo Alto County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Partridgeville Road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PC Dinuba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PESD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Pikes Peak Solar Garden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Colorado</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Pine Island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Pinnacle Repowering Partnership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Pinnacle Repowering Partnership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Pinnacle Repowering Tax Equity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Pinnacle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PM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Pond Road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Portfolio Solar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Poverty Ridge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Puma Class B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Rattlesnake Class 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Rattlesnake Flat,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Rattlesnake TE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Redbrook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Renew Canal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Renew Solar CS4 Class B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Renew Solar CS4 Fund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Renew Spark 2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Repowering Partnership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Repowering Partnership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Rollingstone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Rosamond Solar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Rosamond Solar Investment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Rosie Class B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Rosie Project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Rosie TargetCo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Rosie TE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Rounseville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RPV Holding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San Juan Mesa Investments,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San Juan Mesa Wind Project,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Sand Drag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Sartell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SCDA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SCWFD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c>
          <w:tcPr>
            <w:tcW w:w="0" w:type="dxa"/>
            <w:vAlign w:val="bottom"/>
          </w:tcPr>
          <w:p>
            <w:pPr>
              <w:spacing w:after="0"/>
              <w:rPr>
                <w:sz w:val="1"/>
                <w:szCs w:val="1"/>
                <w:color w:val="auto"/>
              </w:rPr>
            </w:pPr>
          </w:p>
        </w:tc>
      </w:tr>
    </w:tbl>
    <w:p>
      <w:pPr>
        <w:sectPr>
          <w:pgSz w:w="11900" w:h="16838" w:orient="portrait"/>
          <w:cols w:equalWidth="0" w:num="1">
            <w:col w:w="11180"/>
          </w:cols>
          <w:pgMar w:left="400" w:top="170" w:right="319" w:bottom="1440" w:gutter="0" w:footer="0" w:header="0"/>
        </w:sectPr>
      </w:pPr>
    </w:p>
    <w:bookmarkStart w:id="163" w:name="page164"/>
    <w:bookmarkEnd w:id="163"/>
    <w:p>
      <w:pPr>
        <w:ind w:left="9940"/>
        <w:spacing w:after="0"/>
        <w:rPr>
          <w:sz w:val="20"/>
          <w:szCs w:val="20"/>
          <w:color w:val="auto"/>
        </w:rPr>
      </w:pPr>
      <w:r>
        <w:rPr>
          <w:rFonts w:ascii="Arial" w:cs="Arial" w:eastAsia="Arial" w:hAnsi="Arial"/>
          <w:sz w:val="20"/>
          <w:szCs w:val="20"/>
          <w:b w:val="1"/>
          <w:bCs w:val="1"/>
          <w:color w:val="auto"/>
        </w:rPr>
        <w:t>EXHIBIT 21.1</w:t>
      </w:r>
    </w:p>
    <w:p>
      <w:pPr>
        <w:spacing w:after="0" w:line="6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7160" w:type="dxa"/>
            <w:vAlign w:val="bottom"/>
            <w:tcBorders>
              <w:left w:val="single" w:sz="8" w:color="auto"/>
              <w:right w:val="single" w:sz="8" w:color="auto"/>
            </w:tcBorders>
            <w:vMerge w:val="restart"/>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right w:val="single" w:sz="8" w:color="auto"/>
            </w:tcBorders>
            <w:shd w:val="clear" w:color="auto" w:fill="828282"/>
          </w:tcPr>
          <w:p>
            <w:pPr>
              <w:spacing w:after="0" w:line="20" w:lineRule="exact"/>
              <w:rPr>
                <w:sz w:val="1"/>
                <w:szCs w:val="1"/>
                <w:color w:val="auto"/>
              </w:rPr>
            </w:pPr>
          </w:p>
        </w:tc>
        <w:tc>
          <w:tcPr>
            <w:tcW w:w="3640" w:type="dxa"/>
            <w:vAlign w:val="bottom"/>
            <w:tcBorders>
              <w:right w:val="single" w:sz="8" w:color="auto"/>
            </w:tcBorders>
            <w:vMerge w:val="restart"/>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c>
          <w:tcPr>
            <w:tcW w:w="0" w:type="dxa"/>
            <w:vAlign w:val="bottom"/>
          </w:tcPr>
          <w:p>
            <w:pPr>
              <w:spacing w:after="0" w:line="20" w:lineRule="exact"/>
              <w:rPr>
                <w:sz w:val="1"/>
                <w:szCs w:val="1"/>
                <w:color w:val="auto"/>
              </w:rPr>
            </w:pPr>
          </w:p>
        </w:tc>
      </w:tr>
      <w:tr>
        <w:trPr>
          <w:trHeight w:val="233"/>
        </w:trPr>
        <w:tc>
          <w:tcPr>
            <w:tcW w:w="7160" w:type="dxa"/>
            <w:vAlign w:val="bottom"/>
            <w:tcBorders>
              <w:left w:val="single" w:sz="8" w:color="auto"/>
              <w:bottom w:val="single" w:sz="8" w:color="auto"/>
              <w:right w:val="single" w:sz="8" w:color="auto"/>
            </w:tcBorders>
            <w:vMerge w:val="continue"/>
            <w:shd w:val="clear" w:color="auto" w:fill="828282"/>
          </w:tcPr>
          <w:p>
            <w:pPr>
              <w:spacing w:after="0"/>
              <w:rPr>
                <w:sz w:val="20"/>
                <w:szCs w:val="20"/>
                <w:color w:val="auto"/>
              </w:rPr>
            </w:pPr>
          </w:p>
        </w:tc>
        <w:tc>
          <w:tcPr>
            <w:tcW w:w="380" w:type="dxa"/>
            <w:vAlign w:val="bottom"/>
            <w:tcBorders>
              <w:bottom w:val="single" w:sz="8" w:color="auto"/>
              <w:right w:val="single" w:sz="8" w:color="auto"/>
            </w:tcBorders>
            <w:shd w:val="clear" w:color="auto" w:fill="828282"/>
          </w:tcPr>
          <w:p>
            <w:pPr>
              <w:spacing w:after="0"/>
              <w:rPr>
                <w:sz w:val="20"/>
                <w:szCs w:val="20"/>
                <w:color w:val="auto"/>
              </w:rPr>
            </w:pPr>
          </w:p>
        </w:tc>
        <w:tc>
          <w:tcPr>
            <w:tcW w:w="3640" w:type="dxa"/>
            <w:vAlign w:val="bottom"/>
            <w:tcBorders>
              <w:bottom w:val="single" w:sz="8" w:color="auto"/>
              <w:right w:val="single" w:sz="8" w:color="auto"/>
            </w:tcBorders>
            <w:vMerge w:val="continue"/>
            <w:shd w:val="clear" w:color="auto" w:fill="82828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Silver Lake Acres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SJA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Sleeping Bear,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Alpine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Apple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AV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Avra Valley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Blythe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Blythe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Borrego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Borrego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Community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Community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CVSR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Flagstaff One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Iguana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Kansas South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Kansas South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Las Vegas MB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Las Vegas MB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Mayfair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Mule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Oasis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Roadrunner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Roadrunner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Tabernacle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Warren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Wauwinet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West Shaft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South Trent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South Trent Wind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Spanish Fork Wind Park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Utah</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Asset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SPP Fund II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Fund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SPP Fund II-B,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Fund III,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SPP Lease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P-IV Master Lessee,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Spring Canyon Energy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Spring Canyon Energy III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Spring Canyon Expansion Class B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180"/>
          </w:cols>
          <w:pgMar w:left="400" w:top="170" w:right="319" w:bottom="1440" w:gutter="0" w:footer="0" w:header="0"/>
        </w:sectPr>
      </w:pPr>
    </w:p>
    <w:bookmarkStart w:id="164" w:name="page165"/>
    <w:bookmarkEnd w:id="164"/>
    <w:p>
      <w:pPr>
        <w:ind w:left="9940"/>
        <w:spacing w:after="0"/>
        <w:rPr>
          <w:sz w:val="20"/>
          <w:szCs w:val="20"/>
          <w:color w:val="auto"/>
        </w:rPr>
      </w:pPr>
      <w:r>
        <w:rPr>
          <w:rFonts w:ascii="Arial" w:cs="Arial" w:eastAsia="Arial" w:hAnsi="Arial"/>
          <w:sz w:val="20"/>
          <w:szCs w:val="20"/>
          <w:b w:val="1"/>
          <w:bCs w:val="1"/>
          <w:color w:val="auto"/>
        </w:rPr>
        <w:t>EXHIBIT 21.1</w:t>
      </w:r>
    </w:p>
    <w:p>
      <w:pPr>
        <w:spacing w:after="0" w:line="6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7160" w:type="dxa"/>
            <w:vAlign w:val="bottom"/>
            <w:tcBorders>
              <w:left w:val="single" w:sz="8" w:color="auto"/>
              <w:right w:val="single" w:sz="8" w:color="auto"/>
            </w:tcBorders>
            <w:vMerge w:val="restart"/>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right w:val="single" w:sz="8" w:color="auto"/>
            </w:tcBorders>
            <w:shd w:val="clear" w:color="auto" w:fill="828282"/>
          </w:tcPr>
          <w:p>
            <w:pPr>
              <w:spacing w:after="0" w:line="20" w:lineRule="exact"/>
              <w:rPr>
                <w:sz w:val="1"/>
                <w:szCs w:val="1"/>
                <w:color w:val="auto"/>
              </w:rPr>
            </w:pPr>
          </w:p>
        </w:tc>
        <w:tc>
          <w:tcPr>
            <w:tcW w:w="3640" w:type="dxa"/>
            <w:vAlign w:val="bottom"/>
            <w:tcBorders>
              <w:right w:val="single" w:sz="8" w:color="auto"/>
            </w:tcBorders>
            <w:vMerge w:val="restart"/>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c>
          <w:tcPr>
            <w:tcW w:w="0" w:type="dxa"/>
            <w:vAlign w:val="bottom"/>
          </w:tcPr>
          <w:p>
            <w:pPr>
              <w:spacing w:after="0" w:line="20" w:lineRule="exact"/>
              <w:rPr>
                <w:sz w:val="1"/>
                <w:szCs w:val="1"/>
                <w:color w:val="auto"/>
              </w:rPr>
            </w:pPr>
          </w:p>
        </w:tc>
      </w:tr>
      <w:tr>
        <w:trPr>
          <w:trHeight w:val="233"/>
        </w:trPr>
        <w:tc>
          <w:tcPr>
            <w:tcW w:w="7160" w:type="dxa"/>
            <w:vAlign w:val="bottom"/>
            <w:tcBorders>
              <w:left w:val="single" w:sz="8" w:color="auto"/>
              <w:bottom w:val="single" w:sz="8" w:color="auto"/>
              <w:right w:val="single" w:sz="8" w:color="auto"/>
            </w:tcBorders>
            <w:vMerge w:val="continue"/>
            <w:shd w:val="clear" w:color="auto" w:fill="828282"/>
          </w:tcPr>
          <w:p>
            <w:pPr>
              <w:spacing w:after="0"/>
              <w:rPr>
                <w:sz w:val="20"/>
                <w:szCs w:val="20"/>
                <w:color w:val="auto"/>
              </w:rPr>
            </w:pPr>
          </w:p>
        </w:tc>
        <w:tc>
          <w:tcPr>
            <w:tcW w:w="380" w:type="dxa"/>
            <w:vAlign w:val="bottom"/>
            <w:tcBorders>
              <w:bottom w:val="single" w:sz="8" w:color="auto"/>
              <w:right w:val="single" w:sz="8" w:color="auto"/>
            </w:tcBorders>
            <w:shd w:val="clear" w:color="auto" w:fill="828282"/>
          </w:tcPr>
          <w:p>
            <w:pPr>
              <w:spacing w:after="0"/>
              <w:rPr>
                <w:sz w:val="20"/>
                <w:szCs w:val="20"/>
                <w:color w:val="auto"/>
              </w:rPr>
            </w:pPr>
          </w:p>
        </w:tc>
        <w:tc>
          <w:tcPr>
            <w:tcW w:w="3640" w:type="dxa"/>
            <w:vAlign w:val="bottom"/>
            <w:tcBorders>
              <w:bottom w:val="single" w:sz="8" w:color="auto"/>
              <w:right w:val="single" w:sz="8" w:color="auto"/>
            </w:tcBorders>
            <w:vMerge w:val="continue"/>
            <w:shd w:val="clear" w:color="auto" w:fill="82828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Spring Canyon Expansion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Spring Canyon Expansion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Spring Canyon Interconnection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Spring Street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Stafford St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Stafford St Solar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Stafford St Solar 3,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Statoil Energy Power/Pennsylvania, Inc.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Pennsylvania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Stearns Solar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Steel Bridge Solar,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Sun City Project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Sunrise View Wind Farm,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Sunset View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Sutton Wind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 - High Desert,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Taloga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Oklahoma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Tapestry Wind,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Canada Infrastructure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Thermal Canada Infrastructure 1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Hawaii Development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Thermal Hawaii Development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Hawaii Development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Thermal Infrastructure Development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Topeka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TOS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TOS Solar 2,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TOS Solar 4,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TOS Solar 5,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Tully Farms Solar 1,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UB Fuel Cell,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Connecticut</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Underhill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Utah Solar Holdings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Utah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Utah Solar Master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Utah Solar Master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Vail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Viento Funding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Viento Funding,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Virgin Lake Wind Farm,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Wabasha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Wabasha Solar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Wabasha Solar III LLC</w:t>
            </w:r>
          </w:p>
        </w:tc>
        <w:tc>
          <w:tcPr>
            <w:tcW w:w="380" w:type="dxa"/>
            <w:vAlign w:val="bottom"/>
            <w:tcBorders>
              <w:right w:val="single" w:sz="8" w:color="auto"/>
            </w:tcBorders>
            <w:shd w:val="clear" w:color="auto" w:fill="CCEEFF"/>
          </w:tcPr>
          <w:p>
            <w:pPr>
              <w:spacing w:after="0"/>
              <w:rPr>
                <w:sz w:val="20"/>
                <w:szCs w:val="20"/>
                <w:color w:val="auto"/>
              </w:rPr>
            </w:pPr>
          </w:p>
        </w:tc>
        <w:tc>
          <w:tcPr>
            <w:tcW w:w="36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180"/>
          </w:cols>
          <w:pgMar w:left="400" w:top="170" w:right="319" w:bottom="1440" w:gutter="0" w:footer="0" w:header="0"/>
        </w:sectPr>
      </w:pPr>
    </w:p>
    <w:bookmarkStart w:id="165" w:name="page166"/>
    <w:bookmarkEnd w:id="165"/>
    <w:p>
      <w:pPr>
        <w:ind w:left="9940"/>
        <w:spacing w:after="0"/>
        <w:rPr>
          <w:sz w:val="20"/>
          <w:szCs w:val="20"/>
          <w:color w:val="auto"/>
        </w:rPr>
      </w:pPr>
      <w:r>
        <w:rPr>
          <w:rFonts w:ascii="Arial" w:cs="Arial" w:eastAsia="Arial" w:hAnsi="Arial"/>
          <w:sz w:val="20"/>
          <w:szCs w:val="20"/>
          <w:b w:val="1"/>
          <w:bCs w:val="1"/>
          <w:color w:val="auto"/>
        </w:rPr>
        <w:t>EXHIBIT 21.1</w:t>
      </w:r>
    </w:p>
    <w:p>
      <w:pPr>
        <w:spacing w:after="0" w:line="6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SUBSIDIARIES OF CLEARWAY ENERGY,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7160" w:type="dxa"/>
            <w:vAlign w:val="bottom"/>
            <w:tcBorders>
              <w:left w:val="single" w:sz="8" w:color="auto"/>
              <w:right w:val="single" w:sz="8" w:color="auto"/>
            </w:tcBorders>
            <w:vMerge w:val="restart"/>
            <w:shd w:val="clear" w:color="auto" w:fill="828282"/>
          </w:tcPr>
          <w:p>
            <w:pPr>
              <w:ind w:left="40"/>
              <w:spacing w:after="0"/>
              <w:rPr>
                <w:sz w:val="20"/>
                <w:szCs w:val="20"/>
                <w:color w:val="auto"/>
              </w:rPr>
            </w:pPr>
            <w:r>
              <w:rPr>
                <w:rFonts w:ascii="Arial" w:cs="Arial" w:eastAsia="Arial" w:hAnsi="Arial"/>
                <w:sz w:val="20"/>
                <w:szCs w:val="20"/>
                <w:b w:val="1"/>
                <w:bCs w:val="1"/>
                <w:color w:val="auto"/>
              </w:rPr>
              <w:t>Entity Name</w:t>
            </w:r>
          </w:p>
        </w:tc>
        <w:tc>
          <w:tcPr>
            <w:tcW w:w="380" w:type="dxa"/>
            <w:vAlign w:val="bottom"/>
            <w:tcBorders>
              <w:right w:val="single" w:sz="8" w:color="auto"/>
            </w:tcBorders>
            <w:shd w:val="clear" w:color="auto" w:fill="828282"/>
          </w:tcPr>
          <w:p>
            <w:pPr>
              <w:spacing w:after="0" w:line="20" w:lineRule="exact"/>
              <w:rPr>
                <w:sz w:val="1"/>
                <w:szCs w:val="1"/>
                <w:color w:val="auto"/>
              </w:rPr>
            </w:pPr>
          </w:p>
        </w:tc>
        <w:tc>
          <w:tcPr>
            <w:tcW w:w="3640" w:type="dxa"/>
            <w:vAlign w:val="bottom"/>
            <w:tcBorders>
              <w:right w:val="single" w:sz="8" w:color="auto"/>
            </w:tcBorders>
            <w:vMerge w:val="restart"/>
            <w:shd w:val="clear" w:color="auto" w:fill="828282"/>
          </w:tcPr>
          <w:p>
            <w:pPr>
              <w:ind w:left="20"/>
              <w:spacing w:after="0"/>
              <w:rPr>
                <w:sz w:val="20"/>
                <w:szCs w:val="20"/>
                <w:color w:val="auto"/>
              </w:rPr>
            </w:pPr>
            <w:r>
              <w:rPr>
                <w:rFonts w:ascii="Arial" w:cs="Arial" w:eastAsia="Arial" w:hAnsi="Arial"/>
                <w:sz w:val="20"/>
                <w:szCs w:val="20"/>
                <w:b w:val="1"/>
                <w:bCs w:val="1"/>
                <w:color w:val="auto"/>
              </w:rPr>
              <w:t>Jurisdiction</w:t>
            </w:r>
          </w:p>
        </w:tc>
        <w:tc>
          <w:tcPr>
            <w:tcW w:w="0" w:type="dxa"/>
            <w:vAlign w:val="bottom"/>
          </w:tcPr>
          <w:p>
            <w:pPr>
              <w:spacing w:after="0" w:line="20" w:lineRule="exact"/>
              <w:rPr>
                <w:sz w:val="1"/>
                <w:szCs w:val="1"/>
                <w:color w:val="auto"/>
              </w:rPr>
            </w:pPr>
          </w:p>
        </w:tc>
      </w:tr>
      <w:tr>
        <w:trPr>
          <w:trHeight w:val="233"/>
        </w:trPr>
        <w:tc>
          <w:tcPr>
            <w:tcW w:w="7160" w:type="dxa"/>
            <w:vAlign w:val="bottom"/>
            <w:tcBorders>
              <w:left w:val="single" w:sz="8" w:color="auto"/>
              <w:right w:val="single" w:sz="8" w:color="auto"/>
            </w:tcBorders>
            <w:vMerge w:val="continue"/>
            <w:shd w:val="clear" w:color="auto" w:fill="828282"/>
          </w:tcPr>
          <w:p>
            <w:pPr>
              <w:spacing w:after="0"/>
              <w:rPr>
                <w:sz w:val="20"/>
                <w:szCs w:val="20"/>
                <w:color w:val="auto"/>
              </w:rPr>
            </w:pPr>
          </w:p>
        </w:tc>
        <w:tc>
          <w:tcPr>
            <w:tcW w:w="380" w:type="dxa"/>
            <w:vAlign w:val="bottom"/>
            <w:tcBorders>
              <w:right w:val="single" w:sz="8" w:color="auto"/>
            </w:tcBorders>
            <w:shd w:val="clear" w:color="auto" w:fill="828282"/>
          </w:tcPr>
          <w:p>
            <w:pPr>
              <w:spacing w:after="0"/>
              <w:rPr>
                <w:sz w:val="20"/>
                <w:szCs w:val="20"/>
                <w:color w:val="auto"/>
              </w:rPr>
            </w:pPr>
          </w:p>
        </w:tc>
        <w:tc>
          <w:tcPr>
            <w:tcW w:w="3640" w:type="dxa"/>
            <w:vAlign w:val="bottom"/>
            <w:tcBorders>
              <w:right w:val="single" w:sz="8" w:color="auto"/>
            </w:tcBorders>
            <w:vMerge w:val="continue"/>
            <w:shd w:val="clear" w:color="auto" w:fill="82828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Wabasha Solar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Waipio PV,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Walnut Creek Energy,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Walnut Creek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Waterford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WCEP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Webster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Wildcat Energy,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Arizona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Wildorado Interconnect,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Texas</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Wildorado Repowering Tax Equity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Wildorado Wind,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Texas</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Wilmarth Lane Solar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Wind Family Turbine,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Iowa</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Wind TE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Winona Solar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Winona Solar II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WSD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WV Wind Holdco LLC</w:t>
            </w:r>
          </w:p>
        </w:tc>
        <w:tc>
          <w:tcPr>
            <w:tcW w:w="380" w:type="dxa"/>
            <w:vAlign w:val="bottom"/>
            <w:tcBorders>
              <w:right w:val="single" w:sz="8" w:color="auto"/>
            </w:tcBorders>
            <w:shd w:val="clear" w:color="auto" w:fill="CCEEFF"/>
          </w:tcPr>
          <w:p>
            <w:pPr>
              <w:spacing w:after="0"/>
              <w:rPr>
                <w:sz w:val="20"/>
                <w:szCs w:val="20"/>
                <w:color w:val="auto"/>
              </w:rPr>
            </w:pPr>
          </w:p>
        </w:tc>
        <w:tc>
          <w:tcPr>
            <w:tcW w:w="36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40"/>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WV Wind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Zephyr Kawailoa Partnership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Zephyr Oahu Partnership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233"/>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Zontos Wind,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Iowa</w:t>
            </w:r>
          </w:p>
        </w:tc>
        <w:tc>
          <w:tcPr>
            <w:tcW w:w="0" w:type="dxa"/>
            <w:vAlign w:val="bottom"/>
          </w:tcPr>
          <w:p>
            <w:pPr>
              <w:spacing w:after="0"/>
              <w:rPr>
                <w:sz w:val="1"/>
                <w:szCs w:val="1"/>
                <w:color w:val="auto"/>
              </w:rPr>
            </w:pPr>
          </w:p>
        </w:tc>
      </w:tr>
    </w:tbl>
    <w:p>
      <w:pPr>
        <w:sectPr>
          <w:pgSz w:w="11900" w:h="16838" w:orient="portrait"/>
          <w:cols w:equalWidth="0" w:num="1">
            <w:col w:w="11180"/>
          </w:cols>
          <w:pgMar w:left="400" w:top="170" w:right="31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7" w:lineRule="exact"/>
        <w:rPr>
          <w:sz w:val="20"/>
          <w:szCs w:val="20"/>
          <w:color w:val="auto"/>
        </w:rPr>
      </w:pPr>
    </w:p>
    <w:p>
      <w:pPr>
        <w:ind w:left="640" w:hanging="250"/>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S-8 No. 333-206061) pertaining to the NRG Yield, Inc. 2013 Equity Incentive Plan,</w:t>
      </w:r>
    </w:p>
    <w:p>
      <w:pPr>
        <w:spacing w:after="0" w:line="48" w:lineRule="exact"/>
        <w:rPr>
          <w:rFonts w:ascii="Arial" w:cs="Arial" w:eastAsia="Arial" w:hAnsi="Arial"/>
          <w:sz w:val="18"/>
          <w:szCs w:val="18"/>
          <w:color w:val="auto"/>
        </w:rPr>
      </w:pPr>
    </w:p>
    <w:p>
      <w:pPr>
        <w:ind w:left="640" w:hanging="250"/>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S-8 No. 333-190071) pertaining to the NRG Yield, Inc. 2013 Equity Incentive Plan,</w:t>
      </w:r>
    </w:p>
    <w:p>
      <w:pPr>
        <w:spacing w:after="0" w:line="59" w:lineRule="exact"/>
        <w:rPr>
          <w:rFonts w:ascii="Arial" w:cs="Arial" w:eastAsia="Arial" w:hAnsi="Arial"/>
          <w:sz w:val="18"/>
          <w:szCs w:val="18"/>
          <w:color w:val="auto"/>
        </w:rPr>
      </w:pPr>
    </w:p>
    <w:p>
      <w:pPr>
        <w:ind w:left="640" w:hanging="250"/>
        <w:spacing w:after="0"/>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Registration Statement (Form S-8 No. 333-255727) pertaining to Clearway Energy, Inc. 2013 Amended and Restated Equity Incentive Plan</w:t>
      </w:r>
    </w:p>
    <w:p>
      <w:pPr>
        <w:spacing w:after="0" w:line="71" w:lineRule="exact"/>
        <w:rPr>
          <w:rFonts w:ascii="Arial" w:cs="Arial" w:eastAsia="Arial" w:hAnsi="Arial"/>
          <w:sz w:val="17"/>
          <w:szCs w:val="17"/>
          <w:color w:val="auto"/>
        </w:rPr>
      </w:pPr>
    </w:p>
    <w:p>
      <w:pPr>
        <w:ind w:left="640" w:hanging="250"/>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S-3 No. 333-241652) of Clearway Energy, Inc.,</w:t>
      </w:r>
    </w:p>
    <w:p>
      <w:pPr>
        <w:spacing w:after="0" w:line="59" w:lineRule="exact"/>
        <w:rPr>
          <w:rFonts w:ascii="Arial" w:cs="Arial" w:eastAsia="Arial" w:hAnsi="Arial"/>
          <w:sz w:val="18"/>
          <w:szCs w:val="18"/>
          <w:color w:val="auto"/>
        </w:rPr>
      </w:pPr>
    </w:p>
    <w:p>
      <w:pPr>
        <w:ind w:left="640" w:hanging="250"/>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S-3 No. 333-224684) of NRG Yield, Inc.,</w:t>
      </w:r>
    </w:p>
    <w:p>
      <w:pPr>
        <w:spacing w:after="0" w:line="59" w:lineRule="exact"/>
        <w:rPr>
          <w:rFonts w:ascii="Arial" w:cs="Arial" w:eastAsia="Arial" w:hAnsi="Arial"/>
          <w:sz w:val="18"/>
          <w:szCs w:val="18"/>
          <w:color w:val="auto"/>
        </w:rPr>
      </w:pPr>
    </w:p>
    <w:p>
      <w:pPr>
        <w:ind w:left="640" w:hanging="250"/>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S-3 No. 333-212096) of NRG Yield, Inc.,</w:t>
      </w:r>
    </w:p>
    <w:p>
      <w:pPr>
        <w:spacing w:after="0" w:line="59" w:lineRule="exact"/>
        <w:rPr>
          <w:rFonts w:ascii="Arial" w:cs="Arial" w:eastAsia="Arial" w:hAnsi="Arial"/>
          <w:sz w:val="18"/>
          <w:szCs w:val="18"/>
          <w:color w:val="auto"/>
        </w:rPr>
      </w:pPr>
    </w:p>
    <w:p>
      <w:pPr>
        <w:ind w:left="640" w:hanging="250"/>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S-3 No. 333-205140) of NRG Yield, Inc., and</w:t>
      </w:r>
    </w:p>
    <w:p>
      <w:pPr>
        <w:spacing w:after="0" w:line="59" w:lineRule="exact"/>
        <w:rPr>
          <w:rFonts w:ascii="Arial" w:cs="Arial" w:eastAsia="Arial" w:hAnsi="Arial"/>
          <w:sz w:val="18"/>
          <w:szCs w:val="18"/>
          <w:color w:val="auto"/>
        </w:rPr>
      </w:pPr>
    </w:p>
    <w:p>
      <w:pPr>
        <w:ind w:left="640" w:hanging="250"/>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S-3 No. 333-204589) of NRG Yield, Inc.</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our reports dated February 25, 2022, with respect to the consolidated financial statements of Clearway Energy, Inc. and the effectiveness of internal control over financial reporting of Clearway Energy, Inc. included in this Annual Report (Form 10-K) of Clearway Energy, Inc. for the year ended December 31, 2021.</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1161"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23.2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152" w:lineRule="exact"/>
        <w:rPr>
          <w:sz w:val="20"/>
          <w:szCs w:val="20"/>
          <w:color w:val="auto"/>
        </w:rPr>
      </w:pPr>
    </w:p>
    <w:p>
      <w:pPr>
        <w:jc w:val="both"/>
        <w:spacing w:after="0" w:line="216" w:lineRule="exact"/>
        <w:rPr>
          <w:sz w:val="20"/>
          <w:szCs w:val="20"/>
          <w:color w:val="auto"/>
        </w:rPr>
      </w:pPr>
      <w:r>
        <w:rPr>
          <w:rFonts w:ascii="Arial" w:cs="Arial" w:eastAsia="Arial" w:hAnsi="Arial"/>
          <w:sz w:val="17"/>
          <w:szCs w:val="17"/>
          <w:color w:val="auto"/>
        </w:rPr>
        <w:t>We consent to the incorporation by reference in the registration statement numbers 333-206061, 333-190071 and 333-255727 on Form S-8, and numbers 333-241652, 333-224684, 333-212096, 333-205140, and 333-204589 on Form S-3 of Clearway Energy, Inc. of our reports dated March 1, 2021, with respect to the consolidated balance sheet of Clearway Energy, Inc. as of December 31, 2020, the related consolidated statements of operations, comprehensive income (loss), stockholders’ equity, and cash flows for each of the years in the two-year period ended December 31, 2020, and the related notes and financial statement schedules “Schedule I - Condensed Financial Information of Registrant” and “Schedule II - Valuation and Qualifying Accounts”, which report appears in the December 31, 2021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Clearway Energy, Inc.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1161"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39" w:lineRule="exact"/>
        <w:rPr>
          <w:sz w:val="20"/>
          <w:szCs w:val="20"/>
          <w:color w:val="auto"/>
        </w:rPr>
      </w:pPr>
    </w:p>
    <w:p>
      <w:pPr>
        <w:ind w:left="640" w:hanging="633"/>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Clearway Energy, Inc.;</w:t>
      </w:r>
    </w:p>
    <w:p>
      <w:pPr>
        <w:spacing w:after="0" w:line="219" w:lineRule="exact"/>
        <w:rPr>
          <w:rFonts w:ascii="Arial" w:cs="Arial" w:eastAsia="Arial" w:hAnsi="Arial"/>
          <w:sz w:val="18"/>
          <w:szCs w:val="18"/>
          <w:color w:val="auto"/>
        </w:rPr>
      </w:pPr>
    </w:p>
    <w:p>
      <w:pPr>
        <w:jc w:val="both"/>
        <w:ind w:left="640" w:hanging="633"/>
        <w:spacing w:after="0" w:line="257"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640" w:hanging="633"/>
        <w:spacing w:after="0" w:line="297" w:lineRule="auto"/>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7"/>
          <w:szCs w:val="17"/>
          <w:color w:val="auto"/>
        </w:rPr>
      </w:pPr>
    </w:p>
    <w:p>
      <w:pPr>
        <w:jc w:val="both"/>
        <w:ind w:left="640" w:hanging="633"/>
        <w:spacing w:after="0" w:line="257"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8"/>
          <w:szCs w:val="18"/>
          <w:color w:val="auto"/>
        </w:rPr>
      </w:pPr>
    </w:p>
    <w:p>
      <w:pPr>
        <w:jc w:val="both"/>
        <w:ind w:left="1280" w:hanging="634"/>
        <w:spacing w:after="0" w:line="257" w:lineRule="auto"/>
        <w:tabs>
          <w:tab w:leader="none" w:pos="1277"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1280" w:hanging="634"/>
        <w:spacing w:after="0" w:line="257" w:lineRule="auto"/>
        <w:tabs>
          <w:tab w:leader="none" w:pos="1274"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1280" w:hanging="634"/>
        <w:spacing w:after="0" w:line="330" w:lineRule="auto"/>
        <w:tabs>
          <w:tab w:leader="none" w:pos="1277"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6"/>
          <w:szCs w:val="16"/>
          <w:color w:val="auto"/>
        </w:rPr>
      </w:pPr>
    </w:p>
    <w:p>
      <w:pPr>
        <w:jc w:val="both"/>
        <w:ind w:left="1280" w:hanging="634"/>
        <w:spacing w:after="0" w:line="257" w:lineRule="auto"/>
        <w:tabs>
          <w:tab w:leader="none" w:pos="1274"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640" w:hanging="633"/>
        <w:spacing w:after="0" w:line="297" w:lineRule="auto"/>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7"/>
          <w:szCs w:val="17"/>
          <w:color w:val="auto"/>
        </w:rPr>
      </w:pPr>
    </w:p>
    <w:p>
      <w:pPr>
        <w:ind w:left="1280" w:hanging="634"/>
        <w:spacing w:after="0" w:line="297" w:lineRule="auto"/>
        <w:tabs>
          <w:tab w:leader="none" w:pos="1277"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7"/>
          <w:szCs w:val="17"/>
          <w:color w:val="auto"/>
        </w:rPr>
      </w:pPr>
    </w:p>
    <w:p>
      <w:pPr>
        <w:ind w:left="1280" w:hanging="634"/>
        <w:spacing w:after="0" w:line="267" w:lineRule="auto"/>
        <w:tabs>
          <w:tab w:leader="none" w:pos="1274"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12065</wp:posOffset>
            </wp:positionV>
            <wp:extent cx="26149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4">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8"/>
          <w:szCs w:val="18"/>
          <w:color w:val="auto"/>
        </w:rPr>
        <w:t>Christopher S. Sotos</w:t>
      </w:r>
    </w:p>
    <w:p>
      <w:pPr>
        <w:ind w:left="5580"/>
        <w:spacing w:after="0" w:line="200" w:lineRule="auto"/>
        <w:rPr>
          <w:sz w:val="20"/>
          <w:szCs w:val="20"/>
          <w:color w:val="auto"/>
        </w:rPr>
      </w:pPr>
      <w:r>
        <w:rPr>
          <w:rFonts w:ascii="Arial" w:cs="Arial" w:eastAsia="Arial" w:hAnsi="Arial"/>
          <w:sz w:val="18"/>
          <w:szCs w:val="18"/>
          <w:i w:val="1"/>
          <w:iCs w:val="1"/>
          <w:color w:val="auto"/>
        </w:rPr>
        <w:t>President and Chief Executive Officer</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i w:val="1"/>
          <w:iCs w:val="1"/>
          <w:color w:val="auto"/>
        </w:rPr>
        <w:t>(Principal Executive Officer)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ectPr>
          <w:pgSz w:w="11900" w:h="16838" w:orient="portrait"/>
          <w:cols w:equalWidth="0" w:num="1">
            <w:col w:w="11240"/>
          </w:cols>
          <w:pgMar w:left="320" w:top="974"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39" w:lineRule="exact"/>
        <w:rPr>
          <w:sz w:val="20"/>
          <w:szCs w:val="20"/>
          <w:color w:val="auto"/>
        </w:rPr>
      </w:pPr>
    </w:p>
    <w:p>
      <w:pPr>
        <w:ind w:left="640" w:hanging="633"/>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Clearway Energy, Inc.;</w:t>
      </w:r>
    </w:p>
    <w:p>
      <w:pPr>
        <w:spacing w:after="0" w:line="219" w:lineRule="exact"/>
        <w:rPr>
          <w:rFonts w:ascii="Arial" w:cs="Arial" w:eastAsia="Arial" w:hAnsi="Arial"/>
          <w:sz w:val="18"/>
          <w:szCs w:val="18"/>
          <w:color w:val="auto"/>
        </w:rPr>
      </w:pPr>
    </w:p>
    <w:p>
      <w:pPr>
        <w:jc w:val="both"/>
        <w:ind w:left="640" w:hanging="633"/>
        <w:spacing w:after="0" w:line="257" w:lineRule="auto"/>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640" w:hanging="633"/>
        <w:spacing w:after="0" w:line="297" w:lineRule="auto"/>
        <w:tabs>
          <w:tab w:leader="none" w:pos="6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7"/>
          <w:szCs w:val="17"/>
          <w:color w:val="auto"/>
        </w:rPr>
      </w:pPr>
    </w:p>
    <w:p>
      <w:pPr>
        <w:jc w:val="both"/>
        <w:ind w:left="640" w:hanging="633"/>
        <w:spacing w:after="0" w:line="257" w:lineRule="auto"/>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8"/>
          <w:szCs w:val="18"/>
          <w:color w:val="auto"/>
        </w:rPr>
      </w:pPr>
    </w:p>
    <w:p>
      <w:pPr>
        <w:jc w:val="both"/>
        <w:ind w:left="1280" w:hanging="634"/>
        <w:spacing w:after="0" w:line="257" w:lineRule="auto"/>
        <w:tabs>
          <w:tab w:leader="none" w:pos="1277"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1280" w:hanging="634"/>
        <w:spacing w:after="0" w:line="257" w:lineRule="auto"/>
        <w:tabs>
          <w:tab w:leader="none" w:pos="1274"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1280" w:hanging="634"/>
        <w:spacing w:after="0" w:line="330" w:lineRule="auto"/>
        <w:tabs>
          <w:tab w:leader="none" w:pos="1277"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6"/>
          <w:szCs w:val="16"/>
          <w:color w:val="auto"/>
        </w:rPr>
      </w:pPr>
    </w:p>
    <w:p>
      <w:pPr>
        <w:jc w:val="both"/>
        <w:ind w:left="1280" w:hanging="634"/>
        <w:spacing w:after="0" w:line="257" w:lineRule="auto"/>
        <w:tabs>
          <w:tab w:leader="none" w:pos="1274"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640" w:hanging="633"/>
        <w:spacing w:after="0" w:line="297" w:lineRule="auto"/>
        <w:tabs>
          <w:tab w:leader="none" w:pos="6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7"/>
          <w:szCs w:val="17"/>
          <w:color w:val="auto"/>
        </w:rPr>
      </w:pPr>
    </w:p>
    <w:p>
      <w:pPr>
        <w:ind w:left="1280" w:hanging="634"/>
        <w:spacing w:after="0" w:line="297" w:lineRule="auto"/>
        <w:tabs>
          <w:tab w:leader="none" w:pos="1277"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7"/>
          <w:szCs w:val="17"/>
          <w:color w:val="auto"/>
        </w:rPr>
      </w:pPr>
    </w:p>
    <w:p>
      <w:pPr>
        <w:ind w:left="1280" w:hanging="634"/>
        <w:spacing w:after="0" w:line="267" w:lineRule="auto"/>
        <w:tabs>
          <w:tab w:leader="none" w:pos="1274"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12065</wp:posOffset>
            </wp:positionV>
            <wp:extent cx="28606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5">
                      <a:extLst>
                        <a:ext uri="{28A0092B-C50C-407E-A947-70E740481C1C}"/>
                      </a:extLst>
                    </a:blip>
                    <a:srcRect/>
                    <a:stretch>
                      <a:fillRect/>
                    </a:stretch>
                  </pic:blipFill>
                  <pic:spPr bwMode="auto">
                    <a:xfrm>
                      <a:off x="0" y="0"/>
                      <a:ext cx="2860675" cy="825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8"/>
          <w:szCs w:val="18"/>
          <w:color w:val="auto"/>
        </w:rPr>
        <w:t>Chad Plotkin</w:t>
      </w:r>
    </w:p>
    <w:p>
      <w:pPr>
        <w:ind w:left="5200"/>
        <w:spacing w:after="0" w:line="200" w:lineRule="auto"/>
        <w:rPr>
          <w:sz w:val="20"/>
          <w:szCs w:val="20"/>
          <w:color w:val="auto"/>
        </w:rPr>
      </w:pPr>
      <w:r>
        <w:rPr>
          <w:rFonts w:ascii="Arial" w:cs="Arial" w:eastAsia="Arial" w:hAnsi="Arial"/>
          <w:sz w:val="18"/>
          <w:szCs w:val="18"/>
          <w:i w:val="1"/>
          <w:iCs w:val="1"/>
          <w:color w:val="auto"/>
        </w:rPr>
        <w:t>Executive Vice President and Chief Financial Officer</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(Principal Financial Officer)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ectPr>
          <w:pgSz w:w="11900" w:h="16838" w:orient="portrait"/>
          <w:cols w:equalWidth="0" w:num="1">
            <w:col w:w="11240"/>
          </w:cols>
          <w:pgMar w:left="320" w:top="974"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 Sarah Rubenstein, certify that:</w:t>
      </w:r>
    </w:p>
    <w:p>
      <w:pPr>
        <w:spacing w:after="0" w:line="326" w:lineRule="exact"/>
        <w:rPr>
          <w:sz w:val="20"/>
          <w:szCs w:val="20"/>
          <w:color w:val="auto"/>
        </w:rPr>
      </w:pPr>
    </w:p>
    <w:p>
      <w:pPr>
        <w:ind w:left="640" w:hanging="633"/>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Clearway Energy, Inc.;</w:t>
      </w:r>
    </w:p>
    <w:p>
      <w:pPr>
        <w:spacing w:after="0" w:line="219" w:lineRule="exact"/>
        <w:rPr>
          <w:rFonts w:ascii="Arial" w:cs="Arial" w:eastAsia="Arial" w:hAnsi="Arial"/>
          <w:sz w:val="18"/>
          <w:szCs w:val="18"/>
          <w:color w:val="auto"/>
        </w:rPr>
      </w:pPr>
    </w:p>
    <w:p>
      <w:pPr>
        <w:jc w:val="both"/>
        <w:ind w:left="640" w:hanging="633"/>
        <w:spacing w:after="0" w:line="257"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640" w:hanging="633"/>
        <w:spacing w:after="0" w:line="297" w:lineRule="auto"/>
        <w:tabs>
          <w:tab w:leader="none" w:pos="6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7"/>
          <w:szCs w:val="17"/>
          <w:color w:val="auto"/>
        </w:rPr>
      </w:pPr>
    </w:p>
    <w:p>
      <w:pPr>
        <w:jc w:val="both"/>
        <w:ind w:left="640" w:hanging="633"/>
        <w:spacing w:after="0" w:line="257"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8"/>
          <w:szCs w:val="18"/>
          <w:color w:val="auto"/>
        </w:rPr>
      </w:pPr>
    </w:p>
    <w:p>
      <w:pPr>
        <w:jc w:val="both"/>
        <w:ind w:left="1280" w:hanging="634"/>
        <w:spacing w:after="0" w:line="257" w:lineRule="auto"/>
        <w:tabs>
          <w:tab w:leader="none" w:pos="1277"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1280" w:hanging="634"/>
        <w:spacing w:after="0" w:line="257" w:lineRule="auto"/>
        <w:tabs>
          <w:tab w:leader="none" w:pos="1274"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1280" w:hanging="634"/>
        <w:spacing w:after="0" w:line="330" w:lineRule="auto"/>
        <w:tabs>
          <w:tab w:leader="none" w:pos="1277"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6"/>
          <w:szCs w:val="16"/>
          <w:color w:val="auto"/>
        </w:rPr>
      </w:pPr>
    </w:p>
    <w:p>
      <w:pPr>
        <w:jc w:val="both"/>
        <w:ind w:left="1280" w:hanging="634"/>
        <w:spacing w:after="0" w:line="257" w:lineRule="auto"/>
        <w:tabs>
          <w:tab w:leader="none" w:pos="1274"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640" w:hanging="633"/>
        <w:spacing w:after="0" w:line="297" w:lineRule="auto"/>
        <w:tabs>
          <w:tab w:leader="none" w:pos="6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7"/>
          <w:szCs w:val="17"/>
          <w:color w:val="auto"/>
        </w:rPr>
      </w:pPr>
    </w:p>
    <w:p>
      <w:pPr>
        <w:ind w:left="1280" w:hanging="634"/>
        <w:spacing w:after="0" w:line="297" w:lineRule="auto"/>
        <w:tabs>
          <w:tab w:leader="none" w:pos="1277" w:val="left"/>
        </w:tabs>
        <w:numPr>
          <w:ilvl w:val="1"/>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7"/>
          <w:szCs w:val="17"/>
          <w:color w:val="auto"/>
        </w:rPr>
      </w:pPr>
    </w:p>
    <w:p>
      <w:pPr>
        <w:ind w:left="1280" w:hanging="634"/>
        <w:spacing w:after="0" w:line="267" w:lineRule="auto"/>
        <w:tabs>
          <w:tab w:leader="none" w:pos="1274"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12065</wp:posOffset>
            </wp:positionV>
            <wp:extent cx="27844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6">
                      <a:extLst>
                        <a:ext uri="{28A0092B-C50C-407E-A947-70E740481C1C}"/>
                      </a:extLst>
                    </a:blip>
                    <a:srcRect/>
                    <a:stretch>
                      <a:fillRect/>
                    </a:stretch>
                  </pic:blipFill>
                  <pic:spPr bwMode="auto">
                    <a:xfrm>
                      <a:off x="0" y="0"/>
                      <a:ext cx="278447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Sarah Rubenstein</w:t>
      </w:r>
    </w:p>
    <w:p>
      <w:pPr>
        <w:ind w:left="5720"/>
        <w:spacing w:after="0" w:line="200" w:lineRule="auto"/>
        <w:rPr>
          <w:sz w:val="20"/>
          <w:szCs w:val="20"/>
          <w:color w:val="auto"/>
        </w:rPr>
      </w:pPr>
      <w:r>
        <w:rPr>
          <w:rFonts w:ascii="Arial" w:cs="Arial" w:eastAsia="Arial" w:hAnsi="Arial"/>
          <w:sz w:val="18"/>
          <w:szCs w:val="18"/>
          <w:i w:val="1"/>
          <w:iCs w:val="1"/>
          <w:color w:val="auto"/>
        </w:rPr>
        <w:t>Senior Vice President and Chief Accounting Officer</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Accounting Officer)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ectPr>
          <w:pgSz w:w="11900" w:h="16838" w:orient="portrait"/>
          <w:cols w:equalWidth="0" w:num="1">
            <w:col w:w="11240"/>
          </w:cols>
          <w:pgMar w:left="320" w:top="88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In connection with the Annual Report of Clearway Energy, Inc. on Form 10-K for the year ended December 31, 2021,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spacing w:after="0" w:line="11" w:lineRule="exact"/>
        <w:rPr>
          <w:sz w:val="20"/>
          <w:szCs w:val="20"/>
          <w:color w:val="auto"/>
        </w:rPr>
      </w:pPr>
    </w:p>
    <w:p>
      <w:pPr>
        <w:ind w:left="640" w:hanging="314"/>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Form 10-K fully complies with the requirements of Section 13(a) or 15(d) of the Securities Exchange Act of 1934; and</w:t>
      </w:r>
    </w:p>
    <w:p>
      <w:pPr>
        <w:spacing w:after="0" w:line="59" w:lineRule="exact"/>
        <w:rPr>
          <w:rFonts w:ascii="Arial" w:cs="Arial" w:eastAsia="Arial" w:hAnsi="Arial"/>
          <w:sz w:val="18"/>
          <w:szCs w:val="18"/>
          <w:color w:val="auto"/>
        </w:rPr>
      </w:pPr>
    </w:p>
    <w:p>
      <w:pPr>
        <w:ind w:left="640" w:hanging="314"/>
        <w:spacing w:after="0" w:line="267" w:lineRule="auto"/>
        <w:tabs>
          <w:tab w:leader="none" w:pos="63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Form 10-K fairly presents, in all material respects, the financial condition and results of operations of the Company as of the dates and for the periods expressed in the Form 10-K.</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10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12065</wp:posOffset>
            </wp:positionV>
            <wp:extent cx="30803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7">
                      <a:extLst>
                        <a:ext uri="{28A0092B-C50C-407E-A947-70E740481C1C}"/>
                      </a:extLst>
                    </a:blip>
                    <a:srcRect/>
                    <a:stretch>
                      <a:fillRect/>
                    </a:stretch>
                  </pic:blipFill>
                  <pic:spPr bwMode="auto">
                    <a:xfrm>
                      <a:off x="0" y="0"/>
                      <a:ext cx="3080385" cy="8255"/>
                    </a:xfrm>
                    <a:prstGeom prst="rect">
                      <a:avLst/>
                    </a:prstGeom>
                    <a:noFill/>
                  </pic:spPr>
                </pic:pic>
              </a:graphicData>
            </a:graphic>
          </wp:anchor>
        </w:drawing>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Christopher S. Sotos</w:t>
      </w:r>
    </w:p>
    <w:p>
      <w:pPr>
        <w:ind w:left="5640"/>
        <w:spacing w:after="0"/>
        <w:rPr>
          <w:sz w:val="20"/>
          <w:szCs w:val="20"/>
          <w:color w:val="auto"/>
        </w:rPr>
      </w:pPr>
      <w:r>
        <w:rPr>
          <w:rFonts w:ascii="Arial" w:cs="Arial" w:eastAsia="Arial" w:hAnsi="Arial"/>
          <w:sz w:val="18"/>
          <w:szCs w:val="18"/>
          <w:i w:val="1"/>
          <w:iCs w:val="1"/>
          <w:color w:val="auto"/>
        </w:rPr>
        <w:t>President and Chief Executive Officer</w:t>
      </w:r>
    </w:p>
    <w:p>
      <w:pPr>
        <w:ind w:left="56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12065</wp:posOffset>
            </wp:positionV>
            <wp:extent cx="308038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8">
                      <a:extLst>
                        <a:ext uri="{28A0092B-C50C-407E-A947-70E740481C1C}"/>
                      </a:extLst>
                    </a:blip>
                    <a:srcRect/>
                    <a:stretch>
                      <a:fillRect/>
                    </a:stretch>
                  </pic:blipFill>
                  <pic:spPr bwMode="auto">
                    <a:xfrm>
                      <a:off x="0" y="0"/>
                      <a:ext cx="3080385" cy="8255"/>
                    </a:xfrm>
                    <a:prstGeom prst="rect">
                      <a:avLst/>
                    </a:prstGeom>
                    <a:noFill/>
                  </pic:spPr>
                </pic:pic>
              </a:graphicData>
            </a:graphic>
          </wp:anchor>
        </w:drawing>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Chad Plotkin</w:t>
      </w:r>
    </w:p>
    <w:p>
      <w:pPr>
        <w:ind w:left="5640"/>
        <w:spacing w:after="0"/>
        <w:rPr>
          <w:sz w:val="20"/>
          <w:szCs w:val="20"/>
          <w:color w:val="auto"/>
        </w:rPr>
      </w:pPr>
      <w:r>
        <w:rPr>
          <w:rFonts w:ascii="Arial" w:cs="Arial" w:eastAsia="Arial" w:hAnsi="Arial"/>
          <w:sz w:val="18"/>
          <w:szCs w:val="18"/>
          <w:i w:val="1"/>
          <w:iCs w:val="1"/>
          <w:color w:val="auto"/>
        </w:rPr>
        <w:t>Executive Vice President and Chief Financial Officer</w:t>
      </w:r>
    </w:p>
    <w:p>
      <w:pPr>
        <w:ind w:left="56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12065</wp:posOffset>
            </wp:positionV>
            <wp:extent cx="30803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9">
                      <a:extLst>
                        <a:ext uri="{28A0092B-C50C-407E-A947-70E740481C1C}"/>
                      </a:extLst>
                    </a:blip>
                    <a:srcRect/>
                    <a:stretch>
                      <a:fillRect/>
                    </a:stretch>
                  </pic:blipFill>
                  <pic:spPr bwMode="auto">
                    <a:xfrm>
                      <a:off x="0" y="0"/>
                      <a:ext cx="3080385" cy="8255"/>
                    </a:xfrm>
                    <a:prstGeom prst="rect">
                      <a:avLst/>
                    </a:prstGeom>
                    <a:noFill/>
                  </pic:spPr>
                </pic:pic>
              </a:graphicData>
            </a:graphic>
          </wp:anchor>
        </w:drawing>
      </w:r>
    </w:p>
    <w:p>
      <w:pPr>
        <w:spacing w:after="0" w:line="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Sarah Rubenstein</w:t>
      </w:r>
    </w:p>
    <w:p>
      <w:pPr>
        <w:ind w:left="5640"/>
        <w:spacing w:after="0"/>
        <w:rPr>
          <w:sz w:val="20"/>
          <w:szCs w:val="20"/>
          <w:color w:val="auto"/>
        </w:rPr>
      </w:pPr>
      <w:r>
        <w:rPr>
          <w:rFonts w:ascii="Arial" w:cs="Arial" w:eastAsia="Arial" w:hAnsi="Arial"/>
          <w:sz w:val="18"/>
          <w:szCs w:val="18"/>
          <w:i w:val="1"/>
          <w:iCs w:val="1"/>
          <w:color w:val="auto"/>
        </w:rPr>
        <w:t>Senior Vice President and Chief Accounting Officer</w:t>
      </w:r>
    </w:p>
    <w:p>
      <w:pPr>
        <w:ind w:left="564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66"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10-K or as a separate disclosure document.</w:t>
      </w:r>
    </w:p>
    <w:p>
      <w:pPr>
        <w:spacing w:after="0" w:line="19"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40"/>
      </w:cols>
      <w:pgMar w:left="320" w:top="8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emdash "/>
      <w:numFmt w:val="bullet"/>
      <w:start w:val="1"/>
    </w:lvl>
  </w:abstractNum>
  <w:abstractNum w:abstractNumId="3">
    <w:nsid w:val="1D4ED43B"/>
    <w:multiLevelType w:val="hybridMultilevel"/>
    <w:lvl w:ilvl="0">
      <w:lvlJc w:val="left"/>
      <w:lvlText w:val="(%1)"/>
      <w:numFmt w:val="lowerLetter"/>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1)"/>
      <w:numFmt w:val="lowerLetter"/>
      <w:start w:val="1"/>
    </w:lvl>
  </w:abstractNum>
  <w:abstractNum w:abstractNumId="15">
    <w:nsid w:val="579478FE"/>
    <w:multiLevelType w:val="hybridMultilevel"/>
    <w:lvl w:ilvl="0">
      <w:lvlJc w:val="left"/>
      <w:lvlText w:val="(%1)"/>
      <w:numFmt w:val="lowerLetter"/>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lvl w:ilvl="1">
      <w:lvlJc w:val="left"/>
      <w:lvlText w:val="(%2)"/>
      <w:numFmt w:val="lowerRoman"/>
      <w:start w:val="3"/>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1)"/>
      <w:numFmt w:val="lowerLetter"/>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1)"/>
      <w:numFmt w:val="lowerLetter"/>
      <w:start w:val="1"/>
    </w:lvl>
  </w:abstractNum>
  <w:abstractNum w:abstractNumId="36">
    <w:nsid w:val="741226BB"/>
    <w:multiLevelType w:val="hybridMultilevel"/>
    <w:lvl w:ilvl="0">
      <w:lvlJc w:val="left"/>
      <w:lvlText w:val="(%1)"/>
      <w:numFmt w:val="lowerLetter"/>
      <w:start w:val="1"/>
    </w:lvl>
  </w:abstractNum>
  <w:abstractNum w:abstractNumId="37">
    <w:nsid w:val="D34B6A8"/>
    <w:multiLevelType w:val="hybridMultilevel"/>
    <w:lvl w:ilvl="0">
      <w:lvlJc w:val="left"/>
      <w:lvlText w:val="%1."/>
      <w:numFmt w:val="decimal"/>
      <w:start w:val="1"/>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1)"/>
      <w:numFmt w:val="lowerLetter"/>
      <w:start w:val="2"/>
    </w:lvl>
  </w:abstractNum>
  <w:abstractNum w:abstractNumId="40">
    <w:nsid w:val="61574095"/>
    <w:multiLevelType w:val="hybridMultilevel"/>
    <w:lvl w:ilvl="0">
      <w:lvlJc w:val="left"/>
      <w:lvlText w:val="(%1)"/>
      <w:numFmt w:val="lowerLetter"/>
      <w:start w:val="1"/>
    </w:lvl>
  </w:abstractNum>
  <w:abstractNum w:abstractNumId="41">
    <w:nsid w:val="7E0C57B1"/>
    <w:multiLevelType w:val="hybridMultilevel"/>
    <w:lvl w:ilvl="0">
      <w:lvlJc w:val="left"/>
      <w:lvlText w:val="(%1)"/>
      <w:numFmt w:val="lowerLetter"/>
      <w:start w:val="1"/>
    </w:lvl>
  </w:abstractNum>
  <w:abstractNum w:abstractNumId="42">
    <w:nsid w:val="77AE35EB"/>
    <w:multiLevelType w:val="hybridMultilevel"/>
    <w:lvl w:ilvl="0">
      <w:lvlJc w:val="left"/>
      <w:lvlText w:val="(%1)"/>
      <w:numFmt w:val="lowerLetter"/>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1)"/>
      <w:numFmt w:val="lowerLetter"/>
      <w:start w:val="1"/>
    </w:lvl>
  </w:abstractNum>
  <w:abstractNum w:abstractNumId="46">
    <w:nsid w:val="2F305DEF"/>
    <w:multiLevelType w:val="hybridMultilevel"/>
    <w:lvl w:ilvl="0">
      <w:lvlJc w:val="left"/>
      <w:lvlText w:val="(%1)"/>
      <w:numFmt w:val="lowerLetter"/>
      <w:start w:val="1"/>
    </w:lvl>
  </w:abstractNum>
  <w:abstractNum w:abstractNumId="47">
    <w:nsid w:val="25A70BF7"/>
    <w:multiLevelType w:val="hybridMultilevel"/>
    <w:lvl w:ilvl="0">
      <w:lvlJc w:val="left"/>
      <w:lvlText w:val="(%1)"/>
      <w:numFmt w:val="lowerLetter"/>
      <w:start w:val="1"/>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1)"/>
      <w:numFmt w:val="lowerLetter"/>
      <w:start w:val="1"/>
    </w:lvl>
  </w:abstractNum>
  <w:abstractNum w:abstractNumId="50">
    <w:nsid w:val="1F48EAA1"/>
    <w:multiLevelType w:val="hybridMultilevel"/>
    <w:lvl w:ilvl="0">
      <w:lvlJc w:val="left"/>
      <w:lvlText w:val="(%1)"/>
      <w:numFmt w:val="lowerLetter"/>
      <w:start w:val="1"/>
    </w:lvl>
  </w:abstractNum>
  <w:abstractNum w:abstractNumId="51">
    <w:nsid w:val="1381823A"/>
    <w:multiLevelType w:val="hybridMultilevel"/>
    <w:lvl w:ilvl="0">
      <w:lvlJc w:val="left"/>
      <w:lvlText w:val="(%1)"/>
      <w:numFmt w:val="lowerLetter"/>
      <w:start w:val="1"/>
    </w:lvl>
  </w:abstractNum>
  <w:abstractNum w:abstractNumId="52">
    <w:nsid w:val="5DB70AE5"/>
    <w:multiLevelType w:val="hybridMultilevel"/>
    <w:lvl w:ilvl="0">
      <w:lvlJc w:val="left"/>
      <w:lvlText w:val="(%1)"/>
      <w:numFmt w:val="lowerLetter"/>
      <w:start w:val="1"/>
    </w:lvl>
  </w:abstractNum>
  <w:abstractNum w:abstractNumId="53">
    <w:nsid w:val="100F8FCA"/>
    <w:multiLevelType w:val="hybridMultilevel"/>
    <w:lvl w:ilvl="0">
      <w:lvlJc w:val="left"/>
      <w:lvlText w:val="(%1)"/>
      <w:numFmt w:val="lowerLetter"/>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1)"/>
      <w:numFmt w:val="lowerLetter"/>
      <w:start w:val="1"/>
    </w:lvl>
  </w:abstractNum>
  <w:abstractNum w:abstractNumId="56">
    <w:nsid w:val="5F5E7FD0"/>
    <w:multiLevelType w:val="hybridMultilevel"/>
    <w:lvl w:ilvl="0">
      <w:lvlJc w:val="left"/>
      <w:lvlText w:val="(%1)"/>
      <w:numFmt w:val="lowerLetter"/>
      <w:start w:val="1"/>
    </w:lvl>
  </w:abstractNum>
  <w:abstractNum w:abstractNumId="57">
    <w:nsid w:val="98A3148"/>
    <w:multiLevelType w:val="hybridMultilevel"/>
    <w:lvl w:ilvl="0">
      <w:lvlJc w:val="left"/>
      <w:lvlText w:val="(%1)"/>
      <w:numFmt w:val="lowerRoman"/>
      <w:start w:val="1"/>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1)"/>
      <w:numFmt w:val="lowerLetter"/>
      <w:start w:val="1"/>
    </w:lvl>
  </w:abstractNum>
  <w:abstractNum w:abstractNumId="61">
    <w:nsid w:val="168E121F"/>
    <w:multiLevelType w:val="hybridMultilevel"/>
    <w:lvl w:ilvl="0">
      <w:lvlJc w:val="left"/>
      <w:lvlText w:val="(%1)"/>
      <w:numFmt w:val="lowerLetter"/>
      <w:start w:val="1"/>
    </w:lvl>
  </w:abstractNum>
  <w:abstractNum w:abstractNumId="62">
    <w:nsid w:val="1EBA5D23"/>
    <w:multiLevelType w:val="hybridMultilevel"/>
    <w:lvl w:ilvl="0">
      <w:lvlJc w:val="left"/>
      <w:lvlText w:val="(%1)"/>
      <w:numFmt w:val="lowerLetter"/>
      <w:start w:val="1"/>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lowerLetter"/>
      <w:start w:val="1"/>
    </w:lvl>
  </w:abstractNum>
  <w:abstractNum w:abstractNumId="65">
    <w:nsid w:val="540A471C"/>
    <w:multiLevelType w:val="hybridMultilevel"/>
    <w:lvl w:ilvl="0">
      <w:lvlJc w:val="left"/>
      <w:lvlText w:val="(%1)"/>
      <w:numFmt w:val="lowerLetter"/>
      <w:start w:val="1"/>
    </w:lvl>
  </w:abstractNum>
  <w:abstractNum w:abstractNumId="66">
    <w:nsid w:val="7BD3EE7B"/>
    <w:multiLevelType w:val="hybridMultilevel"/>
    <w:lvl w:ilvl="0">
      <w:lvlJc w:val="left"/>
      <w:lvlText w:val="&amp;"/>
      <w:numFmt w:val="bullet"/>
      <w:start w:val="1"/>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lowerLetter"/>
      <w:start w:val="1"/>
    </w:lvl>
  </w:abstractNum>
  <w:abstractNum w:abstractNumId="69">
    <w:nsid w:val="BF72B14"/>
    <w:multiLevelType w:val="hybridMultilevel"/>
    <w:lvl w:ilvl="0">
      <w:lvlJc w:val="left"/>
      <w:lvlText w:val="%1"/>
      <w:numFmt w:val="decimal"/>
      <w:start w:val="32"/>
    </w:lvl>
  </w:abstractNum>
  <w:abstractNum w:abstractNumId="70">
    <w:nsid w:val="11447B73"/>
    <w:multiLevelType w:val="hybridMultilevel"/>
    <w:lvl w:ilvl="0">
      <w:lvlJc w:val="left"/>
      <w:lvlText w:val="%1"/>
      <w:numFmt w:val="decimal"/>
      <w:start w:val="104"/>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1)"/>
      <w:numFmt w:val="lowerRoman"/>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212" Type="http://schemas.openxmlformats.org/officeDocument/2006/relationships/image" Target="media/image185.png"/><Relationship Id="rId232" Type="http://schemas.openxmlformats.org/officeDocument/2006/relationships/image" Target="media/image186.png"/><Relationship Id="rId250" Type="http://schemas.openxmlformats.org/officeDocument/2006/relationships/image" Target="media/image187.png"/><Relationship Id="rId266" Type="http://schemas.openxmlformats.org/officeDocument/2006/relationships/image" Target="media/image188.png"/><Relationship Id="rId267" Type="http://schemas.openxmlformats.org/officeDocument/2006/relationships/image" Target="media/image189.png"/><Relationship Id="rId268" Type="http://schemas.openxmlformats.org/officeDocument/2006/relationships/image" Target="media/image190.png"/><Relationship Id="rId269" Type="http://schemas.openxmlformats.org/officeDocument/2006/relationships/image" Target="media/image191.png"/><Relationship Id="rId270" Type="http://schemas.openxmlformats.org/officeDocument/2006/relationships/image" Target="media/image192.png"/><Relationship Id="rId271" Type="http://schemas.openxmlformats.org/officeDocument/2006/relationships/image" Target="media/image193.png"/><Relationship Id="rId272" Type="http://schemas.openxmlformats.org/officeDocument/2006/relationships/image" Target="media/image194.png"/><Relationship Id="rId273" Type="http://schemas.openxmlformats.org/officeDocument/2006/relationships/image" Target="media/image195.png"/><Relationship Id="rId274" Type="http://schemas.openxmlformats.org/officeDocument/2006/relationships/image" Target="media/image196.png"/><Relationship Id="rId275" Type="http://schemas.openxmlformats.org/officeDocument/2006/relationships/image" Target="media/image197.png"/><Relationship Id="rId276" Type="http://schemas.openxmlformats.org/officeDocument/2006/relationships/image" Target="media/image198.png"/><Relationship Id="rId277" Type="http://schemas.openxmlformats.org/officeDocument/2006/relationships/image" Target="media/image199.png"/><Relationship Id="rId278" Type="http://schemas.openxmlformats.org/officeDocument/2006/relationships/image" Target="media/image200.png"/><Relationship Id="rId279" Type="http://schemas.openxmlformats.org/officeDocument/2006/relationships/image" Target="media/image201.png"/><Relationship Id="rId280" Type="http://schemas.openxmlformats.org/officeDocument/2006/relationships/image" Target="media/image202.png"/><Relationship Id="rId281" Type="http://schemas.openxmlformats.org/officeDocument/2006/relationships/image" Target="media/image203.png"/><Relationship Id="rId282" Type="http://schemas.openxmlformats.org/officeDocument/2006/relationships/image" Target="media/image204.png"/><Relationship Id="rId283" Type="http://schemas.openxmlformats.org/officeDocument/2006/relationships/image" Target="media/image205.png"/><Relationship Id="rId284" Type="http://schemas.openxmlformats.org/officeDocument/2006/relationships/image" Target="media/image206.png"/><Relationship Id="rId285" Type="http://schemas.openxmlformats.org/officeDocument/2006/relationships/image" Target="media/image207.png"/><Relationship Id="rId286" Type="http://schemas.openxmlformats.org/officeDocument/2006/relationships/image" Target="media/image208.png"/><Relationship Id="rId287" Type="http://schemas.openxmlformats.org/officeDocument/2006/relationships/image" Target="media/image209.png"/><Relationship Id="rId288" Type="http://schemas.openxmlformats.org/officeDocument/2006/relationships/image" Target="media/image210.png"/><Relationship Id="rId289" Type="http://schemas.openxmlformats.org/officeDocument/2006/relationships/image" Target="media/image211.png"/><Relationship Id="rId192" Type="http://schemas.openxmlformats.org/officeDocument/2006/relationships/hyperlink" Target="http://www.sec.gov/Archives/edgar/data/1567683/000156768318000008/yieldincex210201710-k.htm" TargetMode="External"/><Relationship Id="rId193" Type="http://schemas.openxmlformats.org/officeDocument/2006/relationships/hyperlink" Target="http://www.sec.gov/Archives/edgar/data/1567683/000110465919070990/tm1924690d1_ex2-1.htm" TargetMode="External"/><Relationship Id="rId194" Type="http://schemas.openxmlformats.org/officeDocument/2006/relationships/hyperlink" Target="https://www.sec.gov/Archives/edgar/data/1567683/000110465920127618/tm2036452d2_ex2-1.htm" TargetMode="External"/><Relationship Id="rId195" Type="http://schemas.openxmlformats.org/officeDocument/2006/relationships/hyperlink" Target="http://www.sec.gov/Archives/edgar/data/1567683/000110465920056290/tm203404d2_ex3-1.htm" TargetMode="External"/><Relationship Id="rId196" Type="http://schemas.openxmlformats.org/officeDocument/2006/relationships/hyperlink" Target="http://www.sec.gov/Archives/edgar/data/1567683/000110465918055334/a18-24111_1ex3d2.htm#Exhibit3_2_042157" TargetMode="External"/><Relationship Id="rId197" Type="http://schemas.openxmlformats.org/officeDocument/2006/relationships/hyperlink" Target="http://www.sec.gov/Archives/edgar/data/1567683/000110465918055334/a18-24111_1ex10d6.htm#Exhibit10_6_052216" TargetMode="External"/><Relationship Id="rId198" Type="http://schemas.openxmlformats.org/officeDocument/2006/relationships/hyperlink" Target="http://www.sec.gov/Archives/edgar/data/1567683/000156768319000014/exhibit_1.htm" TargetMode="External"/><Relationship Id="rId199" Type="http://schemas.openxmlformats.org/officeDocument/2006/relationships/hyperlink" Target="http://www.sec.gov/Archives/edgar/data/1567683/000156768319000014/exhibit_2.htm" TargetMode="External"/><Relationship Id="rId200" Type="http://schemas.openxmlformats.org/officeDocument/2006/relationships/hyperlink" Target="http://www.sec.gov/Archives/edgar/data/1567683/000110465919072217/tm1925069d1_ex4-1.htm" TargetMode="External"/><Relationship Id="rId201" Type="http://schemas.openxmlformats.org/officeDocument/2006/relationships/hyperlink" Target="http://www.sec.gov/Archives/edgar/data/1567683/000110465920002258/tm201233d1_ex4-3.htm" TargetMode="External"/><Relationship Id="rId202" Type="http://schemas.openxmlformats.org/officeDocument/2006/relationships/hyperlink" Target="http://www.sec.gov/Archives/edgar/data/1567683/000110465920028560/tm2011093d1_ex4-3.htm" TargetMode="External"/><Relationship Id="rId203" Type="http://schemas.openxmlformats.org/officeDocument/2006/relationships/hyperlink" Target="http://www.sec.gov/Archives/edgar/data/1567683/000110465920085304/tm2025125d1_ex4-3.htm" TargetMode="External"/><Relationship Id="rId204" Type="http://schemas.openxmlformats.org/officeDocument/2006/relationships/hyperlink" Target="http://www.sec.gov/Archives/edgar/data/1567683/000110465920097221/tm2025854d5_ex4-3.htm" TargetMode="External"/><Relationship Id="rId205" Type="http://schemas.openxmlformats.org/officeDocument/2006/relationships/hyperlink" Target="https://www.sec.gov/Archives/edgar/data/1567683/000110465920127370/tm2036452d1_ex4-3.htm" TargetMode="External"/><Relationship Id="rId206" Type="http://schemas.openxmlformats.org/officeDocument/2006/relationships/hyperlink" Target="https://www.sec.gov/Archives/edgar/data/1567683/000110465920132409/tm2037503d1_ex4-3.htm" TargetMode="External"/><Relationship Id="rId207" Type="http://schemas.openxmlformats.org/officeDocument/2006/relationships/hyperlink" Target="https://www.sec.gov/Archives/edgar/data/1567683/000110465920140147/tm2039385d1_ex4-3.htm" TargetMode="External"/><Relationship Id="rId208" Type="http://schemas.openxmlformats.org/officeDocument/2006/relationships/hyperlink" Target="http://www.sec.gov/Archives/edgar/data/1567683/000110465921012966/tm215220d2_ex4-3.htm" TargetMode="External"/><Relationship Id="rId209" Type="http://schemas.openxmlformats.org/officeDocument/2006/relationships/hyperlink" Target="https://www.sec.gov/Archives/edgar/data/0001567683/000110465921033800/tm219068d1_ex4-1.htm" TargetMode="External"/><Relationship Id="rId210" Type="http://schemas.openxmlformats.org/officeDocument/2006/relationships/hyperlink" Target="https://www.sec.gov/Archives/edgar/data/1567683/000110465921033800/tm219068d1_ex4-1.htm" TargetMode="External"/><Relationship Id="rId211" Type="http://schemas.openxmlformats.org/officeDocument/2006/relationships/hyperlink" Target="https://www.sec.gov/Archives/edgar/data/1567683/000110465921069314/tm2116590d1_ex4-2.htm" TargetMode="External"/><Relationship Id="rId213" Type="http://schemas.openxmlformats.org/officeDocument/2006/relationships/hyperlink" Target="https://www.sec.gov/Archives/edgar/data/1567683/000110465921069314/tm2116590d1_ex4-3.htm" TargetMode="External"/><Relationship Id="rId214" Type="http://schemas.openxmlformats.org/officeDocument/2006/relationships/hyperlink" Target="https://www.sec.gov/Archives/edgar/data/1567683/000110465921122073/tm2128933d1_ex4-1.htm" TargetMode="External"/><Relationship Id="rId215" Type="http://schemas.openxmlformats.org/officeDocument/2006/relationships/hyperlink" Target="https://www.sec.gov/Archives/edgar/data/1567683/000110465921124595/tm2129471d1_ex4-2.htm" TargetMode="External"/><Relationship Id="rId216" Type="http://schemas.openxmlformats.org/officeDocument/2006/relationships/hyperlink" Target="https://www.sec.gov/Archives/edgar/data/1567683/000110465921124595/tm2129471d1_ex4-3.htm" TargetMode="External"/><Relationship Id="rId217" Type="http://schemas.openxmlformats.org/officeDocument/2006/relationships/hyperlink" Target="https://www.sec.gov/Archives/edgar/data/1567683/000110465921124595/tm2129471d1_ex4-4.htm" TargetMode="External"/><Relationship Id="rId218" Type="http://schemas.openxmlformats.org/officeDocument/2006/relationships/hyperlink" Target="http://www.sec.gov/Archives/edgar/data/1567683/000110465918055334/a18-24111_1ex10d1.htm#Exhibit10_1_072506" TargetMode="External"/><Relationship Id="rId219" Type="http://schemas.openxmlformats.org/officeDocument/2006/relationships/hyperlink" Target="http://www.sec.gov/Archives/edgar/data/1567683/000110465918055334/a18-24111_1ex10d2.htm#Exhibit10_2_072636" TargetMode="External"/><Relationship Id="rId220" Type="http://schemas.openxmlformats.org/officeDocument/2006/relationships/hyperlink" Target="http://www.sec.gov/Archives/edgar/data/1567683/000110465918055334/a18-24111_1ex10d3.htm" TargetMode="External"/><Relationship Id="rId221" Type="http://schemas.openxmlformats.org/officeDocument/2006/relationships/hyperlink" Target="http://www.sec.gov/Archives/edgar/data/1567683/000110465919008742/a19-4739_1ex10d1.htm#Exhibit99_1_09271" TargetMode="External"/><Relationship Id="rId222" Type="http://schemas.openxmlformats.org/officeDocument/2006/relationships/hyperlink" Target="http://www.sec.gov/Archives/edgar/data/1567683/000156768319000039/clearwayincex1012019q2.htm" TargetMode="External"/><Relationship Id="rId223" Type="http://schemas.openxmlformats.org/officeDocument/2006/relationships/hyperlink" Target="http://www.sec.gov/Archives/edgar/data/1567683/000110465919070990/tm1924690d1_ex10-1.htm" TargetMode="External"/><Relationship Id="rId224" Type="http://schemas.openxmlformats.org/officeDocument/2006/relationships/hyperlink" Target="http://www.sec.gov/Archives/edgar/data/1567683/000156768320000036/fourthamendmenttorofoa.htm" TargetMode="External"/><Relationship Id="rId225" Type="http://schemas.openxmlformats.org/officeDocument/2006/relationships/hyperlink" Target="http://www.sec.gov/Archives/edgar/data/1567683/000110465918055334/a18-24111_1ex10d4.htm#Exhibit10_4_041820" TargetMode="External"/><Relationship Id="rId226" Type="http://schemas.openxmlformats.org/officeDocument/2006/relationships/hyperlink" Target="http://www.sec.gov/Archives/edgar/data/1567683/000110465918055334/a18-24111_1ex10d5.htm#EXHIBIT10_5_051412" TargetMode="External"/><Relationship Id="rId227" Type="http://schemas.openxmlformats.org/officeDocument/2006/relationships/hyperlink" Target="http://www.sec.gov/Archives/edgar/data/1567683/000110465918055334/a18-24111_1ex10d7.htm#Exhibit10_7_114008" TargetMode="External"/><Relationship Id="rId228" Type="http://schemas.openxmlformats.org/officeDocument/2006/relationships/hyperlink" Target="http://www.sec.gov/Archives/edgar/data/1567683/000110465918055334/a18-24111_1ex10d9.htm" TargetMode="External"/><Relationship Id="rId229" Type="http://schemas.openxmlformats.org/officeDocument/2006/relationships/hyperlink" Target="https://www.sec.gov/Archives/edgar/data/1567683/000110465921060252/tm2114475d1_ex10-1.htm" TargetMode="External"/><Relationship Id="rId230" Type="http://schemas.openxmlformats.org/officeDocument/2006/relationships/hyperlink" Target="http://www.sec.gov/Archives/edgar/data/1567683/000156768319000014/clearwayincex1010201810-k.htm" TargetMode="External"/><Relationship Id="rId231" Type="http://schemas.openxmlformats.org/officeDocument/2006/relationships/hyperlink" Target="https://www.sec.gov/Archives/edgar/data/1567683/000110465914031308/a14-11252_1ex10d1.htm" TargetMode="External"/><Relationship Id="rId233" Type="http://schemas.openxmlformats.org/officeDocument/2006/relationships/hyperlink" Target="http://www.sec.gov/Archives/edgar/data/1567683/000156768315000022/yieldincex1092015q2opllcam.htm" TargetMode="External"/><Relationship Id="rId234" Type="http://schemas.openxmlformats.org/officeDocument/2006/relationships/hyperlink" Target="http://www.sec.gov/Archives/edgar/data/1567683/000110465918008195/a18-5849_1ex10d1.htm#Exhibit10_1_093100" TargetMode="External"/><Relationship Id="rId235" Type="http://schemas.openxmlformats.org/officeDocument/2006/relationships/hyperlink" Target="http://www.sec.gov/Archives/edgar/data/1567683/000156768318000021/a101.htm" TargetMode="External"/><Relationship Id="rId236" Type="http://schemas.openxmlformats.org/officeDocument/2006/relationships/hyperlink" Target="http://www.sec.gov/Archives/edgar/data/1567683/000110465918071712/a18-41171_1ex10d1.htm#Exhibit10_1_112713" TargetMode="External"/><Relationship Id="rId237" Type="http://schemas.openxmlformats.org/officeDocument/2006/relationships/hyperlink" Target="http://www.sec.gov/Archives/edgar/data/1567683/000110465919075298/tm1926822d1_ex10-1.htm" TargetMode="External"/><Relationship Id="rId238" Type="http://schemas.openxmlformats.org/officeDocument/2006/relationships/hyperlink" Target="https://www.sec.gov/Archives/edgar/data/1567683/000110465921145441/tm2134349d1_ex10-1.htm" TargetMode="External"/><Relationship Id="rId239" Type="http://schemas.openxmlformats.org/officeDocument/2006/relationships/hyperlink" Target="http://www.sec.gov/Archives/edgar/data/1567683/000156768319000014/clearwayincex1022201810-k.htm" TargetMode="External"/><Relationship Id="rId240" Type="http://schemas.openxmlformats.org/officeDocument/2006/relationships/hyperlink" Target="http://www.sec.gov/Archives/edgar/data/1567683/000156768319000014/clearwayincex1023201810-k.htm" TargetMode="External"/><Relationship Id="rId241" Type="http://schemas.openxmlformats.org/officeDocument/2006/relationships/hyperlink" Target="http://www.sec.gov/Archives/edgar/data/1567683/000156768319000014/clearwayincex1024201810-k.htm" TargetMode="External"/><Relationship Id="rId242" Type="http://schemas.openxmlformats.org/officeDocument/2006/relationships/hyperlink" Target="http://www.sec.gov/Archives/edgar/data/1567683/000156768319000014/clearwayincex1025201810-k.htm" TargetMode="External"/><Relationship Id="rId243" Type="http://schemas.openxmlformats.org/officeDocument/2006/relationships/hyperlink" Target="http://www.sec.gov/Archives/edgar/data/1567683/000156768320000008/clearwayincex102620191.htm" TargetMode="External"/><Relationship Id="rId244" Type="http://schemas.openxmlformats.org/officeDocument/2006/relationships/hyperlink" Target="https://www.sec.gov/Archives/edgar/data/1567683/000156768321000009/clearwayincex1019-cwen2020.htm" TargetMode="External"/><Relationship Id="rId245" Type="http://schemas.openxmlformats.org/officeDocument/2006/relationships/hyperlink" Target="https://www.sec.gov/Archives/edgar/data/1567683/000156768321000009/clearwayincex1020-cwen2020.htm" TargetMode="External"/><Relationship Id="rId246" Type="http://schemas.openxmlformats.org/officeDocument/2006/relationships/hyperlink" Target="http://www.sec.gov/Archives/edgar/data/1567683/000156768318000008/yieldincex1034201710-k.htm" TargetMode="External"/><Relationship Id="rId247" Type="http://schemas.openxmlformats.org/officeDocument/2006/relationships/hyperlink" Target="http://www.sec.gov/Archives/edgar/data/1567683/000156768319000014/clearwayincex1030201810-k.htm" TargetMode="External"/><Relationship Id="rId248" Type="http://schemas.openxmlformats.org/officeDocument/2006/relationships/hyperlink" Target="http://www.sec.gov/Archives/edgar/data/1567683/000110465915038447/a15-11446_1ex10d1.htm" TargetMode="External"/><Relationship Id="rId249" Type="http://schemas.openxmlformats.org/officeDocument/2006/relationships/hyperlink" Target="http://www.sec.gov/Archives/edgar/data/1567683/000110465915038447/a15-11446_1ex10d2.htm" TargetMode="External"/><Relationship Id="rId251" Type="http://schemas.openxmlformats.org/officeDocument/2006/relationships/hyperlink" Target="http://www.sec.gov/Archives/edgar/data/1567683/000110465920048792/tm2016404d1_ex10-1.htm" TargetMode="External"/><Relationship Id="rId252" Type="http://schemas.openxmlformats.org/officeDocument/2006/relationships/hyperlink" Target="http://www.sec.gov/Archives/edgar/data/1567683/000110465920048792/tm2016404d1_ex10-2.htm" TargetMode="External"/><Relationship Id="rId253" Type="http://schemas.openxmlformats.org/officeDocument/2006/relationships/hyperlink" Target="http://www.sec.gov/Archives/edgar/data/1567683/000110465920048792/tm2016404d1_ex10-3.htm" TargetMode="External"/><Relationship Id="rId254" Type="http://schemas.openxmlformats.org/officeDocument/2006/relationships/hyperlink" Target="https://www.sec.gov/Archives/edgar/data/1567683/000110465920138636/tm2039055d1_ex10-1.htm" TargetMode="External"/><Relationship Id="rId255" Type="http://schemas.openxmlformats.org/officeDocument/2006/relationships/hyperlink" Target="https://www.sec.gov/Archives/edgar/data/1567683/000110465920138636/tm2039055d1_ex10-2.htm" TargetMode="External"/><Relationship Id="rId256" Type="http://schemas.openxmlformats.org/officeDocument/2006/relationships/hyperlink" Target="https://www.sec.gov/Archives/edgar/data/1567683/000110465920138636/tm2039055d1_ex10-3.htm" TargetMode="External"/><Relationship Id="rId257" Type="http://schemas.openxmlformats.org/officeDocument/2006/relationships/hyperlink" Target="https://www.sec.gov/Archives/edgar/data/1567683/000156768321000009/clearwayincex1031pinnaclel.htm" TargetMode="External"/><Relationship Id="rId258" Type="http://schemas.openxmlformats.org/officeDocument/2006/relationships/hyperlink" Target="https://www.sec.gov/Archives/edgar/data/1567683/000156768321000025/fifthamendmenttorofoagreem.htm" TargetMode="External"/><Relationship Id="rId259" Type="http://schemas.openxmlformats.org/officeDocument/2006/relationships/hyperlink" Target="https://www.sec.gov/Archives/edgar/data/1567683/000110465921108614/tm2125658d1_ex10-1.htm" TargetMode="External"/><Relationship Id="rId260" Type="http://schemas.openxmlformats.org/officeDocument/2006/relationships/hyperlink" Target="https://www.sec.gov/Archives/edgar/data/1567683/000110465921118837/tm2128073d1_ex10-1.htm" TargetMode="External"/><Relationship Id="rId261" Type="http://schemas.openxmlformats.org/officeDocument/2006/relationships/hyperlink" Target="https://www.sec.gov/Archives/edgar/data/1567683/000110465921130024/tm2130927d1_ex10-1.htm" TargetMode="External"/><Relationship Id="rId262" Type="http://schemas.openxmlformats.org/officeDocument/2006/relationships/hyperlink" Target="https://www.sec.gov/Archives/edgar/data/1567683/000110465921145441/tm2134349d1_ex10-2.htm" TargetMode="External"/><Relationship Id="rId263" Type="http://schemas.openxmlformats.org/officeDocument/2006/relationships/hyperlink" Target="https://www.sec.gov/Archives/edgar/data/1567683/000110465922004681/tm222995d1_ex10-1.htm" TargetMode="External"/><Relationship Id="rId264" Type="http://schemas.openxmlformats.org/officeDocument/2006/relationships/hyperlink" Target="https://www.sec.gov/Archives/edgar/data/1567683/000110465922004681/tm222995d1_ex10-2.htm" TargetMode="External"/><Relationship Id="rId265" Type="http://schemas.openxmlformats.org/officeDocument/2006/relationships/hyperlink" Target="https://www.sec.gov/Archives/edgar/data/1567683/000110465921036280/tm219707d1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2022-02-28T05:25:58Z</dcterms:created>
  <dcterms:modified xsi:type="dcterms:W3CDTF">2022-02-28T05:25:58Z</dcterms:modified>
</cp:coreProperties>
</file>