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Ford Brian R.</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06/01/2021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5"/>
          </w:tcPr>
          <w:p>
            <w:pPr>
              <w:jc w:val="center"/>
              <w:ind w:left="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5"/>
            <w:vMerge w:val="restart"/>
          </w:tcPr>
          <w:p>
            <w:pPr>
              <w:jc w:val="center"/>
              <w:ind w:left="5"/>
              <w:spacing w:after="0"/>
              <w:rPr>
                <w:sz w:val="20"/>
                <w:szCs w:val="20"/>
                <w:color w:val="auto"/>
              </w:rPr>
            </w:pPr>
            <w:r>
              <w:rPr>
                <w:rFonts w:ascii="Arial" w:cs="Arial" w:eastAsia="Arial" w:hAnsi="Arial"/>
                <w:sz w:val="17"/>
                <w:szCs w:val="17"/>
                <w:color w:val="0000FF"/>
                <w:w w:val="93"/>
              </w:rPr>
              <w:t>06/01/2021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ind w:left="51"/>
              <w:spacing w:after="0"/>
              <w:rPr>
                <w:sz w:val="20"/>
                <w:szCs w:val="20"/>
                <w:color w:val="auto"/>
              </w:rPr>
            </w:pPr>
            <w:r>
              <w:rPr>
                <w:rFonts w:ascii="Arial" w:cs="Arial" w:eastAsia="Arial" w:hAnsi="Arial"/>
                <w:sz w:val="17"/>
                <w:szCs w:val="17"/>
                <w:color w:val="0000FF"/>
                <w:w w:val="85"/>
              </w:rPr>
              <w:t>4,959</w:t>
            </w:r>
            <w:r>
              <w:rPr>
                <w:rFonts w:ascii="Arial" w:cs="Arial" w:eastAsia="Arial" w:hAnsi="Arial"/>
                <w:sz w:val="22"/>
                <w:szCs w:val="22"/>
                <w:color w:val="008000"/>
                <w:w w:val="85"/>
                <w:vertAlign w:val="superscript"/>
              </w:rPr>
              <w:t>(1)</w:t>
            </w:r>
          </w:p>
        </w:tc>
        <w:tc>
          <w:tcPr>
            <w:tcW w:w="440" w:type="dxa"/>
            <w:vAlign w:val="bottom"/>
            <w:vMerge w:val="restart"/>
          </w:tcPr>
          <w:p>
            <w:pPr>
              <w:jc w:val="center"/>
              <w:ind w:left="214"/>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51,809</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20" w:type="dxa"/>
            <w:vAlign w:val="bottom"/>
            <w:gridSpan w:val="5"/>
            <w:vMerge w:val="restart"/>
          </w:tcPr>
          <w:p>
            <w:pPr>
              <w:jc w:val="center"/>
              <w:ind w:left="5"/>
              <w:spacing w:after="0"/>
              <w:rPr>
                <w:sz w:val="20"/>
                <w:szCs w:val="20"/>
                <w:color w:val="auto"/>
              </w:rPr>
            </w:pPr>
            <w:r>
              <w:rPr>
                <w:rFonts w:ascii="Arial" w:cs="Arial" w:eastAsia="Arial" w:hAnsi="Arial"/>
                <w:sz w:val="17"/>
                <w:szCs w:val="17"/>
                <w:color w:val="0000FF"/>
                <w:w w:val="93"/>
              </w:rPr>
              <w:t>06/01/2021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ind w:left="71"/>
              <w:spacing w:after="0"/>
              <w:rPr>
                <w:sz w:val="20"/>
                <w:szCs w:val="20"/>
                <w:color w:val="auto"/>
              </w:rPr>
            </w:pPr>
            <w:r>
              <w:rPr>
                <w:rFonts w:ascii="Arial" w:cs="Arial" w:eastAsia="Arial" w:hAnsi="Arial"/>
                <w:sz w:val="17"/>
                <w:szCs w:val="17"/>
                <w:color w:val="0000FF"/>
                <w:w w:val="94"/>
              </w:rPr>
              <w:t>87</w:t>
            </w:r>
          </w:p>
        </w:tc>
        <w:tc>
          <w:tcPr>
            <w:tcW w:w="440" w:type="dxa"/>
            <w:vAlign w:val="bottom"/>
            <w:vMerge w:val="restart"/>
          </w:tcPr>
          <w:p>
            <w:pPr>
              <w:jc w:val="center"/>
              <w:ind w:left="214"/>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7,731</w:t>
            </w:r>
            <w:r>
              <w:rPr>
                <w:rFonts w:ascii="Arial" w:cs="Arial" w:eastAsia="Arial" w:hAnsi="Arial"/>
                <w:sz w:val="22"/>
                <w:szCs w:val="22"/>
                <w:color w:val="008000"/>
                <w:w w:val="85"/>
                <w:vertAlign w:val="superscript"/>
              </w:rPr>
              <w:t>(4)</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5"/>
            <w:vMerge w:val="restart"/>
          </w:tcPr>
          <w:p>
            <w:pPr>
              <w:jc w:val="center"/>
              <w:ind w:left="5"/>
              <w:spacing w:after="0"/>
              <w:rPr>
                <w:sz w:val="20"/>
                <w:szCs w:val="20"/>
                <w:color w:val="auto"/>
              </w:rPr>
            </w:pPr>
            <w:r>
              <w:rPr>
                <w:rFonts w:ascii="Arial" w:cs="Arial" w:eastAsia="Arial" w:hAnsi="Arial"/>
                <w:sz w:val="17"/>
                <w:szCs w:val="17"/>
                <w:color w:val="0000FF"/>
                <w:w w:val="93"/>
              </w:rPr>
              <w:t>06/01/2021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ind w:left="71"/>
              <w:spacing w:after="0"/>
              <w:rPr>
                <w:sz w:val="20"/>
                <w:szCs w:val="20"/>
                <w:color w:val="auto"/>
              </w:rPr>
            </w:pPr>
            <w:r>
              <w:rPr>
                <w:rFonts w:ascii="Arial" w:cs="Arial" w:eastAsia="Arial" w:hAnsi="Arial"/>
                <w:sz w:val="17"/>
                <w:szCs w:val="17"/>
                <w:color w:val="0000FF"/>
                <w:w w:val="91"/>
              </w:rPr>
              <w:t>625</w:t>
            </w:r>
          </w:p>
        </w:tc>
        <w:tc>
          <w:tcPr>
            <w:tcW w:w="440" w:type="dxa"/>
            <w:vAlign w:val="bottom"/>
            <w:vMerge w:val="restart"/>
          </w:tcPr>
          <w:p>
            <w:pPr>
              <w:jc w:val="center"/>
              <w:ind w:left="214"/>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52,434</w:t>
            </w:r>
            <w:r>
              <w:rPr>
                <w:rFonts w:ascii="Arial" w:cs="Arial" w:eastAsia="Arial" w:hAnsi="Arial"/>
                <w:sz w:val="22"/>
                <w:szCs w:val="22"/>
                <w:color w:val="008000"/>
                <w:w w:val="85"/>
                <w:vertAlign w:val="superscript"/>
              </w:rPr>
              <w:t>(5)</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jc w:val="center"/>
              <w:ind w:right="3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4,959 Deferred Stock Units issued to the Reporting Person by Clearway Energy, Inc. under Clearway Energy, Inc.'s Amended and Restated 2013 Equity Incentive Plan.</w:t>
      </w:r>
    </w:p>
    <w:p>
      <w:pPr>
        <w:spacing w:after="0" w:line="50"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Deferred Stock Unit is equivalent in value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w:t>
      </w:r>
    </w:p>
    <w:p>
      <w:pPr>
        <w:spacing w:after="0" w:line="15" w:lineRule="exact"/>
        <w:rPr>
          <w:rFonts w:ascii="Arial" w:cs="Arial" w:eastAsia="Arial" w:hAnsi="Arial"/>
          <w:sz w:val="13"/>
          <w:szCs w:val="13"/>
          <w:color w:val="008000"/>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2,184 dividend equivalent rights that may only be settled in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8,772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2021-06-03T16:18:12Z</dcterms:created>
  <dcterms:modified xsi:type="dcterms:W3CDTF">2021-06-03T16:18:12Z</dcterms:modified>
</cp:coreProperties>
</file>