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1" w:lineRule="exact"/>
        <w:rPr>
          <w:sz w:val="24"/>
          <w:szCs w:val="24"/>
          <w:color w:val="auto"/>
        </w:rPr>
      </w:pPr>
    </w:p>
    <w:p>
      <w:pPr>
        <w:ind w:left="4240" w:right="2800" w:hanging="3757"/>
        <w:spacing w:after="0" w:line="510" w:lineRule="auto"/>
        <w:tabs>
          <w:tab w:leader="none" w:pos="1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333-203369</w:t>
      </w:r>
    </w:p>
    <w:p>
      <w:pPr>
        <w:jc w:val="center"/>
        <w:spacing w:after="0"/>
        <w:rPr>
          <w:sz w:val="20"/>
          <w:szCs w:val="20"/>
          <w:color w:val="auto"/>
        </w:rPr>
      </w:pPr>
      <w:r>
        <w:rPr>
          <w:rFonts w:ascii="Arial" w:cs="Arial" w:eastAsia="Arial" w:hAnsi="Arial"/>
          <w:sz w:val="43"/>
          <w:szCs w:val="43"/>
          <w:b w:val="1"/>
          <w:bCs w:val="1"/>
          <w:color w:val="auto"/>
        </w:rPr>
        <w:t>NRG Yield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6580" w:type="dxa"/>
            <w:vAlign w:val="bottom"/>
          </w:tcPr>
          <w:p>
            <w:pPr>
              <w:jc w:val="center"/>
              <w:ind w:right="309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16"/>
        </w:trPr>
        <w:tc>
          <w:tcPr>
            <w:tcW w:w="6580" w:type="dxa"/>
            <w:vAlign w:val="bottom"/>
          </w:tcPr>
          <w:p>
            <w:pPr>
              <w:jc w:val="center"/>
              <w:ind w:right="3090"/>
              <w:spacing w:after="0"/>
              <w:rPr>
                <w:sz w:val="20"/>
                <w:szCs w:val="20"/>
                <w:color w:val="auto"/>
              </w:rPr>
            </w:pPr>
            <w:r>
              <w:rPr>
                <w:rFonts w:ascii="Arial" w:cs="Arial" w:eastAsia="Arial" w:hAnsi="Arial"/>
                <w:sz w:val="18"/>
                <w:szCs w:val="18"/>
                <w:color w:val="auto"/>
                <w:w w:val="91"/>
              </w:rPr>
              <w:t>(State or other jurisdiction</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580" w:type="dxa"/>
            <w:vAlign w:val="bottom"/>
          </w:tcPr>
          <w:p>
            <w:pPr>
              <w:jc w:val="center"/>
              <w:ind w:right="3090"/>
              <w:spacing w:after="0"/>
              <w:rPr>
                <w:sz w:val="20"/>
                <w:szCs w:val="20"/>
                <w:color w:val="auto"/>
              </w:rPr>
            </w:pPr>
            <w:r>
              <w:rPr>
                <w:rFonts w:ascii="Arial" w:cs="Arial" w:eastAsia="Arial" w:hAnsi="Arial"/>
                <w:sz w:val="18"/>
                <w:szCs w:val="18"/>
                <w:color w:val="auto"/>
                <w:w w:val="92"/>
              </w:rPr>
              <w:t>of 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6580" w:type="dxa"/>
            <w:vAlign w:val="bottom"/>
          </w:tcPr>
          <w:p>
            <w:pPr>
              <w:jc w:val="center"/>
              <w:ind w:right="3110"/>
              <w:spacing w:after="0"/>
              <w:rPr>
                <w:sz w:val="20"/>
                <w:szCs w:val="20"/>
                <w:color w:val="auto"/>
              </w:rPr>
            </w:pPr>
            <w:r>
              <w:rPr>
                <w:rFonts w:ascii="Arial" w:cs="Arial" w:eastAsia="Arial" w:hAnsi="Arial"/>
                <w:sz w:val="18"/>
                <w:szCs w:val="18"/>
                <w:b w:val="1"/>
                <w:bCs w:val="1"/>
                <w:color w:val="auto"/>
                <w:w w:val="89"/>
              </w:rPr>
              <w:t>804 Carnegie Center, Princeton, New Jersey</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6580" w:type="dxa"/>
            <w:vAlign w:val="bottom"/>
          </w:tcPr>
          <w:p>
            <w:pPr>
              <w:jc w:val="center"/>
              <w:ind w:right="311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45"/>
        </w:trPr>
        <w:tc>
          <w:tcPr>
            <w:tcW w:w="6580" w:type="dxa"/>
            <w:vAlign w:val="bottom"/>
          </w:tcPr>
          <w:p>
            <w:pPr>
              <w:jc w:val="right"/>
              <w:ind w:right="1370"/>
              <w:spacing w:after="0"/>
              <w:rPr>
                <w:sz w:val="20"/>
                <w:szCs w:val="20"/>
                <w:color w:val="auto"/>
              </w:rPr>
            </w:pPr>
            <w:r>
              <w:rPr>
                <w:rFonts w:ascii="Arial" w:cs="Arial" w:eastAsia="Arial" w:hAnsi="Arial"/>
                <w:sz w:val="18"/>
                <w:szCs w:val="18"/>
                <w:b w:val="1"/>
                <w:bCs w:val="1"/>
                <w:color w:val="auto"/>
              </w:rPr>
              <w:t>(609) 524-4500</w:t>
            </w:r>
          </w:p>
        </w:tc>
        <w:tc>
          <w:tcPr>
            <w:tcW w:w="1460" w:type="dxa"/>
            <w:vAlign w:val="bottom"/>
          </w:tcPr>
          <w:p>
            <w:pPr>
              <w:spacing w:after="0"/>
              <w:rPr>
                <w:sz w:val="24"/>
                <w:szCs w:val="24"/>
                <w:color w:val="auto"/>
              </w:rPr>
            </w:pPr>
          </w:p>
        </w:tc>
      </w:tr>
      <w:tr>
        <w:trPr>
          <w:trHeight w:val="230"/>
        </w:trPr>
        <w:tc>
          <w:tcPr>
            <w:tcW w:w="6580" w:type="dxa"/>
            <w:vAlign w:val="bottom"/>
          </w:tcPr>
          <w:p>
            <w:pPr>
              <w:jc w:val="center"/>
              <w:ind w:left="2430"/>
              <w:spacing w:after="0"/>
              <w:rPr>
                <w:sz w:val="20"/>
                <w:szCs w:val="20"/>
                <w:color w:val="auto"/>
              </w:rPr>
            </w:pPr>
            <w:r>
              <w:rPr>
                <w:rFonts w:ascii="Arial" w:cs="Arial" w:eastAsia="Arial" w:hAnsi="Arial"/>
                <w:sz w:val="18"/>
                <w:szCs w:val="18"/>
                <w:color w:val="auto"/>
                <w:w w:val="90"/>
              </w:rPr>
              <w:t>(Registrant’s telephone number, including area code)</w:t>
            </w:r>
          </w:p>
        </w:tc>
        <w:tc>
          <w:tcPr>
            <w:tcW w:w="1460" w:type="dxa"/>
            <w:vAlign w:val="bottom"/>
          </w:tcPr>
          <w:p>
            <w:pPr>
              <w:spacing w:after="0"/>
              <w:rPr>
                <w:sz w:val="20"/>
                <w:szCs w:val="20"/>
                <w:color w:val="auto"/>
              </w:rPr>
            </w:pPr>
          </w:p>
        </w:tc>
      </w:tr>
    </w:tbl>
    <w:p>
      <w:pPr>
        <w:spacing w:after="0" w:line="98"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w:t>
      </w:r>
      <w:r>
        <w:rPr>
          <w:rFonts w:ascii="Arial" w:cs="Arial" w:eastAsia="Arial" w:hAnsi="Arial"/>
          <w:sz w:val="16"/>
          <w:szCs w:val="16"/>
          <w:b w:val="1"/>
          <w:bCs w:val="1"/>
          <w:color w:val="auto"/>
        </w:rPr>
        <w:t>Yes</w:t>
      </w:r>
      <w:r>
        <w:rPr>
          <w:rFonts w:ascii="Arial" w:cs="Arial" w:eastAsia="Arial" w:hAnsi="Arial"/>
          <w:sz w:val="16"/>
          <w:szCs w:val="16"/>
          <w:color w:val="auto"/>
        </w:rPr>
        <w:t xml:space="preserve"> o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84"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75"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p>
      <w:pPr>
        <w:ind w:left="300"/>
        <w:spacing w:after="0"/>
        <w:tabs>
          <w:tab w:leader="none" w:pos="2480" w:val="left"/>
          <w:tab w:leader="none" w:pos="4400" w:val="left"/>
          <w:tab w:leader="none" w:pos="6700" w:val="left"/>
          <w:tab w:leader="none" w:pos="9260" w:val="left"/>
        </w:tabs>
        <w:rPr>
          <w:sz w:val="20"/>
          <w:szCs w:val="20"/>
          <w:color w:val="auto"/>
        </w:rPr>
      </w:pPr>
      <w:r>
        <w:rPr>
          <w:rFonts w:ascii="Arial" w:cs="Arial" w:eastAsia="Arial" w:hAnsi="Arial"/>
          <w:sz w:val="14"/>
          <w:szCs w:val="14"/>
          <w:b w:val="1"/>
          <w:bCs w:val="1"/>
          <w:color w:val="auto"/>
        </w:rPr>
        <w:t xml:space="preserve">Large 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Non-accelerated filer x</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r>
        <w:rPr>
          <w:sz w:val="20"/>
          <w:szCs w:val="20"/>
          <w:color w:val="auto"/>
        </w:rPr>
        <w:tab/>
      </w:r>
      <w:r>
        <w:rPr>
          <w:rFonts w:ascii="Arial" w:cs="Arial" w:eastAsia="Arial" w:hAnsi="Arial"/>
          <w:sz w:val="12"/>
          <w:szCs w:val="12"/>
          <w:b w:val="1"/>
          <w:bCs w:val="1"/>
          <w:color w:val="auto"/>
        </w:rPr>
        <w:t xml:space="preserve">Emerging growth company </w:t>
      </w:r>
      <w:r>
        <w:rPr>
          <w:rFonts w:ascii="Arial" w:cs="Arial" w:eastAsia="Arial" w:hAnsi="Arial"/>
          <w:sz w:val="12"/>
          <w:szCs w:val="12"/>
          <w:color w:val="auto"/>
        </w:rPr>
        <w:t>o</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(Do not check if a smaller reporting</w:t>
      </w:r>
    </w:p>
    <w:p>
      <w:pPr>
        <w:jc w:val="center"/>
        <w:ind w:right="1200"/>
        <w:spacing w:after="0"/>
        <w:rPr>
          <w:sz w:val="20"/>
          <w:szCs w:val="20"/>
          <w:color w:val="auto"/>
        </w:rPr>
      </w:pPr>
      <w:r>
        <w:rPr>
          <w:rFonts w:ascii="Arial" w:cs="Arial" w:eastAsia="Arial" w:hAnsi="Arial"/>
          <w:sz w:val="14"/>
          <w:szCs w:val="14"/>
          <w:color w:val="auto"/>
        </w:rPr>
        <w:t>company)</w:t>
      </w:r>
    </w:p>
    <w:p>
      <w:pPr>
        <w:spacing w:after="0" w:line="79" w:lineRule="exact"/>
        <w:rPr>
          <w:sz w:val="24"/>
          <w:szCs w:val="24"/>
          <w:color w:val="auto"/>
        </w:rPr>
      </w:pPr>
    </w:p>
    <w:p>
      <w:pPr>
        <w:jc w:val="both"/>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9" w:lineRule="exact"/>
        <w:rPr>
          <w:sz w:val="24"/>
          <w:szCs w:val="24"/>
          <w:color w:val="auto"/>
        </w:rPr>
      </w:pPr>
    </w:p>
    <w:p>
      <w:pPr>
        <w:ind w:left="5240"/>
        <w:spacing w:after="0"/>
        <w:tabs>
          <w:tab w:leader="none" w:pos="58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17"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As of October 31, 2017, there were 34,586,250 Class A units outstanding, 42,738,750 Class B units outstanding, 64,717,087 Class C units outstanding, and 42,738,750 Class D units outstanding. There is no public market for the registrant's outstanding units.</w:t>
      </w:r>
    </w:p>
    <w:p>
      <w:pPr>
        <w:spacing w:after="0" w:line="3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NOTE: WHEREAS NRG YIELD LLC MEETS THE CONDITIONS SET FORTH IN GENERAL INSTRUCTION H(1)(a) AND (b) OF FORM 10-Q, THIS FORM 10-Q IS BEING FILED WITH THE REDUCED DISCLOSURE FORMAT PURSUANT TO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201295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35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60</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61</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06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This Quarterly Report on Form 10-Q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of the Company's Annual Report on Form 10-K for the year ended December 31, 2016, and under Item 1A - Risk Factors in Part II on the Company's Quarterly Report on Form 10-Q for the quarter ended June 30, 2017, as well as the following:</w:t>
      </w:r>
    </w:p>
    <w:p>
      <w:pPr>
        <w:spacing w:after="0" w:line="11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NRG Transformation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and in the indentures governing the Senior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8680" w:type="dxa"/>
            <w:vAlign w:val="bottom"/>
          </w:tcPr>
          <w:p>
            <w:pPr>
              <w:ind w:left="202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680" w:type="dxa"/>
            <w:vAlign w:val="bottom"/>
          </w:tcPr>
          <w:p>
            <w:pPr>
              <w:spacing w:after="0"/>
              <w:rPr>
                <w:sz w:val="20"/>
                <w:szCs w:val="20"/>
                <w:color w:val="auto"/>
              </w:rPr>
            </w:pPr>
            <w:r>
              <w:rPr>
                <w:rFonts w:ascii="Arial" w:cs="Arial" w:eastAsia="Arial" w:hAnsi="Arial"/>
                <w:sz w:val="18"/>
                <w:szCs w:val="18"/>
                <w:color w:val="auto"/>
              </w:rPr>
              <w:t>2016 Form 10-K</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rPr>
              <w:t>NRG Yield LLC's Annual Report on Form 10-K for the year ended December 31, 2016</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680" w:type="dxa"/>
            <w:vAlign w:val="bottom"/>
          </w:tcPr>
          <w:p>
            <w:pPr>
              <w:spacing w:after="0"/>
              <w:rPr>
                <w:sz w:val="20"/>
                <w:szCs w:val="20"/>
                <w:color w:val="auto"/>
              </w:rPr>
            </w:pPr>
            <w:r>
              <w:rPr>
                <w:rFonts w:ascii="Arial" w:cs="Arial" w:eastAsia="Arial" w:hAnsi="Arial"/>
                <w:sz w:val="18"/>
                <w:szCs w:val="18"/>
                <w:color w:val="auto"/>
              </w:rPr>
              <w:t>2024 Senior Notes</w:t>
            </w:r>
          </w:p>
        </w:tc>
        <w:tc>
          <w:tcPr>
            <w:tcW w:w="8680" w:type="dxa"/>
            <w:vAlign w:val="bottom"/>
          </w:tcPr>
          <w:p>
            <w:pPr>
              <w:ind w:left="280"/>
              <w:spacing w:after="0"/>
              <w:rPr>
                <w:sz w:val="20"/>
                <w:szCs w:val="20"/>
                <w:color w:val="auto"/>
              </w:rPr>
            </w:pPr>
            <w:r>
              <w:rPr>
                <w:rFonts w:ascii="Arial" w:cs="Arial" w:eastAsia="Arial" w:hAnsi="Arial"/>
                <w:sz w:val="18"/>
                <w:szCs w:val="18"/>
                <w:color w:val="auto"/>
                <w:w w:val="98"/>
              </w:rPr>
              <w:t>$500 million aggregate principal amount of 5.375% unsecured senior notes due 2024, issued by NRG Yield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2026 Senior Notes</w:t>
            </w:r>
          </w:p>
        </w:tc>
        <w:tc>
          <w:tcPr>
            <w:tcW w:w="8680" w:type="dxa"/>
            <w:vAlign w:val="bottom"/>
          </w:tcPr>
          <w:p>
            <w:pPr>
              <w:ind w:left="280"/>
              <w:spacing w:after="0"/>
              <w:rPr>
                <w:sz w:val="20"/>
                <w:szCs w:val="20"/>
                <w:color w:val="auto"/>
              </w:rPr>
            </w:pPr>
            <w:r>
              <w:rPr>
                <w:rFonts w:ascii="Arial" w:cs="Arial" w:eastAsia="Arial" w:hAnsi="Arial"/>
                <w:sz w:val="18"/>
                <w:szCs w:val="18"/>
                <w:color w:val="auto"/>
                <w:w w:val="99"/>
              </w:rPr>
              <w:t>$350 million aggregate principal amount of 5.00% unsecured senior notes due 2026, issued by NRG Yield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ASC</w:t>
            </w:r>
          </w:p>
        </w:tc>
        <w:tc>
          <w:tcPr>
            <w:tcW w:w="8680" w:type="dxa"/>
            <w:vAlign w:val="bottom"/>
          </w:tcPr>
          <w:p>
            <w:pPr>
              <w:ind w:left="28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ASU</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ATM Program</w:t>
            </w:r>
          </w:p>
        </w:tc>
        <w:tc>
          <w:tcPr>
            <w:tcW w:w="8680" w:type="dxa"/>
            <w:vAlign w:val="bottom"/>
          </w:tcPr>
          <w:p>
            <w:pPr>
              <w:ind w:left="28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August 2017 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w w:val="94"/>
              </w:rPr>
              <w:t>The remaining 25% interest in NRG Wind TE Holdco, an 814 net MW portfolio of twelve wind projects, acquired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from NRG on August 1, 2017</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Buffalo Bear</w:t>
            </w:r>
          </w:p>
        </w:tc>
        <w:tc>
          <w:tcPr>
            <w:tcW w:w="8680" w:type="dxa"/>
            <w:vAlign w:val="bottom"/>
          </w:tcPr>
          <w:p>
            <w:pPr>
              <w:ind w:left="28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CAFD</w:t>
            </w:r>
          </w:p>
        </w:tc>
        <w:tc>
          <w:tcPr>
            <w:tcW w:w="8680" w:type="dxa"/>
            <w:vAlign w:val="bottom"/>
          </w:tcPr>
          <w:p>
            <w:pPr>
              <w:ind w:left="280"/>
              <w:spacing w:after="0"/>
              <w:rPr>
                <w:sz w:val="20"/>
                <w:szCs w:val="20"/>
                <w:color w:val="auto"/>
              </w:rPr>
            </w:pPr>
            <w:r>
              <w:rPr>
                <w:rFonts w:ascii="Arial" w:cs="Arial" w:eastAsia="Arial" w:hAnsi="Arial"/>
                <w:sz w:val="18"/>
                <w:szCs w:val="18"/>
                <w:color w:val="auto"/>
                <w:w w:val="92"/>
              </w:rPr>
              <w:t xml:space="preserve">Cash Available For Distribution, which the Company </w:t>
            </w:r>
            <w:r>
              <w:rPr>
                <w:rFonts w:ascii="Arial" w:cs="Arial" w:eastAsia="Arial" w:hAnsi="Arial"/>
                <w:sz w:val="18"/>
                <w:szCs w:val="18"/>
                <w:color w:val="231F20"/>
                <w:w w:val="92"/>
              </w:rPr>
              <w:t>defines as net income before interest expense, income taxes,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6"/>
              </w:rPr>
              <w:t>depreciation and amortization, plus cash distributions from unconsolidated affiliates, cash receipts from notes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3"/>
              </w:rPr>
              <w:t>receivable, less cash distributions to noncontrolling interests, maintenance capital expenditures, pro-rata EBITDA</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4"/>
              </w:rPr>
              <w:t>from unconsolidated affiliates, cash interest paid, income taxes paid, principal amortization of indebtedness and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rPr>
              <w:t>changes in prepaid and accrued capacity payments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Company</w:t>
            </w:r>
          </w:p>
        </w:tc>
        <w:tc>
          <w:tcPr>
            <w:tcW w:w="8680" w:type="dxa"/>
            <w:vAlign w:val="bottom"/>
          </w:tcPr>
          <w:p>
            <w:pPr>
              <w:ind w:left="280"/>
              <w:spacing w:after="0"/>
              <w:rPr>
                <w:sz w:val="20"/>
                <w:szCs w:val="20"/>
                <w:color w:val="auto"/>
              </w:rPr>
            </w:pPr>
            <w:r>
              <w:rPr>
                <w:rFonts w:ascii="Arial" w:cs="Arial" w:eastAsia="Arial" w:hAnsi="Arial"/>
                <w:sz w:val="18"/>
                <w:szCs w:val="18"/>
                <w:color w:val="auto"/>
              </w:rPr>
              <w:t>NRG Yield LLC, together with its consolidated subsidiaries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w:t>
            </w:r>
          </w:p>
        </w:tc>
        <w:tc>
          <w:tcPr>
            <w:tcW w:w="8680" w:type="dxa"/>
            <w:vAlign w:val="bottom"/>
          </w:tcPr>
          <w:p>
            <w:pPr>
              <w:ind w:left="28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 Drop Down</w:t>
            </w:r>
          </w:p>
        </w:tc>
        <w:tc>
          <w:tcPr>
            <w:tcW w:w="8680" w:type="dxa"/>
            <w:vAlign w:val="bottom"/>
          </w:tcPr>
          <w:p>
            <w:pPr>
              <w:ind w:left="280"/>
              <w:spacing w:after="0"/>
              <w:rPr>
                <w:sz w:val="20"/>
                <w:szCs w:val="20"/>
                <w:color w:val="auto"/>
              </w:rPr>
            </w:pPr>
            <w:r>
              <w:rPr>
                <w:rFonts w:ascii="Arial" w:cs="Arial" w:eastAsia="Arial" w:hAnsi="Arial"/>
                <w:sz w:val="18"/>
                <w:szCs w:val="18"/>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 Holdco</w:t>
            </w:r>
          </w:p>
        </w:tc>
        <w:tc>
          <w:tcPr>
            <w:tcW w:w="8680" w:type="dxa"/>
            <w:vAlign w:val="bottom"/>
          </w:tcPr>
          <w:p>
            <w:pPr>
              <w:ind w:left="28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1</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2</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2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3</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3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Distributed Solar</w:t>
            </w:r>
          </w:p>
        </w:tc>
        <w:tc>
          <w:tcPr>
            <w:tcW w:w="8680" w:type="dxa"/>
            <w:vAlign w:val="bottom"/>
          </w:tcPr>
          <w:p>
            <w:pPr>
              <w:ind w:left="28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Collectively, the June 2014 Drop Down Assets, January 2015 Drop Down Assets, November 2015 Drop Down</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Assets, CVSR Drop Down, March 2017 Drop Down Assets and August 2017 Drop Down Assets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Economic Gross Margin</w:t>
            </w:r>
          </w:p>
        </w:tc>
        <w:tc>
          <w:tcPr>
            <w:tcW w:w="8680" w:type="dxa"/>
            <w:vAlign w:val="bottom"/>
          </w:tcPr>
          <w:p>
            <w:pPr>
              <w:ind w:left="28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El Segundo</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NRG West Holdings LLC, the subsidiary of Natural Gas Repowering LLC, which owns the El Segundo Energy</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Center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ERCOT</w:t>
            </w:r>
          </w:p>
        </w:tc>
        <w:tc>
          <w:tcPr>
            <w:tcW w:w="8680" w:type="dxa"/>
            <w:vAlign w:val="bottom"/>
          </w:tcPr>
          <w:p>
            <w:pPr>
              <w:ind w:left="280"/>
              <w:spacing w:after="0"/>
              <w:rPr>
                <w:sz w:val="20"/>
                <w:szCs w:val="20"/>
                <w:color w:val="auto"/>
              </w:rPr>
            </w:pPr>
            <w:r>
              <w:rPr>
                <w:rFonts w:ascii="Arial" w:cs="Arial" w:eastAsia="Arial" w:hAnsi="Arial"/>
                <w:sz w:val="18"/>
                <w:szCs w:val="18"/>
                <w:color w:val="auto"/>
                <w:w w:val="98"/>
              </w:rPr>
              <w:t>Electric Reliability Council of Texas, the ISO and the regional reliability coordinator of the various electricity</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systems within Texas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EWG</w:t>
            </w:r>
          </w:p>
        </w:tc>
        <w:tc>
          <w:tcPr>
            <w:tcW w:w="8680" w:type="dxa"/>
            <w:vAlign w:val="bottom"/>
          </w:tcPr>
          <w:p>
            <w:pPr>
              <w:ind w:left="28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Exchange Act</w:t>
            </w:r>
          </w:p>
        </w:tc>
        <w:tc>
          <w:tcPr>
            <w:tcW w:w="8680" w:type="dxa"/>
            <w:vAlign w:val="bottom"/>
          </w:tcPr>
          <w:p>
            <w:pPr>
              <w:ind w:left="28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FASB</w:t>
            </w:r>
          </w:p>
        </w:tc>
        <w:tc>
          <w:tcPr>
            <w:tcW w:w="8680" w:type="dxa"/>
            <w:vAlign w:val="bottom"/>
          </w:tcPr>
          <w:p>
            <w:pPr>
              <w:ind w:left="28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FERC</w:t>
            </w:r>
          </w:p>
        </w:tc>
        <w:tc>
          <w:tcPr>
            <w:tcW w:w="8680" w:type="dxa"/>
            <w:vAlign w:val="bottom"/>
          </w:tcPr>
          <w:p>
            <w:pPr>
              <w:ind w:left="28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GAAP</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GenConn</w:t>
            </w:r>
          </w:p>
        </w:tc>
        <w:tc>
          <w:tcPr>
            <w:tcW w:w="8680" w:type="dxa"/>
            <w:vAlign w:val="bottom"/>
          </w:tcPr>
          <w:p>
            <w:pPr>
              <w:ind w:left="28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HLBV</w:t>
            </w:r>
          </w:p>
        </w:tc>
        <w:tc>
          <w:tcPr>
            <w:tcW w:w="8680" w:type="dxa"/>
            <w:vAlign w:val="bottom"/>
          </w:tcPr>
          <w:p>
            <w:pPr>
              <w:ind w:left="28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IASB</w:t>
            </w:r>
          </w:p>
        </w:tc>
        <w:tc>
          <w:tcPr>
            <w:tcW w:w="8680" w:type="dxa"/>
            <w:vAlign w:val="bottom"/>
          </w:tcPr>
          <w:p>
            <w:pPr>
              <w:ind w:left="28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ISO</w:t>
            </w:r>
          </w:p>
        </w:tc>
        <w:tc>
          <w:tcPr>
            <w:tcW w:w="8680" w:type="dxa"/>
            <w:vAlign w:val="bottom"/>
          </w:tcPr>
          <w:p>
            <w:pPr>
              <w:ind w:left="28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w w:val="93"/>
              </w:rPr>
              <w:t>The Laredo Ridge, Tapestry and Walnut Creek projects, which were acquired by Yield Operating LLC from NRG</w:t>
            </w:r>
          </w:p>
        </w:tc>
        <w:tc>
          <w:tcPr>
            <w:tcW w:w="0" w:type="dxa"/>
            <w:vAlign w:val="bottom"/>
          </w:tcPr>
          <w:p>
            <w:pPr>
              <w:spacing w:after="0"/>
              <w:rPr>
                <w:sz w:val="1"/>
                <w:szCs w:val="1"/>
                <w:color w:val="auto"/>
              </w:rPr>
            </w:pPr>
          </w:p>
        </w:tc>
      </w:tr>
      <w:tr>
        <w:trPr>
          <w:trHeight w:val="67"/>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on January 2, 2015</w:t>
            </w:r>
          </w:p>
        </w:tc>
        <w:tc>
          <w:tcPr>
            <w:tcW w:w="0" w:type="dxa"/>
            <w:vAlign w:val="bottom"/>
          </w:tcPr>
          <w:p>
            <w:pPr>
              <w:spacing w:after="0"/>
              <w:rPr>
                <w:sz w:val="1"/>
                <w:szCs w:val="1"/>
                <w:color w:val="auto"/>
              </w:rPr>
            </w:pPr>
          </w:p>
        </w:tc>
      </w:tr>
      <w:tr>
        <w:trPr>
          <w:trHeight w:val="337"/>
        </w:trPr>
        <w:tc>
          <w:tcPr>
            <w:tcW w:w="2680" w:type="dxa"/>
            <w:vAlign w:val="bottom"/>
          </w:tcPr>
          <w:p>
            <w:pPr>
              <w:spacing w:after="0"/>
              <w:rPr>
                <w:sz w:val="20"/>
                <w:szCs w:val="20"/>
                <w:color w:val="auto"/>
              </w:rPr>
            </w:pPr>
            <w:r>
              <w:rPr>
                <w:rFonts w:ascii="Arial" w:cs="Arial" w:eastAsia="Arial" w:hAnsi="Arial"/>
                <w:sz w:val="18"/>
                <w:szCs w:val="18"/>
                <w:color w:val="auto"/>
              </w:rPr>
              <w:t>Kansas South</w:t>
            </w:r>
          </w:p>
        </w:tc>
        <w:tc>
          <w:tcPr>
            <w:tcW w:w="8680" w:type="dxa"/>
            <w:vAlign w:val="bottom"/>
          </w:tcPr>
          <w:p>
            <w:pPr>
              <w:ind w:left="28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Laredo Ridge</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project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LIBOR</w:t>
            </w:r>
          </w:p>
        </w:tc>
        <w:tc>
          <w:tcPr>
            <w:tcW w:w="8680" w:type="dxa"/>
            <w:vAlign w:val="bottom"/>
          </w:tcPr>
          <w:p>
            <w:pPr>
              <w:ind w:left="28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742" w:right="25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742"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March 2017 Drop Down Assets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 Agua Caliente Borrower 2 LLC, which owns a 16% interest (approximately 31% of NRG's 51% interest) in the Agua Caliente solar farm and (ii) NRG's 100% ownership in the Class A equity interests in the Utah Solar Portfolio (defined below), both acquired by the Company on March 27, 2017</w:t>
      </w:r>
    </w:p>
    <w:p>
      <w:pPr>
        <w:spacing w:after="0" w:line="19" w:lineRule="exact"/>
        <w:rPr>
          <w:sz w:val="20"/>
          <w:szCs w:val="20"/>
          <w:color w:val="auto"/>
        </w:rPr>
      </w:pPr>
    </w:p>
    <w:p>
      <w:pPr>
        <w:sectPr>
          <w:pgSz w:w="11900" w:h="16838" w:orient="portrait"/>
          <w:cols w:equalWidth="0" w:num="2">
            <w:col w:w="2280" w:space="680"/>
            <w:col w:w="8400"/>
          </w:cols>
          <w:pgMar w:left="280" w:top="908" w:right="259" w:bottom="1440" w:gutter="0" w:footer="0" w:header="0"/>
        </w:sectPr>
      </w:pPr>
    </w:p>
    <w:p>
      <w:pPr>
        <w:spacing w:after="0"/>
        <w:rPr>
          <w:sz w:val="20"/>
          <w:szCs w:val="20"/>
          <w:color w:val="auto"/>
        </w:rPr>
      </w:pPr>
      <w:r>
        <w:rPr>
          <w:rFonts w:ascii="Arial" w:cs="Arial" w:eastAsia="Arial" w:hAnsi="Arial"/>
          <w:sz w:val="16"/>
          <w:szCs w:val="16"/>
          <w:color w:val="auto"/>
        </w:rPr>
        <w:t>Marsh Landing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Marsh Landing LLC, formerly GenOn Marsh Landing LLC</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May 9, 2017 Form 8-K</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NRG Yield LLC Current Report on Form 8-K filed with the SEC on May 9, 2017 in connection with Yield Operating LLC's acquisition of the March 2017 Drop Down Assets</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Million British Thermal Units</w:t>
      </w:r>
    </w:p>
    <w:p>
      <w:pPr>
        <w:spacing w:after="0" w:line="74"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Saleable megawatt hours, net of internal/parasitic load megawatt-hours</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 Thermal Equivalent</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North American Electric Reliability Corporation</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Net Exposure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 credit exposure to NRG Yield, Inc. net of collateral</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November 2015 Drop Down Assets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75% of the Class B interests of NRG Wind TE Holdco, which owns a portfolio of 12 wind facilities totaling 814 net MW, which was acquired by Yield Operating LLC from NRG on November 3, 2015</w:t>
      </w:r>
    </w:p>
    <w:p>
      <w:pPr>
        <w:spacing w:after="0" w:line="8" w:lineRule="exact"/>
        <w:rPr>
          <w:sz w:val="20"/>
          <w:szCs w:val="20"/>
          <w:color w:val="auto"/>
        </w:rPr>
      </w:pPr>
    </w:p>
    <w:p>
      <w:pPr>
        <w:sectPr>
          <w:pgSz w:w="11900" w:h="16838" w:orient="portrait"/>
          <w:cols w:equalWidth="0" w:num="2">
            <w:col w:w="2580" w:space="38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November 2017 Drop Down Assets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38 MW portfolio of distributed and small utility-scale solar assets, primarily comprised of assets from NRG's Solar Power Partners (SPP) funds, in addition to other projects developed since the acquisition of SPP by NRG, which was acquired by NRG Yield Operating LLC from NRG on November 1, 2017</w:t>
      </w:r>
    </w:p>
    <w:p>
      <w:pPr>
        <w:spacing w:after="0" w:line="19" w:lineRule="exact"/>
        <w:rPr>
          <w:sz w:val="20"/>
          <w:szCs w:val="20"/>
          <w:color w:val="auto"/>
        </w:rPr>
      </w:pPr>
    </w:p>
    <w:p>
      <w:pPr>
        <w:sectPr>
          <w:pgSz w:w="11900" w:h="16838" w:orient="portrait"/>
          <w:cols w:equalWidth="0" w:num="2">
            <w:col w:w="2580" w:space="38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NRG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Energy, Inc.</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NRG Power Marketing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Power Marketing LLC</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NRG Transformation Plan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 three-year, three-part improvement plan announced by NRG on July 12, 2017, which includes exploring strategic alternatives for NRG's renewables platform and its interest in Yield, Inc.</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NRG 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Wind TE Holdco LLC</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comprehensive income/loss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Operation and Maintenance</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Pinnacle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Pinnacle Wind, LLC, the operating subsidiary of Tapestry Wind LLC, which owns the Pinnacle project</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4"/>
          <w:szCs w:val="14"/>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PUCT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Public Utility Commission of Texas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QF</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6"/>
          <w:szCs w:val="16"/>
          <w:color w:val="auto"/>
        </w:rPr>
        <w:t>Qualifying Facility under the Public Utility Regulatory Policies Act of 1978</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ROFO Agreement</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6"/>
          <w:szCs w:val="16"/>
          <w:color w:val="auto"/>
        </w:rPr>
        <w:t>Second Amended and Restated Right of First Offer Agreement between Yield, Inc. and NRG</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ROFO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Specified assets subject to sale, as described in the ROFO Agreement</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RPV Holdco 1 LLC</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Regional Transmission Originator</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Collectively, the 2024 Senior Notes and the 2026 Senior Notes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4"/>
          <w:szCs w:val="14"/>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Solar Power Partners</w:t>
      </w:r>
    </w:p>
    <w:p>
      <w:pPr>
        <w:spacing w:after="0" w:line="9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Taloga Wind, LLC, the operating subsidiary of Tapestry Wind LLC, which owns the Taloga project</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Collection of the Pinnacle, Buffalo Bear and Taloga projects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00"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80" w:top="908"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380"/>
          </w:cols>
          <w:pgMar w:left="280" w:top="908" w:right="279" w:bottom="1440" w:gutter="0" w:footer="0" w:header="0"/>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Walnut Creek, LLC, the operating subsidiary of WCEP Holdings, LLC, which owns the Walnut Creek project</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Yield, Inc.</w:t>
      </w:r>
    </w:p>
    <w:p>
      <w:pPr>
        <w:spacing w:after="0" w:line="75"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7"/>
          <w:szCs w:val="17"/>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Yield Operating LLC, the holder of the project assets that belong to NRG Yield LLC</w:t>
      </w:r>
    </w:p>
    <w:p>
      <w:pPr>
        <w:spacing w:after="0" w:line="211"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40"/>
          </w:cols>
          <w:pgMar w:left="280" w:top="908" w:right="279" w:bottom="1440" w:gutter="0" w:footer="0" w:header="0"/>
          <w:type w:val="continuous"/>
        </w:sectPr>
      </w:pPr>
    </w:p>
    <w:bookmarkStart w:id="6" w:name="page7"/>
    <w:bookmarkEnd w:id="6"/>
    <w:p>
      <w:pPr>
        <w:jc w:val="center"/>
        <w:ind w:right="-11"/>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29"/>
        </w:trPr>
        <w:tc>
          <w:tcPr>
            <w:tcW w:w="6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9"/>
                <w:szCs w:val="19"/>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16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789</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238</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12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470</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r>
      <w:tr>
        <w:trPr>
          <w:trHeight w:val="233"/>
        </w:trPr>
        <w:tc>
          <w:tcPr>
            <w:tcW w:w="614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1"/>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7"/>
        </w:trPr>
        <w:tc>
          <w:tcPr>
            <w:tcW w:w="20" w:type="dxa"/>
            <w:vAlign w:val="bottom"/>
          </w:tcPr>
          <w:p>
            <w:pPr>
              <w:spacing w:after="0"/>
              <w:rPr>
                <w:sz w:val="20"/>
                <w:szCs w:val="20"/>
                <w:color w:val="auto"/>
              </w:rPr>
            </w:pPr>
          </w:p>
        </w:tc>
        <w:tc>
          <w:tcPr>
            <w:tcW w:w="6120" w:type="dxa"/>
            <w:vAlign w:val="bottom"/>
            <w:gridSpan w:val="2"/>
          </w:tcPr>
          <w:p>
            <w:pPr>
              <w:ind w:left="240"/>
              <w:spacing w:after="0"/>
              <w:rPr>
                <w:sz w:val="20"/>
                <w:szCs w:val="20"/>
                <w:color w:val="auto"/>
              </w:rPr>
            </w:pPr>
            <w:r>
              <w:rPr>
                <w:rFonts w:ascii="Arial" w:cs="Arial" w:eastAsia="Arial" w:hAnsi="Arial"/>
                <w:sz w:val="17"/>
                <w:szCs w:val="17"/>
                <w:color w:val="auto"/>
              </w:rPr>
              <w:t>Total other expense, net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NRG Yield LLC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52" w:hanging="152"/>
        <w:spacing w:after="0"/>
        <w:tabs>
          <w:tab w:leader="none" w:pos="152"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742" w:right="25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29"/>
        </w:trPr>
        <w:tc>
          <w:tcPr>
            <w:tcW w:w="6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9"/>
                <w:szCs w:val="19"/>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180" w:type="dxa"/>
            <w:vAlign w:val="bottom"/>
          </w:tcPr>
          <w:p>
            <w:pPr>
              <w:spacing w:after="0"/>
              <w:rPr>
                <w:sz w:val="19"/>
                <w:szCs w:val="19"/>
                <w:color w:val="auto"/>
              </w:rPr>
            </w:pPr>
          </w:p>
        </w:tc>
        <w:tc>
          <w:tcPr>
            <w:tcW w:w="10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6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152</w:t>
            </w:r>
          </w:p>
        </w:tc>
      </w:tr>
      <w:tr>
        <w:trPr>
          <w:trHeight w:val="243"/>
        </w:trPr>
        <w:tc>
          <w:tcPr>
            <w:tcW w:w="610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Gain (Loss)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 (loss) on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r>
      <w:tr>
        <w:trPr>
          <w:trHeight w:val="237"/>
        </w:trPr>
        <w:tc>
          <w:tcPr>
            <w:tcW w:w="40" w:type="dxa"/>
            <w:vAlign w:val="bottom"/>
          </w:tcPr>
          <w:p>
            <w:pPr>
              <w:spacing w:after="0"/>
              <w:rPr>
                <w:sz w:val="20"/>
                <w:szCs w:val="20"/>
                <w:color w:val="auto"/>
              </w:rPr>
            </w:pPr>
          </w:p>
        </w:tc>
        <w:tc>
          <w:tcPr>
            <w:tcW w:w="6060" w:type="dxa"/>
            <w:vAlign w:val="bottom"/>
            <w:gridSpan w:val="2"/>
          </w:tcPr>
          <w:p>
            <w:pPr>
              <w:ind w:left="560"/>
              <w:spacing w:after="0"/>
              <w:rPr>
                <w:sz w:val="20"/>
                <w:szCs w:val="20"/>
                <w:color w:val="auto"/>
              </w:rPr>
            </w:pPr>
            <w:r>
              <w:rPr>
                <w:rFonts w:ascii="Arial" w:cs="Arial" w:eastAsia="Arial" w:hAnsi="Arial"/>
                <w:sz w:val="18"/>
                <w:szCs w:val="18"/>
                <w:color w:val="auto"/>
              </w:rPr>
              <w:t>Other comprehensive gain (loss)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103</w:t>
            </w:r>
          </w:p>
        </w:tc>
      </w:tr>
      <w:tr>
        <w:trPr>
          <w:trHeight w:val="237"/>
        </w:trPr>
        <w:tc>
          <w:tcPr>
            <w:tcW w:w="40" w:type="dxa"/>
            <w:vAlign w:val="bottom"/>
          </w:tcPr>
          <w:p>
            <w:pPr>
              <w:spacing w:after="0"/>
              <w:rPr>
                <w:sz w:val="20"/>
                <w:szCs w:val="20"/>
                <w:color w:val="auto"/>
              </w:rPr>
            </w:pPr>
          </w:p>
        </w:tc>
        <w:tc>
          <w:tcPr>
            <w:tcW w:w="6060" w:type="dxa"/>
            <w:vAlign w:val="bottom"/>
            <w:gridSpan w:val="2"/>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NRG Yield LLC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170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742" w:right="299" w:bottom="1440" w:gutter="0" w:footer="0" w:header="0"/>
        </w:sectPr>
      </w:pPr>
    </w:p>
    <w:bookmarkStart w:id="8" w:name="page9"/>
    <w:bookmarkEnd w:id="8"/>
    <w:p>
      <w:pPr>
        <w:jc w:val="center"/>
        <w:ind w:right="-11"/>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BALANCE SHEETS</w:t>
      </w:r>
    </w:p>
    <w:p>
      <w:pPr>
        <w:spacing w:after="0" w:line="285" w:lineRule="exact"/>
        <w:rPr>
          <w:sz w:val="20"/>
          <w:szCs w:val="20"/>
          <w:color w:val="auto"/>
        </w:rPr>
      </w:pPr>
    </w:p>
    <w:tbl>
      <w:tblPr>
        <w:tblLayout w:type="fixed"/>
        <w:tblInd w:w="32"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2017</w:t>
            </w:r>
          </w:p>
        </w:tc>
        <w:tc>
          <w:tcPr>
            <w:tcW w:w="220" w:type="dxa"/>
            <w:vAlign w:val="bottom"/>
          </w:tcPr>
          <w:p>
            <w:pPr>
              <w:spacing w:after="0"/>
              <w:rPr>
                <w:sz w:val="14"/>
                <w:szCs w:val="14"/>
                <w:color w:val="auto"/>
              </w:rPr>
            </w:pPr>
          </w:p>
        </w:tc>
        <w:tc>
          <w:tcPr>
            <w:tcW w:w="1720" w:type="dxa"/>
            <w:vAlign w:val="bottom"/>
          </w:tcPr>
          <w:p>
            <w:pPr>
              <w:jc w:val="right"/>
              <w:ind w:right="230"/>
              <w:spacing w:after="0"/>
              <w:rPr>
                <w:sz w:val="20"/>
                <w:szCs w:val="20"/>
                <w:color w:val="auto"/>
              </w:rPr>
            </w:pPr>
            <w:r>
              <w:rPr>
                <w:rFonts w:ascii="Arial" w:cs="Arial" w:eastAsia="Arial" w:hAnsi="Arial"/>
                <w:sz w:val="14"/>
                <w:szCs w:val="14"/>
                <w:b w:val="1"/>
                <w:bCs w:val="1"/>
                <w:color w:val="auto"/>
                <w:w w:val="98"/>
              </w:rPr>
              <w:t xml:space="preserve">December 31, 2016 </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Notes receivable</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8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Other non-current assets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97"/>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8,240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840" w:type="dxa"/>
            <w:vAlign w:val="bottom"/>
            <w:tcBorders>
              <w:bottom w:val="single" w:sz="8" w:color="CCEEFF"/>
            </w:tcBorders>
            <w:shd w:val="clear" w:color="auto" w:fill="CCEEFF"/>
          </w:tcPr>
          <w:p>
            <w:pPr>
              <w:jc w:val="center"/>
              <w:ind w:right="714"/>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 — external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payable — trade</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2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Long-term debt — external</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Other non-current liabilities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Members' Equity</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Contributed capital</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5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52" w:hanging="152"/>
        <w:spacing w:after="0"/>
        <w:tabs>
          <w:tab w:leader="none" w:pos="15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392"/>
          </w:cols>
          <w:pgMar w:left="248" w:top="742" w:right="259" w:bottom="719"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92"/>
          </w:cols>
          <w:pgMar w:left="248" w:top="742" w:right="259" w:bottom="719"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2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7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(a)</w:t>
            </w:r>
          </w:p>
        </w:tc>
      </w:tr>
      <w:tr>
        <w:trPr>
          <w:trHeight w:val="250"/>
        </w:trPr>
        <w:tc>
          <w:tcPr>
            <w:tcW w:w="8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r>
      <w:tr>
        <w:trPr>
          <w:trHeight w:val="25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152</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224</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derivative instruments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Loss on disposal of asset components</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Changes in other working capital</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Drop Down Assets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receipts from notes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Proceeds from the issuance of Class C units</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distributions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long-term debt — external</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for long-term debt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338</w:t>
            </w:r>
          </w:p>
        </w:tc>
      </w:tr>
      <w:tr>
        <w:trPr>
          <w:trHeight w:val="20"/>
        </w:trPr>
        <w:tc>
          <w:tcPr>
            <w:tcW w:w="8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 </w:t>
      </w:r>
      <w:r>
        <w:rPr>
          <w:rFonts w:ascii="Arial" w:cs="Arial" w:eastAsia="Arial" w:hAnsi="Arial"/>
          <w:sz w:val="16"/>
          <w:szCs w:val="16"/>
          <w:color w:val="auto"/>
        </w:rPr>
        <w:t>Retrospectively adjusted as discussed in Note 1,</w:t>
      </w:r>
      <w:r>
        <w:rPr>
          <w:rFonts w:ascii="Arial" w:cs="Arial" w:eastAsia="Arial" w:hAnsi="Arial"/>
          <w:sz w:val="11"/>
          <w:szCs w:val="11"/>
          <w:color w:val="auto"/>
        </w:rPr>
        <w:t xml:space="preserve">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74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NRG owns 100% of NRG Yield LLC's Class B units and Class D units and receives distributions through its ownership of these units. Yield, Inc. owns 100% of NRG Yield LLC's Class A units and Class C units.</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5,080 net MW</w:t>
      </w:r>
      <w:r>
        <w:rPr>
          <w:rFonts w:ascii="Arial" w:cs="Arial" w:eastAsia="Arial" w:hAnsi="Arial"/>
          <w:sz w:val="17"/>
          <w:szCs w:val="17"/>
          <w:color w:val="auto"/>
        </w:rPr>
        <w:t xml:space="preserve"> as of September 30, 2017</w:t>
      </w:r>
      <w:r>
        <w:rPr>
          <w:rFonts w:ascii="Arial" w:cs="Arial" w:eastAsia="Arial" w:hAnsi="Arial"/>
          <w:sz w:val="17"/>
          <w:szCs w:val="17"/>
          <w:color w:val="231F20"/>
        </w:rPr>
        <w:t>.</w:t>
      </w:r>
      <w:r>
        <w:rPr>
          <w:rFonts w:ascii="Arial" w:cs="Arial" w:eastAsia="Arial" w:hAnsi="Arial"/>
          <w:sz w:val="17"/>
          <w:szCs w:val="17"/>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16 years as of</w:t>
      </w:r>
      <w:r>
        <w:rPr>
          <w:rFonts w:ascii="Arial" w:cs="Arial" w:eastAsia="Arial" w:hAnsi="Arial"/>
          <w:sz w:val="17"/>
          <w:szCs w:val="17"/>
          <w:color w:val="auto"/>
        </w:rPr>
        <w:t xml:space="preserve"> September 30, 2017 </w:t>
      </w:r>
      <w:r>
        <w:rPr>
          <w:rFonts w:ascii="Arial" w:cs="Arial" w:eastAsia="Arial" w:hAnsi="Arial"/>
          <w:sz w:val="17"/>
          <w:szCs w:val="17"/>
          <w:color w:val="231F20"/>
        </w:rPr>
        <w:t>based on CAFD. The Company also owns thermal infrastructure assets with an aggregate</w:t>
      </w:r>
      <w:r>
        <w:rPr>
          <w:rFonts w:ascii="Arial" w:cs="Arial" w:eastAsia="Arial" w:hAnsi="Arial"/>
          <w:sz w:val="17"/>
          <w:szCs w:val="17"/>
          <w:color w:val="auto"/>
        </w:rPr>
        <w:t xml:space="preserve"> </w:t>
      </w:r>
      <w:r>
        <w:rPr>
          <w:rFonts w:ascii="Arial" w:cs="Arial" w:eastAsia="Arial" w:hAnsi="Arial"/>
          <w:sz w:val="17"/>
          <w:szCs w:val="17"/>
          <w:color w:val="231F20"/>
        </w:rPr>
        <w:t>steam and chilled water capacity of 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83185</wp:posOffset>
            </wp:positionV>
            <wp:extent cx="5059680" cy="3996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59680"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1" w:name="page12"/>
    <w:bookmarkEnd w:id="11"/>
    <w:p>
      <w:pPr>
        <w:jc w:val="both"/>
        <w:ind w:firstLine="405"/>
        <w:spacing w:after="0" w:line="290" w:lineRule="auto"/>
        <w:rPr>
          <w:sz w:val="20"/>
          <w:szCs w:val="20"/>
          <w:color w:val="auto"/>
        </w:rPr>
      </w:pPr>
      <w:r>
        <w:rPr>
          <w:rFonts w:ascii="Arial" w:cs="Arial" w:eastAsia="Arial" w:hAnsi="Arial"/>
          <w:sz w:val="16"/>
          <w:szCs w:val="16"/>
          <w:color w:val="auto"/>
        </w:rPr>
        <w:t xml:space="preserve">On July 12, 2017, NRG announced that it had adopted and initiated a three-year, three-part improvement plan, or the NRG Transformation Plan. As part of the NRG Transformation Plan, NRG announced that it is exploring strategic alternatives for its renewables platform and its interest in Yield, Inc. NRG, through its holdings of Class B common stock and Class D common stock, has a 55.1% voting interest in Yield, Inc. and receives distributions from the Company through its ownership of Class B units and Class D units. NRG stated that the strategic alternatives span a variety of ownership structures and partnership types, including the potential partial or full monetization of NRG's renewables platform and NRG's interest in Yield, Inc. NRG is Yield, Inc.'s controlling stockholder and the Company has been highly dependent on NRG for, among other things, growth opportunities and management and administration services. See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Company's 2016 Form 10-K, as well as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Company's Form 10-Q for the quarter ended June 30, 2017, for risks related to the NRG Transformation Plan and the Company's relationship with NRG.</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2017, the Company's operating assets are comprised of the following projects: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(b) (e)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Apple I LLC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Hardin </w:t>
            </w:r>
            <w:r>
              <w:rPr>
                <w:rFonts w:ascii="Arial" w:cs="Arial" w:eastAsia="Arial" w:hAnsi="Arial"/>
                <w:sz w:val="17"/>
                <w:szCs w:val="17"/>
                <w:color w:val="auto"/>
                <w:vertAlign w:val="superscript"/>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73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46" w:right="239" w:bottom="73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2,200</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NRG Dover Energy Center LLC</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net generation capacity</w:t>
            </w:r>
            <w:r>
              <w:rPr>
                <w:rFonts w:ascii="Arial" w:cs="Arial" w:eastAsia="Arial" w:hAnsi="Arial"/>
                <w:sz w:val="8"/>
                <w:szCs w:val="8"/>
                <w:color w:val="auto"/>
              </w:rPr>
              <w:t>(c)</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5,203</w:t>
            </w: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21"/>
                <w:szCs w:val="21"/>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8" w:lineRule="exact"/>
        <w:rPr>
          <w:sz w:val="20"/>
          <w:szCs w:val="20"/>
          <w:color w:val="auto"/>
        </w:rPr>
      </w:pPr>
    </w:p>
    <w:p>
      <w:pPr>
        <w:ind w:right="360" w:firstLine="8"/>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September 30, 2017.</w:t>
      </w:r>
    </w:p>
    <w:p>
      <w:pPr>
        <w:spacing w:after="0" w:line="188" w:lineRule="exact"/>
        <w:rPr>
          <w:rFonts w:ascii="Arial" w:cs="Arial" w:eastAsia="Arial" w:hAnsi="Arial"/>
          <w:sz w:val="18"/>
          <w:szCs w:val="18"/>
          <w:color w:val="auto"/>
          <w:vertAlign w:val="superscript"/>
        </w:rPr>
      </w:pPr>
    </w:p>
    <w:p>
      <w:pPr>
        <w:ind w:left="180" w:hanging="172"/>
        <w:spacing w:after="0" w:line="198"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r>
        <w:rPr>
          <w:rFonts w:ascii="Arial" w:cs="Arial" w:eastAsia="Arial" w:hAnsi="Arial"/>
          <w:sz w:val="15"/>
          <w:szCs w:val="15"/>
          <w:i w:val="1"/>
          <w:iCs w:val="1"/>
          <w:color w:val="auto"/>
        </w:rPr>
        <w:t>.</w:t>
      </w:r>
    </w:p>
    <w:p>
      <w:pPr>
        <w:ind w:right="580" w:firstLine="8"/>
        <w:spacing w:after="0" w:line="232" w:lineRule="auto"/>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The Company's total generation capacity is net of 6 MWs for noncontrolling interest for Spring Canyon II and III. The Company's generation capacity including this noncontrolling interest was 5,209 MWs.</w:t>
      </w:r>
    </w:p>
    <w:p>
      <w:pPr>
        <w:ind w:firstLine="8"/>
        <w:spacing w:after="0" w:line="219"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280" w:firstLine="8"/>
        <w:spacing w:after="0" w:line="246"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(ownership percentage is based upon cash to be distributed).</w:t>
      </w:r>
    </w:p>
    <w:p>
      <w:pPr>
        <w:ind w:left="160" w:hanging="152"/>
        <w:spacing w:after="0" w:line="182" w:lineRule="auto"/>
        <w:tabs>
          <w:tab w:leader="none" w:pos="1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Projects are part of NRG Wind TE Holdco portfolio.</w:t>
      </w:r>
    </w:p>
    <w:p>
      <w:pPr>
        <w:spacing w:after="0" w:line="15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226 MW based on cash to be distributed as of September 30, 2017. For further discussions, refer to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of this Form 10-Q and Note 5, </w:t>
      </w:r>
      <w:r>
        <w:rPr>
          <w:rFonts w:ascii="Arial" w:cs="Arial" w:eastAsia="Arial" w:hAnsi="Arial"/>
          <w:sz w:val="18"/>
          <w:szCs w:val="18"/>
          <w:i w:val="1"/>
          <w:iCs w:val="1"/>
          <w:color w:val="auto"/>
        </w:rPr>
        <w:t xml:space="preserve">Investments Accounted for by the Equity Method and Variable Interest Entities </w:t>
      </w:r>
      <w:r>
        <w:rPr>
          <w:rFonts w:ascii="Arial" w:cs="Arial" w:eastAsia="Arial" w:hAnsi="Arial"/>
          <w:sz w:val="18"/>
          <w:szCs w:val="18"/>
          <w:color w:val="auto"/>
        </w:rPr>
        <w:t>to the consolidated financial statements for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Company's May 9, 2017 Form 8-K.</w:t>
      </w:r>
    </w:p>
    <w:p>
      <w:pPr>
        <w:spacing w:after="0" w:line="1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17"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 xml:space="preserve">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August 1, 2017, the Company acquired the remaining 25% interest in NRG Wind TE Holdco, a portfolio of 12 wind projects, referred to as the August 2017 Drop Down Assets, from NRG for total cash consideration of $44 million, including working capital adjustment of $3 million. The purchase agreement also included potential additional payments to NRG dependent upon actual energy prices for merchant periods beginning in 2027, which were estimated and accrued as contingent consideration in the amount of $8 million as of September 30, 2017. On March 27, 2017, the Company acquired the following interests from NRG, referred to as the March 2017 Drop Down Assets: (i) Agua Caliente Borrower 2 LLC, which owns a 16% interest in the Agua Caliente solar farm, one of the ROFO assets and (ii) NRG's interests in seven utility-scale solar farms located in Utah that were part of NRG's November 2, 2016 acquisition of projects from SunEdison, or the Utah Solar Portfolio. The Company paid total cash consideration of $130 million, plus a $2 million working capital adjustment, and assumed non-recourse debt of $328 million, which is consolidated, as well as its pro-rata share of non-recourse project-level debt of $135 million. The acquisition was funded with cash on hand.</w:t>
      </w:r>
    </w:p>
    <w:p>
      <w:pPr>
        <w:sectPr>
          <w:pgSz w:w="11900" w:h="16838" w:orient="portrait"/>
          <w:cols w:equalWidth="0" w:num="1">
            <w:col w:w="11420"/>
          </w:cols>
          <w:pgMar w:left="240" w:top="888"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888" w:right="239" w:bottom="1440" w:gutter="0" w:footer="0" w:header="0"/>
          <w:type w:val="continuous"/>
        </w:sectPr>
      </w:pPr>
    </w:p>
    <w:bookmarkStart w:id="13" w:name="page14"/>
    <w:bookmarkEnd w:id="13"/>
    <w:p>
      <w:pPr>
        <w:jc w:val="both"/>
        <w:ind w:firstLine="392"/>
        <w:spacing w:after="0" w:line="259" w:lineRule="auto"/>
        <w:rPr>
          <w:sz w:val="20"/>
          <w:szCs w:val="20"/>
          <w:color w:val="auto"/>
        </w:rPr>
      </w:pPr>
      <w:r>
        <w:rPr>
          <w:rFonts w:ascii="Arial" w:cs="Arial" w:eastAsia="Arial" w:hAnsi="Arial"/>
          <w:sz w:val="18"/>
          <w:szCs w:val="18"/>
          <w:color w:val="auto"/>
        </w:rPr>
        <w:t>The acquisitions of the August 2017 Drop Down Assets and March 2017 Drop Down Assets were accounted for as transfers of entities under common control. The accounting guidance requires retrospective combination of the entities for all periods presented as if the combinations had been in effect from the beginning of the financial statement period or from the date the entities were under common control (if later than the beginning of the financial statement period).</w:t>
      </w:r>
    </w:p>
    <w:p>
      <w:pPr>
        <w:spacing w:after="0" w:line="133"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for the year ended December 31, 2016 included in the Company's May 9, 2017 Form 8-K. Interim results are not necessarily indicative of results for a full year.</w:t>
      </w:r>
    </w:p>
    <w:p>
      <w:pPr>
        <w:spacing w:after="0" w:line="13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2017, and the results of operations, comprehensive income (loss) and cash flows for the three and nine months ended September 30, 2017 and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September 30, 2017 and December 31,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ind w:right="157"/>
              <w:spacing w:after="0"/>
              <w:rPr>
                <w:sz w:val="20"/>
                <w:szCs w:val="20"/>
                <w:color w:val="auto"/>
              </w:rPr>
            </w:pPr>
            <w:r>
              <w:rPr>
                <w:rFonts w:ascii="Arial" w:cs="Arial" w:eastAsia="Arial" w:hAnsi="Arial"/>
                <w:sz w:val="16"/>
                <w:szCs w:val="16"/>
                <w:b w:val="1"/>
                <w:bCs w:val="1"/>
                <w:color w:val="auto"/>
                <w:w w:val="93"/>
              </w:rPr>
              <w:t>September 30, 2017</w:t>
            </w:r>
          </w:p>
        </w:tc>
        <w:tc>
          <w:tcPr>
            <w:tcW w:w="32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3"/>
          </w:tcPr>
          <w:p>
            <w:pPr>
              <w:ind w:left="134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Accumulated Depreciation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Accumulated Amortization</w:t>
            </w:r>
          </w:p>
        </w:tc>
        <w:tc>
          <w:tcPr>
            <w:tcW w:w="180" w:type="dxa"/>
            <w:vAlign w:val="bottom"/>
          </w:tcPr>
          <w:p>
            <w:pPr>
              <w:spacing w:after="0"/>
              <w:rPr>
                <w:sz w:val="21"/>
                <w:szCs w:val="21"/>
                <w:color w:val="auto"/>
              </w:rPr>
            </w:pP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163</w:t>
            </w:r>
          </w:p>
        </w:tc>
      </w:tr>
      <w:tr>
        <w:trPr>
          <w:trHeight w:val="405"/>
        </w:trPr>
        <w:tc>
          <w:tcPr>
            <w:tcW w:w="7660" w:type="dxa"/>
            <w:vAlign w:val="bottom"/>
          </w:tcPr>
          <w:p>
            <w:pPr>
              <w:spacing w:after="0"/>
              <w:rPr>
                <w:sz w:val="20"/>
                <w:szCs w:val="20"/>
                <w:color w:val="auto"/>
              </w:rPr>
            </w:pPr>
            <w:r>
              <w:rPr>
                <w:rFonts w:ascii="Arial" w:cs="Arial" w:eastAsia="Arial" w:hAnsi="Arial"/>
                <w:sz w:val="18"/>
                <w:szCs w:val="18"/>
                <w:b w:val="1"/>
                <w:bCs w:val="1"/>
                <w:i w:val="1"/>
                <w:iCs w:val="1"/>
                <w:color w:val="auto"/>
              </w:rPr>
              <w:t>Noncontrolling Interests</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7660" w:type="dxa"/>
            <w:vAlign w:val="bottom"/>
          </w:tcPr>
          <w:p>
            <w:pPr>
              <w:ind w:left="400"/>
              <w:spacing w:after="0"/>
              <w:rPr>
                <w:sz w:val="20"/>
                <w:szCs w:val="20"/>
                <w:color w:val="auto"/>
              </w:rPr>
            </w:pPr>
            <w:r>
              <w:rPr>
                <w:rFonts w:ascii="Arial" w:cs="Arial" w:eastAsia="Arial" w:hAnsi="Arial"/>
                <w:sz w:val="18"/>
                <w:szCs w:val="18"/>
                <w:color w:val="auto"/>
              </w:rPr>
              <w:t>The following table reflects the changes in the Company's noncontrolling interest balance:</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7"/>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6"/>
                <w:szCs w:val="16"/>
                <w:b w:val="1"/>
                <w:bCs w:val="1"/>
                <w:color w:val="auto"/>
              </w:rPr>
              <w:t>(In millions)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Balance as of December 31, 2016 as reported</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313</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Adjustment for August 2017 Drop Down Assets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Balance as of December 31, 2016 as recast</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contributions from tax equity investors, net of distributions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Comprehensive loss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0"/>
        </w:trPr>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on NRG Yield LLC's Class A, B, C and D units during the nine months ended September 30, 2017:</w:t>
      </w:r>
    </w:p>
    <w:p>
      <w:pPr>
        <w:spacing w:after="0" w:line="200" w:lineRule="exact"/>
        <w:rPr>
          <w:sz w:val="20"/>
          <w:szCs w:val="20"/>
          <w:color w:val="auto"/>
        </w:rPr>
      </w:pP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Third Quarter 2017</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2017</w:t>
            </w:r>
          </w:p>
        </w:tc>
        <w:tc>
          <w:tcPr>
            <w:tcW w:w="1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w w:val="95"/>
              </w:rPr>
              <w:t>First Quarter 2017</w:t>
            </w:r>
          </w:p>
        </w:tc>
      </w:tr>
      <w:tr>
        <w:trPr>
          <w:trHeight w:val="24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B, C and D unit</w:t>
            </w: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0.26</w:t>
            </w:r>
          </w:p>
        </w:tc>
      </w:tr>
      <w:tr>
        <w:trPr>
          <w:trHeight w:val="27"/>
        </w:trPr>
        <w:tc>
          <w:tcPr>
            <w:tcW w:w="6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October 31, 2017, the Company declared a distribution on its Class A, Class B, Class C and Class D units of $0.288 per unit payable on December 15, 2017 to unit holders of record as of December 1,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Changes in Capital Structure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 or the ATM Program</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NRG Yield, Inc. is party to an equity distribution agreement with Barclays Capital Inc., Credit Suisse Securities (USA) LLC, J.P. Morgan Securities LLC and RBC Capital Markets, LLC, as sales agents. Pursuant to the terms of the equity distribution agreement, NRG Yield, Inc. may offer and sell shares of its Class C common stock par value $0.01 per share, from time to time through the sales agents up to an aggregate sales price of $150 million through an at-the-market equity offering program, or the ATM Program. NRG Yield, Inc. may also sell shares of its Class C common stock to any of the sales agents, as principals for its own account, at a price agreed upon at the time of sale. During the first nine months of 2017, Yield, Inc. issued 1,921,866 shares of Class C common stock under the ATM Program for gross proceeds of $35 million, with commission fees of $346 thousand. Yield, Inc. used the net proceeds to acquire 1,921,866 Class C units from the Company. At September 30, 2017, approximately $115 million remains available for issuance under the ATM Program.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ASU 2017-12 </w:t>
      </w:r>
      <w:r>
        <w:rPr>
          <w:rFonts w:ascii="Arial" w:cs="Arial" w:eastAsia="Arial" w:hAnsi="Arial"/>
          <w:sz w:val="16"/>
          <w:szCs w:val="16"/>
          <w:color w:val="auto"/>
        </w:rPr>
        <w:t>— In August 2017, the FASB issued ASU No. 2017-12,</w:t>
      </w:r>
      <w:r>
        <w:rPr>
          <w:rFonts w:ascii="Arial" w:cs="Arial" w:eastAsia="Arial" w:hAnsi="Arial"/>
          <w:sz w:val="16"/>
          <w:szCs w:val="16"/>
          <w:i w:val="1"/>
          <w:iCs w:val="1"/>
          <w:color w:val="auto"/>
        </w:rPr>
        <w:t xml:space="preserve"> Derivatives and Hedging (Topic 815)</w:t>
      </w:r>
      <w:r>
        <w:rPr>
          <w:rFonts w:ascii="Arial" w:cs="Arial" w:eastAsia="Arial" w:hAnsi="Arial"/>
          <w:sz w:val="16"/>
          <w:szCs w:val="16"/>
          <w:color w:val="auto"/>
        </w:rPr>
        <w:t>, Targeted Improvements to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Activities, or ASU No. 2017-12. ASU No. 2017-12 amends ASU No. 2016-15. The amendments of ASU No. 2016-15 were issued to simplify the application of hedge accounting guidance and more closely aligning financial reporting for hedging relationships with economic results of an entity's risk management activities. The issues addressed by ASU No. 2017-12 include but are not limited to alignment of risk management activities and financial reporting, risk component hedging, accounting for the hedged item in fair value hedges of interest rate risk, recognition and presentation of the effects of hedging instruments, amounts excluded from the assessment of hedge effectiveness, and other simplifications of hedge accounting guidance. The amendments of ASU No. 2017-12 are effective for fiscal years beginning after December 15, 2018, and interim periods therein. Early adoption is permitted in any interim period and the effect of the adoption should be reflected as of the beginning of the fiscal year of adoption. The Company does not expect that the adoption of ASU No. 2017-12 will have a material impact on our consolidated results of operations, cash flows, and statement of financial position.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ASU 2016-18 </w:t>
      </w:r>
      <w:r>
        <w:rPr>
          <w:rFonts w:ascii="Arial" w:cs="Arial" w:eastAsia="Arial" w:hAnsi="Arial"/>
          <w:sz w:val="16"/>
          <w:szCs w:val="16"/>
          <w:color w:val="auto"/>
        </w:rPr>
        <w:t>— In November 2016, the FASB issued ASU No. 2016-18,</w:t>
      </w:r>
      <w:r>
        <w:rPr>
          <w:rFonts w:ascii="Arial" w:cs="Arial" w:eastAsia="Arial" w:hAnsi="Arial"/>
          <w:sz w:val="16"/>
          <w:szCs w:val="16"/>
          <w:i w:val="1"/>
          <w:iCs w:val="1"/>
          <w:color w:val="auto"/>
        </w:rPr>
        <w:t xml:space="preserve"> Statement of Cash Flows (Topic 230)</w:t>
      </w:r>
      <w:r>
        <w:rPr>
          <w:rFonts w:ascii="Arial" w:cs="Arial" w:eastAsia="Arial" w:hAnsi="Arial"/>
          <w:sz w:val="16"/>
          <w:szCs w:val="16"/>
          <w:color w:val="auto"/>
        </w:rPr>
        <w:t>, Restricted Cash, or ASU No. 2016-</w:t>
      </w:r>
    </w:p>
    <w:p>
      <w:pPr>
        <w:spacing w:after="0" w:line="46" w:lineRule="exact"/>
        <w:rPr>
          <w:sz w:val="20"/>
          <w:szCs w:val="20"/>
          <w:color w:val="auto"/>
        </w:rPr>
      </w:pPr>
    </w:p>
    <w:p>
      <w:pPr>
        <w:jc w:val="both"/>
        <w:ind w:firstLine="8"/>
        <w:spacing w:after="0" w:line="287" w:lineRule="auto"/>
        <w:tabs>
          <w:tab w:leader="none" w:pos="26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amendments of ASU No. 2016-18 require an entity to include amounts generally described as restricted cash and restricted cash equivalents with cash and cash equivalents when reconciling the beginning of period and end of period total amounts on the statement of cash flows. The amendments of ASU No. 2016-18 are effective for annual reporting periods beginning after December 15, 2017, and interim periods within those annual periods. Early adoption is permitted and the adoption of ASU No. 2016-18 will be applied retrospectively. The Company early adopted ASU No. 2016-18 during the second quarter of 2017. Net cash flows used in investing activities for the nine months ended September 30, 2016 decreased by $7 million. The sum of Company's cash and cash equivalents and restricted cash reported within the consolidated balance sheet as of December 31, 2016 equals the beginning balances of cash, cash equivalents and restricted cash shown in the consolidated statement of cash flows for the nine months ended September 30, 2017. The sum of Company's cash and cash equivalents and restricted cash reported within the consolidated balance sheet as of September 30, 2017 equals to the ending balances of cash, cash equivalents and restricted cash shown in the consolidated statement of cash flows for the nine months ended September 30, 2017.</w:t>
      </w:r>
    </w:p>
    <w:p>
      <w:pPr>
        <w:spacing w:after="0" w:line="112"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7"/>
          <w:szCs w:val="17"/>
          <w:i w:val="1"/>
          <w:iCs w:val="1"/>
          <w:color w:val="auto"/>
        </w:rPr>
        <w:t xml:space="preserve">ASU 2016-02 </w:t>
      </w:r>
      <w:r>
        <w:rPr>
          <w:rFonts w:ascii="Arial" w:cs="Arial" w:eastAsia="Arial" w:hAnsi="Arial"/>
          <w:sz w:val="17"/>
          <w:szCs w:val="17"/>
          <w:color w:val="auto"/>
        </w:rPr>
        <w:t>— In February 2016, the FASB issued ASU No. 2016-02,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(Topic 842), or Topic 842, with the objective to increase transparency</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expects to adopt the standard effective January 1, 2019 utilizing the required modified retrospective approach for the earliest period presented. The Company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jc w:val="both"/>
        <w:ind w:firstLine="405"/>
        <w:spacing w:after="0" w:line="268" w:lineRule="auto"/>
        <w:rPr>
          <w:sz w:val="20"/>
          <w:szCs w:val="20"/>
          <w:color w:val="auto"/>
        </w:rPr>
      </w:pPr>
      <w:r>
        <w:rPr>
          <w:rFonts w:ascii="Arial" w:cs="Arial" w:eastAsia="Arial" w:hAnsi="Arial"/>
          <w:sz w:val="17"/>
          <w:szCs w:val="17"/>
          <w:i w:val="1"/>
          <w:iCs w:val="1"/>
          <w:color w:val="auto"/>
        </w:rPr>
        <w:t xml:space="preserve">ASU 2014-09 </w:t>
      </w:r>
      <w:r>
        <w:rPr>
          <w:rFonts w:ascii="Arial" w:cs="Arial" w:eastAsia="Arial" w:hAnsi="Arial"/>
          <w:sz w:val="17"/>
          <w:szCs w:val="17"/>
          <w:color w:val="auto"/>
        </w:rPr>
        <w:t>— In May 2014, the FASB issued ASU No. 2014-09,</w:t>
      </w:r>
      <w:r>
        <w:rPr>
          <w:rFonts w:ascii="Arial" w:cs="Arial" w:eastAsia="Arial" w:hAnsi="Arial"/>
          <w:sz w:val="17"/>
          <w:szCs w:val="17"/>
          <w:i w:val="1"/>
          <w:iCs w:val="1"/>
          <w:color w:val="auto"/>
        </w:rPr>
        <w:t xml:space="preserve"> Revenue from Contracts with Customers (Topic 606), </w:t>
      </w:r>
      <w:r>
        <w:rPr>
          <w:rFonts w:ascii="Arial" w:cs="Arial" w:eastAsia="Arial" w:hAnsi="Arial"/>
          <w:sz w:val="17"/>
          <w:szCs w:val="17"/>
          <w:color w:val="auto"/>
        </w:rPr>
        <w:t>or ASU No. 2014-09, which</w:t>
      </w:r>
      <w:r>
        <w:rPr>
          <w:rFonts w:ascii="Arial" w:cs="Arial" w:eastAsia="Arial" w:hAnsi="Arial"/>
          <w:sz w:val="17"/>
          <w:szCs w:val="17"/>
          <w:i w:val="1"/>
          <w:iCs w:val="1"/>
          <w:color w:val="auto"/>
        </w:rPr>
        <w:t xml:space="preserve"> </w:t>
      </w:r>
      <w:r>
        <w:rPr>
          <w:rFonts w:ascii="Arial" w:cs="Arial" w:eastAsia="Arial" w:hAnsi="Arial"/>
          <w:sz w:val="17"/>
          <w:szCs w:val="17"/>
          <w:color w:val="auto"/>
        </w:rPr>
        <w:t>was further amended through various updates issued by the FASB thereafter. The amendments of ASU No. 2014-09 completed the joint effort between the FASB and the IASB, to develop a common revenue standard for GAAP and IFRS, and to improve financial reporting. The guidance under Topic 606 provides that an entity should recognize revenue to depict the transfer of goods or services to customers in an amount that reflects the consideration to which the entity expects to be entitled to in exchange for the goods or services provided and establishes a five step model to be applied by an entity in evaluating its contracts with customers. The Company expects to adopt the standard effective January 1, 2018 and apply the guidance retrospectively to contracts at the date of adoption. The Company will recognize the cumulative effect of applying Topic 606 at the date of initial application, as prescribed under the modified retrospective transition method. The Company also expects to elect the practical expedient available under Topic 606 for measuring progress toward complete satisfaction of a performance obligation and for disclosure requirements of remaining performance obligations. The practical expedient allows an entity to recognize revenue in the amount to which the entity has the right to invoice such that the entity has a right to the consideration in an amount that corresponds directly with the value to the customer for performance completed to date by the entity. The majority of the Company's revenues are obtained through PPAs, which are currently accounted for as operating leases. In connection with the implementation of Topic 842, as described above, the Company expects to elect certain of the practical expedients permitted, including the expedient that permits the Company to retain its existing lease assessment and classification. As leases are excluded from the scope of Topic 606, the Company expects the standard to have an immaterial impact on the Company's results of operations, cash flows and financial position.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6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November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2017, the Company acquired a 38 MW solar portfolio primarily comprised of assets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NRG's Solar Power Partners (SPP) funds and other projects developed by NRG, for cash consideration of $71 million, excluding working capital adjustments, plus assumed non-recourse debt of $26 million. As of September 30, 2017, the November 2017 Drop Down Assets' debt was $33 million, of which $7 million was paid by NRG in October 2017.</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8"/>
          <w:szCs w:val="18"/>
          <w:i w:val="1"/>
          <w:iCs w:val="1"/>
          <w:color w:val="auto"/>
        </w:rPr>
        <w:t>Business Combinations -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Issues</w:t>
      </w:r>
      <w:r>
        <w:rPr>
          <w:rFonts w:ascii="Arial" w:cs="Arial" w:eastAsia="Arial" w:hAnsi="Arial"/>
          <w:sz w:val="18"/>
          <w:szCs w:val="18"/>
          <w:color w:val="auto"/>
        </w:rPr>
        <w:t>. The difference between the cash paid and historical value of the entities' equity was recorded as an adjustment to contributed capital. Because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constituted a transfer of net assets under common control, the guidance requires retrospective combination of the entities for all periods presented as if the combination has been in effect since the inception of common control.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p>
      <w:pPr>
        <w:ind w:left="420"/>
        <w:spacing w:after="0"/>
        <w:rPr>
          <w:sz w:val="20"/>
          <w:szCs w:val="20"/>
          <w:color w:val="auto"/>
        </w:rPr>
      </w:pPr>
      <w:r>
        <w:rPr>
          <w:rFonts w:ascii="Arial" w:cs="Arial" w:eastAsia="Arial" w:hAnsi="Arial"/>
          <w:sz w:val="17"/>
          <w:szCs w:val="17"/>
          <w:color w:val="auto"/>
        </w:rPr>
        <w:t>The following is a summary of assets and liabilities transferred in connection with the acquisition of the November 2017 Drop Down Assets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98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Debt (Current and non-current)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50"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Net of $2 million of net debt issuance costs.</w:t>
      </w:r>
    </w:p>
    <w:p>
      <w:pPr>
        <w:spacing w:after="0" w:line="149" w:lineRule="exact"/>
        <w:rPr>
          <w:rFonts w:ascii="Arial" w:cs="Arial" w:eastAsia="Arial" w:hAnsi="Arial"/>
          <w:sz w:val="23"/>
          <w:szCs w:val="23"/>
          <w:color w:val="auto"/>
          <w:vertAlign w:val="superscript"/>
        </w:rPr>
      </w:pPr>
    </w:p>
    <w:p>
      <w:pPr>
        <w:ind w:left="420"/>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Supplemental Pro Forma Information</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described above, the Company's acquisition of the November 2017 Drop Down Assets was accounted for as a transfer of entities under common control. The following unaudited supplemental pro forma information represents the consolidated results of operations as if the Company acquired the November 2017 Drop Down Assets on January 1, 2016, including the impact of acquisition accounting with respect to NRG's acquisition of the projects.</w:t>
      </w:r>
    </w:p>
    <w:p>
      <w:pPr>
        <w:spacing w:after="0" w:line="107"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200"/>
              <w:spacing w:after="0"/>
              <w:rPr>
                <w:sz w:val="20"/>
                <w:szCs w:val="20"/>
                <w:color w:val="auto"/>
              </w:rPr>
            </w:pPr>
            <w:r>
              <w:rPr>
                <w:rFonts w:ascii="Arial" w:cs="Arial" w:eastAsia="Arial" w:hAnsi="Arial"/>
                <w:sz w:val="16"/>
                <w:szCs w:val="16"/>
                <w:b w:val="1"/>
                <w:bCs w:val="1"/>
                <w:color w:val="auto"/>
              </w:rPr>
              <w:t>For the three months ended</w:t>
            </w:r>
          </w:p>
        </w:tc>
        <w:tc>
          <w:tcPr>
            <w:tcW w:w="340" w:type="dxa"/>
            <w:vAlign w:val="bottom"/>
          </w:tcPr>
          <w:p>
            <w:pPr>
              <w:spacing w:after="0"/>
              <w:rPr>
                <w:sz w:val="18"/>
                <w:szCs w:val="18"/>
                <w:color w:val="auto"/>
              </w:rPr>
            </w:pPr>
          </w:p>
        </w:tc>
        <w:tc>
          <w:tcPr>
            <w:tcW w:w="2200" w:type="dxa"/>
            <w:vAlign w:val="bottom"/>
            <w:gridSpan w:val="3"/>
          </w:tcPr>
          <w:p>
            <w:pPr>
              <w:ind w:left="240"/>
              <w:spacing w:after="0"/>
              <w:rPr>
                <w:sz w:val="20"/>
                <w:szCs w:val="20"/>
                <w:color w:val="auto"/>
              </w:rPr>
            </w:pPr>
            <w:r>
              <w:rPr>
                <w:rFonts w:ascii="Arial" w:cs="Arial" w:eastAsia="Arial" w:hAnsi="Arial"/>
                <w:sz w:val="16"/>
                <w:szCs w:val="16"/>
                <w:b w:val="1"/>
                <w:bCs w:val="1"/>
                <w:color w:val="auto"/>
                <w:w w:val="94"/>
              </w:rPr>
              <w:t>For the nine months ended</w:t>
            </w:r>
          </w:p>
        </w:tc>
        <w:tc>
          <w:tcPr>
            <w:tcW w:w="46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2017</w:t>
            </w: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30, 2017</w:t>
            </w: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w w:val="92"/>
              </w:rPr>
              <w:t>September 30, 2016</w:t>
            </w:r>
          </w:p>
        </w:tc>
      </w:tr>
      <w:tr>
        <w:trPr>
          <w:trHeight w:val="33"/>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4"/>
        </w:trPr>
        <w:tc>
          <w:tcPr>
            <w:tcW w:w="4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155</w:t>
            </w:r>
          </w:p>
        </w:tc>
      </w:tr>
    </w:tbl>
    <w:p>
      <w:pPr>
        <w:spacing w:after="0" w:line="17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August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 2017, the Company acquired the remaining 25% interest in NRG Wind TE Holdco, a portfolio of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projects, from NRG for total cash consideration of $44 million, including working capital adjustment of $3 million. The purchase agreement also included potential additional payments to NRG dependent upon actual energy prices for merchant periods beginning in 2027, which were estimated and accrued as contingent consideration in the amount of $8 million as of September 30, 2017.</w:t>
      </w:r>
    </w:p>
    <w:p>
      <w:pPr>
        <w:spacing w:after="0" w:line="13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Company originally acquired 75% of NRG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of $44 million, net of the contingent consideration of $8 million, and the historical value of the remaining 25% of $87 million as of July 31, 2017, was recorded as an adjustment to NRG's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b w:val="1"/>
          <w:bCs w:val="1"/>
          <w:i w:val="1"/>
          <w:iCs w:val="1"/>
          <w:color w:val="auto"/>
        </w:rPr>
        <w:t xml:space="preserve">March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27, 2017, the Company acquired the following interests from NRG: (i) Agua Caliente Borrower 2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$130 million, plus $2 million of working capital paid through September 30, 2017. The acquisition of the March 2017 Drop</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 xml:space="preserve">Down Assets was funded with cash on hand. The Company recorded the acquired interests as equity method investments. The Company also assumed non-recourse debt of $41 million and $287 million on Agua Caliente Borrower 2 LLC and the Utah Solar Portfolio, respectively, as further described in Note 7, </w:t>
      </w:r>
      <w:r>
        <w:rPr>
          <w:rFonts w:ascii="Arial" w:cs="Arial" w:eastAsia="Arial" w:hAnsi="Arial"/>
          <w:sz w:val="18"/>
          <w:szCs w:val="18"/>
          <w:i w:val="1"/>
          <w:iCs w:val="1"/>
          <w:color w:val="auto"/>
        </w:rPr>
        <w:t>Long-term Debt</w:t>
      </w:r>
      <w:r>
        <w:rPr>
          <w:rFonts w:ascii="Arial" w:cs="Arial" w:eastAsia="Arial" w:hAnsi="Arial"/>
          <w:sz w:val="18"/>
          <w:szCs w:val="18"/>
          <w:color w:val="auto"/>
        </w:rPr>
        <w:t>, as well as its pro-rata share of non-recourse project-level debt of Agua Caliente Solar LLC, as further described in Note 4,</w:t>
      </w:r>
      <w:r>
        <w:rPr>
          <w:rFonts w:ascii="Arial" w:cs="Arial" w:eastAsia="Arial" w:hAnsi="Arial"/>
          <w:sz w:val="18"/>
          <w:szCs w:val="18"/>
          <w:i w:val="1"/>
          <w:iCs w:val="1"/>
          <w:color w:val="auto"/>
        </w:rPr>
        <w:t xml:space="preserve"> Investments Accounted for by the Equity Method and Variable Interest Entities</w:t>
      </w:r>
      <w:r>
        <w:rPr>
          <w:rFonts w:ascii="Arial" w:cs="Arial" w:eastAsia="Arial" w:hAnsi="Arial"/>
          <w:sz w:val="18"/>
          <w:szCs w:val="18"/>
          <w:color w:val="auto"/>
        </w:rPr>
        <w:t>.</w:t>
      </w:r>
    </w:p>
    <w:p>
      <w:pPr>
        <w:spacing w:after="0" w:line="133"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8"/>
          <w:szCs w:val="18"/>
          <w:i w:val="1"/>
          <w:iCs w:val="1"/>
          <w:color w:val="auto"/>
        </w:rPr>
        <w:t>Business Combination - Related Issues.</w:t>
      </w:r>
      <w:r>
        <w:rPr>
          <w:rFonts w:ascii="Arial" w:cs="Arial" w:eastAsia="Arial" w:hAnsi="Arial"/>
          <w:sz w:val="18"/>
          <w:szCs w:val="18"/>
          <w:color w:val="auto"/>
        </w:rPr>
        <w:t xml:space="preserve"> The difference between the cash paid and the historical value of the entities' equity of $8 million was recorded as an adjustment to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Accordingly, in connection with the retrospective adjustment of prior periods, the Company adjusted its financial statements to reflect its results of operations, financial position and cash flows as if it recorded its interests in the Agua Caliente Borrower 2 LLC on January 1, 2016, and its interests in the Utah Solar Portfolio on November 2, 2016.</w:t>
      </w:r>
    </w:p>
    <w:p>
      <w:pPr>
        <w:spacing w:after="0" w:line="13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following is a summary of assets and liabilities transferred in connection with the acquisition of the March 2017 Drop Down Assets as of March 27, 2017:</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investment in projects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w:t>
            </w:r>
          </w:p>
        </w:tc>
      </w:tr>
      <w:tr>
        <w:trPr>
          <w:trHeight w:val="237"/>
        </w:trPr>
        <w:tc>
          <w:tcPr>
            <w:tcW w:w="9920" w:type="dxa"/>
            <w:vAlign w:val="bottom"/>
          </w:tcPr>
          <w:p>
            <w:pPr>
              <w:ind w:left="16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462</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9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Debt (Current and non-current) </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320</w:t>
            </w: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9920" w:type="dxa"/>
            <w:vAlign w:val="bottom"/>
          </w:tcPr>
          <w:p>
            <w:pPr>
              <w:ind w:left="16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1"/>
        </w:trPr>
        <w:tc>
          <w:tcPr>
            <w:tcW w:w="9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04"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Net of $8 million of debt issuance costs.</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present a summary of the Company's historical information combining the financial information for the March 2017 Drop Down Assets and August 2017 Drop Down Assets transferred in connection with the acquisition: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20" w:type="dxa"/>
            <w:vAlign w:val="bottom"/>
            <w:gridSpan w:val="9"/>
          </w:tcPr>
          <w:p>
            <w:pPr>
              <w:spacing w:after="0"/>
              <w:rPr>
                <w:sz w:val="20"/>
                <w:szCs w:val="20"/>
                <w:color w:val="auto"/>
              </w:rPr>
            </w:pPr>
            <w:r>
              <w:rPr>
                <w:rFonts w:ascii="Arial" w:cs="Arial" w:eastAsia="Arial" w:hAnsi="Arial"/>
                <w:sz w:val="16"/>
                <w:szCs w:val="16"/>
                <w:b w:val="1"/>
                <w:bCs w:val="1"/>
                <w:color w:val="auto"/>
                <w:w w:val="89"/>
              </w:rPr>
              <w:t>Three months ended September 30, 2016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9"/>
          </w:tcPr>
          <w:p>
            <w:pPr>
              <w:ind w:left="740"/>
              <w:spacing w:after="0"/>
              <w:rPr>
                <w:sz w:val="20"/>
                <w:szCs w:val="20"/>
                <w:color w:val="auto"/>
              </w:rPr>
            </w:pPr>
            <w:r>
              <w:rPr>
                <w:rFonts w:ascii="Arial" w:cs="Arial" w:eastAsia="Arial" w:hAnsi="Arial"/>
                <w:sz w:val="16"/>
                <w:szCs w:val="16"/>
                <w:b w:val="1"/>
                <w:bCs w:val="1"/>
                <w:color w:val="auto"/>
                <w:w w:val="91"/>
              </w:rPr>
              <w:t>Nine months ended September 30, 2016</w:t>
            </w:r>
          </w:p>
        </w:tc>
        <w:tc>
          <w:tcPr>
            <w:tcW w:w="780" w:type="dxa"/>
            <w:vAlign w:val="bottom"/>
          </w:tcPr>
          <w:p>
            <w:pPr>
              <w:spacing w:after="0"/>
              <w:rPr>
                <w:sz w:val="18"/>
                <w:szCs w:val="18"/>
                <w:color w:val="auto"/>
              </w:rPr>
            </w:pPr>
          </w:p>
        </w:tc>
      </w:tr>
      <w:tr>
        <w:trPr>
          <w:trHeight w:val="33"/>
        </w:trPr>
        <w:tc>
          <w:tcPr>
            <w:tcW w:w="2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65"/>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Arial" w:cs="Arial" w:eastAsia="Arial" w:hAnsi="Arial"/>
                <w:sz w:val="15"/>
                <w:szCs w:val="15"/>
                <w:b w:val="1"/>
                <w:bCs w:val="1"/>
                <w:color w:val="auto"/>
                <w:w w:val="95"/>
              </w:rPr>
              <w:t>March 2017</w:t>
            </w:r>
          </w:p>
        </w:tc>
        <w:tc>
          <w:tcPr>
            <w:tcW w:w="140" w:type="dxa"/>
            <w:vAlign w:val="bottom"/>
          </w:tcPr>
          <w:p>
            <w:pPr>
              <w:spacing w:after="0"/>
              <w:rPr>
                <w:sz w:val="14"/>
                <w:szCs w:val="14"/>
                <w:color w:val="auto"/>
              </w:rPr>
            </w:pPr>
          </w:p>
        </w:tc>
        <w:tc>
          <w:tcPr>
            <w:tcW w:w="1160" w:type="dxa"/>
            <w:vAlign w:val="bottom"/>
            <w:gridSpan w:val="3"/>
          </w:tcPr>
          <w:p>
            <w:pPr>
              <w:jc w:val="center"/>
              <w:ind w:right="280"/>
              <w:spacing w:after="0" w:line="165" w:lineRule="exact"/>
              <w:rPr>
                <w:sz w:val="20"/>
                <w:szCs w:val="20"/>
                <w:color w:val="auto"/>
              </w:rPr>
            </w:pPr>
            <w:r>
              <w:rPr>
                <w:rFonts w:ascii="Arial" w:cs="Arial" w:eastAsia="Arial" w:hAnsi="Arial"/>
                <w:sz w:val="15"/>
                <w:szCs w:val="15"/>
                <w:b w:val="1"/>
                <w:bCs w:val="1"/>
                <w:color w:val="auto"/>
                <w:w w:val="89"/>
              </w:rPr>
              <w:t>August 2017</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line="165" w:lineRule="exact"/>
              <w:rPr>
                <w:sz w:val="20"/>
                <w:szCs w:val="20"/>
                <w:color w:val="auto"/>
              </w:rPr>
            </w:pPr>
            <w:r>
              <w:rPr>
                <w:rFonts w:ascii="Arial" w:cs="Arial" w:eastAsia="Arial" w:hAnsi="Arial"/>
                <w:sz w:val="15"/>
                <w:szCs w:val="15"/>
                <w:b w:val="1"/>
                <w:bCs w:val="1"/>
                <w:color w:val="auto"/>
                <w:w w:val="95"/>
              </w:rPr>
              <w:t>March 2017</w:t>
            </w:r>
          </w:p>
        </w:tc>
        <w:tc>
          <w:tcPr>
            <w:tcW w:w="1200" w:type="dxa"/>
            <w:vAlign w:val="bottom"/>
            <w:gridSpan w:val="3"/>
          </w:tcPr>
          <w:p>
            <w:pPr>
              <w:jc w:val="center"/>
              <w:ind w:right="360"/>
              <w:spacing w:after="0" w:line="165" w:lineRule="exact"/>
              <w:rPr>
                <w:sz w:val="20"/>
                <w:szCs w:val="20"/>
                <w:color w:val="auto"/>
              </w:rPr>
            </w:pPr>
            <w:r>
              <w:rPr>
                <w:rFonts w:ascii="Arial" w:cs="Arial" w:eastAsia="Arial" w:hAnsi="Arial"/>
                <w:sz w:val="15"/>
                <w:szCs w:val="15"/>
                <w:b w:val="1"/>
                <w:bCs w:val="1"/>
                <w:color w:val="auto"/>
                <w:w w:val="89"/>
              </w:rPr>
              <w:t>August 2017</w:t>
            </w:r>
          </w:p>
        </w:tc>
        <w:tc>
          <w:tcPr>
            <w:tcW w:w="780" w:type="dxa"/>
            <w:vAlign w:val="bottom"/>
          </w:tcPr>
          <w:p>
            <w:pPr>
              <w:jc w:val="center"/>
              <w:ind w:right="41"/>
              <w:spacing w:after="0" w:line="165" w:lineRule="exact"/>
              <w:rPr>
                <w:sz w:val="20"/>
                <w:szCs w:val="20"/>
                <w:color w:val="auto"/>
              </w:rPr>
            </w:pPr>
            <w:r>
              <w:rPr>
                <w:rFonts w:ascii="Arial" w:cs="Arial" w:eastAsia="Arial" w:hAnsi="Arial"/>
                <w:sz w:val="15"/>
                <w:szCs w:val="15"/>
                <w:b w:val="1"/>
                <w:bCs w:val="1"/>
                <w:color w:val="auto"/>
                <w:w w:val="93"/>
              </w:rPr>
              <w:t>As</w:t>
            </w:r>
          </w:p>
        </w:tc>
      </w:tr>
      <w:tr>
        <w:trPr>
          <w:trHeight w:val="162"/>
        </w:trPr>
        <w:tc>
          <w:tcPr>
            <w:tcW w:w="2180" w:type="dxa"/>
            <w:vAlign w:val="bottom"/>
          </w:tcPr>
          <w:p>
            <w:pPr>
              <w:spacing w:after="0"/>
              <w:rPr>
                <w:sz w:val="14"/>
                <w:szCs w:val="14"/>
                <w:color w:val="auto"/>
              </w:rPr>
            </w:pPr>
          </w:p>
        </w:tc>
        <w:tc>
          <w:tcPr>
            <w:tcW w:w="1320" w:type="dxa"/>
            <w:vAlign w:val="bottom"/>
            <w:gridSpan w:val="5"/>
          </w:tcPr>
          <w:p>
            <w:pPr>
              <w:jc w:val="right"/>
              <w:ind w:right="340"/>
              <w:spacing w:after="0" w:line="162" w:lineRule="exact"/>
              <w:rPr>
                <w:sz w:val="20"/>
                <w:szCs w:val="20"/>
                <w:color w:val="auto"/>
              </w:rPr>
            </w:pPr>
            <w:r>
              <w:rPr>
                <w:rFonts w:ascii="Arial" w:cs="Arial" w:eastAsia="Arial" w:hAnsi="Arial"/>
                <w:sz w:val="15"/>
                <w:szCs w:val="15"/>
                <w:b w:val="1"/>
                <w:bCs w:val="1"/>
                <w:color w:val="auto"/>
                <w:w w:val="96"/>
              </w:rPr>
              <w:t>As Previously</w:t>
            </w: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4"/>
              </w:rPr>
              <w:t>Drop Down</w:t>
            </w:r>
          </w:p>
        </w:tc>
        <w:tc>
          <w:tcPr>
            <w:tcW w:w="140" w:type="dxa"/>
            <w:vAlign w:val="bottom"/>
          </w:tcPr>
          <w:p>
            <w:pPr>
              <w:spacing w:after="0"/>
              <w:rPr>
                <w:sz w:val="14"/>
                <w:szCs w:val="14"/>
                <w:color w:val="auto"/>
              </w:rPr>
            </w:pPr>
          </w:p>
        </w:tc>
        <w:tc>
          <w:tcPr>
            <w:tcW w:w="1160" w:type="dxa"/>
            <w:vAlign w:val="bottom"/>
            <w:gridSpan w:val="3"/>
          </w:tcPr>
          <w:p>
            <w:pPr>
              <w:jc w:val="center"/>
              <w:ind w:right="280"/>
              <w:spacing w:after="0" w:line="162" w:lineRule="exact"/>
              <w:rPr>
                <w:sz w:val="20"/>
                <w:szCs w:val="20"/>
                <w:color w:val="auto"/>
              </w:rPr>
            </w:pPr>
            <w:r>
              <w:rPr>
                <w:rFonts w:ascii="Arial" w:cs="Arial" w:eastAsia="Arial" w:hAnsi="Arial"/>
                <w:sz w:val="15"/>
                <w:szCs w:val="15"/>
                <w:b w:val="1"/>
                <w:bCs w:val="1"/>
                <w:color w:val="auto"/>
                <w:w w:val="94"/>
              </w:rPr>
              <w:t>Drop Down</w:t>
            </w:r>
          </w:p>
        </w:tc>
        <w:tc>
          <w:tcPr>
            <w:tcW w:w="100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As Currently</w:t>
            </w:r>
          </w:p>
        </w:tc>
        <w:tc>
          <w:tcPr>
            <w:tcW w:w="114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0"/>
              </w:rPr>
              <w:t>As Previously</w:t>
            </w:r>
          </w:p>
        </w:tc>
        <w:tc>
          <w:tcPr>
            <w:tcW w:w="120" w:type="dxa"/>
            <w:vAlign w:val="bottom"/>
          </w:tcPr>
          <w:p>
            <w:pPr>
              <w:spacing w:after="0"/>
              <w:rPr>
                <w:sz w:val="14"/>
                <w:szCs w:val="14"/>
                <w:color w:val="auto"/>
              </w:rPr>
            </w:pPr>
          </w:p>
        </w:tc>
        <w:tc>
          <w:tcPr>
            <w:tcW w:w="1240" w:type="dxa"/>
            <w:vAlign w:val="bottom"/>
            <w:gridSpan w:val="3"/>
          </w:tcPr>
          <w:p>
            <w:pPr>
              <w:jc w:val="center"/>
              <w:ind w:right="360"/>
              <w:spacing w:after="0" w:line="162" w:lineRule="exact"/>
              <w:rPr>
                <w:sz w:val="20"/>
                <w:szCs w:val="20"/>
                <w:color w:val="auto"/>
              </w:rPr>
            </w:pPr>
            <w:r>
              <w:rPr>
                <w:rFonts w:ascii="Arial" w:cs="Arial" w:eastAsia="Arial" w:hAnsi="Arial"/>
                <w:sz w:val="15"/>
                <w:szCs w:val="15"/>
                <w:b w:val="1"/>
                <w:bCs w:val="1"/>
                <w:color w:val="auto"/>
                <w:w w:val="94"/>
              </w:rPr>
              <w:t>Drop Down</w:t>
            </w:r>
          </w:p>
        </w:tc>
        <w:tc>
          <w:tcPr>
            <w:tcW w:w="1200" w:type="dxa"/>
            <w:vAlign w:val="bottom"/>
            <w:gridSpan w:val="3"/>
          </w:tcPr>
          <w:p>
            <w:pPr>
              <w:jc w:val="center"/>
              <w:ind w:right="360"/>
              <w:spacing w:after="0" w:line="162" w:lineRule="exact"/>
              <w:rPr>
                <w:sz w:val="20"/>
                <w:szCs w:val="20"/>
                <w:color w:val="auto"/>
              </w:rPr>
            </w:pPr>
            <w:r>
              <w:rPr>
                <w:rFonts w:ascii="Arial" w:cs="Arial" w:eastAsia="Arial" w:hAnsi="Arial"/>
                <w:sz w:val="15"/>
                <w:szCs w:val="15"/>
                <w:b w:val="1"/>
                <w:bCs w:val="1"/>
                <w:color w:val="auto"/>
                <w:w w:val="94"/>
              </w:rPr>
              <w:t>Drop Down</w:t>
            </w:r>
          </w:p>
        </w:tc>
        <w:tc>
          <w:tcPr>
            <w:tcW w:w="780" w:type="dxa"/>
            <w:vAlign w:val="bottom"/>
          </w:tcPr>
          <w:p>
            <w:pPr>
              <w:jc w:val="center"/>
              <w:ind w:right="41"/>
              <w:spacing w:after="0" w:line="162" w:lineRule="exact"/>
              <w:rPr>
                <w:sz w:val="20"/>
                <w:szCs w:val="20"/>
                <w:color w:val="auto"/>
              </w:rPr>
            </w:pPr>
            <w:r>
              <w:rPr>
                <w:rFonts w:ascii="Arial" w:cs="Arial" w:eastAsia="Arial" w:hAnsi="Arial"/>
                <w:sz w:val="15"/>
                <w:szCs w:val="15"/>
                <w:b w:val="1"/>
                <w:bCs w:val="1"/>
                <w:color w:val="auto"/>
                <w:w w:val="98"/>
              </w:rPr>
              <w:t>Currently</w:t>
            </w:r>
          </w:p>
        </w:tc>
      </w:tr>
      <w:tr>
        <w:trPr>
          <w:trHeight w:val="200"/>
        </w:trPr>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5"/>
                <w:szCs w:val="15"/>
                <w:b w:val="1"/>
                <w:bCs w:val="1"/>
                <w:color w:val="auto"/>
              </w:rPr>
              <w:t>Reported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1"/>
              </w:rPr>
              <w:t>Assets</w:t>
            </w:r>
          </w:p>
        </w:tc>
        <w:tc>
          <w:tcPr>
            <w:tcW w:w="140" w:type="dxa"/>
            <w:vAlign w:val="bottom"/>
          </w:tcPr>
          <w:p>
            <w:pPr>
              <w:spacing w:after="0"/>
              <w:rPr>
                <w:sz w:val="17"/>
                <w:szCs w:val="17"/>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81"/>
              </w:rPr>
              <w:t>Assets</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5"/>
                <w:szCs w:val="15"/>
                <w:b w:val="1"/>
                <w:bCs w:val="1"/>
                <w:color w:val="auto"/>
              </w:rPr>
              <w:t>Reported</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Reported</w:t>
            </w:r>
          </w:p>
        </w:tc>
        <w:tc>
          <w:tcPr>
            <w:tcW w:w="12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5"/>
                <w:szCs w:val="15"/>
                <w:b w:val="1"/>
                <w:bCs w:val="1"/>
                <w:color w:val="auto"/>
                <w:w w:val="85"/>
              </w:rPr>
              <w:t>Assets</w:t>
            </w:r>
          </w:p>
        </w:tc>
        <w:tc>
          <w:tcPr>
            <w:tcW w:w="120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81"/>
              </w:rPr>
              <w:t>Assets</w:t>
            </w:r>
          </w:p>
        </w:tc>
        <w:tc>
          <w:tcPr>
            <w:tcW w:w="780" w:type="dxa"/>
            <w:vAlign w:val="bottom"/>
          </w:tcPr>
          <w:p>
            <w:pPr>
              <w:jc w:val="center"/>
              <w:ind w:right="41"/>
              <w:spacing w:after="0"/>
              <w:rPr>
                <w:sz w:val="20"/>
                <w:szCs w:val="20"/>
                <w:color w:val="auto"/>
              </w:rPr>
            </w:pPr>
            <w:r>
              <w:rPr>
                <w:rFonts w:ascii="Arial" w:cs="Arial" w:eastAsia="Arial" w:hAnsi="Arial"/>
                <w:sz w:val="15"/>
                <w:szCs w:val="15"/>
                <w:b w:val="1"/>
                <w:bCs w:val="1"/>
                <w:color w:val="auto"/>
                <w:w w:val="94"/>
              </w:rPr>
              <w:t>Reported</w:t>
            </w: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r>
      <w:tr>
        <w:trPr>
          <w:trHeight w:val="25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789</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319</w:t>
            </w:r>
          </w:p>
        </w:tc>
      </w:tr>
      <w:tr>
        <w:trPr>
          <w:trHeight w:val="27"/>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w:t>
            </w: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Yield LLC</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219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167"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i w:val="1"/>
          <w:iCs w:val="1"/>
          <w:color w:val="auto"/>
        </w:rPr>
        <w:t xml:space="preserve">CVSR Drop Down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September 1, 2016, the Company had a 48.95% interest in CVSR, which was accounted for as an equity method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investment. On September 1, 2016, the Company acquired from NRG the remaining 51.05% interest of CVSR Holdco LLC, which indirectly owns the CVSR solar facility, for total cash consideration of $78.5 million plus an immaterial working capital adjustment. The Company also assumed additional debt of $496 million, which represents 51.05% of the CVSR project level debt and 51.05% of the notes issued under the CVSR Holdco Financing Agreement, as of the closing date, as further described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to the consolidated financial statements for the year ended December 31, 2016 included in the Company's May 9, 2017 Form 8-K. The acquisition was funded with cash on hand.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8" w:name="page19"/>
    <w:bookmarkEnd w:id="18"/>
    <w:p>
      <w:pPr>
        <w:jc w:val="both"/>
        <w:ind w:firstLine="405"/>
        <w:spacing w:after="0" w:line="270" w:lineRule="auto"/>
        <w:rPr>
          <w:sz w:val="20"/>
          <w:szCs w:val="20"/>
          <w:color w:val="auto"/>
        </w:rPr>
      </w:pPr>
      <w:r>
        <w:rPr>
          <w:rFonts w:ascii="Arial" w:cs="Arial" w:eastAsia="Arial" w:hAnsi="Arial"/>
          <w:sz w:val="17"/>
          <w:szCs w:val="17"/>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historical value of the CVSR Drop Down of $112 million, as well as $6 million of AOCL, was recorded as a distribution to NRG with the offset to contributed capital. Because the 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now consolidates CVSR and 100% of its debt, consisting of $771 million of project level debt and $200 million of notes issued under the CVSR Holdco Financing Agreement as of September 1, 2016. In connection with the retrospective adjustment of prior periods, the Company has removed the equity method investment from all prior periods and adjusted its financial statements to reflect its results of operations, financial position and cash flows as if it had consolidated CVSR from the beginning of the financial statement period.</w:t>
      </w:r>
    </w:p>
    <w:p>
      <w:pPr>
        <w:spacing w:after="0" w:line="124" w:lineRule="exact"/>
        <w:rPr>
          <w:sz w:val="20"/>
          <w:szCs w:val="20"/>
          <w:color w:val="auto"/>
        </w:rPr>
      </w:pPr>
    </w:p>
    <w:p>
      <w:pPr>
        <w:ind w:right="4800"/>
        <w:spacing w:after="0" w:line="282"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w:t>
      </w:r>
      <w:r>
        <w:rPr>
          <w:rFonts w:ascii="Arial" w:cs="Arial" w:eastAsia="Arial" w:hAnsi="Arial"/>
          <w:sz w:val="18"/>
          <w:szCs w:val="18"/>
          <w:color w:val="auto"/>
        </w:rPr>
        <w:t xml:space="preserve"> </w:t>
      </w:r>
      <w:r>
        <w:rPr>
          <w:rFonts w:ascii="Arial" w:cs="Arial" w:eastAsia="Arial" w:hAnsi="Arial"/>
          <w:sz w:val="18"/>
          <w:szCs w:val="18"/>
          <w:color w:val="231F20"/>
        </w:rPr>
        <w:t xml:space="preserve">statements </w:t>
      </w:r>
      <w:r>
        <w:rPr>
          <w:rFonts w:ascii="Arial" w:cs="Arial" w:eastAsia="Arial" w:hAnsi="Arial"/>
          <w:sz w:val="18"/>
          <w:szCs w:val="18"/>
          <w:color w:val="000000"/>
        </w:rPr>
        <w:t>for the year ended December 31, 2016</w:t>
      </w:r>
      <w:r>
        <w:rPr>
          <w:rFonts w:ascii="Arial" w:cs="Arial" w:eastAsia="Arial" w:hAnsi="Arial"/>
          <w:sz w:val="18"/>
          <w:szCs w:val="18"/>
          <w:color w:val="231F20"/>
        </w:rPr>
        <w:t xml:space="preserve"> included in the Company's May 9, </w:t>
      </w:r>
      <w:r>
        <w:rPr>
          <w:rFonts w:ascii="Arial" w:cs="Arial" w:eastAsia="Arial" w:hAnsi="Arial"/>
          <w:sz w:val="18"/>
          <w:szCs w:val="18"/>
          <w:color w:val="000000"/>
        </w:rPr>
        <w:t>2017 Form 8-K.</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September 30, 2017:</w:t>
      </w:r>
    </w:p>
    <w:p>
      <w:pPr>
        <w:spacing w:after="0" w:line="150"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NRG Wind TE</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Alta Wind TE</w:t>
            </w:r>
          </w:p>
        </w:tc>
        <w:tc>
          <w:tcPr>
            <w:tcW w:w="140" w:type="dxa"/>
            <w:vAlign w:val="bottom"/>
          </w:tcPr>
          <w:p>
            <w:pPr>
              <w:spacing w:after="0"/>
              <w:rPr>
                <w:sz w:val="14"/>
                <w:szCs w:val="14"/>
                <w:color w:val="auto"/>
              </w:rPr>
            </w:pPr>
          </w:p>
        </w:tc>
        <w:tc>
          <w:tcPr>
            <w:tcW w:w="11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4"/>
              </w:rPr>
              <w:t>Spring Canyon</w:t>
            </w:r>
          </w:p>
        </w:tc>
        <w:tc>
          <w:tcPr>
            <w:tcW w:w="0" w:type="dxa"/>
            <w:vAlign w:val="bottom"/>
          </w:tcPr>
          <w:p>
            <w:pPr>
              <w:spacing w:after="0"/>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Holdco</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Holdco</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96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4960" w:type="dxa"/>
            <w:vAlign w:val="bottom"/>
          </w:tcPr>
          <w:p>
            <w:pPr>
              <w:ind w:left="460"/>
              <w:spacing w:after="0"/>
              <w:rPr>
                <w:sz w:val="20"/>
                <w:szCs w:val="20"/>
                <w:color w:val="auto"/>
              </w:rPr>
            </w:pPr>
            <w:r>
              <w:rPr>
                <w:rFonts w:ascii="Arial" w:cs="Arial" w:eastAsia="Arial" w:hAnsi="Arial"/>
                <w:sz w:val="18"/>
                <w:szCs w:val="18"/>
                <w:color w:val="auto"/>
              </w:rPr>
              <w:t>Net assets less noncontrolling interests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Variable Interest Entities, </w:t>
      </w:r>
      <w:r>
        <w:rPr>
          <w:rFonts w:ascii="Arial" w:cs="Arial" w:eastAsia="Arial" w:hAnsi="Arial"/>
          <w:sz w:val="18"/>
          <w:szCs w:val="18"/>
          <w:color w:val="231F20"/>
        </w:rPr>
        <w:t>to the consolidated financial statements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w:t>
      </w:r>
      <w:r>
        <w:rPr>
          <w:rFonts w:ascii="Arial" w:cs="Arial" w:eastAsia="Arial" w:hAnsi="Arial"/>
          <w:sz w:val="18"/>
          <w:szCs w:val="18"/>
          <w:i w:val="1"/>
          <w:iCs w:val="1"/>
          <w:color w:val="auto"/>
        </w:rPr>
        <w:t xml:space="preserve"> </w:t>
      </w:r>
      <w:r>
        <w:rPr>
          <w:rFonts w:ascii="Arial" w:cs="Arial" w:eastAsia="Arial" w:hAnsi="Arial"/>
          <w:sz w:val="18"/>
          <w:szCs w:val="18"/>
          <w:color w:val="231F20"/>
        </w:rPr>
        <w:t>included in the Company's May</w:t>
      </w:r>
      <w:r>
        <w:rPr>
          <w:rFonts w:ascii="Arial" w:cs="Arial" w:eastAsia="Arial" w:hAnsi="Arial"/>
          <w:sz w:val="18"/>
          <w:szCs w:val="18"/>
          <w:i w:val="1"/>
          <w:iCs w:val="1"/>
          <w:color w:val="auto"/>
        </w:rPr>
        <w:t xml:space="preserve"> </w:t>
      </w:r>
      <w:r>
        <w:rPr>
          <w:rFonts w:ascii="Arial" w:cs="Arial" w:eastAsia="Arial" w:hAnsi="Arial"/>
          <w:sz w:val="18"/>
          <w:szCs w:val="18"/>
          <w:color w:val="231F20"/>
        </w:rPr>
        <w:t xml:space="preserve">9, </w:t>
      </w:r>
      <w:r>
        <w:rPr>
          <w:rFonts w:ascii="Arial" w:cs="Arial" w:eastAsia="Arial" w:hAnsi="Arial"/>
          <w:sz w:val="18"/>
          <w:szCs w:val="18"/>
          <w:color w:val="000000"/>
        </w:rPr>
        <w:t>2017 Form 8-K.</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maximum exposure to loss as of September 30, 2017 is limited to its equity investment in the unconsolidated entities, as further summarized in the table below:</w:t>
      </w:r>
    </w:p>
    <w:p>
      <w:pPr>
        <w:spacing w:after="0" w:line="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6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Maximum exposure</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vMerge w:val="continue"/>
          </w:tcPr>
          <w:p>
            <w:pPr>
              <w:spacing w:after="0"/>
              <w:rPr>
                <w:sz w:val="16"/>
                <w:szCs w:val="16"/>
                <w:color w:val="auto"/>
              </w:rPr>
            </w:pPr>
          </w:p>
        </w:tc>
        <w:tc>
          <w:tcPr>
            <w:tcW w:w="5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 loss</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 Brothers Solar, LLC</w:t>
            </w:r>
          </w:p>
        </w:tc>
        <w:tc>
          <w:tcPr>
            <w:tcW w:w="53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Granite Mountain Holdings,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 Springs Holdings, LLC</w:t>
            </w:r>
          </w:p>
        </w:tc>
        <w:tc>
          <w:tcPr>
            <w:tcW w:w="5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GenConn Energy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NRG DGPV Holdco 1 LLC</w:t>
            </w:r>
          </w:p>
        </w:tc>
        <w:tc>
          <w:tcPr>
            <w:tcW w:w="5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NRG RPV Holdco 1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NRG DGPV Holdco 2 LLC</w:t>
            </w:r>
          </w:p>
        </w:tc>
        <w:tc>
          <w:tcPr>
            <w:tcW w:w="5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NRG DGPV Holdco 3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48"/>
        </w:trPr>
        <w:tc>
          <w:tcPr>
            <w:tcW w:w="3720" w:type="dxa"/>
            <w:vAlign w:val="bottom"/>
          </w:tcPr>
          <w:p>
            <w:pPr>
              <w:spacing w:after="0"/>
              <w:rPr>
                <w:sz w:val="24"/>
                <w:szCs w:val="24"/>
                <w:color w:val="auto"/>
              </w:rPr>
            </w:pPr>
          </w:p>
        </w:tc>
        <w:tc>
          <w:tcPr>
            <w:tcW w:w="5360" w:type="dxa"/>
            <w:vAlign w:val="bottom"/>
          </w:tcPr>
          <w:p>
            <w:pPr>
              <w:jc w:val="right"/>
              <w:ind w:right="3816"/>
              <w:spacing w:after="0"/>
              <w:rPr>
                <w:sz w:val="20"/>
                <w:szCs w:val="20"/>
                <w:color w:val="auto"/>
              </w:rPr>
            </w:pPr>
            <w:r>
              <w:rPr>
                <w:rFonts w:ascii="Arial" w:cs="Arial" w:eastAsia="Arial" w:hAnsi="Arial"/>
                <w:sz w:val="18"/>
                <w:szCs w:val="18"/>
                <w:color w:val="auto"/>
              </w:rPr>
              <w:t>18</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9" w:name="page20"/>
    <w:bookmarkEnd w:id="19"/>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NRG DGPV Holdco 2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contributed $37 million into NRG DGPV Holdco 2 LLC, or DGPV Holdco 2 during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2017, with an additional $2 million due to NRG in accounts payable — affiliate as of September 30, 2017, to be funded in tranches as the project milestones are completed. The Company co-owns approximately 107 MW of distributed solar capacity, based on cash to be distributed, with a weighted average contract life of approximately 21 years as of September 30, 2017.</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12, 2017, the Company and NRG amended the DGPV Holdco 2 partnership agreement to increase the aggregate commitment of $50 million to $60 million in order to accommodate funding of additional projects.</w:t>
      </w:r>
    </w:p>
    <w:p>
      <w:pPr>
        <w:spacing w:after="0" w:line="11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NRG DGPV Holdco 3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26, 2017, the Company entered into an additional partnership with NRG by forming NRG DGPV Holdco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 LLC, or DGPV Holdco 3, in which the Company would invest up to $50 million in an operating portfolio of distributed solar assets, primarily comprised of community solar projects, developed by NRG. The Company invested $4 million during September 2017 with an additional $16 million due to NRG in accounts payable - affiliate as of September 30, 2017, to be funded in tranches as the project milestones are completed. The Company co-owns approximately 33 MW of distributed solar capacity, based on cash to be distributed, with a weighted average contract life of approximately 20 years as of September 30, 2017.</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Utah Solar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as part of the March 2017 Drop Down Assets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acquired from NRG 100% of the Class A equity interests in the Utah Solar 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for the Utah Solar Portfolio:</w:t>
      </w:r>
    </w:p>
    <w:p>
      <w:pPr>
        <w:spacing w:after="0" w:line="230"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3"/>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37"/>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Utah Solar Portfolio</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040" w:type="dxa"/>
            <w:vAlign w:val="bottom"/>
          </w:tcPr>
          <w:p>
            <w:pPr>
              <w:jc w:val="right"/>
              <w:ind w:right="84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1"/>
        </w:trPr>
        <w:tc>
          <w:tcPr>
            <w:tcW w:w="4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2016</w:t>
            </w:r>
          </w:p>
        </w:tc>
      </w:tr>
      <w:tr>
        <w:trPr>
          <w:trHeight w:val="251"/>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6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Utah Solar Portfolio</w:t>
            </w: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project-level debt of unconsolidated affiliates</w:t>
      </w:r>
    </w:p>
    <w:p>
      <w:pPr>
        <w:spacing w:after="0" w:line="167"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i w:val="1"/>
          <w:iCs w:val="1"/>
          <w:color w:val="auto"/>
        </w:rPr>
        <w:t xml:space="preserve">Agua Caliente Financing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Business Acquisitions</w:t>
      </w:r>
      <w:r>
        <w:rPr>
          <w:rFonts w:ascii="Arial" w:cs="Arial" w:eastAsia="Arial" w:hAnsi="Arial"/>
          <w:sz w:val="16"/>
          <w:szCs w:val="16"/>
          <w:color w:val="auto"/>
        </w:rPr>
        <w:t>, the Company acquired a 16% interest in the Agua Caliente solar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its acquisition of Agua Caliente Borrower 2 LLC. As of September 30, 2017, Agua Caliente Solar LLC, the direct owner of the Agua Caliente solar facility, had $833 million outstanding under the Agua Caliente financing agreement with the Federal Financing Bank, or FFB, borrowed to finance the costs of constructing the facility. The Company's pro-rata share of the Agua Caliente financing arrangement was $133 million as of September 30, 2017. Amounts borrowed under the Agua Caliente financing agreement accrue interest at a fixed rate based on U.S. Treasury rates plus a spread of 0.375%, mature in 2037 and are secured by the assets of Agua Caliente Solar LLC. The loans provided by the FFB are guaranteed by the U.S. DOE.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current portion of the accounts payable — affiliates,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September 30, 2017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December 31, 2016</w:t>
            </w:r>
          </w:p>
        </w:tc>
      </w:tr>
      <w:tr>
        <w:trPr>
          <w:trHeight w:val="263"/>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70"/>
        </w:trPr>
        <w:tc>
          <w:tcPr>
            <w:tcW w:w="6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Notes receivable </w:t>
            </w:r>
            <w:r>
              <w:rPr>
                <w:rFonts w:ascii="Arial" w:cs="Arial" w:eastAsia="Arial" w:hAnsi="Arial"/>
                <w:sz w:val="25"/>
                <w:szCs w:val="25"/>
                <w:color w:val="auto"/>
                <w:vertAlign w:val="superscript"/>
              </w:rPr>
              <w:t>(a)</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30</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3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608</w:t>
            </w:r>
          </w:p>
        </w:tc>
      </w:tr>
      <w:tr>
        <w:trPr>
          <w:trHeight w:val="27"/>
        </w:trPr>
        <w:tc>
          <w:tcPr>
            <w:tcW w:w="6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Long-term debt — external, including current portion </w:t>
            </w:r>
            <w:r>
              <w:rPr>
                <w:rFonts w:ascii="Arial" w:cs="Arial" w:eastAsia="Arial" w:hAnsi="Arial"/>
                <w:sz w:val="25"/>
                <w:szCs w:val="25"/>
                <w:color w:val="auto"/>
                <w:vertAlign w:val="superscript"/>
              </w:rPr>
              <w:t>(b)</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5,268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5,451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5,435</w:t>
            </w:r>
          </w:p>
        </w:tc>
      </w:tr>
    </w:tbl>
    <w:p>
      <w:pPr>
        <w:spacing w:after="0" w:line="251"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the long-term portion of notes receivable, which is recorded in other noncurrent assets on the Company's consolidated balance sheets.</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Excludes deferred financing costs, which are recorded as a reduction to long-term debt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2017 and December 31, 2016:</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As of September 30, 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2016</w:t>
            </w:r>
          </w:p>
        </w:tc>
      </w:tr>
      <w:tr>
        <w:trPr>
          <w:trHeight w:val="264"/>
        </w:trPr>
        <w:tc>
          <w:tcPr>
            <w:tcW w:w="4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884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5,043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833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5,210</w:t>
            </w:r>
          </w:p>
        </w:tc>
      </w:tr>
      <w:tr>
        <w:trPr>
          <w:trHeight w:val="621"/>
        </w:trPr>
        <w:tc>
          <w:tcPr>
            <w:tcW w:w="4400" w:type="dxa"/>
            <w:vAlign w:val="bottom"/>
          </w:tcPr>
          <w:p>
            <w:pPr>
              <w:spacing w:after="0"/>
              <w:rPr>
                <w:sz w:val="24"/>
                <w:szCs w:val="24"/>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5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As of September 30,</w:t>
            </w:r>
          </w:p>
        </w:tc>
        <w:tc>
          <w:tcPr>
            <w:tcW w:w="200" w:type="dxa"/>
            <w:vAlign w:val="bottom"/>
          </w:tcPr>
          <w:p>
            <w:pPr>
              <w:spacing w:after="0"/>
              <w:rPr>
                <w:sz w:val="14"/>
                <w:szCs w:val="14"/>
                <w:color w:val="auto"/>
              </w:rPr>
            </w:pPr>
          </w:p>
        </w:tc>
        <w:tc>
          <w:tcPr>
            <w:tcW w:w="2620" w:type="dxa"/>
            <w:vAlign w:val="bottom"/>
            <w:gridSpan w:val="4"/>
            <w:vMerge w:val="restart"/>
          </w:tcPr>
          <w:p>
            <w:pPr>
              <w:jc w:val="right"/>
              <w:ind w:right="554"/>
              <w:spacing w:after="0"/>
              <w:rPr>
                <w:sz w:val="20"/>
                <w:szCs w:val="20"/>
                <w:color w:val="auto"/>
              </w:rPr>
            </w:pPr>
            <w:r>
              <w:rPr>
                <w:rFonts w:ascii="Arial" w:cs="Arial" w:eastAsia="Arial" w:hAnsi="Arial"/>
                <w:sz w:val="14"/>
                <w:szCs w:val="14"/>
                <w:b w:val="1"/>
                <w:bCs w:val="1"/>
                <w:color w:val="auto"/>
              </w:rPr>
              <w:t>As of December 31, 2016</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8"/>
                <w:szCs w:val="8"/>
                <w:b w:val="1"/>
                <w:bCs w:val="1"/>
                <w:color w:val="auto"/>
                <w:w w:val="99"/>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250"/>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21"/>
                <w:szCs w:val="21"/>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7000" w:type="dxa"/>
            <w:vAlign w:val="bottom"/>
          </w:tcPr>
          <w:p>
            <w:pPr>
              <w:ind w:left="5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right="680" w:firstLine="8"/>
        <w:spacing w:after="0" w:line="280" w:lineRule="auto"/>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or liabilities classified as Level 1 as of September 30, 2017. There were no derivative assets or liabilities classified as Level 3 as of September 30, 2017 and December 31, 2016.</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2017, the credit reserve resulted in a $1 million increase in fair value in interest expense. It is possible that future market prices could vary from those used in recording assets and liabilities and such variations could be material.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 consolidated financial</w:t>
      </w:r>
      <w:r>
        <w:rPr>
          <w:rFonts w:ascii="Arial" w:cs="Arial" w:eastAsia="Arial" w:hAnsi="Arial"/>
          <w:sz w:val="16"/>
          <w:szCs w:val="16"/>
          <w:color w:val="auto"/>
        </w:rPr>
        <w:t xml:space="preserve"> statements for the year ended December 31, 2016 </w:t>
      </w:r>
      <w:r>
        <w:rPr>
          <w:rFonts w:ascii="Arial" w:cs="Arial" w:eastAsia="Arial" w:hAnsi="Arial"/>
          <w:sz w:val="16"/>
          <w:szCs w:val="16"/>
          <w:color w:val="231F20"/>
        </w:rPr>
        <w:t>included in the Company's May 9,</w:t>
      </w:r>
      <w:r>
        <w:rPr>
          <w:rFonts w:ascii="Arial" w:cs="Arial" w:eastAsia="Arial" w:hAnsi="Arial"/>
          <w:sz w:val="16"/>
          <w:szCs w:val="16"/>
          <w:color w:val="auto"/>
        </w:rPr>
        <w:t xml:space="preserve"> 2017 Form 8-K, the following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w:t>
      </w:r>
    </w:p>
    <w:p>
      <w:pPr>
        <w:spacing w:after="0" w:line="2" w:lineRule="exact"/>
        <w:rPr>
          <w:sz w:val="20"/>
          <w:szCs w:val="20"/>
          <w:color w:val="auto"/>
        </w:rPr>
      </w:pPr>
    </w:p>
    <w:p>
      <w:pPr>
        <w:jc w:val="both"/>
        <w:ind w:firstLine="8"/>
        <w:spacing w:after="0" w:line="295" w:lineRule="auto"/>
        <w:tabs>
          <w:tab w:leader="none" w:pos="2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September 30, 2017, credit risk exposure to these counterparties attributable to the Company's ownership interests was approximately $2.9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This footnote should be read in conjunction with the complete description under Note 7,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i w:val="1"/>
          <w:iCs w:val="1"/>
          <w:color w:val="231F20"/>
        </w:rPr>
        <w:t>,</w:t>
      </w:r>
      <w:r>
        <w:rPr>
          <w:rFonts w:ascii="Arial" w:cs="Arial" w:eastAsia="Arial" w:hAnsi="Arial"/>
          <w:sz w:val="17"/>
          <w:szCs w:val="17"/>
          <w:color w:val="auto"/>
        </w:rPr>
        <w:t xml:space="preserve"> </w:t>
      </w:r>
      <w:r>
        <w:rPr>
          <w:rFonts w:ascii="Arial" w:cs="Arial" w:eastAsia="Arial" w:hAnsi="Arial"/>
          <w:sz w:val="17"/>
          <w:szCs w:val="17"/>
          <w:color w:val="231F20"/>
        </w:rPr>
        <w:t xml:space="preserve">to the consolidated financial statements for the year ended </w:t>
      </w:r>
      <w:r>
        <w:rPr>
          <w:rFonts w:ascii="Arial" w:cs="Arial" w:eastAsia="Arial" w:hAnsi="Arial"/>
          <w:sz w:val="17"/>
          <w:szCs w:val="17"/>
          <w:color w:val="000000"/>
        </w:rPr>
        <w:t>December 31, 2016</w:t>
      </w:r>
      <w:r>
        <w:rPr>
          <w:rFonts w:ascii="Arial" w:cs="Arial" w:eastAsia="Arial" w:hAnsi="Arial"/>
          <w:sz w:val="17"/>
          <w:szCs w:val="17"/>
          <w:color w:val="231F20"/>
        </w:rPr>
        <w:t xml:space="preserve"> included in the Company's May 9, </w:t>
      </w:r>
      <w:r>
        <w:rPr>
          <w:rFonts w:ascii="Arial" w:cs="Arial" w:eastAsia="Arial" w:hAnsi="Arial"/>
          <w:sz w:val="17"/>
          <w:szCs w:val="17"/>
          <w:color w:val="000000"/>
        </w:rPr>
        <w:t>2017 Form 8-K.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2017, the Company had energy-related derivative instruments extending through 2020. At September 30, 2017,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September 30, 2017, the Company had interest rate derivative instruments on non-recourse debt extending through 2036, a portion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commodity: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7"/>
              </w:rPr>
              <w:t>September 30, 2017</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December 31, 2016</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8"/>
                <w:szCs w:val="18"/>
                <w:color w:val="auto"/>
              </w:rPr>
            </w:pPr>
          </w:p>
        </w:tc>
        <w:tc>
          <w:tcPr>
            <w:tcW w:w="35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1,983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2,070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were no derivative asset positions on the balance sheet as of September 30, 2017. The following table summarizes the fair value within the derivative instrument valuation on the balance sheet:</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Derivative Assets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4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22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2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contracts long-term</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851"/>
        </w:trPr>
        <w:tc>
          <w:tcPr>
            <w:tcW w:w="49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22</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3" w:name="page24"/>
    <w:bookmarkEnd w:id="23"/>
    <w:p>
      <w:pPr>
        <w:jc w:val="both"/>
        <w:ind w:firstLine="405"/>
        <w:spacing w:after="0" w:line="259"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master agreement level. As of September 30, 2017, there were no offsetting amounts at the counterparty master agreement level nor outstanding collateral paid or received. As of December 31, 2016, there was no outstanding collateral paid or received. The following tables summarize the offsetting of derivatives by the counterparty master agreement level as of December 31, 2016:</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4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60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Reclassified from accumulated OCL to income due to realization of previously</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deferred amounts</w:t>
            </w: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8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NRG Yield LLC</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Amounts reclassified from accumulated OCL into income and amounts recognized in income from the ineffective portion of cash flow hedges are recorded to interest expense. There was no ineffectiveness for the nine months ended September 30, 2017 and 2016.</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Accounting guidelines require a high degree of correlation between the derivative and the hedged item throughout the period in order to qualify as a cash flow hedge. As of December 31, 2016, the Company's regression analysis for Viento Funding II interest rate swaps, while positively correlated, did not meet the required threshold for cash flow hedge accounting. As a result, the Company de-designated the Viento Funding II cash flow hedges as of December 31, 2016, and will prospectively mark these derivatives to market through the income statement.</w:t>
      </w:r>
    </w:p>
    <w:p>
      <w:pPr>
        <w:spacing w:after="0" w:line="29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September 30, 2017 and 2016, the impact to the consolidated statements of income was a gain of $7 million and $2 million, respectively. For the nine months ended September 30, 2017 and 2016, the impact to the consolidated statements of income was a loss of $2 million and $7 million, respectively.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income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This footnote should be read in conjunction with the complete description under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w:t>
      </w:r>
      <w:r>
        <w:rPr>
          <w:rFonts w:ascii="Arial" w:cs="Arial" w:eastAsia="Arial" w:hAnsi="Arial"/>
          <w:sz w:val="17"/>
          <w:szCs w:val="17"/>
          <w:color w:val="231F20"/>
        </w:rPr>
        <w:t>to the consolidated financial statements for</w:t>
      </w:r>
      <w:r>
        <w:rPr>
          <w:rFonts w:ascii="Arial" w:cs="Arial" w:eastAsia="Arial" w:hAnsi="Arial"/>
          <w:sz w:val="17"/>
          <w:szCs w:val="17"/>
          <w:color w:val="auto"/>
        </w:rPr>
        <w:t xml:space="preserve"> </w:t>
      </w:r>
      <w:r>
        <w:rPr>
          <w:rFonts w:ascii="Arial" w:cs="Arial" w:eastAsia="Arial" w:hAnsi="Arial"/>
          <w:sz w:val="17"/>
          <w:szCs w:val="17"/>
          <w:color w:val="231F20"/>
        </w:rPr>
        <w:t xml:space="preserve">the year ended December 31, 2016 included in the Company's May 9, </w:t>
      </w:r>
      <w:r>
        <w:rPr>
          <w:rFonts w:ascii="Arial" w:cs="Arial" w:eastAsia="Arial" w:hAnsi="Arial"/>
          <w:sz w:val="17"/>
          <w:szCs w:val="17"/>
          <w:color w:val="000000"/>
        </w:rPr>
        <w:t>2017 Form 8-K. Long-term debt consisted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2"/>
              </w:rPr>
              <w:t>December 31,</w:t>
            </w:r>
          </w:p>
        </w:tc>
        <w:tc>
          <w:tcPr>
            <w:tcW w:w="2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8"/>
              </w:rPr>
              <w:t>September 30, 2017, interest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9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 xml:space="preserve">rate % </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4"/>
                <w:szCs w:val="14"/>
                <w:b w:val="1"/>
                <w:bCs w:val="1"/>
                <w:color w:val="auto"/>
              </w:rPr>
              <w:t>(In millions, except rates)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 affiliate, due 2019</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337</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Long-term debt - affiliate, due 2020</w:t>
            </w:r>
          </w:p>
        </w:tc>
        <w:tc>
          <w:tcPr>
            <w:tcW w:w="4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281</w:t>
            </w:r>
          </w:p>
        </w:tc>
        <w:tc>
          <w:tcPr>
            <w:tcW w:w="1920" w:type="dxa"/>
            <w:vAlign w:val="bottom"/>
          </w:tcPr>
          <w:p>
            <w:pPr>
              <w:jc w:val="right"/>
              <w:spacing w:after="0"/>
              <w:rPr>
                <w:sz w:val="20"/>
                <w:szCs w:val="20"/>
                <w:color w:val="auto"/>
              </w:rPr>
            </w:pPr>
            <w:r>
              <w:rPr>
                <w:rFonts w:ascii="Arial" w:cs="Arial" w:eastAsia="Arial" w:hAnsi="Arial"/>
                <w:sz w:val="17"/>
                <w:szCs w:val="17"/>
                <w:color w:val="auto"/>
              </w:rPr>
              <w:t>3.325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500</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2026 Senior Notes</w:t>
            </w:r>
          </w:p>
        </w:tc>
        <w:tc>
          <w:tcPr>
            <w:tcW w:w="4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350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350</w:t>
            </w:r>
          </w:p>
        </w:tc>
        <w:tc>
          <w:tcPr>
            <w:tcW w:w="192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Project-level debt: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Agua Caliente Borrower 2, due 2038</w:t>
            </w:r>
          </w:p>
        </w:tc>
        <w:tc>
          <w:tcPr>
            <w:tcW w:w="4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5.430</w:t>
            </w:r>
          </w:p>
        </w:tc>
        <w:tc>
          <w:tcPr>
            <w:tcW w:w="100" w:type="dxa"/>
            <w:vAlign w:val="bottom"/>
          </w:tcPr>
          <w:p>
            <w:pPr>
              <w:spacing w:after="0"/>
              <w:rPr>
                <w:sz w:val="20"/>
                <w:szCs w:val="20"/>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Alpine, due 2022</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145</w:t>
            </w:r>
          </w:p>
        </w:tc>
        <w:tc>
          <w:tcPr>
            <w:tcW w:w="2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L+1.750</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Alta Wind I - V lease financing arrangements, due 2034 and 2035</w:t>
            </w:r>
          </w:p>
        </w:tc>
        <w:tc>
          <w:tcPr>
            <w:tcW w:w="4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940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965</w:t>
            </w:r>
          </w:p>
        </w:tc>
        <w:tc>
          <w:tcPr>
            <w:tcW w:w="1920" w:type="dxa"/>
            <w:vAlign w:val="bottom"/>
          </w:tcPr>
          <w:p>
            <w:pPr>
              <w:jc w:val="right"/>
              <w:spacing w:after="0"/>
              <w:rPr>
                <w:sz w:val="20"/>
                <w:szCs w:val="20"/>
                <w:color w:val="auto"/>
              </w:rPr>
            </w:pPr>
            <w:r>
              <w:rPr>
                <w:rFonts w:ascii="Arial" w:cs="Arial" w:eastAsia="Arial" w:hAnsi="Arial"/>
                <w:sz w:val="17"/>
                <w:szCs w:val="17"/>
                <w:color w:val="auto"/>
              </w:rPr>
              <w:t>5.696 - 7.015</w:t>
            </w:r>
          </w:p>
        </w:tc>
        <w:tc>
          <w:tcPr>
            <w:tcW w:w="100" w:type="dxa"/>
            <w:vAlign w:val="bottom"/>
          </w:tcPr>
          <w:p>
            <w:pPr>
              <w:spacing w:after="0"/>
              <w:rPr>
                <w:sz w:val="20"/>
                <w:szCs w:val="20"/>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CVSR, due 2037</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771</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2.339 - 3.775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CVSR Holdco Notes, due 2037</w:t>
            </w:r>
          </w:p>
        </w:tc>
        <w:tc>
          <w:tcPr>
            <w:tcW w:w="4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199</w:t>
            </w:r>
          </w:p>
        </w:tc>
        <w:tc>
          <w:tcPr>
            <w:tcW w:w="1920" w:type="dxa"/>
            <w:vAlign w:val="bottom"/>
          </w:tcPr>
          <w:p>
            <w:pPr>
              <w:jc w:val="right"/>
              <w:spacing w:after="0"/>
              <w:rPr>
                <w:sz w:val="20"/>
                <w:szCs w:val="20"/>
                <w:color w:val="auto"/>
              </w:rPr>
            </w:pPr>
            <w:r>
              <w:rPr>
                <w:rFonts w:ascii="Arial" w:cs="Arial" w:eastAsia="Arial" w:hAnsi="Arial"/>
                <w:sz w:val="17"/>
                <w:szCs w:val="17"/>
                <w:color w:val="auto"/>
              </w:rPr>
              <w:t>4.680</w:t>
            </w:r>
          </w:p>
        </w:tc>
        <w:tc>
          <w:tcPr>
            <w:tcW w:w="100" w:type="dxa"/>
            <w:vAlign w:val="bottom"/>
          </w:tcPr>
          <w:p>
            <w:pPr>
              <w:spacing w:after="0"/>
              <w:rPr>
                <w:sz w:val="20"/>
                <w:szCs w:val="20"/>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El Segundo Energy Center, due 2023</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443</w:t>
            </w:r>
          </w:p>
        </w:tc>
        <w:tc>
          <w:tcPr>
            <w:tcW w:w="2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L+1.75 - L+2.375</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Energy Center Minneapolis, due 2017 and 2025</w:t>
            </w:r>
          </w:p>
        </w:tc>
        <w:tc>
          <w:tcPr>
            <w:tcW w:w="4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96</w:t>
            </w:r>
          </w:p>
        </w:tc>
        <w:tc>
          <w:tcPr>
            <w:tcW w:w="1920" w:type="dxa"/>
            <w:vAlign w:val="bottom"/>
          </w:tcPr>
          <w:p>
            <w:pPr>
              <w:jc w:val="right"/>
              <w:spacing w:after="0"/>
              <w:rPr>
                <w:sz w:val="20"/>
                <w:szCs w:val="20"/>
                <w:color w:val="auto"/>
              </w:rPr>
            </w:pPr>
            <w:r>
              <w:rPr>
                <w:rFonts w:ascii="Arial" w:cs="Arial" w:eastAsia="Arial" w:hAnsi="Arial"/>
                <w:sz w:val="17"/>
                <w:szCs w:val="17"/>
                <w:color w:val="auto"/>
              </w:rPr>
              <w:t>5.950 -7.250</w:t>
            </w:r>
          </w:p>
        </w:tc>
        <w:tc>
          <w:tcPr>
            <w:tcW w:w="100" w:type="dxa"/>
            <w:vAlign w:val="bottom"/>
          </w:tcPr>
          <w:p>
            <w:pPr>
              <w:spacing w:after="0"/>
              <w:rPr>
                <w:sz w:val="20"/>
                <w:szCs w:val="20"/>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Energy Center Minneapolis Series D Notes, due 2031</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125</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Laredo Ridge, due 2028</w:t>
            </w:r>
          </w:p>
        </w:tc>
        <w:tc>
          <w:tcPr>
            <w:tcW w:w="4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100</w:t>
            </w:r>
          </w:p>
        </w:tc>
        <w:tc>
          <w:tcPr>
            <w:tcW w:w="2020" w:type="dxa"/>
            <w:vAlign w:val="bottom"/>
            <w:gridSpan w:val="2"/>
          </w:tcPr>
          <w:p>
            <w:pPr>
              <w:jc w:val="right"/>
              <w:ind w:right="120"/>
              <w:spacing w:after="0"/>
              <w:rPr>
                <w:sz w:val="20"/>
                <w:szCs w:val="20"/>
                <w:color w:val="auto"/>
              </w:rPr>
            </w:pPr>
            <w:r>
              <w:rPr>
                <w:rFonts w:ascii="Arial" w:cs="Arial" w:eastAsia="Arial" w:hAnsi="Arial"/>
                <w:sz w:val="17"/>
                <w:szCs w:val="17"/>
                <w:color w:val="auto"/>
              </w:rPr>
              <w:t>L+1.875</w:t>
            </w: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Marsh Landing, due 2017 and 2023</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370</w:t>
            </w:r>
          </w:p>
        </w:tc>
        <w:tc>
          <w:tcPr>
            <w:tcW w:w="2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L+1.750 - L+1.875</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Tapestry, due 2021</w:t>
            </w:r>
          </w:p>
        </w:tc>
        <w:tc>
          <w:tcPr>
            <w:tcW w:w="4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172</w:t>
            </w:r>
          </w:p>
        </w:tc>
        <w:tc>
          <w:tcPr>
            <w:tcW w:w="2020" w:type="dxa"/>
            <w:vAlign w:val="bottom"/>
            <w:gridSpan w:val="2"/>
          </w:tcPr>
          <w:p>
            <w:pPr>
              <w:jc w:val="right"/>
              <w:ind w:right="120"/>
              <w:spacing w:after="0"/>
              <w:rPr>
                <w:sz w:val="20"/>
                <w:szCs w:val="20"/>
                <w:color w:val="auto"/>
              </w:rPr>
            </w:pPr>
            <w:r>
              <w:rPr>
                <w:rFonts w:ascii="Arial" w:cs="Arial" w:eastAsia="Arial" w:hAnsi="Arial"/>
                <w:sz w:val="17"/>
                <w:szCs w:val="17"/>
                <w:color w:val="auto"/>
              </w:rPr>
              <w:t>L+1.625</w:t>
            </w: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Utah Solar Portfolio, due 2022</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287</w:t>
            </w:r>
          </w:p>
        </w:tc>
        <w:tc>
          <w:tcPr>
            <w:tcW w:w="2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L+2.625</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Viento, due 2023</w:t>
            </w:r>
          </w:p>
        </w:tc>
        <w:tc>
          <w:tcPr>
            <w:tcW w:w="4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178</w:t>
            </w:r>
          </w:p>
        </w:tc>
        <w:tc>
          <w:tcPr>
            <w:tcW w:w="2020" w:type="dxa"/>
            <w:vAlign w:val="bottom"/>
            <w:gridSpan w:val="2"/>
          </w:tcPr>
          <w:p>
            <w:pPr>
              <w:jc w:val="right"/>
              <w:ind w:right="120"/>
              <w:spacing w:after="0"/>
              <w:rPr>
                <w:sz w:val="20"/>
                <w:szCs w:val="20"/>
                <w:color w:val="auto"/>
              </w:rPr>
            </w:pPr>
            <w:r>
              <w:rPr>
                <w:rFonts w:ascii="Arial" w:cs="Arial" w:eastAsia="Arial" w:hAnsi="Arial"/>
                <w:sz w:val="17"/>
                <w:szCs w:val="17"/>
                <w:color w:val="auto"/>
              </w:rPr>
              <w:t>L+3.00</w:t>
            </w: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Walnut Creek, due 2023</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310</w:t>
            </w:r>
          </w:p>
        </w:tc>
        <w:tc>
          <w:tcPr>
            <w:tcW w:w="2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L+1.625</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Other</w:t>
            </w:r>
          </w:p>
        </w:tc>
        <w:tc>
          <w:tcPr>
            <w:tcW w:w="4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440</w:t>
            </w:r>
          </w:p>
        </w:tc>
        <w:tc>
          <w:tcPr>
            <w:tcW w:w="2020" w:type="dxa"/>
            <w:vAlign w:val="bottom"/>
            <w:gridSpan w:val="2"/>
          </w:tcPr>
          <w:p>
            <w:pPr>
              <w:ind w:left="1380"/>
              <w:spacing w:after="0"/>
              <w:rPr>
                <w:sz w:val="20"/>
                <w:szCs w:val="20"/>
                <w:color w:val="auto"/>
              </w:rPr>
            </w:pPr>
            <w:r>
              <w:rPr>
                <w:rFonts w:ascii="Arial" w:cs="Arial" w:eastAsia="Arial" w:hAnsi="Arial"/>
                <w:sz w:val="17"/>
                <w:szCs w:val="17"/>
                <w:color w:val="auto"/>
              </w:rPr>
              <w:t>Various</w:t>
            </w: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1"/>
        </w:trPr>
        <w:tc>
          <w:tcPr>
            <w:tcW w:w="55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Subtotal project-level debt: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4,601</w:t>
            </w: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500" w:type="dxa"/>
            <w:vAlign w:val="bottom"/>
          </w:tcPr>
          <w:p>
            <w:pPr>
              <w:ind w:left="380"/>
              <w:spacing w:after="0"/>
              <w:rPr>
                <w:sz w:val="20"/>
                <w:szCs w:val="20"/>
                <w:color w:val="auto"/>
              </w:rPr>
            </w:pPr>
            <w:r>
              <w:rPr>
                <w:rFonts w:ascii="Arial" w:cs="Arial" w:eastAsia="Arial" w:hAnsi="Arial"/>
                <w:sz w:val="17"/>
                <w:szCs w:val="17"/>
                <w:color w:val="auto"/>
              </w:rPr>
              <w:t>Total debt</w:t>
            </w:r>
          </w:p>
        </w:tc>
        <w:tc>
          <w:tcPr>
            <w:tcW w:w="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5,886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6,069</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Less current maturities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80"/>
              <w:spacing w:after="0"/>
              <w:rPr>
                <w:sz w:val="20"/>
                <w:szCs w:val="20"/>
                <w:color w:val="auto"/>
              </w:rPr>
            </w:pPr>
            <w:r>
              <w:rPr>
                <w:rFonts w:ascii="Arial" w:cs="Arial" w:eastAsia="Arial" w:hAnsi="Arial"/>
                <w:sz w:val="17"/>
                <w:szCs w:val="17"/>
                <w:color w:val="auto"/>
              </w:rPr>
              <w:t>Less net debt issuance costs</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long-term debt</w:t>
            </w: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5,532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5,716</w:t>
            </w: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48" w:lineRule="exact"/>
        <w:rPr>
          <w:sz w:val="20"/>
          <w:szCs w:val="20"/>
          <w:color w:val="auto"/>
        </w:rPr>
      </w:pPr>
    </w:p>
    <w:p>
      <w:pPr>
        <w:ind w:left="80"/>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As of September 30, 2017, L+equals 3 month LIBOR plus x%, except for the Utah Solar Portfolio, where L+equals 1 month LIBOR plus x%</w:t>
      </w:r>
    </w:p>
    <w:p>
      <w:pPr>
        <w:spacing w:after="0" w:line="10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September 30, 2017, the Company was in compliance with all of the required covenants.</w:t>
      </w:r>
    </w:p>
    <w:p>
      <w:pPr>
        <w:spacing w:after="0" w:line="70" w:lineRule="exact"/>
        <w:rPr>
          <w:sz w:val="20"/>
          <w:szCs w:val="20"/>
          <w:color w:val="auto"/>
        </w:rPr>
      </w:pPr>
    </w:p>
    <w:p>
      <w:pPr>
        <w:ind w:left="420" w:right="1620"/>
        <w:spacing w:after="0" w:line="438" w:lineRule="auto"/>
        <w:rPr>
          <w:sz w:val="20"/>
          <w:szCs w:val="20"/>
          <w:color w:val="auto"/>
        </w:rPr>
      </w:pPr>
      <w:r>
        <w:rPr>
          <w:rFonts w:ascii="Arial" w:cs="Arial" w:eastAsia="Arial" w:hAnsi="Arial"/>
          <w:sz w:val="18"/>
          <w:szCs w:val="18"/>
          <w:color w:val="auto"/>
        </w:rPr>
        <w:t xml:space="preserve">The discussion below describes material changes to or additions of long-term debt for the nine months ended September 30, 2017. </w:t>
      </w:r>
      <w:r>
        <w:rPr>
          <w:rFonts w:ascii="Arial" w:cs="Arial" w:eastAsia="Arial" w:hAnsi="Arial"/>
          <w:sz w:val="18"/>
          <w:szCs w:val="18"/>
          <w:b w:val="1"/>
          <w:bCs w:val="1"/>
          <w:i w:val="1"/>
          <w:iCs w:val="1"/>
          <w:color w:val="auto"/>
        </w:rPr>
        <w:t>NRG Yield LLC and NRG Yield Operating LLC Revolving Credit Facility</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2017</w:t>
      </w:r>
      <w:r>
        <w:rPr>
          <w:rFonts w:ascii="Arial" w:cs="Arial" w:eastAsia="Arial" w:hAnsi="Arial"/>
          <w:sz w:val="18"/>
          <w:szCs w:val="18"/>
          <w:color w:val="231F20"/>
        </w:rPr>
        <w:t>, there were no outstanding borrowings under the revolving credit facility and the Company had $68 million of letters of credit outstanding.</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Thermal Financing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Series F Notes, increasing the total principal amount of notes available for issuance under the shelf facility to $80 million. </w:t>
      </w:r>
      <w:r>
        <w:rPr>
          <w:rFonts w:ascii="Arial" w:cs="Arial" w:eastAsia="Arial" w:hAnsi="Arial"/>
          <w:sz w:val="18"/>
          <w:szCs w:val="18"/>
          <w:color w:val="231F20"/>
        </w:rPr>
        <w:t>The Series F Notes will be secured by substantially all of the assets of</w:t>
      </w:r>
      <w:r>
        <w:rPr>
          <w:rFonts w:ascii="Arial" w:cs="Arial" w:eastAsia="Arial" w:hAnsi="Arial"/>
          <w:sz w:val="18"/>
          <w:szCs w:val="18"/>
          <w:color w:val="auto"/>
        </w:rPr>
        <w:t xml:space="preserve"> </w:t>
      </w:r>
      <w:r>
        <w:rPr>
          <w:rFonts w:ascii="Arial" w:cs="Arial" w:eastAsia="Arial" w:hAnsi="Arial"/>
          <w:sz w:val="18"/>
          <w:szCs w:val="18"/>
          <w:color w:val="231F20"/>
        </w:rPr>
        <w:t>NRG Energy Center Minneapolis LLC. NRG</w:t>
      </w:r>
    </w:p>
    <w:p>
      <w:pPr>
        <w:sectPr>
          <w:pgSz w:w="11900" w:h="16838" w:orient="portrait"/>
          <w:cols w:equalWidth="0" w:num="1">
            <w:col w:w="11420"/>
          </w:cols>
          <w:pgMar w:left="240" w:top="742"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42"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color w:val="231F20"/>
        </w:rPr>
        <w:t>Thermal LLC has guaranteed the indebtedness and its guarantee is secured by a pledge of the equity interests in all of NRG Thermal LLC’s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Related to the March 2017 Drop Down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Agua Caliente Borrower 2, due 2038</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On February 17, 2017, Agua Caliente Borrower 1 LLC, an indirect subsidiary of NRG, and Agua Caliente Borrower 2 LLC, issued $130 million of senior secured notes under the Agua Caliente Borrower 1 LLC and Agua Caliente Borrower 2 LLC financing agreement, or Agua Caliente Holdco Financing Agreement, that bear interest at 5.43% and mature on December 31, 2038. 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March 27, 2017, the Company acquired Agua Caliente Borrower 2 LLC from NRG as part of the March 2017 Drop Down Assets acquisition and assumed NRG's portion of senior secured notes under the Agua Caliente Holdco Financing Agreement. Agua Caliente Borrower 2 LLC holds $41 million of the Agua Caliente Holdco debt as of September 30, 2017. The debt is joint and several with respect to Agua Caliente Borrower 1 LLC and Agua Caliente Borrower 2 LLC and is secured by the equity interests of each borrower in the Agua Caliente solar facility.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Utah Solar Portfolio, due 2022</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the March 2017 Drop Down Assets acquisition, the Company assumed non-recourse debt of $287 million relating to the Utah Solar Portfolio at an interest rate of LIBOR plus 2.625%. The debt matures on December 16, 2022. The $287 million consisted of $222 million outstanding at the time of NRG's acquisition of the Utah Solar Portfolio on November 2, 2016, and additional borrowings of $65 million, net of debt issuance costs, incurred during 2016. The Company holds $284 million of the Utah Solar Portfolio debt as of September 30, 2017.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primarily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Three months ended September 30, 2017</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1,920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5,821</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8,240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Three months ended September 30, 2016</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82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272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2C2C2C"/>
              </w:rPr>
              <w:t>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2C2C2C"/>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2C2C2C"/>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76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75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2C2C2C"/>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3</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48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118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2C2C2C"/>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2C2C2C"/>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16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2C2C2C"/>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C2C2C"/>
              </w:rPr>
              <w:t>(13)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C2C2C"/>
              </w:rPr>
              <w:t>(37)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C2C2C"/>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2C2C2C"/>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C2C2C"/>
              </w:rPr>
              <w:t>(68)</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2C2C2C"/>
              </w:rPr>
              <w:t>39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2C2C2C"/>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C2C2C"/>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67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Nine months ended September 30, 2017</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87</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1,920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5,821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8,240</w:t>
            </w: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Nine months ended September 30, 2016</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246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789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2C2C2C"/>
              </w:rPr>
              <w:t>53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2C2C2C"/>
              </w:rPr>
              <w:t>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2C2C2C"/>
              </w:rPr>
              <w:t>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238</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60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224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2C2C2C"/>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8</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133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319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2C2C2C"/>
              </w:rPr>
              <w:t>10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2C2C2C"/>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34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2C2C2C"/>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C2C2C"/>
              </w:rPr>
              <w:t>(36)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C2C2C"/>
              </w:rPr>
              <w:t>(115)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C2C2C"/>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2C2C2C"/>
              </w:rPr>
              <w:t>(48)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C2C2C"/>
              </w:rPr>
              <w:t>(204)</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2C2C2C"/>
              </w:rPr>
              <w:t>108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2C2C2C"/>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C2C2C"/>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152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968"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to the transactions and relationships described elsewhere in these notes to the consolidated financial statements, NRG and certain subsidiaries of NRG provide services to the Company and its project entities. Amounts due to NRG subsidiaries are recorded as accounts payable - affiliate and amounts due to the Company from NRG or its subsidiaries are recorded as accounts receivable - affiliate in the Company's balance sheet.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Elbow Creek and Dover are parties to PPAs with NRG Power Marketing and generate revenue under the PPAs, which are recorded to operating revenues in the Company's consolidated statements of operations. For the three and nine months ended September 30, 2017, Elbow Creek and Dover, collectively, generated revenue of $3 million and $10 million, respectively. For the three and nine months ended September 30, 2016, Elbow Creek and Dover, collectively, generated revenue of $4 million and $10 million, respectively.</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NRG Energy Center Dover LLC, NRG Energy Center Minneapolis, NRG Energy Center Phoenix LLC, and NRG Energy Center Paxton LLC, or Thermal entities, are parties to Energy Marketing Services Agreements with NRG Power Marketing, a wholly-owned subsidiary of NRG. Under the agreements, NRG Power Marketing procures fuel and fuel transportation for the operation of Thermal entities. For the three and nine months ended September 30, 2017, Thermal entities purchased $1 million and $7 million, respectively, of natural gas from NRG Power Marketing. For the three and nine months ended September 30, 2016, Thermal entities purchased $1 million and $6 million, respectively, of natural gas from NRG Power Marketing.</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Company's subsidiaries and NRG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following table summarizes material O&amp;M costs recorded in the cost of operations line in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170180</wp:posOffset>
            </wp:positionV>
            <wp:extent cx="3841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320"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8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43"/>
        </w:trPr>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O&amp;M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w:t>
            </w:r>
          </w:p>
        </w:tc>
      </w:tr>
      <w:tr>
        <w:trPr>
          <w:trHeight w:val="27"/>
        </w:trPr>
        <w:tc>
          <w:tcPr>
            <w:tcW w:w="3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were balances of $21 million and $22 million due from the entities above to NRG in accounts payable — affiliate as of September 30, 2017 and December 31, 2016, respectively. As of September 30, 2017, $3 million was recorded in long term liabilities of the consolidated balance sheet.</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GenConn incurs fees under two O&amp;M agreements with wholly-owned subsidiaries of NRG. For the three months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2017 and September 30, 2016, the aggregate fees incurred under the agreements were $1 million and $4 million for each period in each year, respectively.</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19, 2016, Marsh Landing entered into an administrative services agreement with NRG West Coast LLC, a wholly owned subsidiary of NRG. The administrative services agreement was previously between Marsh Landing and GenOn Energy Services, LLC, a wholly-owned subsidiary of NRG and was subsequently assigned to and assumed by NRG West Coast LLC. The Company reimbursed costs under this agreement of $4 million and $10 million for the three and nine months ended September 30, 2017, respectively. The Company reimbursed costs under the agreement of $4 million and $9 million for the three and nine months ended September 30, 2016,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NRG Renew Operation &amp; Maintenance LLC</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Various wholly-owned subsidiaries of the Company in the Renewables segment are party to administrative services agreements with NRG Renew Operation and Maintenance LLC, or RENOM, a wholly-owned subsidiary of NRG, which provides O&amp;M services on behalf of these entities. The Company incurred total expenses for these services in the amount of $6 million and $16 million for the three and nine months ended September 30, 2017, respectively. The Company incurred total expenses for these services of $4 million and $9 million for the three and nine months ended September 30, 2016, respectively. There was a balance of $4 million and $5 million due to RENOM as of September 30, 2017 and December 31, 2016, respectively.</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NRG provides the Company with various operation, management, and administrative services, which include human resources, accounting, tax, legal, information systems, treasury, and risk management, as set forth in the Management Services Agreement. As of September 30, 2017, the base management fee was approximately $8 million per year, subject to an inflation-based adjustment annually at an inflation factor based on the year-over-year U.S. consumer price index. The fee is also subject to adjustments following the consummation of acquisitions and as a result of a change in the scope of services provided under the Management Services Agreement. Costs incurred under this agreement were $2 million and $8 million for the three and nine months ended September 30, 2017, respectively. Costs incurred under this agreement for the three and nine months ended September 30, 2016 were $1 million and $6 million, respectively. The costs incurred under the Management Service Agreement included certain direct expenses incurred by NRG on behalf of the Company in addition to the base management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 of September 30, 2017, Yield Operating LLC had outstanding $500 million of the 2024 Senior Notes and $350 million of the 2026 Senior Notes, collectively Senior Notes, as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for the year ended December 31, 2016 included in the Company's May 9, 2017 Form 8-K. These Senior Notes are guaranteed by NRG Yield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3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Unless otherwise noted below, each of the following guarantor subsidiaries fully and unconditionally guaranteed the Senior Notes as of September 30,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RPV Holding LLC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Yield Operating LLC conducts its business through and derives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NRG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this presentation, NRG Yield LLC consists of parent company operations. Guarantor subsidiaries and non-guarantor subsidiaries of NRG Yield LLC are reported on an equity basis. For companies acquired, the fair values of the assets and liabilities acquired have been presented on a push-down accounting basis. As described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the Company completed the acquisition of the August 2017 Drop Down Assets, March 2017 Drop Down Assets and CVSR Drop Down Asset from NRG on August 1, 2017, March 27, 2017 and September 1, 2016, respectively.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1" w:name="page32"/>
    <w:bookmarkEnd w:id="31"/>
    <w:p>
      <w:pPr>
        <w:jc w:val="center"/>
        <w:ind w:right="-91"/>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For the Three Months Ended September 30, 2017</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112"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6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8"/>
                <w:szCs w:val="18"/>
                <w:color w:val="auto"/>
              </w:rPr>
              <w:t>Cost of operations</w:t>
            </w:r>
          </w:p>
        </w:tc>
        <w:tc>
          <w:tcPr>
            <w:tcW w:w="10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60"/>
              <w:spacing w:after="0"/>
              <w:rPr>
                <w:sz w:val="20"/>
                <w:szCs w:val="20"/>
                <w:color w:val="auto"/>
              </w:rPr>
            </w:pPr>
            <w:r>
              <w:rPr>
                <w:rFonts w:ascii="Arial" w:cs="Arial" w:eastAsia="Arial" w:hAnsi="Arial"/>
                <w:sz w:val="18"/>
                <w:szCs w:val="18"/>
                <w:color w:val="auto"/>
                <w:w w:val="91"/>
              </w:rPr>
              <w:t>Equity in earnings (losses) of consolidated</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20"/>
              <w:spacing w:after="0"/>
              <w:rPr>
                <w:sz w:val="20"/>
                <w:szCs w:val="20"/>
                <w:color w:val="auto"/>
              </w:rPr>
            </w:pPr>
            <w:r>
              <w:rPr>
                <w:rFonts w:ascii="Arial" w:cs="Arial" w:eastAsia="Arial" w:hAnsi="Arial"/>
                <w:sz w:val="18"/>
                <w:szCs w:val="18"/>
                <w:color w:val="auto"/>
              </w:rPr>
              <w:t>affiliates</w:t>
            </w:r>
          </w:p>
        </w:tc>
        <w:tc>
          <w:tcPr>
            <w:tcW w:w="100" w:type="dxa"/>
            <w:vAlign w:val="bottom"/>
          </w:tcPr>
          <w:p>
            <w:pPr>
              <w:spacing w:after="0"/>
              <w:rPr>
                <w:sz w:val="20"/>
                <w:szCs w:val="20"/>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earnings of unconsolidated</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affiliates</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326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w w:val="93"/>
              </w:rPr>
              <w:t>Less: Net loss attributable to noncontrolling</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 Attributable to NRG Yield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ind w:left="8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LLC</w:t>
            </w: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52" w:hanging="152"/>
        <w:spacing w:after="0"/>
        <w:tabs>
          <w:tab w:leader="none" w:pos="152"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3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12"/>
          </w:cols>
          <w:pgMar w:left="248" w:top="742" w:right="339" w:bottom="1440" w:gutter="0" w:footer="0" w:header="0"/>
        </w:sectPr>
      </w:pPr>
    </w:p>
    <w:bookmarkStart w:id="32" w:name="page33"/>
    <w:bookmarkEnd w:id="32"/>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Less: Net loss attributable to noncontrolling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5"/>
        </w:trPr>
        <w:tc>
          <w:tcPr>
            <w:tcW w:w="32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NRG Yield</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6"/>
        </w:trPr>
        <w:tc>
          <w:tcPr>
            <w:tcW w:w="3260" w:type="dxa"/>
            <w:vAlign w:val="bottom"/>
          </w:tcPr>
          <w:p>
            <w:pPr>
              <w:ind w:left="200"/>
              <w:spacing w:after="0"/>
              <w:rPr>
                <w:sz w:val="20"/>
                <w:szCs w:val="20"/>
                <w:color w:val="auto"/>
              </w:rPr>
            </w:pPr>
            <w:r>
              <w:rPr>
                <w:rFonts w:ascii="Arial" w:cs="Arial" w:eastAsia="Arial" w:hAnsi="Arial"/>
                <w:sz w:val="18"/>
                <w:szCs w:val="18"/>
                <w:b w:val="1"/>
                <w:bCs w:val="1"/>
                <w:color w:val="auto"/>
              </w:rPr>
              <w:t>LLC</w:t>
            </w:r>
          </w:p>
        </w:tc>
        <w:tc>
          <w:tcPr>
            <w:tcW w:w="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1067" w:right="4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4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4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388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4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Comprehensive Income Attributable to NRG</w:t>
            </w:r>
          </w:p>
        </w:tc>
        <w:tc>
          <w:tcPr>
            <w:tcW w:w="480" w:type="dxa"/>
            <w:vAlign w:val="bottom"/>
            <w:vMerge w:val="restart"/>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derivatives</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9"/>
        </w:trPr>
        <w:tc>
          <w:tcPr>
            <w:tcW w:w="388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4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Comprehensive Income Attributable to NRG</w:t>
            </w:r>
          </w:p>
        </w:tc>
        <w:tc>
          <w:tcPr>
            <w:tcW w:w="420" w:type="dxa"/>
            <w:vAlign w:val="bottom"/>
            <w:vMerge w:val="restart"/>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2017</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3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 in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43"/>
        </w:trPr>
        <w:tc>
          <w:tcPr>
            <w:tcW w:w="38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 w:hanging="158"/>
        <w:spacing w:after="0"/>
        <w:tabs>
          <w:tab w:leader="none" w:pos="22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742" w:right="3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Long-term debt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Contributed capital</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291465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hanging="158"/>
        <w:spacing w:after="0"/>
        <w:tabs>
          <w:tab w:leader="none" w:pos="16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300" w:top="958" w:right="29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9"/>
              </w:rPr>
              <w:t>NRG Yield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6"/>
              </w:rPr>
              <w:t>Operating</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rPr>
              <w:t>LLC (Note</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1"/>
              </w:rPr>
              <w:t>Issuer)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transactions between Yield LLC and 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for the Drop Down Assets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Cash receipts from notes receivable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of investment from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investments in unconsolidated affiliates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Transfer of funds under intercompany cash management arrangement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contributions from noncontrolling interests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distributions and return of capital to NRG prior to the acquisition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Drop Down Assets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of) proceeds from distributions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Proceeds from Issuance of Class C units</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for long-term debt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Cash, Cash Equivalents and Restricted Cash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5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742"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 xml:space="preserve">Subsidiaries </w:t>
            </w:r>
            <w:r>
              <w:rPr>
                <w:rFonts w:ascii="Arial" w:cs="Arial" w:eastAsia="Arial" w:hAnsi="Arial"/>
                <w:sz w:val="8"/>
                <w:szCs w:val="8"/>
                <w:b w:val="1"/>
                <w:bCs w:val="1"/>
                <w:color w:val="auto"/>
                <w:w w:val="94"/>
              </w:rPr>
              <w:t>(a)</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w w:val="98"/>
              </w:rPr>
              <w:t>Equity in earnings of consolidated affiliates</w:t>
            </w:r>
          </w:p>
        </w:tc>
        <w:tc>
          <w:tcPr>
            <w:tcW w:w="1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earnings of unconsolidated</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3540" w:type="dxa"/>
            <w:vAlign w:val="bottom"/>
          </w:tcPr>
          <w:p>
            <w:pPr>
              <w:ind w:left="180"/>
              <w:spacing w:after="0"/>
              <w:rPr>
                <w:sz w:val="20"/>
                <w:szCs w:val="20"/>
                <w:color w:val="auto"/>
              </w:rPr>
            </w:pPr>
            <w:r>
              <w:rPr>
                <w:rFonts w:ascii="Arial" w:cs="Arial" w:eastAsia="Arial" w:hAnsi="Arial"/>
                <w:sz w:val="18"/>
                <w:szCs w:val="18"/>
                <w:color w:val="auto"/>
                <w:w w:val="97"/>
              </w:rPr>
              <w:t>Less: Net loss attributable to noncontrolling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7"/>
              </w:rPr>
              <w:t>Net Income Attributable to NRG Yield LLC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LLC</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6"/>
                <w:szCs w:val="16"/>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6"/>
                <w:szCs w:val="1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6"/>
                <w:szCs w:val="16"/>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9"/>
                <w:szCs w:val="9"/>
                <w:b w:val="1"/>
                <w:bCs w:val="1"/>
                <w:color w:val="auto"/>
              </w:rPr>
              <w:t>(a)</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 xml:space="preserve">Subsidiaries </w:t>
            </w:r>
            <w:r>
              <w:rPr>
                <w:rFonts w:ascii="Arial" w:cs="Arial" w:eastAsia="Arial" w:hAnsi="Arial"/>
                <w:sz w:val="8"/>
                <w:szCs w:val="8"/>
                <w:b w:val="1"/>
                <w:bCs w:val="1"/>
                <w:color w:val="auto"/>
                <w:w w:val="96"/>
              </w:rPr>
              <w:t>(a)</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772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3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w w:val="98"/>
              </w:rPr>
              <w:t>Equity in income of consolidated affiliates</w:t>
            </w:r>
          </w:p>
        </w:tc>
        <w:tc>
          <w:tcPr>
            <w:tcW w:w="3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earnings of unconsolidated</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affiliates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w w:val="94"/>
              </w:rPr>
              <w:t>Less: Net loss attributable to noncontrolling</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4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7"/>
              </w:rPr>
              <w:t>Net Income Attributable to NRG Yield LLC</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2"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2"/>
          <w:szCs w:val="12"/>
          <w:color w:val="auto"/>
        </w:rPr>
        <w:t xml:space="preserve">Retrospectively adjusted as discussed in Note 1, </w:t>
      </w:r>
      <w:r>
        <w:rPr>
          <w:rFonts w:ascii="Arial" w:cs="Arial" w:eastAsia="Arial" w:hAnsi="Arial"/>
          <w:sz w:val="12"/>
          <w:szCs w:val="12"/>
          <w:i w:val="1"/>
          <w:iCs w:val="1"/>
          <w:color w:val="auto"/>
        </w:rPr>
        <w:t>Nature of Business</w:t>
      </w:r>
      <w:r>
        <w:rPr>
          <w:rFonts w:ascii="Arial" w:cs="Arial" w:eastAsia="Arial" w:hAnsi="Arial"/>
          <w:sz w:val="12"/>
          <w:szCs w:val="12"/>
          <w:color w:val="auto"/>
        </w:rPr>
        <w:t>.</w:t>
      </w:r>
    </w:p>
    <w:p>
      <w:pPr>
        <w:spacing w:after="0" w:line="32" w:lineRule="exact"/>
        <w:rPr>
          <w:rFonts w:ascii="Arial" w:cs="Arial" w:eastAsia="Arial" w:hAnsi="Arial"/>
          <w:sz w:val="18"/>
          <w:szCs w:val="18"/>
          <w:color w:val="auto"/>
          <w:vertAlign w:val="superscript"/>
        </w:rPr>
      </w:pPr>
    </w:p>
    <w:p>
      <w:pPr>
        <w:ind w:left="180" w:hanging="172"/>
        <w:spacing w:after="0" w:line="187" w:lineRule="auto"/>
        <w:tabs>
          <w:tab w:leader="none" w:pos="180"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1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20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5"/>
              </w:rPr>
              <w:t xml:space="preserve">Consolidated </w:t>
            </w:r>
            <w:r>
              <w:rPr>
                <w:rFonts w:ascii="Arial" w:cs="Arial" w:eastAsia="Arial" w:hAnsi="Arial"/>
                <w:sz w:val="8"/>
                <w:szCs w:val="8"/>
                <w:b w:val="1"/>
                <w:bCs w:val="1"/>
                <w:color w:val="auto"/>
                <w:w w:val="95"/>
              </w:rPr>
              <w:t>(a)</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40"/>
              <w:spacing w:after="0" w:line="199"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8"/>
                <w:szCs w:val="8"/>
                <w:b w:val="1"/>
                <w:bCs w:val="1"/>
                <w:color w:val="auto"/>
              </w:rPr>
              <w:t xml:space="preserve"> (a)</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Subsidiaries </w:t>
            </w:r>
            <w:r>
              <w:rPr>
                <w:rFonts w:ascii="Arial" w:cs="Arial" w:eastAsia="Arial" w:hAnsi="Arial"/>
                <w:sz w:val="8"/>
                <w:szCs w:val="8"/>
                <w:b w:val="1"/>
                <w:bCs w:val="1"/>
                <w:color w:val="auto"/>
                <w:w w:val="92"/>
              </w:rPr>
              <w:t>(a)</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(Note Issuer) </w:t>
            </w:r>
            <w:r>
              <w:rPr>
                <w:rFonts w:ascii="Arial" w:cs="Arial" w:eastAsia="Arial" w:hAnsi="Arial"/>
                <w:sz w:val="8"/>
                <w:szCs w:val="8"/>
                <w:b w:val="1"/>
                <w:bCs w:val="1"/>
                <w:color w:val="auto"/>
                <w:w w:val="94"/>
              </w:rPr>
              <w:t>(a)</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Less: Comprehensive loss attributable to</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5"/>
        </w:trPr>
        <w:tc>
          <w:tcPr>
            <w:tcW w:w="32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7"/>
              </w:rPr>
              <w:t>Comprehensive Income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6"/>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NRG Yield LLC</w:t>
            </w: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9"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line="229" w:lineRule="auto"/>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Operating</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LLC</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LLC</w:t>
            </w:r>
          </w:p>
        </w:tc>
        <w:tc>
          <w:tcPr>
            <w:tcW w:w="200" w:type="dxa"/>
            <w:vAlign w:val="bottom"/>
          </w:tcPr>
          <w:p>
            <w:pPr>
              <w:spacing w:after="0"/>
              <w:rPr>
                <w:sz w:val="16"/>
                <w:szCs w:val="16"/>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80" w:type="dxa"/>
            <w:vAlign w:val="bottom"/>
          </w:tcPr>
          <w:p>
            <w:pPr>
              <w:spacing w:after="0"/>
              <w:rPr>
                <w:sz w:val="16"/>
                <w:szCs w:val="16"/>
                <w:color w:val="auto"/>
              </w:rPr>
            </w:pPr>
          </w:p>
        </w:tc>
        <w:tc>
          <w:tcPr>
            <w:tcW w:w="12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5"/>
              </w:rPr>
              <w:t xml:space="preserve">Consolidated </w:t>
            </w:r>
            <w:r>
              <w:rPr>
                <w:rFonts w:ascii="Arial" w:cs="Arial" w:eastAsia="Arial" w:hAnsi="Arial"/>
                <w:sz w:val="8"/>
                <w:szCs w:val="8"/>
                <w:b w:val="1"/>
                <w:bCs w:val="1"/>
                <w:color w:val="auto"/>
                <w:w w:val="95"/>
              </w:rPr>
              <w:t>(a)</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00"/>
              <w:spacing w:after="0"/>
              <w:rPr>
                <w:sz w:val="20"/>
                <w:szCs w:val="20"/>
                <w:color w:val="auto"/>
              </w:rPr>
            </w:pPr>
            <w:r>
              <w:rPr>
                <w:rFonts w:ascii="Arial" w:cs="Arial" w:eastAsia="Arial" w:hAnsi="Arial"/>
                <w:sz w:val="9"/>
                <w:szCs w:val="9"/>
                <w:b w:val="1"/>
                <w:bCs w:val="1"/>
                <w:color w:val="auto"/>
              </w:rPr>
              <w:t>(a)</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Subsidiaries </w:t>
            </w:r>
            <w:r>
              <w:rPr>
                <w:rFonts w:ascii="Arial" w:cs="Arial" w:eastAsia="Arial" w:hAnsi="Arial"/>
                <w:sz w:val="8"/>
                <w:szCs w:val="8"/>
                <w:b w:val="1"/>
                <w:bCs w:val="1"/>
                <w:color w:val="auto"/>
                <w:w w:val="90"/>
              </w:rPr>
              <w:t>(a)</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(Note Issuer) </w:t>
            </w:r>
            <w:r>
              <w:rPr>
                <w:rFonts w:ascii="Arial" w:cs="Arial" w:eastAsia="Arial" w:hAnsi="Arial"/>
                <w:sz w:val="8"/>
                <w:szCs w:val="8"/>
                <w:b w:val="1"/>
                <w:bCs w:val="1"/>
                <w:color w:val="auto"/>
                <w:w w:val="94"/>
              </w:rPr>
              <w:t>(a)</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6"/>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300" w:type="dxa"/>
            <w:vAlign w:val="bottom"/>
          </w:tcPr>
          <w:p>
            <w:pPr>
              <w:spacing w:after="0"/>
              <w:rPr>
                <w:sz w:val="21"/>
                <w:szCs w:val="21"/>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Less: Comprehensive loss attributable to</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5"/>
        </w:trPr>
        <w:tc>
          <w:tcPr>
            <w:tcW w:w="31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4"/>
              </w:rPr>
              <w:t>Comprehensive Income Attributable to</w:t>
            </w:r>
          </w:p>
        </w:tc>
        <w:tc>
          <w:tcPr>
            <w:tcW w:w="3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6"/>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NRG Yield LLC</w:t>
            </w:r>
          </w:p>
        </w:tc>
        <w:tc>
          <w:tcPr>
            <w:tcW w:w="3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722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9"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line="229" w:lineRule="auto"/>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Consolidated</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Subsidiaries</w:t>
            </w:r>
            <w:r>
              <w:rPr>
                <w:rFonts w:ascii="Arial" w:cs="Arial" w:eastAsia="Arial" w:hAnsi="Arial"/>
                <w:sz w:val="8"/>
                <w:szCs w:val="8"/>
                <w:b w:val="1"/>
                <w:bCs w:val="1"/>
                <w:color w:val="auto"/>
              </w:rPr>
              <w:t>(a)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460" w:type="dxa"/>
            <w:vAlign w:val="bottom"/>
          </w:tcPr>
          <w:p>
            <w:pPr>
              <w:ind w:left="13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34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 in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3"/>
        </w:trPr>
        <w:tc>
          <w:tcPr>
            <w:tcW w:w="34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Consolidated</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8"/>
              </w:rPr>
              <w:t>Subsidiaries</w:t>
            </w:r>
            <w:r>
              <w:rPr>
                <w:rFonts w:ascii="Arial" w:cs="Arial" w:eastAsia="Arial" w:hAnsi="Arial"/>
                <w:sz w:val="8"/>
                <w:szCs w:val="8"/>
                <w:b w:val="1"/>
                <w:bCs w:val="1"/>
                <w:color w:val="auto"/>
                <w:w w:val="98"/>
              </w:rPr>
              <w:t>(a)</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80" w:type="dxa"/>
            <w:vAlign w:val="bottom"/>
            <w:gridSpan w:val="5"/>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Current portion of long-term debt —</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external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Accounts payable — affiliate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Accrued expenses and other current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3460" w:type="dxa"/>
            <w:vAlign w:val="bottom"/>
          </w:tcPr>
          <w:p>
            <w:pPr>
              <w:ind w:left="28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Contributed capital</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Members’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2,078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9"/>
              </w:rPr>
              <w:t>NRG Yield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Guarantor</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8"/>
              </w:rPr>
              <w:t>Operating LLC</w:t>
            </w:r>
          </w:p>
        </w:tc>
        <w:tc>
          <w:tcPr>
            <w:tcW w:w="200" w:type="dxa"/>
            <w:vAlign w:val="bottom"/>
          </w:tcPr>
          <w:p>
            <w:pPr>
              <w:spacing w:after="0"/>
              <w:rPr>
                <w:sz w:val="16"/>
                <w:szCs w:val="16"/>
                <w:color w:val="auto"/>
              </w:rPr>
            </w:pPr>
          </w:p>
        </w:tc>
        <w:tc>
          <w:tcPr>
            <w:tcW w:w="12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7"/>
              </w:rPr>
              <w:t xml:space="preserve">Consolidated </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62"/>
        </w:trPr>
        <w:tc>
          <w:tcPr>
            <w:tcW w:w="4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9"/>
                <w:szCs w:val="9"/>
                <w:b w:val="1"/>
                <w:bCs w:val="1"/>
                <w:color w:val="auto"/>
                <w:w w:val="90"/>
              </w:rPr>
              <w:t>(a)</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Subsidiaries </w:t>
            </w:r>
            <w:r>
              <w:rPr>
                <w:rFonts w:ascii="Arial" w:cs="Arial" w:eastAsia="Arial" w:hAnsi="Arial"/>
                <w:sz w:val="8"/>
                <w:szCs w:val="8"/>
                <w:b w:val="1"/>
                <w:bCs w:val="1"/>
                <w:color w:val="auto"/>
                <w:w w:val="92"/>
              </w:rPr>
              <w:t>(a)</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2C2C2C"/>
                <w:w w:val="93"/>
              </w:rPr>
              <w:t>(Note Issuer)</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Intercompany transactions from Yield LLC to</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3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Acquisition of Drop Down Assets,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receipts from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investments in unconsolidated affiliates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w w:val="94"/>
              </w:rPr>
              <w:t>Transfer of funds under intercompany cash management</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arrangement</w:t>
            </w:r>
          </w:p>
        </w:tc>
        <w:tc>
          <w:tcPr>
            <w:tcW w:w="3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contributions from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w w:val="95"/>
              </w:rPr>
              <w:t>Net distributions and return of capital to NRG prior to the</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acquisition of Drop Down Assets</w:t>
            </w:r>
          </w:p>
        </w:tc>
        <w:tc>
          <w:tcPr>
            <w:tcW w:w="3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proceeds from distributions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Payments for the revolving credit facility</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Proceeds from the issuance of long-term debt - external</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Payments for long-term debt</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5"/>
        </w:trPr>
        <w:tc>
          <w:tcPr>
            <w:tcW w:w="44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3"/>
              </w:rPr>
              <w:t>Net (Decrease) Increase in Cash, Cash Equivalents and</w:t>
            </w: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Restricted Cash</w:t>
            </w:r>
          </w:p>
        </w:tc>
        <w:tc>
          <w:tcPr>
            <w:tcW w:w="3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5"/>
        </w:trPr>
        <w:tc>
          <w:tcPr>
            <w:tcW w:w="44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Cash, Cash Equivalents and Restricted Cash at End of</w:t>
            </w:r>
          </w:p>
        </w:tc>
        <w:tc>
          <w:tcPr>
            <w:tcW w:w="32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6"/>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3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2016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Braun v. NRG Yield, Inc. </w:t>
      </w:r>
      <w:r>
        <w:rPr>
          <w:rFonts w:ascii="Arial" w:cs="Arial" w:eastAsia="Arial" w:hAnsi="Arial"/>
          <w:sz w:val="18"/>
          <w:szCs w:val="18"/>
          <w:color w:val="auto"/>
        </w:rPr>
        <w:t>— On April 19, 2016, plaintiffs filed a putative class action lawsuit against NRG Yield, Inc., the current and former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its board of directors individually, and other parties in California Superior Court in Kern County, CA. Plaintiffs allege various violations of the Securities Act due to the defendants’ alleged failure to disclose material facts related to low wind production prior to NRG Yield, Inc.'s June 22, 2015 Class C common stock offering. Plaintiffs seek compensatory damages, rescission, attorney’s fees and costs. The defendants filed demurrers and a motion challenging jurisdiction on October 18, 2016. On October 26, 2017, the court approved the parties' stipulation which provides the plaintiffs' opposition is due on December 6, 2017 and the defendants' reply is due on February 8, 2018.</w:t>
      </w:r>
    </w:p>
    <w:p>
      <w:pPr>
        <w:spacing w:after="0" w:line="13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Ahmed v. NRG Energy, Inc. and the NRG Yield Board of Directors </w:t>
      </w:r>
      <w:r>
        <w:rPr>
          <w:rFonts w:ascii="Arial" w:cs="Arial" w:eastAsia="Arial" w:hAnsi="Arial"/>
          <w:sz w:val="16"/>
          <w:szCs w:val="16"/>
          <w:color w:val="auto"/>
        </w:rPr>
        <w:t>— On September 15, 2016, plaintiffs filed a putative class action lawsuit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NRG Energy, Inc., the directors of NRG Yield, Inc., and other parties in the Delaware Chancery Court. The complaint alleges that the defendants breached their respective fiduciary duties with regard to the recapitalization of NRG Yield, Inc. common stock in 2015. The plaintiffs generally seek economic damages, attorney’s fees and injunctive relief. The defendants filed a motion to dismiss the lawsuit on December 21, 2016. Plaintiffs filed their objection to the motion to dismiss on February 15, 2017. The defendants' reply was filed on March 24, 2017. The court heard oral argument on the defendants' motion to dismiss on June 20, 2017. On September 7, 2017, the court requested additional briefing which the parties provided on September 21, 2017.</w:t>
      </w:r>
    </w:p>
    <w:p>
      <w:pPr>
        <w:spacing w:after="0" w:line="11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7"/>
          <w:szCs w:val="17"/>
          <w:i w:val="1"/>
          <w:iCs w:val="1"/>
          <w:color w:val="auto"/>
        </w:rPr>
        <w:t xml:space="preserve">GenOn Noteholders' Lawsuit </w:t>
      </w:r>
      <w:r>
        <w:rPr>
          <w:rFonts w:ascii="Arial" w:cs="Arial" w:eastAsia="Arial" w:hAnsi="Arial"/>
          <w:sz w:val="17"/>
          <w:szCs w:val="17"/>
          <w:color w:val="auto"/>
        </w:rPr>
        <w:t>— On December 13, 2016, certain indenture trustees for an ad hoc group of holders, or the Noteholders, of the GenOn</w:t>
      </w:r>
      <w:r>
        <w:rPr>
          <w:rFonts w:ascii="Arial" w:cs="Arial" w:eastAsia="Arial" w:hAnsi="Arial"/>
          <w:sz w:val="17"/>
          <w:szCs w:val="17"/>
          <w:i w:val="1"/>
          <w:iCs w:val="1"/>
          <w:color w:val="auto"/>
        </w:rPr>
        <w:t xml:space="preserve"> </w:t>
      </w:r>
      <w:r>
        <w:rPr>
          <w:rFonts w:ascii="Arial" w:cs="Arial" w:eastAsia="Arial" w:hAnsi="Arial"/>
          <w:sz w:val="17"/>
          <w:szCs w:val="17"/>
          <w:color w:val="auto"/>
        </w:rPr>
        <w:t>Energy, Inc., or GenOn, 7.875% Senior Notes due 2017, 9.500% Notes due 2018, and 9.875% Notes due 2020, and the GenOn Americas Generation, LLC 8.50% Senior Notes due 2021 and 9.125% Senior Notes due 2031, along with certain of the Noteholders, filed a complaint in the Superior Court of the State of Delaware against NRG and GenOn alleging certain claims related to the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among other things, generally seek return of all monies paid under the Services Agreement and any other damages that the court deems appropriate. On April 28, 2017, the bondholders filed an amended complaint adding the GenOn directors and officers as defendants and asserting claims that they breached certain fiduciary duties. Plaintiffs specifically allege that the transfer of Marsh Landing to NRG Yield LLC constituted a fraudulent transfer. On June 12, 2017, certain GenOn entities, NRG and certain holders of the GenOn and GenOn Americas Generation, LLC senior notes entered into a restructuring support and lock-up agreement. Pursuant to the terms of the restructuring support and lock-up agreement, this matter should ultimately be resolved if GenOn's plan of reorganization, originally submitted on June 29, 2017, is approved by the United States Bankruptcy Court for the Southern District of Texas, Houston Division.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discussion analyzes the Company's historical financial condition and results of operations, which were recast to include the effect of the August 2017 Drop Down Assets and the March 2017 Drop Down Assets.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three and nine months ended September 30, 2017, and 2016. Also refer to the </w:t>
      </w:r>
      <w:r>
        <w:rPr>
          <w:rFonts w:ascii="Arial" w:cs="Arial" w:eastAsia="Arial" w:hAnsi="Arial"/>
          <w:sz w:val="18"/>
          <w:szCs w:val="18"/>
          <w:color w:val="231F20"/>
        </w:rPr>
        <w:t>Company's May 9,</w:t>
      </w:r>
      <w:r>
        <w:rPr>
          <w:rFonts w:ascii="Arial" w:cs="Arial" w:eastAsia="Arial" w:hAnsi="Arial"/>
          <w:sz w:val="18"/>
          <w:szCs w:val="18"/>
          <w:color w:val="auto"/>
        </w:rPr>
        <w:t xml:space="preserve"> 2017 Form 8-K, which includes detailed discussions of various items impacting the Company's business, results of operations and financial condition.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63"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NRG Yield LLC was formed by NRG as a Delaware limited liability company on March 5, 2013, to serve as the primary vehicle through which NRG owns, operates and acquires contracted renewable and conventional generation and thermal infrastructure assets. The Company believes it is well positioned to be a premier company for investors seeking stable and growing distributions income from a diversified portfolio of lower-risk high-quality assets.</w:t>
      </w:r>
    </w:p>
    <w:p>
      <w:pPr>
        <w:spacing w:after="0" w:line="9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5,080 net MW as of September 30, 2017.</w:t>
      </w:r>
      <w:r>
        <w:rPr>
          <w:rFonts w:ascii="Arial" w:cs="Arial" w:eastAsia="Arial" w:hAnsi="Arial"/>
          <w:sz w:val="17"/>
          <w:szCs w:val="17"/>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16 years as of September 30, 2017,</w:t>
      </w:r>
      <w:r>
        <w:rPr>
          <w:rFonts w:ascii="Arial" w:cs="Arial" w:eastAsia="Arial" w:hAnsi="Arial"/>
          <w:sz w:val="17"/>
          <w:szCs w:val="17"/>
          <w:color w:val="auto"/>
        </w:rPr>
        <w:t xml:space="preserve"> based on CAFD</w:t>
      </w:r>
      <w:r>
        <w:rPr>
          <w:rFonts w:ascii="Arial" w:cs="Arial" w:eastAsia="Arial" w:hAnsi="Arial"/>
          <w:sz w:val="17"/>
          <w:szCs w:val="17"/>
          <w:color w:val="231F20"/>
        </w:rPr>
        <w:t>. The Company also owns thermal infrastructure assets with an aggregate</w:t>
      </w:r>
      <w:r>
        <w:rPr>
          <w:rFonts w:ascii="Arial" w:cs="Arial" w:eastAsia="Arial" w:hAnsi="Arial"/>
          <w:sz w:val="17"/>
          <w:szCs w:val="17"/>
          <w:color w:val="auto"/>
        </w:rPr>
        <w:t xml:space="preserve"> </w:t>
      </w:r>
      <w:r>
        <w:rPr>
          <w:rFonts w:ascii="Arial" w:cs="Arial" w:eastAsia="Arial" w:hAnsi="Arial"/>
          <w:sz w:val="17"/>
          <w:szCs w:val="17"/>
          <w:color w:val="231F20"/>
        </w:rPr>
        <w:t>steam and chilled water capacity of 1,319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NRG Transformation Plan</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On July 12, 2017, NRG announced that it had adopted and initiated a three-year, three-part improvement plan, or the NRG Transformation Plan. As part of the NRG Transformation Plan, NRG announced that it is exploring strategic alternatives for its renewables platform and its interest in the Company. NRG, through its holdings of Class B common stock and Class D common stock, has a 55.1% voting interest in Yield, Inc. and receives distributions from the Company through its ownership of Class B units and Class D units. NRG stated that the strategic alternatives span a variety of ownership structures and partnership types, including the potential partial or full monetization of NRG's renewables platform and NRG's interest in the Company. NRG is Yield, Inc.'s controlling stockholder and the Company has been highly dependent on NRG for, among other things, growth opportunities and management and administration services. See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Company's 2016 Form 10-K as well as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Company's Form 10-Q for the quarter ended June 30, 2017, for risks related to the NRG Transformation Plan and the Company's relationship with NRG.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2016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3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7"/>
          <w:szCs w:val="17"/>
          <w:color w:val="auto"/>
        </w:rPr>
        <w:t>As owners of power plants and participants in wholesale and thermal energy markets, certain of the Company's subsidiaries are subject to regulation by various federal and state government agencies. These include FERC and the PUCT, as well as other public utility commissions in certain states where the Company's assets are located. Each of the Company's U.S. generating facilities qualifies as a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w:t>
      </w:r>
    </w:p>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operations within the ERCOT footprint are not subject to rate regulation by FERC, as they are deemed to operate solely within the ERCOT market and not in interstate commerce. These operations are subject to regulation by the PUCT.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environmental matters are described in the Company’s 2016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become more stringent over time, although this trend could slow or pause in the near term with respect to federal laws under the current U.S. presidential administration.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trends are described in the Company’s May 9, 2017 Form 8-K in Item 7, Management’s Discussion and Analysis of Financial Condition and Results of Operations - Trends Affecting Results of Operations and Future Business Performance.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Operational Matters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El Segundo Forced Outage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El Segundo Energy Center began a forced outage on Units 5 and 6 due to increasing vibrations on successive operations at Unit 5. In consultation with the Company’s operations and maintenance service provider, a subsidiary of NRG, the Company elected to replace the rotor on Unit 5. Both Unit 5 and 6 returned to service on February 24, 2017. In July 2017, the Company executed a warranty settlement agreement with the original equipment manufacturer that reduced total cost from $12 million to approximately $5 million.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Walnut Creek Forced Outage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first half of 2017, Walnut Creek experienced forced outages due to mechanical failures of turbine parts that caused downstream damage to several of the plant's Units, primarily Unit 1. The repairs necessary to return Unit 1 to service were completed in the second quarter of 2017 and the plant has performed reliably since then. The estimated cost of this outage is approximately $8 million before the recovery of insurance proceeds, a significant portion of which the Company believes is recoverable by year end. In the third quarter of 2017, the Company, through Walnut Creek, executed an amendment to the contractual service agreement with the original equipment manufacturer to improve long term reliability. The amendment provides for the original equipment manufacturer to perform all required, currently available and future turbine reliability upgrades in exchange for an investment of approximately $15 million that will be paid over the next five years.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ROFO Asset Update</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Puente Power Project </w:t>
      </w:r>
      <w:r>
        <w:rPr>
          <w:rFonts w:ascii="Arial" w:cs="Arial" w:eastAsia="Arial" w:hAnsi="Arial"/>
          <w:sz w:val="18"/>
          <w:szCs w:val="18"/>
          <w:color w:val="auto"/>
        </w:rPr>
        <w:t>— On October 5, 2017, the California Energy Commission, or CEC, the agency responsible for permitting NRG’s Puente Power</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a ROFO Asset, issued a statement on behalf of the committee of two Commissioners overseeing the permitting process stating their intention to issue a proposed decision that would deny a permit for the Puente Power Project. On October 16, 2017, NRG filed a motion to suspend the permitting proceeding for at least six months. A hearing on the motion was held on October 31, 2017, after which the CEC took the matter under submission subject to a written decision to be issued at an unspecified later date. If the CEC Commissioners accept the recommendation, and formally deny a permit for the Puente Power Project, then the project will not move forward.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center"/>
              <w:ind w:right="131"/>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right"/>
              <w:ind w:right="311"/>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9"/>
                <w:szCs w:val="19"/>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9"/>
                <w:szCs w:val="19"/>
                <w:color w:val="auto"/>
              </w:rPr>
            </w:pPr>
          </w:p>
        </w:tc>
        <w:tc>
          <w:tcPr>
            <w:tcW w:w="96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819</w:t>
            </w:r>
          </w:p>
        </w:tc>
        <w:tc>
          <w:tcPr>
            <w:tcW w:w="40" w:type="dxa"/>
            <w:vAlign w:val="bottom"/>
          </w:tcPr>
          <w:p>
            <w:pPr>
              <w:spacing w:after="0"/>
              <w:rPr>
                <w:sz w:val="21"/>
                <w:szCs w:val="21"/>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767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Cost of fuels</w:t>
            </w:r>
          </w:p>
        </w:tc>
        <w:tc>
          <w:tcPr>
            <w:tcW w:w="2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Emissions credit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Operations and maintenance</w:t>
            </w:r>
          </w:p>
        </w:tc>
        <w:tc>
          <w:tcPr>
            <w:tcW w:w="2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costs of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0"/>
              </w:rPr>
              <w:t>(204)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5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tcBorders>
              <w:bottom w:val="single" w:sz="8" w:color="auto"/>
            </w:tcBorders>
            <w:gridSpan w:val="10"/>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4"/>
                <w:szCs w:val="24"/>
                <w:color w:val="auto"/>
              </w:rPr>
            </w:pPr>
          </w:p>
        </w:tc>
        <w:tc>
          <w:tcPr>
            <w:tcW w:w="2800" w:type="dxa"/>
            <w:vAlign w:val="bottom"/>
            <w:tcBorders>
              <w:bottom w:val="single" w:sz="8" w:color="auto"/>
            </w:tcBorders>
            <w:gridSpan w:val="9"/>
          </w:tcPr>
          <w:p>
            <w:pPr>
              <w:jc w:val="right"/>
              <w:ind w:right="2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70"/>
        </w:trPr>
        <w:tc>
          <w:tcPr>
            <w:tcW w:w="53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w w:val="84"/>
              </w:rPr>
              <w:t>1,544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8"/>
              </w:rPr>
              <w:t>5,295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5,563</w:t>
            </w:r>
          </w:p>
        </w:tc>
      </w:tr>
      <w:tr>
        <w:trPr>
          <w:trHeight w:val="270"/>
        </w:trPr>
        <w:tc>
          <w:tcPr>
            <w:tcW w:w="53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(a)(b)</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ind w:right="51"/>
              <w:spacing w:after="0"/>
              <w:rPr>
                <w:sz w:val="20"/>
                <w:szCs w:val="20"/>
                <w:color w:val="auto"/>
              </w:rPr>
            </w:pPr>
            <w:r>
              <w:rPr>
                <w:rFonts w:ascii="Arial" w:cs="Arial" w:eastAsia="Arial" w:hAnsi="Arial"/>
                <w:sz w:val="18"/>
                <w:szCs w:val="18"/>
                <w:color w:val="auto"/>
                <w:w w:val="86"/>
              </w:rPr>
              <w:t>717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88"/>
              </w:rPr>
              <w:t>1,172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1,265</w:t>
            </w: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Thermal MWt sold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6"/>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8"/>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w:t>
            </w:r>
          </w:p>
        </w:tc>
      </w:tr>
      <w:tr>
        <w:trPr>
          <w:trHeight w:val="341"/>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(c)</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7"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18"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2"/>
          <w:szCs w:val="12"/>
          <w:color w:val="auto"/>
        </w:rPr>
        <w:t>Volumes generated are not sold as the Conventional facilities sell capacity rather than energy.</w:t>
      </w:r>
    </w:p>
    <w:p>
      <w:pPr>
        <w:spacing w:after="0" w:line="32" w:lineRule="exact"/>
        <w:rPr>
          <w:rFonts w:ascii="Arial" w:cs="Arial" w:eastAsia="Arial" w:hAnsi="Arial"/>
          <w:sz w:val="18"/>
          <w:szCs w:val="18"/>
          <w:color w:val="auto"/>
          <w:vertAlign w:val="superscript"/>
        </w:rPr>
      </w:pPr>
    </w:p>
    <w:p>
      <w:pPr>
        <w:ind w:left="160" w:hanging="152"/>
        <w:spacing w:after="0" w:line="187" w:lineRule="auto"/>
        <w:tabs>
          <w:tab w:leader="none" w:pos="160" w:val="left"/>
        </w:tabs>
        <w:numPr>
          <w:ilvl w:val="0"/>
          <w:numId w:val="29"/>
        </w:numPr>
        <w:rPr>
          <w:rFonts w:ascii="Arial" w:cs="Arial" w:eastAsia="Arial" w:hAnsi="Arial"/>
          <w:sz w:val="19"/>
          <w:szCs w:val="19"/>
          <w:color w:val="auto"/>
          <w:vertAlign w:val="superscript"/>
        </w:rPr>
      </w:pPr>
      <w:r>
        <w:rPr>
          <w:rFonts w:ascii="Arial" w:cs="Arial" w:eastAsia="Arial" w:hAnsi="Arial"/>
          <w:sz w:val="13"/>
          <w:szCs w:val="13"/>
          <w:color w:val="auto"/>
        </w:rPr>
        <w:t>MWh sold do not include 34 MWh and 110 MWh during the three months ended September 30, 2017 and 2016, respectively, and 52 MWh and 184 MWh during the nine months ended</w:t>
      </w:r>
    </w:p>
    <w:p>
      <w:pPr>
        <w:spacing w:after="0" w:line="18" w:lineRule="exact"/>
        <w:rPr>
          <w:rFonts w:ascii="Arial" w:cs="Arial" w:eastAsia="Arial" w:hAnsi="Arial"/>
          <w:sz w:val="19"/>
          <w:szCs w:val="19"/>
          <w:color w:val="auto"/>
          <w:vertAlign w:val="superscript"/>
        </w:rPr>
      </w:pPr>
    </w:p>
    <w:p>
      <w:pPr>
        <w:ind w:right="460"/>
        <w:spacing w:after="0" w:line="295" w:lineRule="auto"/>
        <w:rPr>
          <w:rFonts w:ascii="Arial" w:cs="Arial" w:eastAsia="Arial" w:hAnsi="Arial"/>
          <w:sz w:val="19"/>
          <w:szCs w:val="19"/>
          <w:color w:val="auto"/>
          <w:vertAlign w:val="superscript"/>
        </w:rPr>
      </w:pPr>
      <w:r>
        <w:rPr>
          <w:rFonts w:ascii="Arial" w:cs="Arial" w:eastAsia="Arial" w:hAnsi="Arial"/>
          <w:sz w:val="14"/>
          <w:szCs w:val="14"/>
          <w:color w:val="auto"/>
        </w:rPr>
        <w:t xml:space="preserve">September 30, 2017 and 2016, respectively, generated by NRG Dover, a subsidiary of the Company, under the PPA with NRG Power Marketing, as further described in Note 9, </w:t>
      </w:r>
      <w:r>
        <w:rPr>
          <w:rFonts w:ascii="Arial" w:cs="Arial" w:eastAsia="Arial" w:hAnsi="Arial"/>
          <w:sz w:val="14"/>
          <w:szCs w:val="14"/>
          <w:i w:val="1"/>
          <w:iCs w:val="1"/>
          <w:color w:val="auto"/>
        </w:rPr>
        <w:t>Related Party</w:t>
      </w:r>
      <w:r>
        <w:rPr>
          <w:rFonts w:ascii="Arial" w:cs="Arial" w:eastAsia="Arial" w:hAnsi="Arial"/>
          <w:sz w:val="14"/>
          <w:szCs w:val="14"/>
          <w:color w:val="auto"/>
        </w:rPr>
        <w:t xml:space="preserve"> </w:t>
      </w:r>
      <w:r>
        <w:rPr>
          <w:rFonts w:ascii="Arial" w:cs="Arial" w:eastAsia="Arial" w:hAnsi="Arial"/>
          <w:sz w:val="14"/>
          <w:szCs w:val="14"/>
          <w:i w:val="1"/>
          <w:iCs w:val="1"/>
          <w:color w:val="auto"/>
        </w:rPr>
        <w:t>Transactions</w:t>
      </w:r>
      <w:r>
        <w:rPr>
          <w:rFonts w:ascii="Arial" w:cs="Arial" w:eastAsia="Arial" w:hAnsi="Arial"/>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September 30, 2017 and 2016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60" w:type="dxa"/>
            <w:vAlign w:val="bottom"/>
          </w:tcPr>
          <w:p>
            <w:pPr>
              <w:ind w:lef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2017</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7"/>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 decreased by $4 million during the three months ended September 30, 2017, compared to the same period in 2016, due to a combination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Decrease in the Renewables segment due to a 12% decrease in volume generated by wind projects, primarily at NRG Wind TE Holdco,</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Alta Wind and Tapestry, as well as a 6% decrease in solar generation, primarily at CVSR in connection with lower insolation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0"/>
              </w:rPr>
              <w:t>Increase in the Conventional segment due to fewer outages at Walnut Creek in 2017, as well as increased start revenues at El Segundo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Marsh Landing</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 gross margin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10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6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48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Operations and maintenance expense increased by $5 million during the three months ended September 30, 2017, compared to the same period in 2016, primarily due to the forced outages that took place at Walnut Creek in the first half of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expense increased by $13 million during the three months ended September 30, 2017, compared to the same period in 2016, primarily due to change in estimated useful lives for certain components of fixed assets in the Renewables and Conventional segments in the first half of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$12 million during the three months ended September 30, 2017, compared to the same period in 2016, primarily due to an increase in earnings from the Utah Solar Portfolio, which was acquired by NRG in November 2016, as well as an increase in earnings from Desert Sunlight, partially offset by a decrease in earnings from Avenal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expense increased by $4 million during the three months ended September 30, 2017, compared to the same period in 2016, due to:</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Issuance of the new long-term debt, primarily including 2026 Senior Notes in August 2016, Energy Center Minneapolis Series D Notes due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0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2031 issued in October 2016, and Agua Caliente Borrower 2 due 2038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7"/>
        </w:trPr>
        <w:tc>
          <w:tcPr>
            <w:tcW w:w="10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issued in February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Utah Solar Portfolio debt assumed in connection with the acquisition of the March 2017 Drop Down Assets</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10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principal balances on certain project level debt in 2017, as well as higher revolver borrowings in 2016</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Amortization of de-designated interest rate swaps, partially offset by the change in fair value of interest rate swaps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0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interest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w:t>
            </w:r>
          </w:p>
        </w:tc>
      </w:tr>
      <w:tr>
        <w:trPr>
          <w:trHeight w:val="20"/>
        </w:trPr>
        <w:tc>
          <w:tcPr>
            <w:tcW w:w="10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months ended September 30, 2017, the Company had a loss of $23 million attributable to noncontrolling interests with respect to its tax equity financing arrangements and the application of the HLBV method. For the three months ended September 30, 2016, the Company had a loss of $38 million attributable to noncontrolling interests with respect to its tax equity financing arrangements and the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Management’s Discussion of the Results of Operations for the Nine Months Ended September 30, 2017 and 2016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Nine months ended September 30, 2017</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Nine months ended September 30, 2016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Emissions credit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Emissions credit amortization</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Gross margin decreased by $13 million during the nine months ended September 30, 2017, compared to the same period in 2016, due to a combination of the following:</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00" w:hanging="161"/>
        <w:spacing w:after="0" w:line="264" w:lineRule="auto"/>
        <w:rPr>
          <w:sz w:val="20"/>
          <w:szCs w:val="20"/>
          <w:color w:val="auto"/>
        </w:rPr>
      </w:pPr>
      <w:r>
        <w:rPr>
          <w:rFonts w:ascii="Arial" w:cs="Arial" w:eastAsia="Arial" w:hAnsi="Arial"/>
          <w:sz w:val="18"/>
          <w:szCs w:val="18"/>
          <w:color w:val="auto"/>
        </w:rPr>
        <w:t>Decrease in the Renewables segment due to a 4% decrease in volume generated by wind projects, primarily in connection with lower wind resource at the Alta Wind, and NRG Wind TE Holdco projects, as well as a 5% decrease in solar generation, primarily at CVSR in connection with lower insolation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200" w:right="20" w:hanging="161"/>
        <w:spacing w:after="0" w:line="277" w:lineRule="auto"/>
        <w:rPr>
          <w:sz w:val="20"/>
          <w:szCs w:val="20"/>
          <w:color w:val="auto"/>
        </w:rPr>
      </w:pPr>
      <w:r>
        <w:rPr>
          <w:rFonts w:ascii="Arial" w:cs="Arial" w:eastAsia="Arial" w:hAnsi="Arial"/>
          <w:sz w:val="18"/>
          <w:szCs w:val="18"/>
          <w:color w:val="auto"/>
        </w:rPr>
        <w:t>Increase in the Conventional segment, primarily due to Emissions credit amortization of NOx allowances at Walnut Creek and El Segundo in compliance with amendments to the Regional Clean Air Incentives Market program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Decrease in gross margin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369"/>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82" w:lineRule="exact"/>
        <w:rPr>
          <w:sz w:val="20"/>
          <w:szCs w:val="20"/>
          <w:color w:val="auto"/>
        </w:rPr>
      </w:pPr>
    </w:p>
    <w:p>
      <w:pPr>
        <w:ind w:left="889" w:hanging="889"/>
        <w:spacing w:after="0"/>
        <w:tabs>
          <w:tab w:leader="none" w:pos="8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(20)</w:t>
      </w:r>
    </w:p>
    <w:p>
      <w:pPr>
        <w:spacing w:after="0" w:line="302" w:lineRule="exact"/>
        <w:rPr>
          <w:sz w:val="20"/>
          <w:szCs w:val="20"/>
          <w:color w:val="auto"/>
        </w:rPr>
      </w:pPr>
    </w:p>
    <w:p>
      <w:pPr>
        <w:ind w:left="1029"/>
        <w:spacing w:after="0"/>
        <w:rPr>
          <w:sz w:val="20"/>
          <w:szCs w:val="20"/>
          <w:color w:val="auto"/>
        </w:rPr>
      </w:pPr>
      <w:r>
        <w:rPr>
          <w:rFonts w:ascii="Arial" w:cs="Arial" w:eastAsia="Arial" w:hAnsi="Arial"/>
          <w:sz w:val="18"/>
          <w:szCs w:val="18"/>
          <w:color w:val="auto"/>
        </w:rPr>
        <w:t>7</w:t>
      </w:r>
    </w:p>
    <w:p>
      <w:pPr>
        <w:spacing w:after="0" w:line="73" w:lineRule="exact"/>
        <w:rPr>
          <w:sz w:val="20"/>
          <w:szCs w:val="20"/>
          <w:color w:val="auto"/>
        </w:rPr>
      </w:pPr>
    </w:p>
    <w:p>
      <w:pPr>
        <w:ind w:left="889" w:hanging="889"/>
        <w:spacing w:after="0"/>
        <w:tabs>
          <w:tab w:leader="none" w:pos="889"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7975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10040" w:space="151"/>
            <w:col w:w="1229"/>
          </w:cols>
          <w:pgMar w:left="240" w:top="742" w:right="239" w:bottom="1440" w:gutter="0" w:footer="0" w:header="0"/>
          <w:type w:val="continuous"/>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742"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Operations and maintenance expense increased by $9 million during the nine months ended September 30, 2017, compared to the same period in 2016, primarily due to forced outages at Walnut Creek and El Segundo in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Depreciation and amortization expense increased by $17 million during the nine months ended September 30, 2017, compared to the same period in 2016, due to the combination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Increase in depreciation expense due to an update in estimated useful lives for certain components of fixed assets in the first half of 2017 in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Conventional and Renewables segments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4"/>
              </w:rPr>
              <w:t>Decrease in depreciation expense at NRG Wind TE Holdco, primarily due to the effect of assets impairment at Elbow Creek, Goat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w w:val="95"/>
              </w:rPr>
              <w:t xml:space="preserve">Forward that took place in December 2016, as further described in Note 9 </w:t>
            </w:r>
            <w:r>
              <w:rPr>
                <w:rFonts w:ascii="Arial" w:cs="Arial" w:eastAsia="Arial" w:hAnsi="Arial"/>
                <w:sz w:val="18"/>
                <w:szCs w:val="18"/>
                <w:i w:val="1"/>
                <w:iCs w:val="1"/>
                <w:color w:val="auto"/>
                <w:w w:val="95"/>
              </w:rPr>
              <w:t>- Asset Impairments</w:t>
            </w:r>
            <w:r>
              <w:rPr>
                <w:rFonts w:ascii="Arial" w:cs="Arial" w:eastAsia="Arial" w:hAnsi="Arial"/>
                <w:sz w:val="18"/>
                <w:szCs w:val="18"/>
                <w:color w:val="auto"/>
                <w:w w:val="95"/>
              </w:rPr>
              <w:t xml:space="preserve"> to the Company's 2016 Form 10-K.</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depreciation and amortization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10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$29 million during the nine months ended September 30, 2017, compared to the same period in 2016, primarily due to the acquisition of the Utah Solar Portfolio in November 2016, partially offset by a decrease in earnings from the Company's partnerships with NRG.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expense increased by $23 million during the nine months ended September 30, 2017, compared to the same period in 2016, due to:</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Issuance of the new long-term debt in the second half of 2016, including primarily 2026</w:t>
            </w: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Senior Notes, CVSR Holdco Notes due 2037, and</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7"/>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Energy Center Minneapolis Series D Notes due 2031</w:t>
            </w:r>
          </w:p>
        </w:tc>
        <w:tc>
          <w:tcPr>
            <w:tcW w:w="3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w w:val="91"/>
              </w:rPr>
              <w:t>Utah Solar Portfolio debt assumed in connection with the acquisition of the March 2017</w:t>
            </w:r>
          </w:p>
        </w:tc>
        <w:tc>
          <w:tcPr>
            <w:tcW w:w="3760" w:type="dxa"/>
            <w:vAlign w:val="bottom"/>
          </w:tcPr>
          <w:p>
            <w:pPr>
              <w:ind w:left="20"/>
              <w:spacing w:after="0"/>
              <w:rPr>
                <w:sz w:val="20"/>
                <w:szCs w:val="20"/>
                <w:color w:val="auto"/>
              </w:rPr>
            </w:pPr>
            <w:r>
              <w:rPr>
                <w:rFonts w:ascii="Arial" w:cs="Arial" w:eastAsia="Arial" w:hAnsi="Arial"/>
                <w:sz w:val="18"/>
                <w:szCs w:val="18"/>
                <w:color w:val="auto"/>
              </w:rPr>
              <w:t>Drop Down Assets</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10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de-designated interest rate swaps, as well as the change in fair value of 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Higher revolver borrowings in 2016 combined with the lower principal balances on project level debt in 2017</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40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interest expense</w:t>
            </w:r>
          </w:p>
        </w:tc>
        <w:tc>
          <w:tcPr>
            <w:tcW w:w="3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0"/>
        </w:trPr>
        <w:tc>
          <w:tcPr>
            <w:tcW w:w="64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nine months ended September 30, 2017, the Company had a loss of $56 million attributable to noncontrolling interests with respect to its tax equity financing arrangements and the application of the HLBV method. For the nine months ended September 30, 2016, the Company had a loss of $67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September 30, 2017</w:t>
      </w:r>
      <w:r>
        <w:rPr>
          <w:rFonts w:ascii="Arial" w:cs="Arial" w:eastAsia="Arial" w:hAnsi="Arial"/>
          <w:sz w:val="16"/>
          <w:szCs w:val="16"/>
          <w:color w:val="231F20"/>
        </w:rPr>
        <w:t xml:space="preserve"> and </w:t>
      </w:r>
      <w:r>
        <w:rPr>
          <w:rFonts w:ascii="Arial" w:cs="Arial" w:eastAsia="Arial" w:hAnsi="Arial"/>
          <w:sz w:val="16"/>
          <w:szCs w:val="16"/>
          <w:color w:val="000000"/>
        </w:rPr>
        <w:t>December 31, 2016</w:t>
      </w:r>
      <w:r>
        <w:rPr>
          <w:rFonts w:ascii="Arial" w:cs="Arial" w:eastAsia="Arial" w:hAnsi="Arial"/>
          <w:sz w:val="16"/>
          <w:szCs w:val="16"/>
          <w:color w:val="231F20"/>
        </w:rPr>
        <w:t xml:space="preserve">, the Company's liquidity was approximately $745 million and $921 million, respectively, comprised of cash, restricted cash, and availability under the Company's revolving credit facility. The Company's liquidity includes $140 million and $165 million of restricted cash balances as of </w:t>
      </w:r>
      <w:r>
        <w:rPr>
          <w:rFonts w:ascii="Arial" w:cs="Arial" w:eastAsia="Arial" w:hAnsi="Arial"/>
          <w:sz w:val="16"/>
          <w:szCs w:val="16"/>
          <w:color w:val="000000"/>
        </w:rPr>
        <w:t>September 30, 2017</w:t>
      </w:r>
      <w:r>
        <w:rPr>
          <w:rFonts w:ascii="Arial" w:cs="Arial" w:eastAsia="Arial" w:hAnsi="Arial"/>
          <w:sz w:val="16"/>
          <w:szCs w:val="16"/>
          <w:color w:val="231F20"/>
        </w:rPr>
        <w:t xml:space="preserve"> and </w:t>
      </w:r>
      <w:r>
        <w:rPr>
          <w:rFonts w:ascii="Arial" w:cs="Arial" w:eastAsia="Arial" w:hAnsi="Arial"/>
          <w:sz w:val="16"/>
          <w:szCs w:val="16"/>
          <w:color w:val="000000"/>
        </w:rPr>
        <w:t>December 31, 2016</w:t>
      </w:r>
      <w:r>
        <w:rPr>
          <w:rFonts w:ascii="Arial" w:cs="Arial" w:eastAsia="Arial" w:hAnsi="Arial"/>
          <w:sz w:val="16"/>
          <w:szCs w:val="16"/>
          <w:color w:val="231F20"/>
        </w:rPr>
        <w:t xml:space="preserve">, respectively. Restricted cash consists primarily of funds to satisfy the requirements of certain debt agreements and funds held within the Company's projects that are restricted in their use. The Company's various financing arrangements are described in Note 7, </w:t>
      </w:r>
      <w:r>
        <w:rPr>
          <w:rFonts w:ascii="Arial" w:cs="Arial" w:eastAsia="Arial" w:hAnsi="Arial"/>
          <w:sz w:val="16"/>
          <w:szCs w:val="16"/>
          <w:i w:val="1"/>
          <w:iCs w:val="1"/>
          <w:color w:val="231F20"/>
        </w:rPr>
        <w:t>Long-term Debt.</w:t>
      </w:r>
      <w:r>
        <w:rPr>
          <w:rFonts w:ascii="Arial" w:cs="Arial" w:eastAsia="Arial" w:hAnsi="Arial"/>
          <w:sz w:val="16"/>
          <w:szCs w:val="16"/>
          <w:color w:val="231F20"/>
        </w:rPr>
        <w:t xml:space="preserve"> As of </w:t>
      </w:r>
      <w:r>
        <w:rPr>
          <w:rFonts w:ascii="Arial" w:cs="Arial" w:eastAsia="Arial" w:hAnsi="Arial"/>
          <w:sz w:val="16"/>
          <w:szCs w:val="16"/>
          <w:color w:val="000000"/>
        </w:rPr>
        <w:t>September 30, 2017</w:t>
      </w:r>
      <w:r>
        <w:rPr>
          <w:rFonts w:ascii="Arial" w:cs="Arial" w:eastAsia="Arial" w:hAnsi="Arial"/>
          <w:sz w:val="16"/>
          <w:szCs w:val="16"/>
          <w:color w:val="231F20"/>
        </w:rPr>
        <w:t>, the Company had $427 million of available borrowings under its revolving credit facility.</w:t>
      </w:r>
    </w:p>
    <w:p>
      <w:pPr>
        <w:spacing w:after="0" w:line="10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2017</w:t>
      </w:r>
      <w:r>
        <w:rPr>
          <w:rFonts w:ascii="Arial" w:cs="Arial" w:eastAsia="Arial" w:hAnsi="Arial"/>
          <w:sz w:val="18"/>
          <w:szCs w:val="18"/>
          <w:color w:val="231F20"/>
        </w:rPr>
        <w:t>, there were no outstanding borrowings and there were $68 million of letters of credit outstanding under the Company's revolving credit facility.</w:t>
      </w:r>
    </w:p>
    <w:p>
      <w:pPr>
        <w:spacing w:after="0" w:line="11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2017, the Company's 2024 Senior Notes and 2026 Senior Notes are rated BB by S&amp;P and Ba2 by Moody's, respectively. The</w:t>
      </w:r>
      <w:r>
        <w:rPr>
          <w:rFonts w:ascii="Arial" w:cs="Arial" w:eastAsia="Arial" w:hAnsi="Arial"/>
          <w:sz w:val="18"/>
          <w:szCs w:val="18"/>
          <w:color w:val="231F20"/>
        </w:rPr>
        <w:t xml:space="preserve"> </w:t>
      </w:r>
      <w:r>
        <w:rPr>
          <w:rFonts w:ascii="Arial" w:cs="Arial" w:eastAsia="Arial" w:hAnsi="Arial"/>
          <w:sz w:val="18"/>
          <w:szCs w:val="18"/>
          <w:color w:val="000000"/>
        </w:rPr>
        <w:t>ratings outlook is stable.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Note 7, </w:t>
      </w:r>
      <w:r>
        <w:rPr>
          <w:rFonts w:ascii="Arial" w:cs="Arial" w:eastAsia="Arial" w:hAnsi="Arial"/>
          <w:sz w:val="18"/>
          <w:szCs w:val="18"/>
          <w:i w:val="1"/>
          <w:iCs w:val="1"/>
          <w:color w:val="231F20"/>
        </w:rPr>
        <w:t>Long-term</w:t>
      </w:r>
      <w:r>
        <w:rPr>
          <w:rFonts w:ascii="Arial" w:cs="Arial" w:eastAsia="Arial" w:hAnsi="Arial"/>
          <w:sz w:val="18"/>
          <w:szCs w:val="18"/>
          <w:color w:val="231F20"/>
        </w:rPr>
        <w:t xml:space="preserve"> </w:t>
      </w:r>
      <w:r>
        <w:rPr>
          <w:rFonts w:ascii="Arial" w:cs="Arial" w:eastAsia="Arial" w:hAnsi="Arial"/>
          <w:sz w:val="18"/>
          <w:szCs w:val="18"/>
          <w:i w:val="1"/>
          <w:iCs w:val="1"/>
          <w:color w:val="231F20"/>
        </w:rPr>
        <w:t>Debt</w:t>
      </w:r>
      <w:r>
        <w:rPr>
          <w:rFonts w:ascii="Arial" w:cs="Arial" w:eastAsia="Arial" w:hAnsi="Arial"/>
          <w:sz w:val="18"/>
          <w:szCs w:val="18"/>
          <w:color w:val="231F20"/>
        </w:rPr>
        <w:t>, to this Form 10-Q and Note 10,</w:t>
      </w:r>
      <w:r>
        <w:rPr>
          <w:rFonts w:ascii="Arial" w:cs="Arial" w:eastAsia="Arial" w:hAnsi="Arial"/>
          <w:sz w:val="18"/>
          <w:szCs w:val="18"/>
          <w:i w:val="1"/>
          <w:iCs w:val="1"/>
          <w:color w:val="231F20"/>
        </w:rPr>
        <w:t xml:space="preserve"> Long-term Debt</w:t>
      </w:r>
      <w:r>
        <w:rPr>
          <w:rFonts w:ascii="Arial" w:cs="Arial" w:eastAsia="Arial" w:hAnsi="Arial"/>
          <w:sz w:val="18"/>
          <w:szCs w:val="18"/>
          <w:color w:val="231F20"/>
        </w:rPr>
        <w:t>, to the consolidated financial statements included in the Company's May 9,</w:t>
      </w:r>
      <w:r>
        <w:rPr>
          <w:rFonts w:ascii="Arial" w:cs="Arial" w:eastAsia="Arial" w:hAnsi="Arial"/>
          <w:sz w:val="18"/>
          <w:szCs w:val="18"/>
          <w:i w:val="1"/>
          <w:iCs w:val="1"/>
          <w:color w:val="231F20"/>
        </w:rPr>
        <w:t xml:space="preserve"> </w:t>
      </w:r>
      <w:r>
        <w:rPr>
          <w:rFonts w:ascii="Arial" w:cs="Arial" w:eastAsia="Arial" w:hAnsi="Arial"/>
          <w:sz w:val="18"/>
          <w:szCs w:val="18"/>
          <w:color w:val="000000"/>
        </w:rPr>
        <w:t>2017 Form 8-K</w:t>
      </w:r>
      <w:r>
        <w:rPr>
          <w:rFonts w:ascii="Arial" w:cs="Arial" w:eastAsia="Arial" w:hAnsi="Arial"/>
          <w:sz w:val="18"/>
          <w:szCs w:val="18"/>
          <w:color w:val="231F20"/>
        </w:rPr>
        <w:t>,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Company's financing arrangements consist of the revolving credit facility, the Senior Notes, the ATM Program, its intercompany borrowings with Yield, Inc. and project-level financings for its various assets.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NRG Yield, Inc. is party to an equity distribution agreement with Barclays Capital Inc., Credit Suisse Securities (USA) LLC, J.P. Morgan Securities LLC and RBC Capital Markets, LLC, as sales agents. Pursuant to the terms of the equity distribution agreement, NRG Yield, Inc. may offer and sell shares of its Class C common stock par value $0.01 per share, from time to time through the sales agents up to an aggregate sales price of $150,000,000 through an at-the-market equity offering program, or the ATM Program. NRG Yield, Inc. may also sell shares of its Class C common stock to any of the sales agents, as principals for its own account, at a price agreed upon at the time of sale. During the three months ended September 30, 2017, Yield, Inc. issued 987,727 shares of Class C common stock under the ATM Program for gross proceeds of $18 million. During the nine months ended September 30, 2017, Yield, Inc. issued 1,921,866 shares of Class C common stock under the ATM Program for gross proceeds of $35 million and incurred commission fees of $346 thousand. Yield, Inc. used the net proceeds to acquire 1,921,866 Class C units from Yield LLC.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2" w:right="239" w:bottom="1440" w:gutter="0" w:footer="0" w:header="0"/>
        </w:sectPr>
      </w:pPr>
    </w:p>
    <w:bookmarkStart w:id="53" w:name="page54"/>
    <w:bookmarkEnd w:id="53"/>
    <w:p>
      <w:pPr>
        <w:ind w:left="420"/>
        <w:spacing w:after="0"/>
        <w:rPr>
          <w:sz w:val="20"/>
          <w:szCs w:val="20"/>
          <w:color w:val="auto"/>
        </w:rPr>
      </w:pPr>
      <w:r>
        <w:rPr>
          <w:rFonts w:ascii="Arial" w:cs="Arial" w:eastAsia="Arial" w:hAnsi="Arial"/>
          <w:sz w:val="18"/>
          <w:szCs w:val="18"/>
          <w:i w:val="1"/>
          <w:iCs w:val="1"/>
          <w:color w:val="auto"/>
        </w:rPr>
        <w:t>Thermal Financing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the Series F Notes, increasing the total principal amount of notes available for issuance under the shelf facility to $80 million. </w:t>
      </w:r>
      <w:r>
        <w:rPr>
          <w:rFonts w:ascii="Arial" w:cs="Arial" w:eastAsia="Arial" w:hAnsi="Arial"/>
          <w:sz w:val="18"/>
          <w:szCs w:val="18"/>
          <w:color w:val="231F20"/>
        </w:rPr>
        <w:t>The Series F Notes will be secured by substantially all of the</w:t>
      </w:r>
      <w:r>
        <w:rPr>
          <w:rFonts w:ascii="Arial" w:cs="Arial" w:eastAsia="Arial" w:hAnsi="Arial"/>
          <w:sz w:val="18"/>
          <w:szCs w:val="18"/>
          <w:color w:val="auto"/>
        </w:rPr>
        <w:t xml:space="preserve"> </w:t>
      </w:r>
      <w:r>
        <w:rPr>
          <w:rFonts w:ascii="Arial" w:cs="Arial" w:eastAsia="Arial" w:hAnsi="Arial"/>
          <w:sz w:val="18"/>
          <w:szCs w:val="18"/>
          <w:color w:val="231F20"/>
        </w:rPr>
        <w:t>assets of NRG Energy Center Minneapolis LLC. NRG Thermal LLC has guaranteed the indebtedness and its guarantee is secured by a pledge of the equity interests in all of NRG Thermal LLC’s subsidiaries.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(ii) capital expenditures; (iii) acquisitions and investments; and (iv) distributions.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nine months ended </w:t>
      </w:r>
      <w:r>
        <w:rPr>
          <w:rFonts w:ascii="Arial" w:cs="Arial" w:eastAsia="Arial" w:hAnsi="Arial"/>
          <w:sz w:val="17"/>
          <w:szCs w:val="17"/>
          <w:color w:val="000000"/>
        </w:rPr>
        <w:t>September 30, 2017</w:t>
      </w:r>
      <w:r>
        <w:rPr>
          <w:rFonts w:ascii="Arial" w:cs="Arial" w:eastAsia="Arial" w:hAnsi="Arial"/>
          <w:sz w:val="17"/>
          <w:szCs w:val="17"/>
          <w:color w:val="231F20"/>
        </w:rPr>
        <w:t>, the Company used approximately $23 million to fund capital expenditures, including growth</w:t>
      </w:r>
      <w:r>
        <w:rPr>
          <w:rFonts w:ascii="Arial" w:cs="Arial" w:eastAsia="Arial" w:hAnsi="Arial"/>
          <w:sz w:val="17"/>
          <w:szCs w:val="17"/>
          <w:color w:val="000000"/>
        </w:rPr>
        <w:t xml:space="preserve"> expenditures of $2 million in the Thermal segment incurred in connection with expansion of its customer base. </w:t>
      </w:r>
      <w:r>
        <w:rPr>
          <w:rFonts w:ascii="Arial" w:cs="Arial" w:eastAsia="Arial" w:hAnsi="Arial"/>
          <w:sz w:val="17"/>
          <w:szCs w:val="17"/>
          <w:color w:val="231F20"/>
        </w:rPr>
        <w:t>For the nine months ended September 30, 2016, the Company used approximately $16</w:t>
      </w:r>
      <w:r>
        <w:rPr>
          <w:rFonts w:ascii="Arial" w:cs="Arial" w:eastAsia="Arial" w:hAnsi="Arial"/>
          <w:sz w:val="17"/>
          <w:szCs w:val="17"/>
          <w:color w:val="000000"/>
        </w:rPr>
        <w:t xml:space="preserve"> </w:t>
      </w:r>
      <w:r>
        <w:rPr>
          <w:rFonts w:ascii="Arial" w:cs="Arial" w:eastAsia="Arial" w:hAnsi="Arial"/>
          <w:sz w:val="17"/>
          <w:szCs w:val="17"/>
          <w:color w:val="231F20"/>
        </w:rPr>
        <w:t xml:space="preserve">million to fund capital expenditures, of which </w:t>
      </w:r>
      <w:r>
        <w:rPr>
          <w:rFonts w:ascii="Arial" w:cs="Arial" w:eastAsia="Arial" w:hAnsi="Arial"/>
          <w:sz w:val="17"/>
          <w:szCs w:val="17"/>
          <w:color w:val="000000"/>
        </w:rPr>
        <w:t>$12 million related to maintenance expenditures.</w:t>
      </w:r>
      <w:r>
        <w:rPr>
          <w:rFonts w:ascii="Arial" w:cs="Arial" w:eastAsia="Arial" w:hAnsi="Arial"/>
          <w:sz w:val="17"/>
          <w:szCs w:val="17"/>
          <w:color w:val="231F20"/>
        </w:rPr>
        <w:t xml:space="preserve"> The Company develops annual capital spending plans based on projected requirements for maintenance and growth capital. The Company estimated an additional $5 million and $32 million of maintenance expenditures for the remainder of 2017 and full 2018, respectively. </w:t>
      </w:r>
      <w:r>
        <w:rPr>
          <w:rFonts w:ascii="Arial" w:cs="Arial" w:eastAsia="Arial" w:hAnsi="Arial"/>
          <w:sz w:val="17"/>
          <w:szCs w:val="17"/>
          <w:color w:val="000000"/>
        </w:rPr>
        <w:t>These estimates are subject to continuing review and adjustment and actual capital expenditures may</w:t>
      </w:r>
      <w:r>
        <w:rPr>
          <w:rFonts w:ascii="Arial" w:cs="Arial" w:eastAsia="Arial" w:hAnsi="Arial"/>
          <w:sz w:val="17"/>
          <w:szCs w:val="17"/>
          <w:color w:val="231F20"/>
        </w:rPr>
        <w:t xml:space="preserve"> </w:t>
      </w:r>
      <w:r>
        <w:rPr>
          <w:rFonts w:ascii="Arial" w:cs="Arial" w:eastAsia="Arial" w:hAnsi="Arial"/>
          <w:sz w:val="17"/>
          <w:szCs w:val="17"/>
          <w:color w:val="000000"/>
        </w:rPr>
        <w:t>vary from these estimates.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3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and thermal infrastructure assets developed and constructed by NRG and third parties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February 24, 2017, the Company amended and restated the ROFO Agreement, expanding the ROFO Assets pipeline with the addition of 234 net MW of utility-scale solar projects, consisting of Buckthorn, a 154 net MW solar facility in Texas, and Hawaii solar projects, which have a combined capacity of 80 net MW.</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October 17, 2017, NRG offered the Company the opportunity to purchase 100% of its ownership interest in Buckthorn pursuant to the ROFO Agreement. The Buckthorn acquisition is subject to negotiation and approval by the Company's independent directors.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As discussed in Item 1 —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Company completed the following acquisitions in 2017:</w:t>
      </w:r>
    </w:p>
    <w:p>
      <w:pPr>
        <w:spacing w:after="0" w:line="16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November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2017, the Company acquired a 38 MW solar portfolio primarily comprised of assets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NRG's Solar Power Partners (SPP) funds and other projects developed by NRG, for cash consideration of $71 million, excluding working capital adjustments, plus assumed non-recourse debt of $26 million. As of September 30, 2017, the November 2017 Drop Down Assets' debt was $33 million, of which $7 million was paid by NRG in October 2017.</w:t>
      </w:r>
    </w:p>
    <w:p>
      <w:pPr>
        <w:spacing w:after="0" w:line="12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August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 2017, the Company acquired the remaining 25% interest in NRG Wind TE Holdco, a portfolio of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projects, from NRG for total cash consideration of $44 million, including a working capital adjustment of $3 million. The transaction also includes potential additional payments to NRG dependent upon actual energy prices for merchant periods beginning in 2027.</w:t>
      </w:r>
    </w:p>
    <w:p>
      <w:pPr>
        <w:spacing w:after="0" w:line="12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March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27, 2017, the Company acquired the following interests from NRG: (i) Agua Caliente Borrower 2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owns a 16% interest (approximately 31% of NRG's 51% interest) in the Agua Caliente solar farm, one of the ROFO Assets, representing ownership of approximately 46 net MW of capacity, and (ii) NRG's interests in seven utility-scale solar farms located in Utah, which are part of a tax equity structure with Dominion Solar Projects III, Inc., or Dominion, from which the Company would receive 50% of cash to be distributed. The Company paid cash consideration of $130 million, plus $2 million of working capital and assumed non-recourse project debt. The purchase price for the acquisition was funded with cash on hand.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Investment Partnership with NRG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September 26, 2017, the Company entered into a partnership with NRG by forming NRG DGPV Holdco 3 LLC, or DGPV Holdco 3, in which the Company would invest up to $50 million in an operating portfolio of distributed solar assets, primarily comprised of community solar projects, developed by NRG. The Company invested $4 million during September 2017 with an additional $16 million due to NRG in accounts payable - affiliate as of September 30, 2017, to be funded in tranches as the project milestones are completed. The Company co-owns approximately 33 MW of distributed solar capacity, based on cash to be distributed, with a weighted average contract life of approximately 20 years as of September 30, 2017.</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nine months ended September 30, 2017, the Company invested $37 million in NRG DGPV Holdco 2 LLC.</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Distributions to Yield, Inc. and NRG</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Dividends on t</w:t>
      </w:r>
      <w:r>
        <w:rPr>
          <w:rFonts w:ascii="Arial" w:cs="Arial" w:eastAsia="Arial" w:hAnsi="Arial"/>
          <w:sz w:val="18"/>
          <w:szCs w:val="18"/>
          <w:color w:val="000000"/>
        </w:rPr>
        <w:t>he Class A common stock and Class C common stock are subject to available capital, market conditions, and compliance with associated laws, regulations</w:t>
      </w:r>
      <w:r>
        <w:rPr>
          <w:rFonts w:ascii="Arial" w:cs="Arial" w:eastAsia="Arial" w:hAnsi="Arial"/>
          <w:sz w:val="18"/>
          <w:szCs w:val="18"/>
          <w:color w:val="231F20"/>
        </w:rPr>
        <w:t xml:space="preserve"> </w:t>
      </w:r>
      <w:r>
        <w:rPr>
          <w:rFonts w:ascii="Arial" w:cs="Arial" w:eastAsia="Arial" w:hAnsi="Arial"/>
          <w:sz w:val="18"/>
          <w:szCs w:val="18"/>
          <w:color w:val="000000"/>
        </w:rPr>
        <w:t>and other contractual obligations. The Company expects that, based on current circumstances, comparable cash dividends will continue to be paid in the foreseeable future.</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on the Company's Class A, B, C and D units during the nine months ended September 30, 2017:</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 2017</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Second Quarter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2017</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Class A, B, C and D unit</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0.27</w:t>
            </w: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October 31, 2017, the Company declared a distribution on its Class A, Class B, Class C and Class D units of $0.288 per unit payable on December 15, 2017 to unit holders of record as of December 1,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changes in cash flows for the nine months ended September 30, 2017,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2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94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444</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(204)</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(339)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432"/>
        </w:trPr>
        <w:tc>
          <w:tcPr>
            <w:tcW w:w="53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6"/>
              </w:rPr>
              <w:t>Changes to net cash provided by operating activities were driven by:</w:t>
            </w:r>
          </w:p>
        </w:tc>
        <w:tc>
          <w:tcPr>
            <w:tcW w:w="21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operating income adjusted for non-cash items</w:t>
            </w:r>
          </w:p>
        </w:tc>
        <w:tc>
          <w:tcPr>
            <w:tcW w:w="2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10180" w:type="dxa"/>
            <w:vAlign w:val="bottom"/>
            <w:gridSpan w:val="7"/>
          </w:tcPr>
          <w:p>
            <w:pPr>
              <w:ind w:left="40"/>
              <w:spacing w:after="0"/>
              <w:rPr>
                <w:sz w:val="20"/>
                <w:szCs w:val="20"/>
                <w:color w:val="auto"/>
              </w:rPr>
            </w:pPr>
            <w:r>
              <w:rPr>
                <w:rFonts w:ascii="Arial" w:cs="Arial" w:eastAsia="Arial" w:hAnsi="Arial"/>
                <w:sz w:val="18"/>
                <w:szCs w:val="18"/>
                <w:color w:val="auto"/>
                <w:w w:val="94"/>
              </w:rPr>
              <w:t>Decrease in working capital driven primarily by timing of cash receipts from customers in the first nine months of 2017 compared to the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0"/>
              <w:spacing w:after="0"/>
              <w:rPr>
                <w:sz w:val="20"/>
                <w:szCs w:val="20"/>
                <w:color w:val="auto"/>
              </w:rPr>
            </w:pPr>
            <w:r>
              <w:rPr>
                <w:rFonts w:ascii="Arial" w:cs="Arial" w:eastAsia="Arial" w:hAnsi="Arial"/>
                <w:sz w:val="18"/>
                <w:szCs w:val="18"/>
                <w:color w:val="auto"/>
              </w:rPr>
              <w:t>same period in 2016</w:t>
            </w:r>
          </w:p>
        </w:tc>
        <w:tc>
          <w:tcPr>
            <w:tcW w:w="2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10160" w:type="dxa"/>
            <w:vAlign w:val="bottom"/>
            <w:gridSpan w:val="6"/>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4"/>
              </w:rPr>
              <w:t>Higher distributions from unconsolidated affiliates primarily due to the acquisition of the Utah Solar Portfolio, which was acquired by the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Company in March 2017 and by NRG in November 2016</w:t>
            </w:r>
          </w:p>
        </w:tc>
        <w:tc>
          <w:tcPr>
            <w:tcW w:w="2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vMerge w:val="restart"/>
          </w:tcPr>
          <w:p>
            <w:pPr>
              <w:jc w:val="right"/>
              <w:ind w:right="1556"/>
              <w:spacing w:after="0"/>
              <w:rPr>
                <w:sz w:val="20"/>
                <w:szCs w:val="20"/>
                <w:color w:val="auto"/>
              </w:rPr>
            </w:pPr>
            <w:r>
              <w:rPr>
                <w:rFonts w:ascii="Arial" w:cs="Arial" w:eastAsia="Arial" w:hAnsi="Arial"/>
                <w:sz w:val="18"/>
                <w:szCs w:val="18"/>
                <w:color w:val="auto"/>
              </w:rPr>
              <w:t>54</w:t>
            </w: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14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3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Payments for the August 2017 Drop Down Assets and March 2017 Drop Down Assets compared to the payments made for the CVSR Drop</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Down in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Decrease in investments in unconsolidated affiliates in 2017 primarily due to the timing of funding of the projects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Higher capital expenditures in 2017 compared to the same period in 2016 due primarily to maintenance expenditures at Walnut Creek as a</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result of the forced outages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10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1016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1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Class C units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Net borrowings under the revolving credit facility in 2016</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Higher borrowings in 2016, primarily related to the proceeds from the issuance of 2026 Senior Notes and CVSR Holdco Notes due 2037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combined with higher repayments of long-term debt and increased financing fees in 2017</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in net contributions from noncontrolling interests due to higher production-based payments in 2017 compared to 2016</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distributions paid to unit holders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w w:val="97"/>
              </w:rPr>
              <w:t>Lower payments of distributions to NRG for the Drop Down Assets relating to the pre-acquisition period in 2017 compared to 2016</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September 30, 2017, the Company has several investments with an ownership interest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50% or 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Company's pro-rata share of non-recourse debt held by unconsolidated affiliates was approximately $643 million as of September 30, 2017. This indebtedness may restrict the ability of these subsidiaries to issue dividends or distributions to the Company. For a complete description of debt held by unconsolidated affiliates see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for the year ended December 31, 2016 included in the Company's May 9, 2017 Form 8-K.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2016 Form 10-K. See also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this Form 10-Q for a discussion of additional contingencies that occurred during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September 30, 2017</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September 30, 2017</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(In millions)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8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10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40" w:type="dxa"/>
            <w:vAlign w:val="bottom"/>
          </w:tcPr>
          <w:p>
            <w:pPr>
              <w:spacing w:after="0"/>
              <w:rPr>
                <w:sz w:val="21"/>
                <w:szCs w:val="21"/>
                <w:color w:val="auto"/>
              </w:rPr>
            </w:pPr>
          </w:p>
        </w:tc>
        <w:tc>
          <w:tcPr>
            <w:tcW w:w="10240" w:type="dxa"/>
            <w:vAlign w:val="bottom"/>
            <w:gridSpan w:val="2"/>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0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10280" w:type="dxa"/>
            <w:vAlign w:val="bottom"/>
            <w:gridSpan w:val="3"/>
          </w:tcPr>
          <w:p>
            <w:pPr>
              <w:ind w:left="40"/>
              <w:spacing w:after="0"/>
              <w:rPr>
                <w:sz w:val="20"/>
                <w:szCs w:val="20"/>
                <w:color w:val="auto"/>
              </w:rPr>
            </w:pPr>
            <w:r>
              <w:rPr>
                <w:rFonts w:ascii="Arial" w:cs="Arial" w:eastAsia="Arial" w:hAnsi="Arial"/>
                <w:sz w:val="18"/>
                <w:szCs w:val="18"/>
                <w:color w:val="auto"/>
              </w:rPr>
              <w:t>Fair value of contracts as of September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182"/>
              <w:spacing w:after="0"/>
              <w:rPr>
                <w:sz w:val="20"/>
                <w:szCs w:val="20"/>
                <w:color w:val="auto"/>
              </w:rPr>
            </w:pPr>
            <w:r>
              <w:rPr>
                <w:rFonts w:ascii="Arial" w:cs="Arial" w:eastAsia="Arial" w:hAnsi="Arial"/>
                <w:sz w:val="14"/>
                <w:szCs w:val="14"/>
                <w:b w:val="1"/>
                <w:bCs w:val="1"/>
                <w:color w:val="auto"/>
                <w:w w:val="92"/>
              </w:rPr>
              <w:t>Fair value of contracts as of September 30, 2017</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rPr>
              <w:t>Maturity</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6"/>
              </w:rPr>
              <w:t>Greater Than</w:t>
            </w:r>
          </w:p>
        </w:tc>
        <w:tc>
          <w:tcPr>
            <w:tcW w:w="180" w:type="dxa"/>
            <w:vAlign w:val="bottom"/>
          </w:tcPr>
          <w:p>
            <w:pPr>
              <w:spacing w:after="0"/>
              <w:rPr>
                <w:sz w:val="13"/>
                <w:szCs w:val="13"/>
                <w:color w:val="auto"/>
              </w:rPr>
            </w:pPr>
          </w:p>
        </w:tc>
        <w:tc>
          <w:tcPr>
            <w:tcW w:w="1020" w:type="dxa"/>
            <w:vAlign w:val="bottom"/>
          </w:tcPr>
          <w:p>
            <w:pPr>
              <w:jc w:val="center"/>
              <w:ind w:right="44"/>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260" w:type="dxa"/>
            <w:vAlign w:val="bottom"/>
          </w:tcPr>
          <w:p>
            <w:pPr>
              <w:spacing w:after="0"/>
              <w:rPr>
                <w:sz w:val="13"/>
                <w:szCs w:val="13"/>
                <w:color w:val="auto"/>
              </w:rPr>
            </w:pPr>
          </w:p>
        </w:tc>
        <w:tc>
          <w:tcPr>
            <w:tcW w:w="11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8"/>
              </w:rPr>
              <w:t>Greater Than</w:t>
            </w:r>
          </w:p>
        </w:tc>
        <w:tc>
          <w:tcPr>
            <w:tcW w:w="300" w:type="dxa"/>
            <w:vAlign w:val="bottom"/>
          </w:tcPr>
          <w:p>
            <w:pPr>
              <w:spacing w:after="0"/>
              <w:rPr>
                <w:sz w:val="13"/>
                <w:szCs w:val="13"/>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Hierarchy Losses</w:t>
            </w:r>
          </w:p>
        </w:tc>
        <w:tc>
          <w:tcPr>
            <w:tcW w:w="160" w:type="dxa"/>
            <w:vAlign w:val="bottom"/>
          </w:tcPr>
          <w:p>
            <w:pPr>
              <w:spacing w:after="0"/>
              <w:rPr>
                <w:sz w:val="12"/>
                <w:szCs w:val="12"/>
                <w:color w:val="auto"/>
              </w:rPr>
            </w:pPr>
          </w:p>
        </w:tc>
        <w:tc>
          <w:tcPr>
            <w:tcW w:w="11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3"/>
              </w:rPr>
              <w:t>1 Year or Less</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3 Years to 5</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80" w:type="dxa"/>
            <w:vAlign w:val="bottom"/>
          </w:tcPr>
          <w:p>
            <w:pPr>
              <w:spacing w:after="0"/>
              <w:rPr>
                <w:sz w:val="13"/>
                <w:szCs w:val="13"/>
                <w:color w:val="auto"/>
              </w:rPr>
            </w:pPr>
          </w:p>
        </w:tc>
        <w:tc>
          <w:tcPr>
            <w:tcW w:w="102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3"/>
                <w:szCs w:val="13"/>
                <w:color w:val="auto"/>
              </w:rPr>
            </w:pPr>
          </w:p>
        </w:tc>
        <w:tc>
          <w:tcPr>
            <w:tcW w:w="110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2"/>
              </w:rPr>
              <w:t>5 Years</w:t>
            </w:r>
          </w:p>
        </w:tc>
        <w:tc>
          <w:tcPr>
            <w:tcW w:w="3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has elected to disclose derivative assets and liabilities on a trade-by-trade basis and does not offset amounts at the counterparty master agreement level. NRG, on behalf of the </w:t>
      </w:r>
      <w:r>
        <w:rPr>
          <w:rFonts w:ascii="Arial" w:cs="Arial" w:eastAsia="Arial" w:hAnsi="Arial"/>
          <w:sz w:val="18"/>
          <w:szCs w:val="18"/>
          <w:color w:val="000000"/>
        </w:rPr>
        <w:t>Company, measures the sensitivity of the portfolio to potential changes in market prices using VaR, a statistical model</w:t>
      </w:r>
      <w:r>
        <w:rPr>
          <w:rFonts w:ascii="Arial" w:cs="Arial" w:eastAsia="Arial" w:hAnsi="Arial"/>
          <w:sz w:val="18"/>
          <w:szCs w:val="18"/>
          <w:color w:val="231F20"/>
        </w:rPr>
        <w:t xml:space="preserve"> </w:t>
      </w:r>
      <w:r>
        <w:rPr>
          <w:rFonts w:ascii="Arial" w:cs="Arial" w:eastAsia="Arial" w:hAnsi="Arial"/>
          <w:sz w:val="18"/>
          <w:szCs w:val="18"/>
          <w:color w:val="000000"/>
        </w:rPr>
        <w:t>which attempts to predict risk of loss based on market price and volatility. NRG's risk management policy places a limit on one-day holding period VaR, which limits the net open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tests its long-lived assets for impairment whenever indicators of impairment exist. Certain of the Company’s projects have useful lives that extend well beyond the contract period and therefore, management’s view of long-term merchant power prices in the post-contract periods may have a significant impact on the expected future cash flows for these projects. The Company’s annual budget is utilized to determine the cash flows associated with the Company’s long-lived assets, which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2" w:right="2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incorporates various assumptions, including the Company’s long-term view of natural gas prices and its impact on merchant power prices and fuel costs. The Company’s annual budget process is finalized and approved by the Board of Directors in the fourth quarter. It is possible that the updated long term cash flows will not support the carrying value of certain assets, and the Company will be required to test such assets for impairment. During the preparation of the budget, the Company noted that management’s view of long term merchant power prices has decreased, and accordingly, it is possible that certain of the Company's long-lived assets will be impaired during the fourth quarter of 2017.</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6"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Item 3 has been omitted from this report pursuant to the reduced disclosure format permitted by General Instruction H(2) to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that occurred in the third quarter of 2017 that materially affected, or are reasonably likely to materially affect, the Company’s internal control over financial reporting.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42"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September 30, 2017, see Note 11,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2016 Form 10-K and Part II, Item 1A of the Company's Form 10-Q for the quarter ended June 30, 2017. There have been no material changes in the Company's risk factors since those reported in its 2016 Form 10-K and its Form 10-Q for the quarter ended June 30,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2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3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42"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 EXHIBITS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060" w:type="dxa"/>
            <w:vAlign w:val="bottom"/>
            <w:gridSpan w:val="5"/>
          </w:tcPr>
          <w:p>
            <w:pPr>
              <w:spacing w:after="0"/>
              <w:rPr>
                <w:sz w:val="20"/>
                <w:szCs w:val="20"/>
                <w:color w:val="auto"/>
              </w:rPr>
            </w:pPr>
            <w:r>
              <w:rPr>
                <w:rFonts w:ascii="Arial" w:cs="Arial" w:eastAsia="Arial" w:hAnsi="Arial"/>
                <w:sz w:val="16"/>
                <w:szCs w:val="16"/>
                <w:b w:val="1"/>
                <w:bCs w:val="1"/>
                <w:color w:val="auto"/>
              </w:rPr>
              <w:t>Description</w:t>
            </w:r>
          </w:p>
        </w:tc>
        <w:tc>
          <w:tcPr>
            <w:tcW w:w="2260" w:type="dxa"/>
            <w:vAlign w:val="bottom"/>
          </w:tcPr>
          <w:p>
            <w:pPr>
              <w:ind w:left="980"/>
              <w:spacing w:after="0"/>
              <w:rPr>
                <w:sz w:val="20"/>
                <w:szCs w:val="20"/>
                <w:color w:val="auto"/>
              </w:rPr>
            </w:pPr>
            <w:r>
              <w:rPr>
                <w:rFonts w:ascii="Arial" w:cs="Arial" w:eastAsia="Arial" w:hAnsi="Arial"/>
                <w:sz w:val="16"/>
                <w:szCs w:val="16"/>
                <w:b w:val="1"/>
                <w:bCs w:val="1"/>
                <w:color w:val="auto"/>
              </w:rPr>
              <w:t>Method of Filing</w:t>
            </w:r>
          </w:p>
        </w:tc>
      </w:tr>
      <w:tr>
        <w:trPr>
          <w:trHeight w:val="236"/>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60" w:type="dxa"/>
            <w:vAlign w:val="bottom"/>
          </w:tcPr>
          <w:p>
            <w:pPr>
              <w:spacing w:after="0"/>
              <w:rPr>
                <w:sz w:val="20"/>
                <w:szCs w:val="20"/>
                <w:color w:val="auto"/>
              </w:rPr>
            </w:pPr>
          </w:p>
        </w:tc>
        <w:tc>
          <w:tcPr>
            <w:tcW w:w="408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63">
              <w:r>
                <w:rPr>
                  <w:rFonts w:ascii="Arial" w:cs="Arial" w:eastAsia="Arial" w:hAnsi="Arial"/>
                  <w:sz w:val="16"/>
                  <w:szCs w:val="16"/>
                  <w:color w:val="0000FF"/>
                  <w:w w:val="92"/>
                </w:rPr>
                <w:t>Rule 13a-14(a)/15d-14(a) certification of Christopher S. Sotos.</w:t>
              </w:r>
            </w:hyperlink>
          </w:p>
        </w:tc>
        <w:tc>
          <w:tcPr>
            <w:tcW w:w="980" w:type="dxa"/>
            <w:vAlign w:val="bottom"/>
          </w:tcPr>
          <w:p>
            <w:pPr>
              <w:spacing w:after="0"/>
              <w:rPr>
                <w:sz w:val="20"/>
                <w:szCs w:val="20"/>
                <w:color w:val="auto"/>
              </w:rPr>
            </w:pP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60" w:type="dxa"/>
            <w:vAlign w:val="bottom"/>
          </w:tcPr>
          <w:p>
            <w:pPr>
              <w:spacing w:after="0"/>
              <w:rPr>
                <w:sz w:val="21"/>
                <w:szCs w:val="21"/>
                <w:color w:val="auto"/>
              </w:rPr>
            </w:pPr>
          </w:p>
        </w:tc>
        <w:tc>
          <w:tcPr>
            <w:tcW w:w="5060" w:type="dxa"/>
            <w:vAlign w:val="bottom"/>
            <w:gridSpan w:val="5"/>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Rule 13a-14(a)/15d-14(a) certification of Chad Plotkin.</w:t>
              </w:r>
            </w:hyperlink>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760" w:type="dxa"/>
            <w:vAlign w:val="bottom"/>
          </w:tcPr>
          <w:p>
            <w:pPr>
              <w:spacing w:after="0"/>
              <w:rPr>
                <w:sz w:val="21"/>
                <w:szCs w:val="21"/>
                <w:color w:val="auto"/>
              </w:rPr>
            </w:pPr>
          </w:p>
        </w:tc>
        <w:tc>
          <w:tcPr>
            <w:tcW w:w="3600" w:type="dxa"/>
            <w:vAlign w:val="bottom"/>
            <w:tcBorders>
              <w:bottom w:val="single" w:sz="8" w:color="0000FF"/>
            </w:tcBorders>
            <w:gridSpan w:val="3"/>
          </w:tcPr>
          <w:p>
            <w:pPr>
              <w:spacing w:after="0"/>
              <w:rPr>
                <w:rFonts w:ascii="Arial" w:cs="Arial" w:eastAsia="Arial" w:hAnsi="Arial"/>
                <w:sz w:val="16"/>
                <w:szCs w:val="16"/>
                <w:color w:val="0000FF"/>
                <w:w w:val="93"/>
              </w:rPr>
            </w:pPr>
            <w:hyperlink w:anchor="page65">
              <w:r>
                <w:rPr>
                  <w:rFonts w:ascii="Arial" w:cs="Arial" w:eastAsia="Arial" w:hAnsi="Arial"/>
                  <w:sz w:val="16"/>
                  <w:szCs w:val="16"/>
                  <w:color w:val="0000FF"/>
                  <w:w w:val="93"/>
                </w:rPr>
                <w:t>Rule 13a-14(a)/15d-14(a) certification of David Callen.</w:t>
              </w:r>
            </w:hyperlink>
          </w:p>
        </w:tc>
        <w:tc>
          <w:tcPr>
            <w:tcW w:w="1460" w:type="dxa"/>
            <w:vAlign w:val="bottom"/>
            <w:gridSpan w:val="2"/>
          </w:tcPr>
          <w:p>
            <w:pPr>
              <w:spacing w:after="0"/>
              <w:rPr>
                <w:sz w:val="21"/>
                <w:szCs w:val="21"/>
                <w:color w:val="auto"/>
              </w:rPr>
            </w:pP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60" w:type="dxa"/>
            <w:vAlign w:val="bottom"/>
          </w:tcPr>
          <w:p>
            <w:pPr>
              <w:spacing w:after="0"/>
              <w:rPr>
                <w:sz w:val="21"/>
                <w:szCs w:val="21"/>
                <w:color w:val="auto"/>
              </w:rPr>
            </w:pPr>
          </w:p>
        </w:tc>
        <w:tc>
          <w:tcPr>
            <w:tcW w:w="5060" w:type="dxa"/>
            <w:vAlign w:val="bottom"/>
            <w:gridSpan w:val="5"/>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Section 1350 Certification.</w:t>
              </w:r>
            </w:hyperlink>
          </w:p>
        </w:tc>
        <w:tc>
          <w:tcPr>
            <w:tcW w:w="2260" w:type="dxa"/>
            <w:vAlign w:val="bottom"/>
          </w:tcPr>
          <w:p>
            <w:pPr>
              <w:ind w:left="980"/>
              <w:spacing w:after="0"/>
              <w:rPr>
                <w:sz w:val="20"/>
                <w:szCs w:val="20"/>
                <w:color w:val="auto"/>
              </w:rPr>
            </w:pPr>
            <w:r>
              <w:rPr>
                <w:rFonts w:ascii="Arial" w:cs="Arial" w:eastAsia="Arial" w:hAnsi="Arial"/>
                <w:sz w:val="16"/>
                <w:szCs w:val="16"/>
                <w:color w:val="auto"/>
                <w:w w:val="89"/>
              </w:rPr>
              <w:t>Furnished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5"/>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INS</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Instance Document.</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SCH</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Schema.</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CAL</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Calculation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DEF</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LAB</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PRE</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19"/>
          </w:cols>
          <w:pgMar w:left="240" w:top="742"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LLC</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CHAD PLOTKIN</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Chad Plotkin</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November 2, 2017</w:t>
            </w: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680" w:type="dxa"/>
            <w:vAlign w:val="bottom"/>
          </w:tcPr>
          <w:p>
            <w:pPr>
              <w:spacing w:after="0"/>
              <w:rPr>
                <w:sz w:val="24"/>
                <w:szCs w:val="24"/>
                <w:color w:val="auto"/>
              </w:rPr>
            </w:pPr>
          </w:p>
        </w:tc>
        <w:tc>
          <w:tcPr>
            <w:tcW w:w="3000" w:type="dxa"/>
            <w:vAlign w:val="bottom"/>
          </w:tcPr>
          <w:p>
            <w:pPr>
              <w:jc w:val="right"/>
              <w:ind w:right="850"/>
              <w:spacing w:after="0"/>
              <w:rPr>
                <w:sz w:val="20"/>
                <w:szCs w:val="20"/>
                <w:color w:val="auto"/>
              </w:rPr>
            </w:pPr>
            <w:r>
              <w:rPr>
                <w:rFonts w:ascii="Arial" w:cs="Arial" w:eastAsia="Arial" w:hAnsi="Arial"/>
                <w:sz w:val="18"/>
                <w:szCs w:val="18"/>
                <w:color w:val="auto"/>
              </w:rPr>
              <w:t>61</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2" w:name="page63"/>
    <w:bookmarkEnd w:id="62"/>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1929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ectPr>
          <w:pgSz w:w="11900" w:h="16838" w:orient="portrait"/>
          <w:cols w:equalWidth="0" w:num="1">
            <w:col w:w="11420"/>
          </w:cols>
          <w:pgMar w:left="240" w:top="661" w:right="239" w:bottom="1440" w:gutter="0" w:footer="0" w:header="0"/>
        </w:sectPr>
      </w:pPr>
    </w:p>
    <w:bookmarkStart w:id="63" w:name="page64"/>
    <w:bookmarkEnd w:id="63"/>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ectPr>
          <w:pgSz w:w="11900" w:h="16838" w:orient="portrait"/>
          <w:cols w:equalWidth="0" w:num="1">
            <w:col w:w="11420"/>
          </w:cols>
          <w:pgMar w:left="240" w:top="661" w:right="239" w:bottom="1440" w:gutter="0" w:footer="0" w:header="0"/>
        </w:sectPr>
      </w:pPr>
    </w:p>
    <w:bookmarkStart w:id="64" w:name="page65"/>
    <w:bookmarkEnd w:id="64"/>
    <w:p>
      <w:pPr>
        <w:ind w:left="10280"/>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LLC on Form 10-Q for the quarter ended September 30, 2017,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decimal"/>
      <w:start w:val="18"/>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Roman"/>
      <w:start w:val="2"/>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2019-12-29T04:00:25Z</dcterms:created>
  <dcterms:modified xsi:type="dcterms:W3CDTF">2019-12-29T04:00:25Z</dcterms:modified>
</cp:coreProperties>
</file>