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Malcarney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03/01/2019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SVP, Gen Counsel and Corp Secr</w:t>
      </w:r>
    </w:p>
    <w:p>
      <w:pPr>
        <w:spacing w:after="0" w:line="413"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820" w:type="dxa"/>
            <w:vAlign w:val="bottom"/>
            <w:tcBorders>
              <w:bottom w:val="single" w:sz="8" w:color="9A9A9A"/>
            </w:tcBorders>
          </w:tcPr>
          <w:p>
            <w:pPr>
              <w:spacing w:after="0"/>
              <w:rPr>
                <w:sz w:val="16"/>
                <w:szCs w:val="16"/>
                <w:color w:val="auto"/>
              </w:rPr>
            </w:pPr>
          </w:p>
        </w:tc>
        <w:tc>
          <w:tcPr>
            <w:tcW w:w="3760" w:type="dxa"/>
            <w:vAlign w:val="bottom"/>
            <w:gridSpan w:val="5"/>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5"/>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ind w:left="380"/>
              <w:spacing w:after="0"/>
              <w:rPr>
                <w:sz w:val="20"/>
                <w:szCs w:val="20"/>
                <w:color w:val="auto"/>
              </w:rPr>
            </w:pPr>
            <w:r>
              <w:rPr>
                <w:rFonts w:ascii="Arial" w:cs="Arial" w:eastAsia="Arial" w:hAnsi="Arial"/>
                <w:sz w:val="14"/>
                <w:szCs w:val="14"/>
                <w:color w:val="auto"/>
              </w:rPr>
              <w:t>Line)</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740" w:type="dxa"/>
            <w:vAlign w:val="bottom"/>
            <w:gridSpan w:val="5"/>
            <w:vMerge w:val="restart"/>
          </w:tcPr>
          <w:p>
            <w:pPr>
              <w:ind w:left="5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PRINCETON</w:t>
            </w:r>
          </w:p>
        </w:tc>
        <w:tc>
          <w:tcPr>
            <w:tcW w:w="840" w:type="dxa"/>
            <w:vAlign w:val="bottom"/>
            <w:vMerge w:val="restart"/>
          </w:tcPr>
          <w:p>
            <w:pPr>
              <w:ind w:left="140"/>
              <w:spacing w:after="0"/>
              <w:rPr>
                <w:sz w:val="20"/>
                <w:szCs w:val="20"/>
                <w:color w:val="auto"/>
              </w:rPr>
            </w:pPr>
            <w:r>
              <w:rPr>
                <w:rFonts w:ascii="Arial" w:cs="Arial" w:eastAsia="Arial" w:hAnsi="Arial"/>
                <w:sz w:val="18"/>
                <w:szCs w:val="18"/>
                <w:color w:val="0000FF"/>
              </w:rPr>
              <w:t>NJ</w:t>
            </w:r>
          </w:p>
        </w:tc>
        <w:tc>
          <w:tcPr>
            <w:tcW w:w="1820" w:type="dxa"/>
            <w:vAlign w:val="bottom"/>
            <w:vMerge w:val="restart"/>
          </w:tcPr>
          <w:p>
            <w:pPr>
              <w:ind w:left="560"/>
              <w:spacing w:after="0"/>
              <w:rPr>
                <w:sz w:val="20"/>
                <w:szCs w:val="20"/>
                <w:color w:val="auto"/>
              </w:rPr>
            </w:pPr>
            <w:r>
              <w:rPr>
                <w:rFonts w:ascii="Arial" w:cs="Arial" w:eastAsia="Arial" w:hAnsi="Arial"/>
                <w:sz w:val="18"/>
                <w:szCs w:val="18"/>
                <w:color w:val="0000FF"/>
              </w:rPr>
              <w:t>08540</w:t>
            </w: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940" w:type="dxa"/>
            <w:vAlign w:val="bottom"/>
            <w:gridSpan w:val="4"/>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9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8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restart"/>
          </w:tcPr>
          <w:p>
            <w:pPr>
              <w:ind w:left="1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40" w:type="dxa"/>
            <w:vAlign w:val="bottom"/>
            <w:vMerge w:val="restart"/>
          </w:tcPr>
          <w:p>
            <w:pPr>
              <w:ind w:left="140"/>
              <w:spacing w:after="0"/>
              <w:rPr>
                <w:sz w:val="20"/>
                <w:szCs w:val="20"/>
                <w:color w:val="auto"/>
              </w:rPr>
            </w:pPr>
            <w:r>
              <w:rPr>
                <w:rFonts w:ascii="Arial" w:cs="Arial" w:eastAsia="Arial" w:hAnsi="Arial"/>
                <w:sz w:val="14"/>
                <w:szCs w:val="14"/>
                <w:color w:val="auto"/>
              </w:rPr>
              <w:t>(State)</w:t>
            </w:r>
          </w:p>
        </w:tc>
        <w:tc>
          <w:tcPr>
            <w:tcW w:w="23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30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00" w:type="dxa"/>
            <w:vAlign w:val="bottom"/>
            <w:gridSpan w:val="2"/>
          </w:tcPr>
          <w:p>
            <w:pPr>
              <w:ind w:left="12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gridSpan w:val="2"/>
          </w:tcPr>
          <w:p>
            <w:pPr>
              <w:ind w:left="12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300" w:type="dxa"/>
            <w:vAlign w:val="bottom"/>
            <w:gridSpan w:val="2"/>
          </w:tcPr>
          <w:p>
            <w:pPr>
              <w:ind w:left="12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80" w:right="760" w:hanging="86"/>
        <w:spacing w:after="0"/>
        <w:rPr>
          <w:sz w:val="20"/>
          <w:szCs w:val="20"/>
          <w:color w:val="auto"/>
        </w:rPr>
      </w:pPr>
      <w:r>
        <w:rPr>
          <w:sz w:val="1"/>
          <w:szCs w:val="1"/>
          <w:color w:val="auto"/>
        </w:rPr>
        <w:drawing>
          <wp:inline distT="0" distB="0" distL="0" distR="0">
            <wp:extent cx="34290" cy="1962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196215"/>
                    </a:xfrm>
                    <a:prstGeom prst="rect">
                      <a:avLst/>
                    </a:prstGeom>
                    <a:noFill/>
                    <a:ln>
                      <a:noFill/>
                    </a:ln>
                  </pic:spPr>
                </pic:pic>
              </a:graphicData>
            </a:graphic>
          </wp:inline>
        </w:drawing>
      </w:r>
      <w:r>
        <w:rPr>
          <w:rFonts w:ascii="Arial" w:cs="Arial" w:eastAsia="Arial" w:hAnsi="Arial"/>
          <w:sz w:val="18"/>
          <w:szCs w:val="18"/>
          <w:color w:val="0000FF"/>
        </w:rPr>
        <w:t xml:space="preserve"> Class C Common Stock, par value $.01 per </w:t>
      </w:r>
      <w:r>
        <w:rPr>
          <w:sz w:val="1"/>
          <w:szCs w:val="1"/>
          <w:color w:val="auto"/>
        </w:rPr>
        <w:drawing>
          <wp:inline distT="0" distB="0" distL="0" distR="0">
            <wp:extent cx="42545" cy="1962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196215"/>
                    </a:xfrm>
                    <a:prstGeom prst="rect">
                      <a:avLst/>
                    </a:prstGeom>
                    <a:noFill/>
                    <a:ln>
                      <a:noFill/>
                    </a:ln>
                  </pic:spPr>
                </pic:pic>
              </a:graphicData>
            </a:graphic>
          </wp:inline>
        </w:drawing>
      </w:r>
      <w:r>
        <w:rPr>
          <w:rFonts w:ascii="Arial" w:cs="Arial" w:eastAsia="Arial" w:hAnsi="Arial"/>
          <w:sz w:val="35"/>
          <w:szCs w:val="35"/>
          <w:color w:val="0000FF"/>
          <w:vertAlign w:val="subscript"/>
        </w:rPr>
        <w:t xml:space="preserve"> 03/01/2019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tabs>
          <w:tab w:leader="none" w:pos="900" w:val="left"/>
          <w:tab w:leader="none" w:pos="1640" w:val="left"/>
          <w:tab w:leader="none" w:pos="2280" w:val="left"/>
          <w:tab w:leader="none" w:pos="3020" w:val="left"/>
          <w:tab w:leader="none" w:pos="4320" w:val="left"/>
        </w:tabs>
        <w:rPr>
          <w:sz w:val="20"/>
          <w:szCs w:val="20"/>
          <w:color w:val="auto"/>
        </w:rPr>
      </w:pPr>
      <w:r>
        <w:rPr>
          <w:rFonts w:ascii="Arial" w:cs="Arial" w:eastAsia="Arial" w:hAnsi="Arial"/>
          <w:sz w:val="14"/>
          <w:szCs w:val="14"/>
          <w:color w:val="0000FF"/>
        </w:rPr>
        <w:t>A</w:t>
      </w:r>
      <w:r>
        <w:rPr>
          <w:sz w:val="20"/>
          <w:szCs w:val="20"/>
          <w:color w:val="auto"/>
        </w:rPr>
        <w:tab/>
      </w:r>
      <w:r>
        <w:rPr>
          <w:rFonts w:ascii="Arial" w:cs="Arial" w:eastAsia="Arial" w:hAnsi="Arial"/>
          <w:sz w:val="18"/>
          <w:szCs w:val="18"/>
          <w:color w:val="0000FF"/>
        </w:rPr>
        <w:t>434</w:t>
      </w:r>
      <w:r>
        <w:rPr>
          <w:sz w:val="20"/>
          <w:szCs w:val="20"/>
          <w:color w:val="auto"/>
        </w:rPr>
        <w:tab/>
      </w:r>
      <w:r>
        <w:rPr>
          <w:rFonts w:ascii="Arial" w:cs="Arial" w:eastAsia="Arial" w:hAnsi="Arial"/>
          <w:sz w:val="18"/>
          <w:szCs w:val="18"/>
          <w:color w:val="0000FF"/>
        </w:rPr>
        <w:t>A</w:t>
      </w:r>
      <w:r>
        <w:rPr>
          <w:sz w:val="20"/>
          <w:szCs w:val="20"/>
          <w:color w:val="auto"/>
        </w:rPr>
        <w:tab/>
      </w:r>
      <w:r>
        <w:rPr>
          <w:rFonts w:ascii="Arial" w:cs="Arial" w:eastAsia="Arial" w:hAnsi="Arial"/>
          <w:sz w:val="11"/>
          <w:szCs w:val="11"/>
          <w:color w:val="008000"/>
        </w:rPr>
        <w:t>(1)</w:t>
      </w:r>
      <w:r>
        <w:rPr>
          <w:sz w:val="20"/>
          <w:szCs w:val="20"/>
          <w:color w:val="auto"/>
        </w:rPr>
        <w:tab/>
      </w:r>
      <w:r>
        <w:rPr>
          <w:rFonts w:ascii="Arial" w:cs="Arial" w:eastAsia="Arial" w:hAnsi="Arial"/>
          <w:sz w:val="18"/>
          <w:szCs w:val="18"/>
          <w:color w:val="0000FF"/>
        </w:rPr>
        <w:t>31,996</w:t>
      </w:r>
      <w:r>
        <w:rPr>
          <w:rFonts w:ascii="Arial" w:cs="Arial" w:eastAsia="Arial" w:hAnsi="Arial"/>
          <w:sz w:val="22"/>
          <w:szCs w:val="22"/>
          <w:color w:val="008000"/>
          <w:vertAlign w:val="superscript"/>
        </w:rPr>
        <w:t>(2)</w:t>
      </w:r>
      <w:r>
        <w:rPr>
          <w:sz w:val="20"/>
          <w:szCs w:val="20"/>
          <w:color w:val="auto"/>
        </w:rPr>
        <w:tab/>
      </w:r>
      <w:r>
        <w:rPr>
          <w:rFonts w:ascii="Arial" w:cs="Arial" w:eastAsia="Arial" w:hAnsi="Arial"/>
          <w:sz w:val="18"/>
          <w:szCs w:val="18"/>
          <w:color w:val="0000FF"/>
        </w:rPr>
        <w:t>D</w:t>
      </w:r>
    </w:p>
    <w:p>
      <w:pPr>
        <w:spacing w:after="0" w:line="79" w:lineRule="exact"/>
        <w:rPr>
          <w:sz w:val="24"/>
          <w:szCs w:val="24"/>
          <w:color w:val="auto"/>
        </w:rPr>
      </w:pPr>
    </w:p>
    <w:p>
      <w:pPr>
        <w:sectPr>
          <w:pgSz w:w="11900" w:h="16838" w:orient="portrait"/>
          <w:cols w:equalWidth="0" w:num="2">
            <w:col w:w="5000" w:space="720"/>
            <w:col w:w="5700"/>
          </w:cols>
          <w:pgMar w:left="240" w:top="226" w:right="239" w:bottom="1440" w:gutter="0" w:footer="0" w:header="0"/>
          <w:type w:val="continuous"/>
        </w:sectPr>
      </w:pPr>
    </w:p>
    <w:p>
      <w:pPr>
        <w:ind w:left="80" w:right="780" w:hanging="86"/>
        <w:spacing w:after="0"/>
        <w:rPr>
          <w:sz w:val="20"/>
          <w:szCs w:val="20"/>
          <w:color w:val="auto"/>
        </w:rPr>
      </w:pPr>
      <w:r>
        <w:rPr>
          <w:sz w:val="1"/>
          <w:szCs w:val="1"/>
          <w:color w:val="auto"/>
        </w:rPr>
        <w:drawing>
          <wp:inline distT="0" distB="0" distL="0" distR="0">
            <wp:extent cx="34290" cy="1962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290" cy="196215"/>
                    </a:xfrm>
                    <a:prstGeom prst="rect">
                      <a:avLst/>
                    </a:prstGeom>
                    <a:noFill/>
                    <a:ln>
                      <a:noFill/>
                    </a:ln>
                  </pic:spPr>
                </pic:pic>
              </a:graphicData>
            </a:graphic>
          </wp:inline>
        </w:drawing>
      </w:r>
      <w:r>
        <w:rPr>
          <w:rFonts w:ascii="Arial" w:cs="Arial" w:eastAsia="Arial" w:hAnsi="Arial"/>
          <w:sz w:val="18"/>
          <w:szCs w:val="18"/>
          <w:color w:val="0000FF"/>
        </w:rPr>
        <w:t xml:space="preserve"> Class C Common Stock, par value $.01 per </w:t>
      </w:r>
      <w:r>
        <w:rPr>
          <w:sz w:val="1"/>
          <w:szCs w:val="1"/>
          <w:color w:val="auto"/>
        </w:rPr>
        <w:drawing>
          <wp:inline distT="0" distB="0" distL="0" distR="0">
            <wp:extent cx="42545" cy="1962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196215"/>
                    </a:xfrm>
                    <a:prstGeom prst="rect">
                      <a:avLst/>
                    </a:prstGeom>
                    <a:noFill/>
                    <a:ln>
                      <a:noFill/>
                    </a:ln>
                  </pic:spPr>
                </pic:pic>
              </a:graphicData>
            </a:graphic>
          </wp:inline>
        </w:drawing>
      </w:r>
      <w:r>
        <w:rPr>
          <w:rFonts w:ascii="Arial" w:cs="Arial" w:eastAsia="Arial" w:hAnsi="Arial"/>
          <w:sz w:val="35"/>
          <w:szCs w:val="35"/>
          <w:color w:val="0000FF"/>
          <w:vertAlign w:val="subscript"/>
        </w:rPr>
        <w:t xml:space="preserve"> 03/04/2019 share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tabs>
          <w:tab w:leader="none" w:pos="780" w:val="left"/>
          <w:tab w:leader="none" w:pos="1620" w:val="left"/>
          <w:tab w:leader="none" w:pos="2020" w:val="left"/>
          <w:tab w:leader="none" w:pos="3060" w:val="left"/>
          <w:tab w:leader="none" w:pos="4300" w:val="left"/>
        </w:tabs>
        <w:rPr>
          <w:sz w:val="20"/>
          <w:szCs w:val="20"/>
          <w:color w:val="auto"/>
        </w:rPr>
      </w:pPr>
      <w:r>
        <w:rPr>
          <w:rFonts w:ascii="Arial" w:cs="Arial" w:eastAsia="Arial" w:hAnsi="Arial"/>
          <w:sz w:val="14"/>
          <w:szCs w:val="14"/>
          <w:color w:val="0000FF"/>
        </w:rPr>
        <w:t>P</w:t>
      </w:r>
      <w:r>
        <w:rPr>
          <w:sz w:val="20"/>
          <w:szCs w:val="20"/>
          <w:color w:val="auto"/>
        </w:rPr>
        <w:tab/>
      </w:r>
      <w:r>
        <w:rPr>
          <w:rFonts w:ascii="Arial" w:cs="Arial" w:eastAsia="Arial" w:hAnsi="Arial"/>
          <w:sz w:val="18"/>
          <w:szCs w:val="18"/>
          <w:color w:val="0000FF"/>
        </w:rPr>
        <w:t>10,250</w:t>
      </w:r>
      <w:r>
        <w:rPr>
          <w:sz w:val="20"/>
          <w:szCs w:val="20"/>
          <w:color w:val="auto"/>
        </w:rPr>
        <w:tab/>
      </w:r>
      <w:r>
        <w:rPr>
          <w:rFonts w:ascii="Arial" w:cs="Arial" w:eastAsia="Arial" w:hAnsi="Arial"/>
          <w:sz w:val="18"/>
          <w:szCs w:val="18"/>
          <w:color w:val="0000FF"/>
        </w:rPr>
        <w:t>A</w:t>
      </w:r>
      <w:r>
        <w:rPr>
          <w:sz w:val="20"/>
          <w:szCs w:val="20"/>
          <w:color w:val="auto"/>
        </w:rPr>
        <w:tab/>
      </w:r>
      <w:r>
        <w:rPr>
          <w:rFonts w:ascii="Arial" w:cs="Arial" w:eastAsia="Arial" w:hAnsi="Arial"/>
          <w:sz w:val="18"/>
          <w:szCs w:val="18"/>
          <w:color w:val="auto"/>
        </w:rPr>
        <w:t>$</w:t>
      </w:r>
      <w:r>
        <w:rPr>
          <w:rFonts w:ascii="Arial" w:cs="Arial" w:eastAsia="Arial" w:hAnsi="Arial"/>
          <w:sz w:val="18"/>
          <w:szCs w:val="18"/>
          <w:color w:val="0000FF"/>
        </w:rPr>
        <w:t>14.58</w:t>
      </w:r>
      <w:r>
        <w:rPr>
          <w:rFonts w:ascii="Arial" w:cs="Arial" w:eastAsia="Arial" w:hAnsi="Arial"/>
          <w:sz w:val="22"/>
          <w:szCs w:val="22"/>
          <w:color w:val="008000"/>
          <w:vertAlign w:val="superscript"/>
        </w:rPr>
        <w:t>(3)</w:t>
      </w:r>
      <w:r>
        <w:rPr>
          <w:sz w:val="20"/>
          <w:szCs w:val="20"/>
          <w:color w:val="auto"/>
        </w:rPr>
        <w:tab/>
      </w:r>
      <w:r>
        <w:rPr>
          <w:rFonts w:ascii="Arial" w:cs="Arial" w:eastAsia="Arial" w:hAnsi="Arial"/>
          <w:sz w:val="18"/>
          <w:szCs w:val="18"/>
          <w:color w:val="0000FF"/>
        </w:rPr>
        <w:t>42,246</w:t>
      </w:r>
      <w:r>
        <w:rPr>
          <w:sz w:val="20"/>
          <w:szCs w:val="20"/>
          <w:color w:val="auto"/>
        </w:rPr>
        <w:tab/>
      </w:r>
      <w:r>
        <w:rPr>
          <w:rFonts w:ascii="Arial" w:cs="Arial" w:eastAsia="Arial" w:hAnsi="Arial"/>
          <w:sz w:val="18"/>
          <w:szCs w:val="18"/>
          <w:color w:val="0000FF"/>
        </w:rPr>
        <w:t>D</w:t>
      </w:r>
    </w:p>
    <w:p>
      <w:pPr>
        <w:spacing w:after="0" w:line="222" w:lineRule="exact"/>
        <w:rPr>
          <w:sz w:val="24"/>
          <w:szCs w:val="24"/>
          <w:color w:val="auto"/>
        </w:rPr>
      </w:pPr>
    </w:p>
    <w:p>
      <w:pPr>
        <w:sectPr>
          <w:pgSz w:w="11900" w:h="16838" w:orient="portrait"/>
          <w:cols w:equalWidth="0" w:num="2">
            <w:col w:w="5020" w:space="720"/>
            <w:col w:w="568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becomeexercisable proportionately with the RSUs and RPSUs to which they relate and may only be settled in Class C Common Stock of Clearway Energy, Inc. as determined by the RSU orRPSU to which they relate.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1,190 dividend equivalent rights that may only be settled in Class C Common Stock.</w:t>
      </w:r>
    </w:p>
    <w:p>
      <w:pPr>
        <w:spacing w:after="0" w:line="41" w:lineRule="exact"/>
        <w:rPr>
          <w:rFonts w:ascii="Arial" w:cs="Arial" w:eastAsia="Arial" w:hAnsi="Arial"/>
          <w:sz w:val="14"/>
          <w:szCs w:val="14"/>
          <w:color w:val="008000"/>
        </w:rPr>
      </w:pPr>
    </w:p>
    <w:p>
      <w:pPr>
        <w:ind w:left="40" w:right="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$14.555 to $14.650. The price reported above reflects the weighted average purchase price. The Reporting Person hereby undertakes to provide upon request to the SEC staff, the issuer or a security 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 Kevin P. Malcarney</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03/05/2019</w:t>
            </w: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859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2019-12-23T22:35:35Z</dcterms:created>
  <dcterms:modified xsi:type="dcterms:W3CDTF">2019-12-23T22:35:35Z</dcterms:modified>
</cp:coreProperties>
</file>