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ind w:left="500" w:right="3900" w:hanging="242"/>
        <w:spacing w:after="0" w:line="423"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07" w:lineRule="exact"/>
        <w:rPr>
          <w:rFonts w:ascii="MS PGothic" w:cs="MS PGothic" w:eastAsia="MS PGothic" w:hAnsi="MS PGothic"/>
          <w:sz w:val="18"/>
          <w:szCs w:val="18"/>
          <w:color w:val="auto"/>
        </w:rPr>
      </w:pPr>
    </w:p>
    <w:p>
      <w:pPr>
        <w:ind w:left="4160" w:right="3840" w:hanging="3869"/>
        <w:spacing w:after="0" w:line="573" w:lineRule="auto"/>
        <w:tabs>
          <w:tab w:leader="none" w:pos="67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(Exact name of registrant as specified in its charter)</w:t>
            </w:r>
          </w:p>
        </w:tc>
        <w:tc>
          <w:tcPr>
            <w:tcW w:w="1840" w:type="dxa"/>
            <w:vAlign w:val="bottom"/>
          </w:tcPr>
          <w:p>
            <w:pPr>
              <w:spacing w:after="0"/>
              <w:rPr>
                <w:sz w:val="20"/>
                <w:szCs w:val="20"/>
                <w:color w:val="auto"/>
              </w:rPr>
            </w:pPr>
          </w:p>
        </w:tc>
      </w:tr>
      <w:tr>
        <w:trPr>
          <w:trHeight w:val="25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56"/>
        </w:trPr>
        <w:tc>
          <w:tcPr>
            <w:tcW w:w="2720" w:type="dxa"/>
            <w:vAlign w:val="bottom"/>
          </w:tcPr>
          <w:p>
            <w:pPr>
              <w:jc w:val="center"/>
              <w:ind w:right="250"/>
              <w:spacing w:after="0"/>
              <w:rPr>
                <w:sz w:val="20"/>
                <w:szCs w:val="20"/>
                <w:color w:val="auto"/>
              </w:rPr>
            </w:pPr>
            <w:r>
              <w:rPr>
                <w:rFonts w:ascii="Arial" w:cs="Arial" w:eastAsia="Arial" w:hAnsi="Arial"/>
                <w:sz w:val="18"/>
                <w:szCs w:val="18"/>
                <w:color w:val="auto"/>
                <w:w w:val="92"/>
              </w:rPr>
              <w:t>(State or other jurisdiction</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2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300 Carnegie Center, Suite 300</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Princeton</w:t>
            </w:r>
          </w:p>
        </w:tc>
        <w:tc>
          <w:tcPr>
            <w:tcW w:w="2540" w:type="dxa"/>
            <w:vAlign w:val="bottom"/>
          </w:tcPr>
          <w:p>
            <w:pPr>
              <w:ind w:left="420"/>
              <w:spacing w:after="0"/>
              <w:rPr>
                <w:sz w:val="20"/>
                <w:szCs w:val="20"/>
                <w:color w:val="auto"/>
              </w:rPr>
            </w:pPr>
            <w:r>
              <w:rPr>
                <w:rFonts w:ascii="Arial" w:cs="Arial" w:eastAsia="Arial" w:hAnsi="Arial"/>
                <w:sz w:val="18"/>
                <w:szCs w:val="18"/>
                <w:b w:val="1"/>
                <w:bCs w:val="1"/>
                <w:color w:val="auto"/>
              </w:rPr>
              <w:t>New Jersey</w:t>
            </w: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08540</w:t>
            </w:r>
          </w:p>
        </w:tc>
      </w:tr>
      <w:tr>
        <w:trPr>
          <w:trHeight w:val="270"/>
        </w:trPr>
        <w:tc>
          <w:tcPr>
            <w:tcW w:w="4740" w:type="dxa"/>
            <w:vAlign w:val="bottom"/>
            <w:gridSpan w:val="2"/>
          </w:tcPr>
          <w:p>
            <w:pPr>
              <w:ind w:left="1460"/>
              <w:spacing w:after="0"/>
              <w:rPr>
                <w:sz w:val="20"/>
                <w:szCs w:val="20"/>
                <w:color w:val="auto"/>
              </w:rPr>
            </w:pPr>
            <w:r>
              <w:rPr>
                <w:rFonts w:ascii="Arial" w:cs="Arial" w:eastAsia="Arial" w:hAnsi="Arial"/>
                <w:sz w:val="18"/>
                <w:szCs w:val="18"/>
                <w:color w:val="auto"/>
              </w:rPr>
              <w:t>(Address of principal executive offices)</w:t>
            </w:r>
          </w:p>
        </w:tc>
        <w:tc>
          <w:tcPr>
            <w:tcW w:w="2540" w:type="dxa"/>
            <w:vAlign w:val="bottom"/>
          </w:tcPr>
          <w:p>
            <w:pPr>
              <w:spacing w:after="0"/>
              <w:rPr>
                <w:sz w:val="23"/>
                <w:szCs w:val="23"/>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83"/>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01" w:lineRule="exact"/>
        <w:rPr>
          <w:sz w:val="24"/>
          <w:szCs w:val="24"/>
          <w:color w:val="auto"/>
        </w:rPr>
      </w:pPr>
    </w:p>
    <w:p>
      <w:pPr>
        <w:jc w:val="both"/>
        <w:ind w:firstLine="283"/>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0" w:lineRule="exact"/>
        <w:rPr>
          <w:sz w:val="24"/>
          <w:szCs w:val="24"/>
          <w:color w:val="auto"/>
        </w:rPr>
      </w:pPr>
    </w:p>
    <w:p>
      <w:pPr>
        <w:jc w:val="both"/>
        <w:ind w:firstLine="283"/>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2"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6" w:lineRule="exact"/>
        <w:rPr>
          <w:sz w:val="24"/>
          <w:szCs w:val="24"/>
          <w:color w:val="auto"/>
        </w:rPr>
      </w:pPr>
    </w:p>
    <w:p>
      <w:pPr>
        <w:ind w:firstLine="283"/>
        <w:spacing w:after="0" w:line="275" w:lineRule="auto"/>
        <w:rPr>
          <w:sz w:val="20"/>
          <w:szCs w:val="20"/>
          <w:color w:val="auto"/>
        </w:rPr>
      </w:pPr>
      <w:r>
        <w:rPr>
          <w:rFonts w:ascii="Arial" w:cs="Arial" w:eastAsia="Arial" w:hAnsi="Arial"/>
          <w:sz w:val="16"/>
          <w:szCs w:val="16"/>
          <w:color w:val="auto"/>
        </w:rPr>
        <w:t>As of July 31, 2020, there were 34,599,645 Class A units outstanding, 42,738,750 Class B units outstanding, 80,602,613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080" w:type="dxa"/>
            <w:vAlign w:val="bottom"/>
            <w:gridSpan w:val="4"/>
          </w:tcPr>
          <w:p>
            <w:pPr>
              <w:spacing w:after="0"/>
              <w:rPr>
                <w:sz w:val="17"/>
                <w:szCs w:val="17"/>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9"/>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GLOSSARY OF TERMS</w:t>
            </w:r>
          </w:p>
        </w:tc>
        <w:tc>
          <w:tcPr>
            <w:tcW w:w="12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40" w:type="dxa"/>
            <w:vAlign w:val="bottom"/>
            <w:gridSpan w:val="8"/>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FINANCIAL STATEMENTS AND NOTES</w:t>
            </w:r>
          </w:p>
        </w:tc>
        <w:tc>
          <w:tcPr>
            <w:tcW w:w="12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280" w:type="dxa"/>
            <w:vAlign w:val="bottom"/>
            <w:vMerge w:val="restart"/>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OPERATIONS</w:t>
            </w:r>
          </w:p>
        </w:tc>
        <w:tc>
          <w:tcPr>
            <w:tcW w:w="10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00" w:type="dxa"/>
            <w:vAlign w:val="bottom"/>
            <w:gridSpan w:val="2"/>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5"/>
              </w:rPr>
              <w:t>ITEM 4 — CONTROLS AND PROCEDURES</w:t>
            </w:r>
          </w:p>
        </w:tc>
        <w:tc>
          <w:tcPr>
            <w:tcW w:w="6240" w:type="dxa"/>
            <w:vAlign w:val="bottom"/>
            <w:gridSpan w:val="6"/>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75</w:t>
              </w:r>
            </w:hyperlink>
          </w:p>
        </w:tc>
        <w:tc>
          <w:tcPr>
            <w:tcW w:w="0" w:type="dxa"/>
            <w:vAlign w:val="bottom"/>
          </w:tcPr>
          <w:p>
            <w:pPr>
              <w:spacing w:after="0"/>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6940" w:type="dxa"/>
            <w:vAlign w:val="bottom"/>
            <w:gridSpan w:val="9"/>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6980" w:type="dxa"/>
            <w:vAlign w:val="bottom"/>
            <w:gridSpan w:val="11"/>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2780" w:type="dxa"/>
            <w:vAlign w:val="bottom"/>
            <w:gridSpan w:val="3"/>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5"/>
              </w:rPr>
              <w:t>— MINE SAFETY DISCLOSURES</w:t>
            </w:r>
          </w:p>
        </w:tc>
        <w:tc>
          <w:tcPr>
            <w:tcW w:w="6400" w:type="dxa"/>
            <w:vAlign w:val="bottom"/>
            <w:gridSpan w:val="7"/>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6960" w:type="dxa"/>
            <w:vAlign w:val="bottom"/>
            <w:gridSpan w:val="10"/>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8"/>
              </w:rPr>
              <w:t>— EXHIBITS</w:t>
            </w:r>
          </w:p>
        </w:tc>
        <w:tc>
          <w:tcPr>
            <w:tcW w:w="8020" w:type="dxa"/>
            <w:vAlign w:val="bottom"/>
            <w:gridSpan w:val="15"/>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128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1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this Quarterly Report on Form 10-Q,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the Company's Quarterly Report on Form 10-Q for the fiscal quarter ended March 31, 2020 and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 of the Company's Annual Report on Form 10-K for the year ended December 31, 2019, as well as the following:</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risks related to the Company's relationships with GIP and CEG, including the Company's ability to acquire assets from GIP or CEG;</w:t>
      </w:r>
    </w:p>
    <w:p>
      <w:pPr>
        <w:spacing w:after="0" w:line="6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500" w:type="dxa"/>
            <w:vAlign w:val="bottom"/>
          </w:tcPr>
          <w:p>
            <w:pPr>
              <w:ind w:left="190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2019 Form 10-K</w:t>
            </w:r>
          </w:p>
        </w:tc>
        <w:tc>
          <w:tcPr>
            <w:tcW w:w="8500" w:type="dxa"/>
            <w:vAlign w:val="bottom"/>
            <w:vMerge w:val="restart"/>
          </w:tcPr>
          <w:p>
            <w:pPr>
              <w:ind w:left="260"/>
              <w:spacing w:after="0"/>
              <w:rPr>
                <w:sz w:val="20"/>
                <w:szCs w:val="20"/>
                <w:color w:val="auto"/>
              </w:rPr>
            </w:pPr>
            <w:r>
              <w:rPr>
                <w:rFonts w:ascii="Arial" w:cs="Arial" w:eastAsia="Arial" w:hAnsi="Arial"/>
                <w:sz w:val="18"/>
                <w:szCs w:val="18"/>
                <w:color w:val="auto"/>
              </w:rPr>
              <w:t>Clearway Energy LLC's Annual Report on Form 10-K for the year ended December 31, 2019</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740" w:type="dxa"/>
            <w:vAlign w:val="bottom"/>
          </w:tcPr>
          <w:p>
            <w:pPr>
              <w:ind w:left="20"/>
              <w:spacing w:after="0"/>
              <w:rPr>
                <w:sz w:val="20"/>
                <w:szCs w:val="20"/>
                <w:color w:val="auto"/>
              </w:rPr>
            </w:pPr>
            <w:r>
              <w:rPr>
                <w:rFonts w:ascii="Arial" w:cs="Arial" w:eastAsia="Arial" w:hAnsi="Arial"/>
                <w:sz w:val="18"/>
                <w:szCs w:val="18"/>
                <w:color w:val="auto"/>
              </w:rPr>
              <w:t>2020 Convertible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which were repaid on June 1, 2020</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2024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2028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AOCI</w:t>
            </w:r>
          </w:p>
        </w:tc>
        <w:tc>
          <w:tcPr>
            <w:tcW w:w="8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391"/>
        </w:trPr>
        <w:tc>
          <w:tcPr>
            <w:tcW w:w="2740" w:type="dxa"/>
            <w:vAlign w:val="bottom"/>
          </w:tcPr>
          <w:p>
            <w:pPr>
              <w:ind w:left="20"/>
              <w:spacing w:after="0"/>
              <w:rPr>
                <w:sz w:val="20"/>
                <w:szCs w:val="20"/>
                <w:color w:val="auto"/>
              </w:rPr>
            </w:pPr>
            <w:r>
              <w:rPr>
                <w:rFonts w:ascii="Arial" w:cs="Arial" w:eastAsia="Arial" w:hAnsi="Arial"/>
                <w:sz w:val="18"/>
                <w:szCs w:val="18"/>
                <w:color w:val="auto"/>
              </w:rPr>
              <w:t>ASC</w:t>
            </w:r>
          </w:p>
        </w:tc>
        <w:tc>
          <w:tcPr>
            <w:tcW w:w="8500" w:type="dxa"/>
            <w:vAlign w:val="bottom"/>
          </w:tcPr>
          <w:p>
            <w:pPr>
              <w:ind w:left="2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ASU</w:t>
            </w:r>
          </w:p>
        </w:tc>
        <w:tc>
          <w:tcPr>
            <w:tcW w:w="8500" w:type="dxa"/>
            <w:vAlign w:val="bottom"/>
          </w:tcPr>
          <w:p>
            <w:pPr>
              <w:ind w:left="26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00" w:type="dxa"/>
            <w:vAlign w:val="bottom"/>
          </w:tcPr>
          <w:p>
            <w:pPr>
              <w:ind w:left="26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500" w:type="dxa"/>
            <w:vAlign w:val="bottom"/>
          </w:tcPr>
          <w:p>
            <w:pPr>
              <w:ind w:left="26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500" w:type="dxa"/>
            <w:vAlign w:val="bottom"/>
          </w:tcPr>
          <w:p>
            <w:pPr>
              <w:ind w:left="26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CAFD</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A non-GAAP measure, Cash Available for Distribution is defined as of June 30, 2020 as Adjusted EBITDA plus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2"/>
              </w:rPr>
              <w:t>cash distributions/return of investment from unconsolidated affiliates, adjustments to reflect CAFD generated by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2"/>
              </w:rPr>
              <w:t>unconsolidated investments that were not able to distribute project dividends due to the PG&amp;E Bankruptcy as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4"/>
              </w:rPr>
              <w:t>June 30, 2020, cash receipts from notes receivable, cash distributions from noncontrolling interests, less cash</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7"/>
              </w:rPr>
              <w:t>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unconsolidated affiliates, cash interest paid, income taxes paid, principal amortization of indebtedness, Walnut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rPr>
              <w:t>Creek investment payments, and changes in prepaid and accrued capacity payments, and adjusted for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development expenses</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CEG</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w w:val="98"/>
              </w:rPr>
              <w:t>CEG Master Services Agreements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B and Class D units of the Company, and Clearway Energy, Inc., the holder of the Class A and Class C units</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Group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00" w:type="dxa"/>
            <w:vAlign w:val="bottom"/>
          </w:tcPr>
          <w:p>
            <w:pPr>
              <w:ind w:left="26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COD</w:t>
            </w:r>
          </w:p>
        </w:tc>
        <w:tc>
          <w:tcPr>
            <w:tcW w:w="8500" w:type="dxa"/>
            <w:vAlign w:val="bottom"/>
          </w:tcPr>
          <w:p>
            <w:pPr>
              <w:ind w:left="26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Company</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w:t>
            </w:r>
          </w:p>
        </w:tc>
        <w:tc>
          <w:tcPr>
            <w:tcW w:w="8500" w:type="dxa"/>
            <w:vAlign w:val="bottom"/>
          </w:tcPr>
          <w:p>
            <w:pPr>
              <w:ind w:left="26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00" w:type="dxa"/>
            <w:vAlign w:val="bottom"/>
          </w:tcPr>
          <w:p>
            <w:pPr>
              <w:ind w:left="26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904"/>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340"/>
              <w:spacing w:after="0"/>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the period ended August 31, 2018 and from CEG from August 31, 2018 through the period ending June 30, 2020</w:t>
            </w:r>
          </w:p>
        </w:tc>
        <w:tc>
          <w:tcPr>
            <w:tcW w:w="0" w:type="dxa"/>
            <w:vAlign w:val="bottom"/>
          </w:tcPr>
          <w:p>
            <w:pPr>
              <w:spacing w:after="0"/>
              <w:rPr>
                <w:sz w:val="1"/>
                <w:szCs w:val="1"/>
                <w:color w:val="auto"/>
              </w:rPr>
            </w:pPr>
          </w:p>
        </w:tc>
      </w:tr>
      <w:tr>
        <w:trPr>
          <w:trHeight w:val="288"/>
        </w:trPr>
        <w:tc>
          <w:tcPr>
            <w:tcW w:w="2660" w:type="dxa"/>
            <w:vAlign w:val="bottom"/>
          </w:tcPr>
          <w:p>
            <w:pPr>
              <w:ind w:left="20"/>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340"/>
              <w:spacing w:after="0"/>
              <w:rPr>
                <w:sz w:val="20"/>
                <w:szCs w:val="20"/>
                <w:color w:val="auto"/>
              </w:rPr>
            </w:pPr>
            <w:r>
              <w:rPr>
                <w:rFonts w:ascii="Arial" w:cs="Arial" w:eastAsia="Arial" w:hAnsi="Arial"/>
                <w:sz w:val="20"/>
                <w:szCs w:val="20"/>
                <w:color w:val="auto"/>
              </w:rPr>
              <w:t>A non-GAAP measure, energy and capacity revenue less cost of fuels</w:t>
            </w:r>
          </w:p>
        </w:tc>
        <w:tc>
          <w:tcPr>
            <w:tcW w:w="0" w:type="dxa"/>
            <w:vAlign w:val="bottom"/>
          </w:tcPr>
          <w:p>
            <w:pPr>
              <w:spacing w:after="0"/>
              <w:rPr>
                <w:sz w:val="1"/>
                <w:szCs w:val="1"/>
                <w:color w:val="auto"/>
              </w:rPr>
            </w:pPr>
          </w:p>
        </w:tc>
      </w:tr>
      <w:tr>
        <w:trPr>
          <w:trHeight w:val="266"/>
        </w:trPr>
        <w:tc>
          <w:tcPr>
            <w:tcW w:w="2660" w:type="dxa"/>
            <w:vAlign w:val="bottom"/>
          </w:tcPr>
          <w:p>
            <w:pPr>
              <w:ind w:left="20"/>
              <w:spacing w:after="0"/>
              <w:rPr>
                <w:sz w:val="20"/>
                <w:szCs w:val="20"/>
                <w:color w:val="auto"/>
              </w:rPr>
            </w:pPr>
            <w:r>
              <w:rPr>
                <w:rFonts w:ascii="Arial" w:cs="Arial" w:eastAsia="Arial" w:hAnsi="Arial"/>
                <w:sz w:val="18"/>
                <w:szCs w:val="18"/>
                <w:color w:val="auto"/>
              </w:rPr>
              <w:t>ECP</w:t>
            </w:r>
          </w:p>
        </w:tc>
        <w:tc>
          <w:tcPr>
            <w:tcW w:w="8580" w:type="dxa"/>
            <w:vAlign w:val="bottom"/>
          </w:tcPr>
          <w:p>
            <w:pPr>
              <w:ind w:left="3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EPA</w:t>
            </w:r>
          </w:p>
        </w:tc>
        <w:tc>
          <w:tcPr>
            <w:tcW w:w="8580" w:type="dxa"/>
            <w:vAlign w:val="bottom"/>
          </w:tcPr>
          <w:p>
            <w:pPr>
              <w:ind w:left="34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3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GenConn</w:t>
            </w:r>
          </w:p>
        </w:tc>
        <w:tc>
          <w:tcPr>
            <w:tcW w:w="8580" w:type="dxa"/>
            <w:vAlign w:val="bottom"/>
          </w:tcPr>
          <w:p>
            <w:pPr>
              <w:ind w:left="3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GIP</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GIP Transaction</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4"/>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3"/>
              </w:rPr>
              <w:t>a 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HLBV</w:t>
            </w:r>
          </w:p>
        </w:tc>
        <w:tc>
          <w:tcPr>
            <w:tcW w:w="8580" w:type="dxa"/>
            <w:vAlign w:val="bottom"/>
          </w:tcPr>
          <w:p>
            <w:pPr>
              <w:ind w:left="3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(i) Agua Caliente Borrower 2 LLC, which owns a 16% interest (approximately 31% of NRG's 51% interest) 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Agua Caliente solar farm and (ii) NRG's 100% ownership in the Class A equity interests in the Utah Solar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Portfolio (defined below), both acquired by the Company on March 27, 2017</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MMBtu</w:t>
            </w:r>
          </w:p>
        </w:tc>
        <w:tc>
          <w:tcPr>
            <w:tcW w:w="858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MWh</w:t>
            </w:r>
          </w:p>
        </w:tc>
        <w:tc>
          <w:tcPr>
            <w:tcW w:w="858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MWt</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NOLs</w:t>
            </w:r>
          </w:p>
        </w:tc>
        <w:tc>
          <w:tcPr>
            <w:tcW w:w="858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NPPD</w:t>
            </w:r>
          </w:p>
        </w:tc>
        <w:tc>
          <w:tcPr>
            <w:tcW w:w="8580" w:type="dxa"/>
            <w:vAlign w:val="bottom"/>
          </w:tcPr>
          <w:p>
            <w:pPr>
              <w:ind w:left="34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w:t>
            </w:r>
          </w:p>
        </w:tc>
        <w:tc>
          <w:tcPr>
            <w:tcW w:w="858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 TSA</w:t>
            </w:r>
          </w:p>
        </w:tc>
        <w:tc>
          <w:tcPr>
            <w:tcW w:w="8580" w:type="dxa"/>
            <w:vAlign w:val="bottom"/>
          </w:tcPr>
          <w:p>
            <w:pPr>
              <w:ind w:left="340"/>
              <w:spacing w:after="0"/>
              <w:rPr>
                <w:sz w:val="20"/>
                <w:szCs w:val="20"/>
                <w:color w:val="auto"/>
              </w:rPr>
            </w:pPr>
            <w:r>
              <w:rPr>
                <w:rFonts w:ascii="Arial" w:cs="Arial" w:eastAsia="Arial" w:hAnsi="Arial"/>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OCL</w:t>
            </w:r>
          </w:p>
        </w:tc>
        <w:tc>
          <w:tcPr>
            <w:tcW w:w="858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O&amp;M</w:t>
            </w:r>
          </w:p>
        </w:tc>
        <w:tc>
          <w:tcPr>
            <w:tcW w:w="8580" w:type="dxa"/>
            <w:vAlign w:val="bottom"/>
          </w:tcPr>
          <w:p>
            <w:pPr>
              <w:ind w:left="34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PG&amp;E</w:t>
            </w:r>
          </w:p>
        </w:tc>
        <w:tc>
          <w:tcPr>
            <w:tcW w:w="858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PG&amp;E Bankruptcy</w:t>
            </w: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relief under the Bankruptcy Code in the Bankruptcy Court. On July 1, 2020, PG&amp;E emerged from bankruptcy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PPA</w:t>
            </w:r>
          </w:p>
        </w:tc>
        <w:tc>
          <w:tcPr>
            <w:tcW w:w="858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PTC</w:t>
            </w:r>
          </w:p>
        </w:tc>
        <w:tc>
          <w:tcPr>
            <w:tcW w:w="8580" w:type="dxa"/>
            <w:vAlign w:val="bottom"/>
          </w:tcPr>
          <w:p>
            <w:pPr>
              <w:ind w:left="34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RENOM</w:t>
            </w:r>
          </w:p>
        </w:tc>
        <w:tc>
          <w:tcPr>
            <w:tcW w:w="858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RTO</w:t>
            </w:r>
          </w:p>
        </w:tc>
        <w:tc>
          <w:tcPr>
            <w:tcW w:w="858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SEC</w:t>
            </w:r>
          </w:p>
        </w:tc>
        <w:tc>
          <w:tcPr>
            <w:tcW w:w="8580" w:type="dxa"/>
            <w:vAlign w:val="bottom"/>
          </w:tcPr>
          <w:p>
            <w:pPr>
              <w:ind w:left="34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580" w:type="dxa"/>
            <w:vAlign w:val="bottom"/>
          </w:tcPr>
          <w:p>
            <w:pPr>
              <w:ind w:left="340"/>
              <w:spacing w:after="0"/>
              <w:rPr>
                <w:sz w:val="20"/>
                <w:szCs w:val="20"/>
                <w:color w:val="auto"/>
              </w:rPr>
            </w:pPr>
            <w:r>
              <w:rPr>
                <w:rFonts w:ascii="Arial" w:cs="Arial" w:eastAsia="Arial" w:hAnsi="Arial"/>
                <w:sz w:val="18"/>
                <w:szCs w:val="18"/>
                <w:color w:val="auto"/>
              </w:rPr>
              <w:t>Collectively, the 2025 Senior Notes, the 2026 Senior Notes and the 2028 Senior Notes</w:t>
            </w:r>
          </w:p>
        </w:tc>
        <w:tc>
          <w:tcPr>
            <w:tcW w:w="0" w:type="dxa"/>
            <w:vAlign w:val="bottom"/>
          </w:tcPr>
          <w:p>
            <w:pPr>
              <w:spacing w:after="0"/>
              <w:rPr>
                <w:sz w:val="1"/>
                <w:szCs w:val="1"/>
                <w:color w:val="auto"/>
              </w:rPr>
            </w:pPr>
          </w:p>
        </w:tc>
      </w:tr>
      <w:tr>
        <w:trPr>
          <w:trHeight w:val="90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60" w:space="720"/>
            <w:col w:w="8060"/>
          </w:cols>
          <w:pgMar w:left="340" w:top="949" w:right="519" w:bottom="1440" w:gutter="0" w:footer="0" w:header="0"/>
        </w:sectPr>
      </w:pPr>
    </w:p>
    <w:p>
      <w:pPr>
        <w:spacing w:after="0"/>
        <w:rPr>
          <w:sz w:val="20"/>
          <w:szCs w:val="20"/>
          <w:color w:val="auto"/>
        </w:rPr>
      </w:pPr>
      <w:r>
        <w:rPr>
          <w:rFonts w:ascii="Arial" w:cs="Arial" w:eastAsia="Arial" w:hAnsi="Arial"/>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Thermal Business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22"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7"/>
          <w:szCs w:val="17"/>
          <w:color w:val="auto"/>
        </w:rPr>
        <w:t>The University of Pittsburgh Medical Center Thermal Project, a 73 MWt district energy system that allows ECP to provide steam, chilled water and 7.5 MW of emergency backup power service to UPMC</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ind w:right="460"/>
        <w:spacing w:after="0" w:line="298" w:lineRule="auto"/>
        <w:rPr>
          <w:sz w:val="20"/>
          <w:szCs w:val="20"/>
          <w:color w:val="auto"/>
        </w:rPr>
      </w:pPr>
      <w:r>
        <w:rPr>
          <w:rFonts w:ascii="Arial" w:cs="Arial" w:eastAsia="Arial" w:hAnsi="Arial"/>
          <w:sz w:val="17"/>
          <w:szCs w:val="17"/>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Wind TE Holdco LLC, an 814 net MW portfolio of twelve wind projects</w:t>
      </w:r>
    </w:p>
    <w:p>
      <w:pPr>
        <w:spacing w:after="0" w:line="21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49" w:right="5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162"/>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474747"/>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474747"/>
              </w:rPr>
              <w:t>329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501</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474747"/>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160</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474747"/>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474747"/>
              </w:rPr>
              <w:t>—</w:t>
            </w: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47474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474747"/>
              </w:rPr>
              <w:t>—</w:t>
            </w: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474747"/>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474747"/>
              </w:rPr>
              <w:t>198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474747"/>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474747"/>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unconsolidated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47474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474747"/>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474747"/>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474747"/>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474747"/>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r>
      <w:tr>
        <w:trPr>
          <w:trHeight w:val="237"/>
        </w:trPr>
        <w:tc>
          <w:tcPr>
            <w:tcW w:w="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474747"/>
              </w:rPr>
              <w:t>104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(Loss) income attributable to noncontrolling interests and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redeemable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474747"/>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4"/>
        </w:trPr>
        <w:tc>
          <w:tcPr>
            <w:tcW w:w="20" w:type="dxa"/>
            <w:vAlign w:val="bottom"/>
          </w:tcPr>
          <w:p>
            <w:pPr>
              <w:spacing w:after="0"/>
              <w:rPr>
                <w:sz w:val="22"/>
                <w:szCs w:val="22"/>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62"/>
        </w:trPr>
        <w:tc>
          <w:tcPr>
            <w:tcW w:w="2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(loss) on derivatives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09"/>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w w:val="90"/>
              </w:rPr>
              <w:t>Less: Comprehensive income (loss) attributable to noncontrolling interests and redeemable</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interests</w:t>
            </w:r>
          </w:p>
        </w:tc>
        <w:tc>
          <w:tcPr>
            <w:tcW w:w="1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Clearway Energy LLC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7"/>
                <w:szCs w:val="17"/>
                <w:color w:val="auto"/>
              </w:rPr>
            </w:pPr>
          </w:p>
        </w:tc>
        <w:tc>
          <w:tcPr>
            <w:tcW w:w="1640" w:type="dxa"/>
            <w:vAlign w:val="bottom"/>
          </w:tcPr>
          <w:p>
            <w:pPr>
              <w:jc w:val="right"/>
              <w:ind w:right="271"/>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40" w:type="dxa"/>
            <w:vAlign w:val="bottom"/>
            <w:vMerge w:val="restart"/>
          </w:tcPr>
          <w:p>
            <w:pPr>
              <w:jc w:val="center"/>
              <w:ind w:right="799"/>
              <w:spacing w:after="0"/>
              <w:rPr>
                <w:sz w:val="20"/>
                <w:szCs w:val="20"/>
                <w:color w:val="auto"/>
              </w:rPr>
            </w:pPr>
            <w:r>
              <w:rPr>
                <w:rFonts w:ascii="Arial" w:cs="Arial" w:eastAsia="Arial" w:hAnsi="Arial"/>
                <w:sz w:val="16"/>
                <w:szCs w:val="16"/>
                <w:b w:val="1"/>
                <w:bCs w:val="1"/>
                <w:color w:val="auto"/>
                <w:w w:val="93"/>
              </w:rPr>
              <w:t>ASSETS</w:t>
            </w:r>
          </w:p>
        </w:tc>
        <w:tc>
          <w:tcPr>
            <w:tcW w:w="2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Accounts receivable — trade</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7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Right of use assets, net</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500" w:type="dxa"/>
            <w:vAlign w:val="bottom"/>
            <w:gridSpan w:val="2"/>
          </w:tcPr>
          <w:p>
            <w:pPr>
              <w:ind w:left="320"/>
              <w:spacing w:after="0"/>
              <w:rPr>
                <w:sz w:val="20"/>
                <w:szCs w:val="20"/>
                <w:color w:val="auto"/>
              </w:rPr>
            </w:pPr>
            <w:r>
              <w:rPr>
                <w:rFonts w:ascii="Arial" w:cs="Arial" w:eastAsia="Arial" w:hAnsi="Arial"/>
                <w:sz w:val="16"/>
                <w:szCs w:val="16"/>
                <w:color w:val="auto"/>
              </w:rPr>
              <w:t>Total other assets</w:t>
            </w:r>
          </w:p>
        </w:tc>
        <w:tc>
          <w:tcPr>
            <w:tcW w:w="260" w:type="dxa"/>
            <w:vAlign w:val="bottom"/>
          </w:tcPr>
          <w:p>
            <w:pPr>
              <w:spacing w:after="0"/>
              <w:rPr>
                <w:sz w:val="20"/>
                <w:szCs w:val="20"/>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6"/>
                <w:szCs w:val="16"/>
                <w:color w:val="auto"/>
              </w:rPr>
              <w:t>9,640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spacing w:after="0" w:line="20" w:lineRule="exact"/>
              <w:rPr>
                <w:sz w:val="1"/>
                <w:szCs w:val="1"/>
                <w:color w:val="auto"/>
              </w:rPr>
            </w:pPr>
          </w:p>
        </w:tc>
        <w:tc>
          <w:tcPr>
            <w:tcW w:w="6640" w:type="dxa"/>
            <w:vAlign w:val="bottom"/>
            <w:tcBorders>
              <w:top w:val="single" w:sz="8" w:color="CCEEFF"/>
              <w:bottom w:val="single" w:sz="8" w:color="CCEEFF"/>
            </w:tcBorders>
            <w:vMerge w:val="restart"/>
          </w:tcPr>
          <w:p>
            <w:pPr>
              <w:jc w:val="center"/>
              <w:ind w:right="799"/>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Current portion of long-term debt — affiliate</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 — affiliate</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6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Accrued interest expense</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7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lease liabilities</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7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00" w:type="dxa"/>
            <w:vAlign w:val="bottom"/>
            <w:gridSpan w:val="2"/>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7"/>
        </w:trPr>
        <w:tc>
          <w:tcPr>
            <w:tcW w:w="20" w:type="dxa"/>
            <w:vAlign w:val="bottom"/>
            <w:tcBorders>
              <w:bottom w:val="single" w:sz="8" w:color="CCEEFF"/>
            </w:tcBorders>
          </w:tcPr>
          <w:p>
            <w:pPr>
              <w:spacing w:after="0"/>
              <w:rPr>
                <w:sz w:val="23"/>
                <w:szCs w:val="23"/>
                <w:color w:val="auto"/>
              </w:rPr>
            </w:pPr>
          </w:p>
        </w:tc>
        <w:tc>
          <w:tcPr>
            <w:tcW w:w="7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27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Equity in earnings of unconsolidated affiliates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financing costs and debt discounts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Amortization of intangibles and out-of-market contracts</w:t>
            </w:r>
          </w:p>
        </w:tc>
        <w:tc>
          <w:tcPr>
            <w:tcW w:w="84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debt extinguishment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Right-of-use asset amortization</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on sale of unconsolidated affiliate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Impairment losses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derivative instruments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Loss on disposal of asset components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used in changes in other working capital</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other working capital</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5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Acquisitions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Partnership interest acquisition</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Buyout of Wind TE Holdco noncontrolling interest</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Consolidation of DGPV Holdco 3 LLC</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Insurance proceeds</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contributions (distributions) from noncontrolling interests</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Buyout of Repowering Partnership II LLC noncontrolling interest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proceeds from the issuance of Class C units</w:t>
            </w:r>
          </w:p>
        </w:tc>
        <w:tc>
          <w:tcPr>
            <w:tcW w:w="84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of distributions, net of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Payments of debt issuance costs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Payments for the revolving credit facility</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w w:val="95"/>
              </w:rPr>
              <w:t>(265)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the issuance of long-term debt — external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Payments for long-term debt — external</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w w:val="95"/>
              </w:rPr>
              <w:t>(502)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long-term debt — affiliate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Payments for long-term debt — affiliate</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5"/>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40" w:type="dxa"/>
            <w:vAlign w:val="bottom"/>
            <w:vMerge w:val="restart"/>
          </w:tcPr>
          <w:p>
            <w:pPr>
              <w:jc w:val="center"/>
              <w:ind w:left="26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8480" w:type="dxa"/>
            <w:vAlign w:val="bottom"/>
            <w:gridSpan w:val="2"/>
          </w:tcPr>
          <w:p>
            <w:pPr>
              <w:jc w:val="right"/>
              <w:ind w:right="2670"/>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258"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90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Balances at December 31, 2019</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Unrealized loss on derivatives</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Contributions from CEG, cash</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Net proceeds from the sales of units, Clearway Energy, Inc.</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Distributions to tax equity investors, non-cash</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Contributions from CEG, cash</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Distributions to tax equity interests, net of contributions, cash</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Net proceeds from the sales of units, Clearway Energy, Inc.</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Distributions to tax equity investors, non-cash</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Consolidation of DGPV Holdco 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Buyout of Repowering Partnership II LLC noncontrolling interest</w:t>
            </w:r>
          </w:p>
        </w:tc>
        <w:tc>
          <w:tcPr>
            <w:tcW w:w="1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0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3"/>
                <w:szCs w:val="13"/>
                <w:color w:val="auto"/>
              </w:rPr>
            </w:pPr>
          </w:p>
        </w:tc>
        <w:tc>
          <w:tcPr>
            <w:tcW w:w="880" w:type="dxa"/>
            <w:vAlign w:val="bottom"/>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Balances at December 31, 2018</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Arial" w:cs="Arial" w:eastAsia="Arial" w:hAnsi="Arial"/>
                <w:sz w:val="16"/>
                <w:szCs w:val="16"/>
                <w:color w:val="auto"/>
              </w:rPr>
              <w:t>Unrealized (loss) gain on derivatives</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Buyout of Wind TE Holdco noncontrolling interest.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Contributions from CEG for Oahu Partnership, non-cash</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Arial" w:cs="Arial" w:eastAsia="Arial" w:hAnsi="Arial"/>
                <w:sz w:val="16"/>
                <w:szCs w:val="16"/>
                <w:color w:val="auto"/>
              </w:rPr>
              <w:t>Cumulative effect of change in the accounting principle</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tcPr>
          <w:p>
            <w:pPr>
              <w:ind w:left="6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Unrealized gain on derivatives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60"/>
              <w:spacing w:after="0"/>
              <w:rPr>
                <w:sz w:val="20"/>
                <w:szCs w:val="20"/>
                <w:color w:val="auto"/>
              </w:rPr>
            </w:pPr>
            <w:r>
              <w:rPr>
                <w:rFonts w:ascii="Arial" w:cs="Arial" w:eastAsia="Arial" w:hAnsi="Arial"/>
                <w:sz w:val="16"/>
                <w:szCs w:val="16"/>
                <w:color w:val="auto"/>
              </w:rPr>
              <w:t>Distributions from noncontrolling interests, net of contributions, cash</w:t>
            </w:r>
          </w:p>
        </w:tc>
        <w:tc>
          <w:tcPr>
            <w:tcW w:w="10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Contributions from CEG for Kawailoa,</w:t>
            </w:r>
          </w:p>
        </w:tc>
        <w:tc>
          <w:tcPr>
            <w:tcW w:w="1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98"/>
        </w:trPr>
        <w:tc>
          <w:tcPr>
            <w:tcW w:w="20" w:type="dxa"/>
            <w:vAlign w:val="bottom"/>
            <w:shd w:val="clear" w:color="auto" w:fill="CCEEFF"/>
          </w:tcPr>
          <w:p>
            <w:pPr>
              <w:spacing w:after="0"/>
              <w:rPr>
                <w:sz w:val="8"/>
                <w:szCs w:val="8"/>
                <w:color w:val="auto"/>
              </w:rPr>
            </w:pPr>
          </w:p>
        </w:tc>
        <w:tc>
          <w:tcPr>
            <w:tcW w:w="51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Repowering Partnerships, non-cash</w:t>
            </w: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shd w:val="clear" w:color="auto" w:fill="CCEEFF"/>
          </w:tcPr>
          <w:p>
            <w:pPr>
              <w:spacing w:after="0"/>
              <w:rPr>
                <w:sz w:val="10"/>
                <w:szCs w:val="10"/>
                <w:color w:val="auto"/>
              </w:rPr>
            </w:pPr>
          </w:p>
        </w:tc>
        <w:tc>
          <w:tcPr>
            <w:tcW w:w="514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6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Distributions paid to Clearway Energy, Inc., non-cash</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6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June 30,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 xml:space="preserve">The Company’s environmentally-sound asset portfolio includes over 5,991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 of</w:t>
      </w:r>
      <w:r>
        <w:rPr>
          <w:rFonts w:ascii="Arial" w:cs="Arial" w:eastAsia="Arial" w:hAnsi="Arial"/>
          <w:sz w:val="16"/>
          <w:szCs w:val="16"/>
          <w:color w:val="auto"/>
        </w:rPr>
        <w:t xml:space="preserve"> </w:t>
      </w:r>
      <w:r>
        <w:rPr>
          <w:rFonts w:ascii="Arial" w:cs="Arial" w:eastAsia="Arial" w:hAnsi="Arial"/>
          <w:sz w:val="16"/>
          <w:szCs w:val="16"/>
          <w:color w:val="231F20"/>
        </w:rPr>
        <w:t>these assets sell s</w:t>
      </w:r>
      <w:r>
        <w:rPr>
          <w:rFonts w:ascii="Arial" w:cs="Arial" w:eastAsia="Arial" w:hAnsi="Arial"/>
          <w:sz w:val="16"/>
          <w:szCs w:val="16"/>
          <w:color w:val="000000"/>
        </w:rPr>
        <w:t>ubstantiall</w:t>
      </w:r>
      <w:r>
        <w:rPr>
          <w:rFonts w:ascii="Arial" w:cs="Arial" w:eastAsia="Arial" w:hAnsi="Arial"/>
          <w:sz w:val="16"/>
          <w:szCs w:val="16"/>
          <w:color w:val="231F20"/>
        </w:rPr>
        <w:t xml:space="preserve">y all of their output pursuant to long-term offtake agreements with creditworthy counterparties. The weighted average remaining contract duration of these offtake agreements was approximately 13 years as </w:t>
      </w:r>
      <w:r>
        <w:rPr>
          <w:rFonts w:ascii="Arial" w:cs="Arial" w:eastAsia="Arial" w:hAnsi="Arial"/>
          <w:sz w:val="16"/>
          <w:szCs w:val="16"/>
          <w:color w:val="000000"/>
        </w:rPr>
        <w:t>of June 30, 2020</w:t>
      </w:r>
      <w:r>
        <w:rPr>
          <w:rFonts w:ascii="Arial" w:cs="Arial" w:eastAsia="Arial" w:hAnsi="Arial"/>
          <w:sz w:val="16"/>
          <w:szCs w:val="16"/>
          <w:color w:val="231F20"/>
        </w:rPr>
        <w:t xml:space="preserve"> based on CAFD. </w:t>
      </w:r>
      <w:r>
        <w:rPr>
          <w:rFonts w:ascii="Arial" w:cs="Arial" w:eastAsia="Arial" w:hAnsi="Arial"/>
          <w:sz w:val="16"/>
          <w:szCs w:val="16"/>
          <w:color w:val="000000"/>
        </w:rPr>
        <w:t>The Company also owns thermal</w:t>
      </w:r>
      <w:r>
        <w:rPr>
          <w:rFonts w:ascii="Arial" w:cs="Arial" w:eastAsia="Arial" w:hAnsi="Arial"/>
          <w:sz w:val="16"/>
          <w:szCs w:val="16"/>
          <w:color w:val="231F20"/>
        </w:rPr>
        <w:t xml:space="preserve"> </w:t>
      </w:r>
      <w:r>
        <w:rPr>
          <w:rFonts w:ascii="Arial" w:cs="Arial" w:eastAsia="Arial" w:hAnsi="Arial"/>
          <w:sz w:val="16"/>
          <w:szCs w:val="16"/>
          <w:color w:val="000000"/>
        </w:rPr>
        <w:t>infrastructure assets with an aggregate steam and chilled water capacity of 1,453 net MWt and electric generation 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w:t>
      </w:r>
    </w:p>
    <w:p>
      <w:pPr>
        <w:spacing w:after="0" w:line="102"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6"/>
          <w:szCs w:val="16"/>
          <w:color w:val="auto"/>
        </w:rPr>
        <w:t>As a result of the Class C common stock issuance under the ATM Program during the six months ended June 30, 2020, the Company owns 57.41% of the economic interests of Clearway Energy LLC, with CEG retaining 42.59% of the economic interests of Clearway Energy LLC as of June 30, 2020</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3590" cy="4397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2019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2020, and the results of operations, comprehensive income (loss) and cash flows for the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PG&amp;E Bankruptcy Update</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On June 20, 2020, the Bankruptcy Court confirmed the PG&amp;E Plan, which provided for PG&amp;E to assume all of its PPAs with the Company. 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A description of changes to the financial statements resulting from PG&amp;E's emergence from bankruptcy is noted below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Note 5,</w:t>
      </w:r>
      <w:r>
        <w:rPr>
          <w:rFonts w:ascii="Arial" w:cs="Arial" w:eastAsia="Arial" w:hAnsi="Arial"/>
          <w:sz w:val="16"/>
          <w:szCs w:val="16"/>
          <w:i w:val="1"/>
          <w:iCs w:val="1"/>
          <w:color w:val="auto"/>
        </w:rPr>
        <w:t xml:space="preserve"> Fair Value of Financial Instruments </w:t>
      </w:r>
      <w:r>
        <w:rPr>
          <w:rFonts w:ascii="Arial" w:cs="Arial" w:eastAsia="Arial" w:hAnsi="Arial"/>
          <w:sz w:val="16"/>
          <w:szCs w:val="16"/>
          <w:color w:val="auto"/>
        </w:rPr>
        <w:t>and Note 7,</w:t>
      </w:r>
      <w:r>
        <w:rPr>
          <w:rFonts w:ascii="Arial" w:cs="Arial" w:eastAsia="Arial" w:hAnsi="Arial"/>
          <w:sz w:val="16"/>
          <w:szCs w:val="16"/>
          <w:i w:val="1"/>
          <w:iCs w:val="1"/>
          <w:color w:val="auto"/>
        </w:rPr>
        <w:t xml:space="preserve"> Long-term Debt</w:t>
      </w:r>
      <w:r>
        <w:rPr>
          <w:rFonts w:ascii="Arial" w:cs="Arial" w:eastAsia="Arial" w:hAnsi="Arial"/>
          <w:sz w:val="16"/>
          <w:szCs w:val="16"/>
          <w:color w:val="auto"/>
        </w:rPr>
        <w: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$116 million and $125 million as of June 30, 2020 and December 31, 2019, respectively. After PG&amp;E emerged from bankruptcy on July 1, 2020, $50 million of cash distributions were paid out of distribution reserve accounts at subsidiaries affected by the PG&amp;E Bankruptcy to Clearway Energy Operating LLC as of July 31, 2020.</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6"/>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280" w:type="dxa"/>
            <w:vAlign w:val="bottom"/>
          </w:tcPr>
          <w:p>
            <w:pPr>
              <w:spacing w:after="0"/>
              <w:rPr>
                <w:sz w:val="21"/>
                <w:szCs w:val="21"/>
                <w:color w:val="auto"/>
              </w:rPr>
            </w:pPr>
          </w:p>
        </w:tc>
        <w:tc>
          <w:tcPr>
            <w:tcW w:w="420" w:type="dxa"/>
            <w:vAlign w:val="bottom"/>
          </w:tcPr>
          <w:p>
            <w:pPr>
              <w:jc w:val="right"/>
              <w:ind w:right="55"/>
              <w:spacing w:after="0"/>
              <w:rPr>
                <w:sz w:val="20"/>
                <w:szCs w:val="20"/>
                <w:color w:val="auto"/>
              </w:rPr>
            </w:pPr>
            <w:r>
              <w:rPr>
                <w:rFonts w:ascii="Arial" w:cs="Arial" w:eastAsia="Arial" w:hAnsi="Arial"/>
                <w:sz w:val="18"/>
                <w:szCs w:val="18"/>
                <w:color w:val="auto"/>
                <w:w w:val="86"/>
              </w:rPr>
              <w:t>241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7"/>
        </w:trPr>
        <w:tc>
          <w:tcPr>
            <w:tcW w:w="7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128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86"/>
              </w:rPr>
              <w:t>415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June 30, 2020, these restricted funds were comprised of $80 million designated to fund operating expenses, approximately $20 million designated for current debt service payments, and $56 million restricted for reserves including debt service, performance obligations and other reserves, as well as capital expenditures. The remaining $85 million is held in distributions reserve accounts. As of June 30, 2020, $14 million of cash that was restricted pending the outcome of the PG&amp;E Bankruptcy was reclassified into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2020 and December 31, 2019:</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37"/>
              <w:spacing w:after="0"/>
              <w:rPr>
                <w:sz w:val="20"/>
                <w:szCs w:val="20"/>
                <w:color w:val="auto"/>
              </w:rPr>
            </w:pPr>
            <w:r>
              <w:rPr>
                <w:rFonts w:ascii="Arial" w:cs="Arial" w:eastAsia="Arial" w:hAnsi="Arial"/>
                <w:sz w:val="16"/>
                <w:szCs w:val="16"/>
                <w:b w:val="1"/>
                <w:bCs w:val="1"/>
                <w:color w:val="auto"/>
              </w:rPr>
              <w:t>June 30, 2020</w:t>
            </w:r>
          </w:p>
        </w:tc>
        <w:tc>
          <w:tcPr>
            <w:tcW w:w="300" w:type="dxa"/>
            <w:vAlign w:val="bottom"/>
          </w:tcPr>
          <w:p>
            <w:pPr>
              <w:spacing w:after="0"/>
              <w:rPr>
                <w:sz w:val="18"/>
                <w:szCs w:val="18"/>
                <w:color w:val="auto"/>
              </w:rPr>
            </w:pPr>
          </w:p>
        </w:tc>
        <w:tc>
          <w:tcPr>
            <w:tcW w:w="162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1,880</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21"/>
                <w:szCs w:val="21"/>
                <w:color w:val="auto"/>
              </w:rPr>
            </w:pPr>
          </w:p>
        </w:tc>
        <w:tc>
          <w:tcPr>
            <w:tcW w:w="1520" w:type="dxa"/>
            <w:vAlign w:val="bottom"/>
          </w:tcPr>
          <w:p>
            <w:pPr>
              <w:jc w:val="right"/>
              <w:ind w:right="57"/>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Clearway Energy LLC's Class A, B, C and D units during the six months ended June 30, 2020:</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92"/>
        </w:trPr>
        <w:tc>
          <w:tcPr>
            <w:tcW w:w="7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July 30, 2020 Clearway Energy LLC declared a distribution on its Class A, Class B, Class C and Class D units of $0.3125 per unit payable on September 15, 2020 to unit holders of record as of September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applies the guidance in ASC 606, Revenue from Contracts with Customers,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2020 and 2019 respectively:</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Conventional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60" w:type="dxa"/>
            <w:vAlign w:val="bottom"/>
          </w:tcPr>
          <w:p>
            <w:pPr>
              <w:spacing w:after="0"/>
              <w:rPr>
                <w:sz w:val="14"/>
                <w:szCs w:val="14"/>
                <w:color w:val="auto"/>
              </w:rPr>
            </w:pPr>
          </w:p>
        </w:tc>
        <w:tc>
          <w:tcPr>
            <w:tcW w:w="9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6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97"/>
        </w:trPr>
        <w:tc>
          <w:tcPr>
            <w:tcW w:w="6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60" w:type="dxa"/>
            <w:vAlign w:val="bottom"/>
          </w:tcPr>
          <w:p>
            <w:pPr>
              <w:spacing w:after="0"/>
              <w:rPr>
                <w:sz w:val="24"/>
                <w:szCs w:val="24"/>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060" w:type="dxa"/>
            <w:vAlign w:val="bottom"/>
          </w:tcPr>
          <w:p>
            <w:pPr>
              <w:ind w:left="10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60" w:type="dxa"/>
            <w:vAlign w:val="bottom"/>
          </w:tcPr>
          <w:p>
            <w:pPr>
              <w:spacing w:after="0"/>
              <w:rPr>
                <w:sz w:val="21"/>
                <w:szCs w:val="21"/>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333333"/>
              </w:rPr>
              <w:t>(113)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333333"/>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333333"/>
              </w:rPr>
              <w:t>—</w:t>
            </w:r>
          </w:p>
        </w:tc>
        <w:tc>
          <w:tcPr>
            <w:tcW w:w="34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6060" w:type="dxa"/>
            <w:vAlign w:val="bottom"/>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4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40" w:type="dxa"/>
            <w:vAlign w:val="bottom"/>
          </w:tcPr>
          <w:p>
            <w:pPr>
              <w:spacing w:after="0"/>
              <w:rPr>
                <w:sz w:val="14"/>
                <w:szCs w:val="14"/>
                <w:color w:val="auto"/>
              </w:rPr>
            </w:pPr>
          </w:p>
        </w:tc>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Generation</w:t>
            </w:r>
          </w:p>
        </w:tc>
        <w:tc>
          <w:tcPr>
            <w:tcW w:w="3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2"/>
        </w:trPr>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11"/>
          </w:tcPr>
          <w:p>
            <w:pPr>
              <w:jc w:val="right"/>
              <w:ind w:right="340"/>
              <w:spacing w:after="0"/>
              <w:rPr>
                <w:sz w:val="20"/>
                <w:szCs w:val="20"/>
                <w:color w:val="auto"/>
              </w:rPr>
            </w:pPr>
            <w:r>
              <w:rPr>
                <w:rFonts w:ascii="Arial" w:cs="Arial" w:eastAsia="Arial" w:hAnsi="Arial"/>
                <w:sz w:val="14"/>
                <w:szCs w:val="14"/>
                <w:b w:val="1"/>
                <w:bCs w:val="1"/>
                <w:color w:val="auto"/>
                <w:w w:val="92"/>
              </w:rPr>
              <w:t>Six months ended June 30, 2020</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Conventional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4"/>
                <w:szCs w:val="14"/>
                <w:color w:val="auto"/>
              </w:rPr>
            </w:pPr>
          </w:p>
        </w:tc>
        <w:tc>
          <w:tcPr>
            <w:tcW w:w="94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80" w:type="dxa"/>
            <w:vAlign w:val="bottom"/>
          </w:tcPr>
          <w:p>
            <w:pPr>
              <w:spacing w:after="0"/>
              <w:rPr>
                <w:sz w:val="23"/>
                <w:szCs w:val="23"/>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80" w:type="dxa"/>
            <w:vAlign w:val="bottom"/>
          </w:tcPr>
          <w:p>
            <w:pPr>
              <w:spacing w:after="0"/>
              <w:rPr>
                <w:sz w:val="21"/>
                <w:szCs w:val="21"/>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4"/>
        </w:trPr>
        <w:tc>
          <w:tcPr>
            <w:tcW w:w="6060" w:type="dxa"/>
            <w:vAlign w:val="bottom"/>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29"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42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20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Generation</w:t>
            </w:r>
          </w:p>
        </w:tc>
        <w:tc>
          <w:tcPr>
            <w:tcW w:w="3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183" w:right="779" w:bottom="1440" w:gutter="0" w:footer="0" w:header="0"/>
        </w:sectPr>
      </w:pPr>
    </w:p>
    <w:bookmarkStart w:id="18" w:name="page19"/>
    <w:bookmarkEnd w:id="18"/>
    <w:tbl>
      <w:tblPr>
        <w:tblLayout w:type="fixed"/>
        <w:tblInd w:w="30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Three months ended June 30, 2019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5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80" w:type="dxa"/>
            <w:vAlign w:val="bottom"/>
          </w:tcPr>
          <w:p>
            <w:pPr>
              <w:spacing w:after="0"/>
              <w:rPr>
                <w:sz w:val="24"/>
                <w:szCs w:val="2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Less: Lease revenue</w:t>
            </w:r>
          </w:p>
        </w:tc>
        <w:tc>
          <w:tcPr>
            <w:tcW w:w="280" w:type="dxa"/>
            <w:vAlign w:val="bottom"/>
          </w:tcPr>
          <w:p>
            <w:pPr>
              <w:spacing w:after="0"/>
              <w:rPr>
                <w:sz w:val="21"/>
                <w:szCs w:val="21"/>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700" w:type="dxa"/>
            <w:vAlign w:val="bottom"/>
          </w:tcPr>
          <w:p>
            <w:pPr>
              <w:ind w:left="80"/>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308610</wp:posOffset>
            </wp:positionV>
            <wp:extent cx="13284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hanging="167"/>
        <w:spacing w:after="0"/>
        <w:tabs>
          <w:tab w:leader="none" w:pos="58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following amounts of energy and capacity revenue relate to leases and are accounted for under ASC 842: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Conventional</w:t>
            </w:r>
          </w:p>
        </w:tc>
        <w:tc>
          <w:tcPr>
            <w:tcW w:w="360" w:type="dxa"/>
            <w:vAlign w:val="bottom"/>
          </w:tcPr>
          <w:p>
            <w:pPr>
              <w:spacing w:after="0"/>
              <w:rPr>
                <w:sz w:val="14"/>
                <w:szCs w:val="14"/>
                <w:color w:val="auto"/>
              </w:rPr>
            </w:pPr>
          </w:p>
        </w:tc>
        <w:tc>
          <w:tcPr>
            <w:tcW w:w="980" w:type="dxa"/>
            <w:vAlign w:val="bottom"/>
            <w:gridSpan w:val="5"/>
            <w:vMerge w:val="restart"/>
          </w:tcPr>
          <w:p>
            <w:pPr>
              <w:jc w:val="right"/>
              <w:ind w:right="170"/>
              <w:spacing w:after="0"/>
              <w:rPr>
                <w:sz w:val="20"/>
                <w:szCs w:val="20"/>
                <w:color w:val="auto"/>
              </w:rPr>
            </w:pPr>
            <w:r>
              <w:rPr>
                <w:rFonts w:ascii="Arial" w:cs="Arial" w:eastAsia="Arial" w:hAnsi="Arial"/>
                <w:sz w:val="14"/>
                <w:szCs w:val="14"/>
                <w:b w:val="1"/>
                <w:bCs w:val="1"/>
                <w:color w:val="auto"/>
                <w:w w:val="86"/>
              </w:rPr>
              <w:t>Renewables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38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Pr>
          <w:p>
            <w:pPr>
              <w:spacing w:after="0"/>
              <w:rPr>
                <w:sz w:val="21"/>
                <w:szCs w:val="21"/>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79"/>
              </w:rPr>
              <w:t>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40" w:type="dxa"/>
            <w:vAlign w:val="bottom"/>
          </w:tcPr>
          <w:p>
            <w:pPr>
              <w:spacing w:after="0"/>
              <w:rPr>
                <w:sz w:val="21"/>
                <w:szCs w:val="21"/>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7"/>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12"/>
          </w:tcPr>
          <w:p>
            <w:pPr>
              <w:jc w:val="right"/>
              <w:ind w:right="380"/>
              <w:spacing w:after="0"/>
              <w:rPr>
                <w:sz w:val="20"/>
                <w:szCs w:val="20"/>
                <w:color w:val="auto"/>
              </w:rPr>
            </w:pPr>
            <w:r>
              <w:rPr>
                <w:rFonts w:ascii="Arial" w:cs="Arial" w:eastAsia="Arial" w:hAnsi="Arial"/>
                <w:sz w:val="14"/>
                <w:szCs w:val="14"/>
                <w:b w:val="1"/>
                <w:bCs w:val="1"/>
                <w:color w:val="auto"/>
                <w:w w:val="91"/>
              </w:rPr>
              <w:t>Six months ended June 30, 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5"/>
                <w:szCs w:val="15"/>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gridSpan w:val="7"/>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3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gridSpan w:val="5"/>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Mark-to-market for economic hedges</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6"/>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Total operating revenue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Less: Lease revenue</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8"/>
                <w:szCs w:val="18"/>
                <w:color w:val="auto"/>
                <w:w w:val="90"/>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220" w:type="dxa"/>
            <w:vAlign w:val="bottom"/>
          </w:tcPr>
          <w:p>
            <w:pPr>
              <w:spacing w:after="0"/>
              <w:rPr>
                <w:sz w:val="14"/>
                <w:szCs w:val="14"/>
                <w:color w:val="auto"/>
              </w:rPr>
            </w:pPr>
          </w:p>
        </w:tc>
        <w:tc>
          <w:tcPr>
            <w:tcW w:w="13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Renewables</w:t>
            </w:r>
          </w:p>
        </w:tc>
        <w:tc>
          <w:tcPr>
            <w:tcW w:w="3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60" w:type="dxa"/>
            <w:vAlign w:val="bottom"/>
          </w:tcPr>
          <w:p>
            <w:pPr>
              <w:spacing w:after="0"/>
              <w:rPr>
                <w:sz w:val="14"/>
                <w:szCs w:val="14"/>
                <w:color w:val="auto"/>
              </w:rPr>
            </w:pPr>
          </w:p>
        </w:tc>
        <w:tc>
          <w:tcPr>
            <w:tcW w:w="8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8"/>
        </w:trPr>
        <w:tc>
          <w:tcPr>
            <w:tcW w:w="20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3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140" w:type="dxa"/>
            <w:vAlign w:val="bottom"/>
            <w:gridSpan w:val="5"/>
          </w:tcPr>
          <w:p>
            <w:pPr>
              <w:jc w:val="right"/>
              <w:ind w:right="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June 30,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8740" w:type="dxa"/>
            <w:vAlign w:val="bottom"/>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8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 - Leases</w:t>
            </w:r>
          </w:p>
        </w:tc>
        <w:tc>
          <w:tcPr>
            <w:tcW w:w="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63"/>
        </w:trPr>
        <w:tc>
          <w:tcPr>
            <w:tcW w:w="8740" w:type="dxa"/>
            <w:vAlign w:val="bottom"/>
          </w:tcPr>
          <w:p>
            <w:pPr>
              <w:ind w:left="180"/>
              <w:spacing w:after="0"/>
              <w:rPr>
                <w:sz w:val="20"/>
                <w:szCs w:val="20"/>
                <w:color w:val="auto"/>
              </w:rPr>
            </w:pPr>
            <w:r>
              <w:rPr>
                <w:rFonts w:ascii="Arial" w:cs="Arial" w:eastAsia="Arial" w:hAnsi="Arial"/>
                <w:sz w:val="18"/>
                <w:szCs w:val="18"/>
                <w:color w:val="auto"/>
              </w:rPr>
              <w:t>Total accounts receivable, net</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1"/>
        </w:trPr>
        <w:tc>
          <w:tcPr>
            <w:tcW w:w="8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578"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Recently Issued Accounting Standards Adopted in 2020</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FASB issued ASU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Duquesne University District Energy System Acquisition </w:t>
      </w:r>
      <w:r>
        <w:rPr>
          <w:rFonts w:ascii="Arial" w:cs="Arial" w:eastAsia="Arial" w:hAnsi="Arial"/>
          <w:sz w:val="18"/>
          <w:szCs w:val="18"/>
          <w:color w:val="auto"/>
        </w:rPr>
        <w:t>— On May 1, 2019, the Company, through its indirect subsidiary ECP Uptown Campus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was approximately $107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a third party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sold 100% of its interests in Energy Center Dover LLC and Energy Center Smyrna LLC to DB Energy Assets, LLC.</w:t>
      </w:r>
    </w:p>
    <w:p>
      <w:pPr>
        <w:spacing w:after="0" w:line="200" w:lineRule="exact"/>
        <w:rPr>
          <w:sz w:val="20"/>
          <w:szCs w:val="20"/>
          <w:color w:val="auto"/>
        </w:rPr>
      </w:pPr>
    </w:p>
    <w:p>
      <w:pPr>
        <w:spacing w:after="0" w:line="317" w:lineRule="exact"/>
        <w:rPr>
          <w:sz w:val="20"/>
          <w:szCs w:val="20"/>
          <w:color w:val="auto"/>
        </w:rPr>
      </w:pPr>
    </w:p>
    <w:p>
      <w:pPr>
        <w:ind w:right="462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statements included in the Company's </w:t>
      </w:r>
      <w:r>
        <w:rPr>
          <w:rFonts w:ascii="Arial" w:cs="Arial" w:eastAsia="Arial" w:hAnsi="Arial"/>
          <w:sz w:val="18"/>
          <w:szCs w:val="18"/>
          <w:color w:val="000000"/>
        </w:rPr>
        <w:t>2019</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Buckthorn</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Oahu Solar</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Kawailoa</w:t>
            </w:r>
          </w:p>
        </w:tc>
        <w:tc>
          <w:tcPr>
            <w:tcW w:w="10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Elbow Creek</w:t>
            </w:r>
          </w:p>
        </w:tc>
        <w:tc>
          <w:tcPr>
            <w:tcW w:w="11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Wildorado TE</w:t>
            </w:r>
          </w:p>
        </w:tc>
        <w:tc>
          <w:tcPr>
            <w:tcW w:w="120" w:type="dxa"/>
            <w:vAlign w:val="bottom"/>
          </w:tcPr>
          <w:p>
            <w:pPr>
              <w:spacing w:after="0"/>
              <w:rPr>
                <w:sz w:val="13"/>
                <w:szCs w:val="13"/>
                <w:color w:val="auto"/>
              </w:rPr>
            </w:pPr>
          </w:p>
        </w:tc>
        <w:tc>
          <w:tcPr>
            <w:tcW w:w="6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DGPV</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Alta TE</w:t>
            </w:r>
          </w:p>
        </w:tc>
        <w:tc>
          <w:tcPr>
            <w:tcW w:w="120" w:type="dxa"/>
            <w:vAlign w:val="bottom"/>
          </w:tcPr>
          <w:p>
            <w:pPr>
              <w:spacing w:after="0"/>
              <w:rPr>
                <w:sz w:val="13"/>
                <w:szCs w:val="13"/>
                <w:color w:val="auto"/>
              </w:rPr>
            </w:pPr>
          </w:p>
        </w:tc>
        <w:tc>
          <w:tcPr>
            <w:tcW w:w="6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Spring</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Renewables</w:t>
            </w: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188"/>
        </w:trPr>
        <w:tc>
          <w:tcPr>
            <w:tcW w:w="2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Partnership</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Partnership</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 Holdco</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Holdco</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Holdco 3</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Canyon</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8"/>
                <w:szCs w:val="18"/>
                <w:color w:val="auto"/>
              </w:rPr>
              <w:t>Net assets less noncontrolling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26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79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Other is comprised of Crosswinds and Hardin projects.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DGPV Holdco 3 LLC</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DGPV Holdco 3 owns approximately 113 MW of distributed solar capacity, based on cash to be distributed, with a weighted average remaining contract life of approximately 21 years as of June 30, 2020.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shows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investment in DGPV Holdco 3 of $155 million as of May 29, 2020 and recorded the difference between the net assets consolidated and the investment balance as a reduction to noncontrolling interests. The following table shows the balances that were consolidated effective on May 29,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rPr>
              <w:t>May 29, 2020</w:t>
            </w: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spacing w:after="0"/>
              <w:rPr>
                <w:sz w:val="21"/>
                <w:szCs w:val="21"/>
                <w:color w:val="auto"/>
              </w:rPr>
            </w:pPr>
          </w:p>
        </w:tc>
        <w:tc>
          <w:tcPr>
            <w:tcW w:w="2560" w:type="dxa"/>
            <w:vAlign w:val="bottom"/>
          </w:tcPr>
          <w:p>
            <w:pPr>
              <w:jc w:val="right"/>
              <w:ind w:right="52"/>
              <w:spacing w:after="0"/>
              <w:rPr>
                <w:sz w:val="20"/>
                <w:szCs w:val="20"/>
                <w:color w:val="auto"/>
              </w:rPr>
            </w:pPr>
            <w:r>
              <w:rPr>
                <w:rFonts w:ascii="Arial" w:cs="Arial" w:eastAsia="Arial" w:hAnsi="Arial"/>
                <w:sz w:val="18"/>
                <w:szCs w:val="18"/>
                <w:color w:val="auto"/>
              </w:rPr>
              <w:t>330</w:t>
            </w: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Pr>
          <w:p>
            <w:pPr>
              <w:spacing w:after="0"/>
              <w:rPr>
                <w:sz w:val="21"/>
                <w:szCs w:val="21"/>
                <w:color w:val="auto"/>
              </w:rPr>
            </w:pPr>
          </w:p>
        </w:tc>
        <w:tc>
          <w:tcPr>
            <w:tcW w:w="2560" w:type="dxa"/>
            <w:vAlign w:val="bottom"/>
          </w:tcPr>
          <w:p>
            <w:pPr>
              <w:jc w:val="right"/>
              <w:ind w:right="52"/>
              <w:spacing w:after="0"/>
              <w:rPr>
                <w:sz w:val="20"/>
                <w:szCs w:val="20"/>
                <w:color w:val="auto"/>
              </w:rPr>
            </w:pPr>
            <w:r>
              <w:rPr>
                <w:rFonts w:ascii="Arial" w:cs="Arial" w:eastAsia="Arial" w:hAnsi="Arial"/>
                <w:sz w:val="18"/>
                <w:szCs w:val="18"/>
                <w:color w:val="auto"/>
              </w:rPr>
              <w:t>37</w:t>
            </w:r>
          </w:p>
        </w:tc>
      </w:tr>
      <w:tr>
        <w:trPr>
          <w:trHeight w:val="27"/>
        </w:trPr>
        <w:tc>
          <w:tcPr>
            <w:tcW w:w="7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Debt</w:t>
            </w:r>
          </w:p>
        </w:tc>
        <w:tc>
          <w:tcPr>
            <w:tcW w:w="6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290</w:t>
            </w:r>
          </w:p>
        </w:tc>
      </w:tr>
      <w:tr>
        <w:trPr>
          <w:trHeight w:val="27"/>
        </w:trPr>
        <w:tc>
          <w:tcPr>
            <w:tcW w:w="7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4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r>
      <w:tr>
        <w:trPr>
          <w:trHeight w:val="263"/>
        </w:trPr>
        <w:tc>
          <w:tcPr>
            <w:tcW w:w="7940" w:type="dxa"/>
            <w:vAlign w:val="bottom"/>
          </w:tcPr>
          <w:p>
            <w:pPr>
              <w:ind w:left="20"/>
              <w:spacing w:after="0"/>
              <w:rPr>
                <w:sz w:val="20"/>
                <w:szCs w:val="20"/>
                <w:color w:val="auto"/>
              </w:rPr>
            </w:pPr>
            <w:r>
              <w:rPr>
                <w:rFonts w:ascii="Arial" w:cs="Arial" w:eastAsia="Arial" w:hAnsi="Arial"/>
                <w:sz w:val="18"/>
                <w:szCs w:val="18"/>
                <w:color w:val="auto"/>
              </w:rPr>
              <w:t>Net assets less noncontrolling interests</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104</w:t>
            </w:r>
          </w:p>
        </w:tc>
      </w:tr>
      <w:tr>
        <w:trPr>
          <w:trHeight w:val="20"/>
        </w:trPr>
        <w:tc>
          <w:tcPr>
            <w:tcW w:w="7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Prior to the reconsideration event described above, the Company invested $10 million of cash in DGPV Holdco 3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b w:val="1"/>
          <w:bCs w:val="1"/>
          <w:i w:val="1"/>
          <w:iCs w:val="1"/>
          <w:color w:val="auto"/>
        </w:rPr>
        <w:t>Repowering Partnership II LLC</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The Company removed the related noncontrolling interest balance of </w:t>
      </w:r>
      <w:r>
        <w:rPr>
          <w:rFonts w:ascii="Arial" w:cs="Arial" w:eastAsia="Arial" w:hAnsi="Arial"/>
          <w:sz w:val="17"/>
          <w:szCs w:val="17"/>
          <w:color w:val="231F20"/>
        </w:rPr>
        <w:t>$8 million</w:t>
      </w:r>
      <w:r>
        <w:rPr>
          <w:rFonts w:ascii="Arial" w:cs="Arial" w:eastAsia="Arial" w:hAnsi="Arial"/>
          <w:sz w:val="17"/>
          <w:szCs w:val="17"/>
          <w:color w:val="auto"/>
        </w:rPr>
        <w:t xml:space="preserve"> and recorded the difference between the cash paid and the noncontrolling interest balance removed as a reduction to noncontrolling interests.</w:t>
      </w:r>
    </w:p>
    <w:p>
      <w:pPr>
        <w:spacing w:after="0" w:line="1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7, Long-term Debt.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 the Wildorado TE Holdco closing, the allocations of income at Repowering Partnership II LLC changed to 60.14% for Wind TE Holdco LLC (the Company member) and 39.86% for CWSP Wildorado Elbow Holding LLC (the CEG member). As noted above, CEG no longer has an interest in Repowering Partnership II LLC as of June 30, 2020.</w:t>
      </w:r>
    </w:p>
    <w:p>
      <w:pPr>
        <w:spacing w:after="0" w:line="21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 The Company recorded a loss of $8 million and $36 million attributable to the noncontrolling interest of Wildorado TE Holdco for the three and six months ending June 30, 2020 and recorded a loss of $6 million and $8 million attributable to the noncontrolling interest of Elbow Creek TE Holdco for the three and six months ending June 30, 2020, respectively.</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21F1F"/>
        </w:rPr>
        <w:t>to the consolidated financial statements included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2019</w:t>
      </w:r>
      <w:r>
        <w:rPr>
          <w:rFonts w:ascii="Arial" w:cs="Arial" w:eastAsia="Arial" w:hAnsi="Arial"/>
          <w:sz w:val="17"/>
          <w:szCs w:val="17"/>
          <w:i w:val="1"/>
          <w:iCs w:val="1"/>
          <w:color w:val="auto"/>
        </w:rPr>
        <w:t xml:space="preserve"> </w:t>
      </w:r>
      <w:r>
        <w:rPr>
          <w:rFonts w:ascii="Arial" w:cs="Arial" w:eastAsia="Arial" w:hAnsi="Arial"/>
          <w:sz w:val="17"/>
          <w:szCs w:val="17"/>
          <w:color w:val="221F1F"/>
        </w:rPr>
        <w:t>Form 10-K</w:t>
      </w:r>
      <w:r>
        <w:rPr>
          <w:rFonts w:ascii="Arial" w:cs="Arial" w:eastAsia="Arial" w:hAnsi="Arial"/>
          <w:sz w:val="17"/>
          <w:szCs w:val="17"/>
          <w:color w:val="auto"/>
        </w:rPr>
        <w:t>.</w:t>
      </w:r>
    </w:p>
    <w:p>
      <w:pPr>
        <w:spacing w:after="0" w:line="19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Company's maximum exposure to loss as of June 30, 2020 is limited to its equity investment in the unconsolidated entities, as further summarized in the table below:</w:t>
      </w:r>
    </w:p>
    <w:tbl>
      <w:tblPr>
        <w:tblLayout w:type="fixed"/>
        <w:tblInd w:w="120" w:type="dxa"/>
        <w:tblCellMar>
          <w:top w:w="0" w:type="dxa"/>
          <w:left w:w="0" w:type="dxa"/>
          <w:bottom w:w="0" w:type="dxa"/>
          <w:right w:w="0" w:type="dxa"/>
        </w:tblCellMar>
      </w:tblPr>
      <w:tr>
        <w:trPr>
          <w:trHeight w:val="15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240" w:type="dxa"/>
            <w:vAlign w:val="bottom"/>
          </w:tcPr>
          <w:p>
            <w:pPr>
              <w:jc w:val="center"/>
              <w:ind w:left="2373"/>
              <w:spacing w:after="0" w:line="150" w:lineRule="exact"/>
              <w:rPr>
                <w:sz w:val="20"/>
                <w:szCs w:val="20"/>
                <w:color w:val="auto"/>
              </w:rPr>
            </w:pPr>
            <w:r>
              <w:rPr>
                <w:rFonts w:ascii="Arial" w:cs="Arial" w:eastAsia="Arial" w:hAnsi="Arial"/>
                <w:sz w:val="14"/>
                <w:szCs w:val="14"/>
                <w:b w:val="1"/>
                <w:bCs w:val="1"/>
                <w:color w:val="auto"/>
                <w:w w:val="92"/>
              </w:rPr>
              <w:t>Economic</w:t>
            </w:r>
          </w:p>
        </w:tc>
        <w:tc>
          <w:tcPr>
            <w:tcW w:w="240" w:type="dxa"/>
            <w:vAlign w:val="bottom"/>
          </w:tcPr>
          <w:p>
            <w:pPr>
              <w:spacing w:after="0"/>
              <w:rPr>
                <w:sz w:val="13"/>
                <w:szCs w:val="13"/>
                <w:color w:val="auto"/>
              </w:rPr>
            </w:pPr>
          </w:p>
        </w:tc>
        <w:tc>
          <w:tcPr>
            <w:tcW w:w="17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vMerge w:val="continue"/>
          </w:tcPr>
          <w:p>
            <w:pPr>
              <w:spacing w:after="0"/>
              <w:rPr>
                <w:sz w:val="16"/>
                <w:szCs w:val="16"/>
                <w:color w:val="auto"/>
              </w:rPr>
            </w:pPr>
          </w:p>
        </w:tc>
        <w:tc>
          <w:tcPr>
            <w:tcW w:w="4240" w:type="dxa"/>
            <w:vAlign w:val="bottom"/>
            <w:tcBorders>
              <w:bottom w:val="single" w:sz="8" w:color="auto"/>
            </w:tcBorders>
          </w:tcPr>
          <w:p>
            <w:pPr>
              <w:jc w:val="center"/>
              <w:ind w:left="2373"/>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5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424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94"/>
              </w:rPr>
              <w:t>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 xml:space="preserve">Desert Sunlight </w:t>
            </w:r>
            <w:r>
              <w:rPr>
                <w:rFonts w:ascii="Arial" w:cs="Arial" w:eastAsia="Arial" w:hAnsi="Arial"/>
                <w:sz w:val="23"/>
                <w:szCs w:val="23"/>
                <w:color w:val="auto"/>
                <w:vertAlign w:val="superscript"/>
              </w:rPr>
              <w:t>(b)</w:t>
            </w:r>
          </w:p>
        </w:tc>
        <w:tc>
          <w:tcPr>
            <w:tcW w:w="4240" w:type="dxa"/>
            <w:vAlign w:val="bottom"/>
          </w:tcPr>
          <w:p>
            <w:pPr>
              <w:jc w:val="center"/>
              <w:ind w:left="2373"/>
              <w:spacing w:after="0"/>
              <w:rPr>
                <w:sz w:val="20"/>
                <w:szCs w:val="20"/>
                <w:color w:val="auto"/>
              </w:rPr>
            </w:pPr>
            <w:r>
              <w:rPr>
                <w:rFonts w:ascii="Arial" w:cs="Arial" w:eastAsia="Arial" w:hAnsi="Arial"/>
                <w:sz w:val="18"/>
                <w:szCs w:val="18"/>
                <w:color w:val="auto"/>
                <w:w w:val="94"/>
              </w:rPr>
              <w:t>25%</w:t>
            </w:r>
          </w:p>
        </w:tc>
        <w:tc>
          <w:tcPr>
            <w:tcW w:w="240" w:type="dxa"/>
            <w:vAlign w:val="bottom"/>
          </w:tcPr>
          <w:p>
            <w:pPr>
              <w:spacing w:after="0"/>
              <w:rPr>
                <w:sz w:val="23"/>
                <w:szCs w:val="23"/>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Agua Caliente Solar </w:t>
            </w:r>
            <w:r>
              <w:rPr>
                <w:rFonts w:ascii="Arial" w:cs="Arial" w:eastAsia="Arial" w:hAnsi="Arial"/>
                <w:sz w:val="23"/>
                <w:szCs w:val="23"/>
                <w:color w:val="auto"/>
                <w:vertAlign w:val="superscript"/>
              </w:rPr>
              <w:t>(b)</w:t>
            </w:r>
          </w:p>
        </w:tc>
        <w:tc>
          <w:tcPr>
            <w:tcW w:w="424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94"/>
              </w:rPr>
              <w:t>16%</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GenConn</w:t>
            </w:r>
          </w:p>
        </w:tc>
        <w:tc>
          <w:tcPr>
            <w:tcW w:w="4240" w:type="dxa"/>
            <w:vAlign w:val="bottom"/>
          </w:tcPr>
          <w:p>
            <w:pPr>
              <w:jc w:val="center"/>
              <w:ind w:left="2373"/>
              <w:spacing w:after="0"/>
              <w:rPr>
                <w:sz w:val="20"/>
                <w:szCs w:val="20"/>
                <w:color w:val="auto"/>
              </w:rPr>
            </w:pPr>
            <w:r>
              <w:rPr>
                <w:rFonts w:ascii="Arial" w:cs="Arial" w:eastAsia="Arial" w:hAnsi="Arial"/>
                <w:sz w:val="18"/>
                <w:szCs w:val="18"/>
                <w:color w:val="auto"/>
                <w:w w:val="94"/>
              </w:rPr>
              <w:t>50%</w:t>
            </w:r>
          </w:p>
        </w:tc>
        <w:tc>
          <w:tcPr>
            <w:tcW w:w="240" w:type="dxa"/>
            <w:vAlign w:val="bottom"/>
          </w:tcPr>
          <w:p>
            <w:pPr>
              <w:spacing w:after="0"/>
              <w:rPr>
                <w:sz w:val="21"/>
                <w:szCs w:val="21"/>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DGPV Holdco 1 LLC </w:t>
            </w:r>
            <w:r>
              <w:rPr>
                <w:rFonts w:ascii="Arial" w:cs="Arial" w:eastAsia="Arial" w:hAnsi="Arial"/>
                <w:sz w:val="23"/>
                <w:szCs w:val="23"/>
                <w:color w:val="auto"/>
                <w:vertAlign w:val="superscript"/>
              </w:rPr>
              <w:t>(c)</w:t>
            </w:r>
          </w:p>
        </w:tc>
        <w:tc>
          <w:tcPr>
            <w:tcW w:w="424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94"/>
              </w:rPr>
              <w:t>95%</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 xml:space="preserve">DGPV Holdco 2 LLC </w:t>
            </w:r>
            <w:r>
              <w:rPr>
                <w:rFonts w:ascii="Arial" w:cs="Arial" w:eastAsia="Arial" w:hAnsi="Arial"/>
                <w:sz w:val="23"/>
                <w:szCs w:val="23"/>
                <w:color w:val="auto"/>
                <w:vertAlign w:val="superscript"/>
              </w:rPr>
              <w:t>(c)</w:t>
            </w:r>
          </w:p>
        </w:tc>
        <w:tc>
          <w:tcPr>
            <w:tcW w:w="4240" w:type="dxa"/>
            <w:vAlign w:val="bottom"/>
          </w:tcPr>
          <w:p>
            <w:pPr>
              <w:jc w:val="center"/>
              <w:ind w:left="2373"/>
              <w:spacing w:after="0"/>
              <w:rPr>
                <w:sz w:val="20"/>
                <w:szCs w:val="20"/>
                <w:color w:val="auto"/>
              </w:rPr>
            </w:pPr>
            <w:r>
              <w:rPr>
                <w:rFonts w:ascii="Arial" w:cs="Arial" w:eastAsia="Arial" w:hAnsi="Arial"/>
                <w:sz w:val="18"/>
                <w:szCs w:val="18"/>
                <w:color w:val="auto"/>
                <w:w w:val="94"/>
              </w:rPr>
              <w:t>95%</w:t>
            </w:r>
          </w:p>
        </w:tc>
        <w:tc>
          <w:tcPr>
            <w:tcW w:w="240" w:type="dxa"/>
            <w:vAlign w:val="bottom"/>
          </w:tcPr>
          <w:p>
            <w:pPr>
              <w:spacing w:after="0"/>
              <w:rPr>
                <w:sz w:val="23"/>
                <w:szCs w:val="23"/>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San Juan Mesa</w:t>
            </w:r>
          </w:p>
        </w:tc>
        <w:tc>
          <w:tcPr>
            <w:tcW w:w="4240" w:type="dxa"/>
            <w:vAlign w:val="bottom"/>
            <w:tcBorders>
              <w:bottom w:val="single" w:sz="8" w:color="CCEEFF"/>
            </w:tcBorders>
            <w:shd w:val="clear" w:color="auto" w:fill="CCEEFF"/>
          </w:tcPr>
          <w:p>
            <w:pPr>
              <w:jc w:val="center"/>
              <w:ind w:left="2373"/>
              <w:spacing w:after="0"/>
              <w:rPr>
                <w:sz w:val="20"/>
                <w:szCs w:val="20"/>
                <w:color w:val="auto"/>
              </w:rPr>
            </w:pPr>
            <w:r>
              <w:rPr>
                <w:rFonts w:ascii="Arial" w:cs="Arial" w:eastAsia="Arial" w:hAnsi="Arial"/>
                <w:sz w:val="18"/>
                <w:szCs w:val="18"/>
                <w:color w:val="auto"/>
                <w:w w:val="94"/>
              </w:rPr>
              <w:t>75%</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Elkhorn Ridge</w:t>
            </w:r>
          </w:p>
        </w:tc>
        <w:tc>
          <w:tcPr>
            <w:tcW w:w="4240" w:type="dxa"/>
            <w:vAlign w:val="bottom"/>
          </w:tcPr>
          <w:p>
            <w:pPr>
              <w:jc w:val="center"/>
              <w:ind w:left="2373"/>
              <w:spacing w:after="0"/>
              <w:rPr>
                <w:sz w:val="20"/>
                <w:szCs w:val="20"/>
                <w:color w:val="auto"/>
              </w:rPr>
            </w:pPr>
            <w:r>
              <w:rPr>
                <w:rFonts w:ascii="Arial" w:cs="Arial" w:eastAsia="Arial" w:hAnsi="Arial"/>
                <w:sz w:val="18"/>
                <w:szCs w:val="18"/>
                <w:color w:val="auto"/>
                <w:w w:val="90"/>
              </w:rPr>
              <w:t>66.7%</w:t>
            </w:r>
          </w:p>
        </w:tc>
        <w:tc>
          <w:tcPr>
            <w:tcW w:w="240" w:type="dxa"/>
            <w:vAlign w:val="bottom"/>
          </w:tcPr>
          <w:p>
            <w:pPr>
              <w:spacing w:after="0"/>
              <w:rPr>
                <w:sz w:val="21"/>
                <w:szCs w:val="21"/>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Avenal </w:t>
            </w:r>
            <w:r>
              <w:rPr>
                <w:rFonts w:ascii="Arial" w:cs="Arial" w:eastAsia="Arial" w:hAnsi="Arial"/>
                <w:sz w:val="23"/>
                <w:szCs w:val="23"/>
                <w:color w:val="auto"/>
                <w:vertAlign w:val="superscript"/>
              </w:rPr>
              <w:t>(b)</w:t>
            </w:r>
          </w:p>
        </w:tc>
        <w:tc>
          <w:tcPr>
            <w:tcW w:w="424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94"/>
              </w:rPr>
              <w:t>50%</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120" w:firstLine="8"/>
        <w:spacing w:after="0"/>
        <w:tabs>
          <w:tab w:leader="none" w:pos="17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176" w:lineRule="exact"/>
        <w:rPr>
          <w:rFonts w:ascii="Arial" w:cs="Arial" w:eastAsia="Arial" w:hAnsi="Arial"/>
          <w:sz w:val="19"/>
          <w:szCs w:val="19"/>
          <w:color w:val="auto"/>
          <w:vertAlign w:val="superscript"/>
        </w:rPr>
      </w:pPr>
    </w:p>
    <w:p>
      <w:pPr>
        <w:ind w:left="180" w:hanging="172"/>
        <w:spacing w:after="0" w:line="19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 xml:space="preserve">Entities that have PPAs with PG&amp;E. For further update on PG&amp;E Bankruptcy see Note 1— </w:t>
      </w:r>
      <w:r>
        <w:rPr>
          <w:rFonts w:ascii="Arial" w:cs="Arial" w:eastAsia="Arial" w:hAnsi="Arial"/>
          <w:sz w:val="16"/>
          <w:szCs w:val="16"/>
          <w:i w:val="1"/>
          <w:iCs w:val="1"/>
          <w:color w:val="auto"/>
        </w:rPr>
        <w:t>Nature of Business.</w:t>
      </w:r>
    </w:p>
    <w:p>
      <w:pPr>
        <w:ind w:left="160" w:hanging="152"/>
        <w:spacing w:after="0" w:line="211"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Economic interest based on cash to be distributed. DGPV Holdco 1 LLC and DGPV Holdco 2 LLC, are tax equity structures and VIEs.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color w:val="auto"/>
        </w:rPr>
        <w:t>The following tables present summarized financial information for the Company's equity method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Income Statement Data:</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RPV Holdco </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GenConn</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Year to date as of the reconsideration event on May 29, 2020.</w:t>
      </w:r>
    </w:p>
    <w:p>
      <w:pPr>
        <w:ind w:left="180" w:hanging="172"/>
        <w:spacing w:after="0" w:line="21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 xml:space="preserve">Year to date as of the sale on May 14, 2020 as described in </w:t>
      </w:r>
      <w:r>
        <w:rPr>
          <w:rFonts w:ascii="Arial" w:cs="Arial" w:eastAsia="Arial" w:hAnsi="Arial"/>
          <w:sz w:val="17"/>
          <w:szCs w:val="17"/>
          <w:color w:val="auto"/>
        </w:rPr>
        <w:t>Note 3</w:t>
      </w:r>
      <w:r>
        <w:rPr>
          <w:rFonts w:ascii="Arial" w:cs="Arial" w:eastAsia="Arial" w:hAnsi="Arial"/>
          <w:sz w:val="16"/>
          <w:szCs w:val="16"/>
          <w:color w:val="auto"/>
        </w:rPr>
        <w:t xml:space="preserve">, </w:t>
      </w:r>
      <w:r>
        <w:rPr>
          <w:rFonts w:ascii="Arial" w:cs="Arial" w:eastAsia="Arial" w:hAnsi="Arial"/>
          <w:sz w:val="17"/>
          <w:szCs w:val="17"/>
          <w:i w:val="1"/>
          <w:iCs w:val="1"/>
          <w:color w:val="auto"/>
        </w:rPr>
        <w:t>Acquisition and Dispositions</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Includes Agua Caliente, DGPV Holdco 1, DGPV Holdco 2, Elkhorn Ridge, Utah Solar Portfolio and San Juan Mesa.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As of June 30, 2020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jc w:val="right"/>
              <w:ind w:right="330"/>
              <w:spacing w:after="0"/>
              <w:rPr>
                <w:sz w:val="20"/>
                <w:szCs w:val="20"/>
                <w:color w:val="auto"/>
              </w:rPr>
            </w:pPr>
            <w:r>
              <w:rPr>
                <w:rFonts w:ascii="Arial" w:cs="Arial" w:eastAsia="Arial" w:hAnsi="Arial"/>
                <w:sz w:val="16"/>
                <w:szCs w:val="16"/>
                <w:b w:val="1"/>
                <w:bCs w:val="1"/>
                <w:color w:val="auto"/>
                <w:w w:val="90"/>
              </w:rPr>
              <w:t>As of December 31, 2019</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1960" w:type="dxa"/>
            <w:vAlign w:val="bottom"/>
            <w:tcBorders>
              <w:bottom w:val="single" w:sz="8" w:color="CCEEFF"/>
            </w:tcBorders>
            <w:shd w:val="clear" w:color="auto" w:fill="CCEEFF"/>
          </w:tcPr>
          <w:p>
            <w:pPr>
              <w:jc w:val="right"/>
              <w:ind w:right="177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RPV Holdco </w:t>
            </w:r>
            <w:r>
              <w:rPr>
                <w:rFonts w:ascii="Arial" w:cs="Arial" w:eastAsia="Arial" w:hAnsi="Arial"/>
                <w:sz w:val="23"/>
                <w:szCs w:val="23"/>
                <w:color w:val="auto"/>
                <w:vertAlign w:val="superscript"/>
              </w:rPr>
              <w:t>(a)</w:t>
            </w:r>
          </w:p>
        </w:tc>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GenConn</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352</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Desert Sunlight</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1,271</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545</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(b)</w:t>
            </w:r>
          </w:p>
        </w:tc>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2,807</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5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1"/>
                <w:szCs w:val="21"/>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As of June 30, 2020, these are no longer equity method investments</w:t>
      </w:r>
    </w:p>
    <w:p>
      <w:pPr>
        <w:spacing w:after="0"/>
        <w:rPr>
          <w:sz w:val="20"/>
          <w:szCs w:val="20"/>
          <w:color w:val="auto"/>
        </w:rPr>
      </w:pPr>
      <w:r>
        <w:rPr>
          <w:rFonts w:ascii="Arial" w:cs="Arial" w:eastAsia="Arial" w:hAnsi="Arial"/>
          <w:sz w:val="23"/>
          <w:szCs w:val="23"/>
          <w:color w:val="auto"/>
          <w:vertAlign w:val="superscript"/>
        </w:rPr>
        <w:t>(b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Includes Agua Caliente, DGPV Holdco 1, DGPV Holdco 2, Elkhorn Ridge, Utah Solar Portfolio and San Juan Mesa</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4" w:name="page25"/>
    <w:bookmarkEnd w:id="24"/>
    <w:p>
      <w:pPr>
        <w:jc w:val="both"/>
        <w:ind w:firstLine="486"/>
        <w:spacing w:after="0" w:line="263"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carrying amounts and fair values of the Company’s recorded financial instruments not carried at fair market value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2019</w:t>
            </w:r>
          </w:p>
        </w:tc>
      </w:tr>
      <w:tr>
        <w:trPr>
          <w:trHeight w:val="196"/>
        </w:trPr>
        <w:tc>
          <w:tcPr>
            <w:tcW w:w="6020" w:type="dxa"/>
            <w:vAlign w:val="bottom"/>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6"/>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6,815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1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2020 and December 31, 2019:</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1,849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1,735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5,221</w:t>
            </w:r>
          </w:p>
        </w:tc>
      </w:tr>
      <w:tr>
        <w:trPr>
          <w:trHeight w:val="27"/>
        </w:trPr>
        <w:tc>
          <w:tcPr>
            <w:tcW w:w="6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Arial" w:cs="Arial" w:eastAsia="Arial" w:hAnsi="Arial"/>
                <w:sz w:val="14"/>
                <w:szCs w:val="14"/>
                <w:b w:val="1"/>
                <w:bCs w:val="1"/>
                <w:color w:val="auto"/>
              </w:rPr>
              <w:t>As of June 30, 2020</w:t>
            </w:r>
          </w:p>
        </w:tc>
        <w:tc>
          <w:tcPr>
            <w:tcW w:w="340" w:type="dxa"/>
            <w:vAlign w:val="bottom"/>
          </w:tcPr>
          <w:p>
            <w:pPr>
              <w:spacing w:after="0"/>
              <w:rPr>
                <w:sz w:val="16"/>
                <w:szCs w:val="16"/>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of December 31, 2019</w:t>
            </w:r>
          </w:p>
        </w:tc>
      </w:tr>
      <w:tr>
        <w:trPr>
          <w:trHeight w:val="186"/>
        </w:trPr>
        <w:tc>
          <w:tcPr>
            <w:tcW w:w="48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1140" w:type="dxa"/>
            <w:vAlign w:val="bottom"/>
            <w:tcBorders>
              <w:top w:val="single" w:sz="8" w:color="auto"/>
            </w:tcBorders>
          </w:tcPr>
          <w:p>
            <w:pPr>
              <w:spacing w:after="0"/>
              <w:rPr>
                <w:sz w:val="16"/>
                <w:szCs w:val="16"/>
                <w:color w:val="auto"/>
              </w:rPr>
            </w:pPr>
          </w:p>
        </w:tc>
      </w:tr>
      <w:tr>
        <w:trPr>
          <w:trHeight w:val="199"/>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Level 3</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ind w:left="9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88"/>
        </w:trPr>
        <w:tc>
          <w:tcPr>
            <w:tcW w:w="4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216</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308610</wp:posOffset>
            </wp:positionV>
            <wp:extent cx="134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Level 2 or Level 3 and no liabilities classified as Level 1 as of June 30, 2020 and as of December 31, 2019.</w:t>
      </w:r>
    </w:p>
    <w:p>
      <w:pPr>
        <w:spacing w:after="0" w:line="14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8"/>
              </w:rPr>
              <w:t>Three months ended June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7"/>
              </w:rPr>
              <w:t>Six months ended June 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30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Fair Value Measurement Using</w:t>
            </w:r>
          </w:p>
        </w:tc>
        <w:tc>
          <w:tcPr>
            <w:tcW w:w="180" w:type="dxa"/>
            <w:vAlign w:val="bottom"/>
          </w:tcPr>
          <w:p>
            <w:pPr>
              <w:spacing w:after="0"/>
              <w:rPr>
                <w:sz w:val="18"/>
                <w:szCs w:val="18"/>
                <w:color w:val="auto"/>
              </w:rPr>
            </w:pPr>
          </w:p>
        </w:tc>
        <w:tc>
          <w:tcPr>
            <w:tcW w:w="27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Fair Value Measurement Using</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0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Significant Unobservable Inputs</w:t>
            </w:r>
          </w:p>
        </w:tc>
        <w:tc>
          <w:tcPr>
            <w:tcW w:w="180" w:type="dxa"/>
            <w:vAlign w:val="bottom"/>
          </w:tcPr>
          <w:p>
            <w:pPr>
              <w:spacing w:after="0"/>
              <w:rPr>
                <w:sz w:val="18"/>
                <w:szCs w:val="18"/>
                <w:color w:val="auto"/>
              </w:rPr>
            </w:pPr>
          </w:p>
        </w:tc>
        <w:tc>
          <w:tcPr>
            <w:tcW w:w="27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Significant Unobservable Inputs</w:t>
            </w: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93"/>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3"/>
              </w:rPr>
              <w:t>(Level 3)</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9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9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Change in unrealized losses included in earnings for derivatives</w:t>
            </w:r>
          </w:p>
        </w:tc>
        <w:tc>
          <w:tcPr>
            <w:tcW w:w="94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as of June 30, 2020</w:t>
            </w:r>
          </w:p>
        </w:tc>
        <w:tc>
          <w:tcPr>
            <w:tcW w:w="9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June 30, 2020, contracts valued with prices provided by models and other valuation techniques make up 7% of derivative liabilities.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quantify the significant unobservable inputs used in developing the fair value of the Company's Level 3 positions as of June 30,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2020</w:t>
            </w: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Input/Range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Input</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High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7"/>
        </w:trPr>
        <w:tc>
          <w:tcPr>
            <w:tcW w:w="1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Discounted Cash</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Forward Market</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Contracts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Flow</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4"/>
              </w:rPr>
              <w:t>Price (per MWh)</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40.55</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June 30, 2020:</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Significant Observable Input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32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Measurement</w:t>
            </w:r>
          </w:p>
        </w:tc>
      </w:tr>
      <w:tr>
        <w:trPr>
          <w:trHeight w:val="27"/>
        </w:trPr>
        <w:tc>
          <w:tcPr>
            <w:tcW w:w="3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Buy</w:t>
            </w:r>
          </w:p>
        </w:tc>
        <w:tc>
          <w:tcPr>
            <w:tcW w:w="2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r>
      <w:tr>
        <w:trPr>
          <w:trHeight w:val="243"/>
        </w:trPr>
        <w:tc>
          <w:tcPr>
            <w:tcW w:w="3100" w:type="dxa"/>
            <w:vAlign w:val="bottom"/>
          </w:tcPr>
          <w:p>
            <w:pPr>
              <w:jc w:val="center"/>
              <w:ind w:right="15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320" w:type="dxa"/>
            <w:vAlign w:val="bottom"/>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2020, the non-performance reserve was a $13 million gain recorded primarily in interest expense in the consolidated statements of operations. It is possible that future market prices could vary from those used in recording assets and liabilities and such variations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w:t>
      </w:r>
      <w:r>
        <w:rPr>
          <w:rFonts w:ascii="Arial" w:cs="Arial" w:eastAsia="Arial" w:hAnsi="Arial"/>
          <w:sz w:val="17"/>
          <w:szCs w:val="17"/>
          <w:color w:val="auto"/>
        </w:rPr>
        <w:t xml:space="preserve"> statements </w:t>
      </w:r>
      <w:r>
        <w:rPr>
          <w:rFonts w:ascii="Arial" w:cs="Arial" w:eastAsia="Arial" w:hAnsi="Arial"/>
          <w:sz w:val="17"/>
          <w:szCs w:val="17"/>
          <w:color w:val="231F20"/>
        </w:rPr>
        <w:t>included in the</w:t>
      </w:r>
      <w:r>
        <w:rPr>
          <w:rFonts w:ascii="Arial" w:cs="Arial" w:eastAsia="Arial" w:hAnsi="Arial"/>
          <w:sz w:val="17"/>
          <w:szCs w:val="17"/>
          <w:color w:val="auto"/>
        </w:rPr>
        <w:t xml:space="preserve"> </w:t>
      </w:r>
      <w:r>
        <w:rPr>
          <w:rFonts w:ascii="Arial" w:cs="Arial" w:eastAsia="Arial" w:hAnsi="Arial"/>
          <w:sz w:val="17"/>
          <w:szCs w:val="17"/>
          <w:color w:val="231F20"/>
        </w:rPr>
        <w:t xml:space="preserve">Company's </w:t>
      </w:r>
      <w:r>
        <w:rPr>
          <w:rFonts w:ascii="Arial" w:cs="Arial" w:eastAsia="Arial" w:hAnsi="Arial"/>
          <w:sz w:val="17"/>
          <w:szCs w:val="17"/>
          <w:color w:val="000000"/>
        </w:rPr>
        <w:t>2019 Form 10-K, the following is a discussion of the concentration of credit risk for the Company's financial instruments. Credit risk relates to</w:t>
      </w:r>
      <w:r>
        <w:rPr>
          <w:rFonts w:ascii="Arial" w:cs="Arial" w:eastAsia="Arial" w:hAnsi="Arial"/>
          <w:sz w:val="17"/>
          <w:szCs w:val="17"/>
          <w:color w:val="231F20"/>
        </w:rPr>
        <w:t xml:space="preserve"> </w:t>
      </w:r>
      <w:r>
        <w:rPr>
          <w:rFonts w:ascii="Arial" w:cs="Arial" w:eastAsia="Arial" w:hAnsi="Arial"/>
          <w:sz w:val="17"/>
          <w:szCs w:val="17"/>
          <w:color w:val="000000"/>
        </w:rPr>
        <w:t>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31, 2019, PG&amp;E filed for reorganization under Chapter 11 of the U.S. Bankruptcy Code. On June 20, 2020, the Bankruptcy Court confirmed the PG&amp;E Plan, which provided for PG&amp;E to assume all of its PPAs with the Company. On July 1, 2020, PG&amp;E emerged from bankruptcy. The Company had $5 million in accounts receivable due from PG&amp;E for its consolidated projects that was previously recorded to non-current assets, and reclassified to current assets as of June 30, 2020, all of which was received in July of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This footnote should be read in conjunction with the complete description under Note 7, 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color w:val="auto"/>
        </w:rPr>
        <w:t xml:space="preserve">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2020, the Company had interest rate derivative instruments on non-recourse debt extending through 2043,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2020, the Company had energy-related derivative instruments extending through 2029. At June 30, 2020,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395"/>
              <w:spacing w:after="0"/>
              <w:rPr>
                <w:sz w:val="20"/>
                <w:szCs w:val="20"/>
                <w:color w:val="auto"/>
              </w:rPr>
            </w:pPr>
            <w:r>
              <w:rPr>
                <w:rFonts w:ascii="Arial" w:cs="Arial" w:eastAsia="Arial" w:hAnsi="Arial"/>
                <w:sz w:val="14"/>
                <w:szCs w:val="14"/>
                <w:b w:val="1"/>
                <w:bCs w:val="1"/>
                <w:color w:val="auto"/>
              </w:rPr>
              <w:t>Total Volume</w:t>
            </w:r>
          </w:p>
        </w:tc>
        <w:tc>
          <w:tcPr>
            <w:tcW w:w="4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June 30, 2020</w:t>
            </w:r>
          </w:p>
        </w:tc>
        <w:tc>
          <w:tcPr>
            <w:tcW w:w="44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162"/>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Commodity</w:t>
            </w: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7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w w:val="94"/>
              </w:rPr>
              <w:t>(In millions)</w:t>
            </w:r>
          </w:p>
        </w:tc>
        <w:tc>
          <w:tcPr>
            <w:tcW w:w="1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Power</w:t>
            </w:r>
          </w:p>
        </w:tc>
        <w:tc>
          <w:tcPr>
            <w:tcW w:w="2400" w:type="dxa"/>
            <w:vAlign w:val="bottom"/>
            <w:gridSpan w:val="2"/>
          </w:tcPr>
          <w:p>
            <w:pPr>
              <w:spacing w:after="0"/>
              <w:rPr>
                <w:sz w:val="20"/>
                <w:szCs w:val="20"/>
                <w:color w:val="auto"/>
              </w:rPr>
            </w:pPr>
            <w:r>
              <w:rPr>
                <w:rFonts w:ascii="Arial" w:cs="Arial" w:eastAsia="Arial" w:hAnsi="Arial"/>
                <w:sz w:val="18"/>
                <w:szCs w:val="18"/>
                <w:color w:val="auto"/>
              </w:rPr>
              <w:t>MWh</w:t>
            </w: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ind w:left="12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4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1,965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1,788</w:t>
            </w:r>
          </w:p>
        </w:tc>
        <w:tc>
          <w:tcPr>
            <w:tcW w:w="40" w:type="dxa"/>
            <w:vAlign w:val="bottom"/>
          </w:tcPr>
          <w:p>
            <w:pPr>
              <w:spacing w:after="0"/>
              <w:rPr>
                <w:sz w:val="21"/>
                <w:szCs w:val="21"/>
                <w:color w:val="auto"/>
              </w:rPr>
            </w:pPr>
          </w:p>
        </w:tc>
      </w:tr>
      <w:tr>
        <w:trPr>
          <w:trHeight w:val="87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jc w:val="right"/>
              <w:ind w:right="161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Derivative Liabilities</w:t>
            </w:r>
          </w:p>
        </w:tc>
      </w:tr>
      <w:tr>
        <w:trPr>
          <w:trHeight w:val="196"/>
        </w:trPr>
        <w:tc>
          <w:tcPr>
            <w:tcW w:w="7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2019</w:t>
            </w:r>
          </w:p>
        </w:tc>
      </w:tr>
      <w:tr>
        <w:trPr>
          <w:trHeight w:val="186"/>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millions)</w:t>
            </w:r>
          </w:p>
        </w:tc>
      </w:tr>
      <w:tr>
        <w:trPr>
          <w:trHeight w:val="24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11</w:t>
            </w: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Hedges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56</w:t>
            </w: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Commodity contracts current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Commodity contracts long-term</w:t>
            </w:r>
          </w:p>
        </w:tc>
        <w:tc>
          <w:tcPr>
            <w:tcW w:w="20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9</w:t>
            </w: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Derivatives Not Designated as Cash Flow Hedges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w:t>
            </w:r>
          </w:p>
        </w:tc>
      </w:tr>
      <w:tr>
        <w:trPr>
          <w:trHeight w:val="26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92</w:t>
            </w:r>
          </w:p>
        </w:tc>
      </w:tr>
      <w:tr>
        <w:trPr>
          <w:trHeight w:val="21"/>
        </w:trPr>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June 30, 2020 and December 31, 2019, there was no outstanding collateral paid or received. The following tables summarize the offsetting of derivatives by the counterparty master agreement level as of June 30, 2020 and December 31,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June 30, 2020</w:t>
            </w:r>
          </w:p>
        </w:tc>
        <w:tc>
          <w:tcPr>
            <w:tcW w:w="2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2"/>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5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29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2" w:lineRule="exact"/>
        <w:rPr>
          <w:sz w:val="20"/>
          <w:szCs w:val="20"/>
          <w:color w:val="auto"/>
        </w:rPr>
      </w:pPr>
    </w:p>
    <w:tbl>
      <w:tblPr>
        <w:tblLayout w:type="fixed"/>
        <w:tblInd w:w="6440" w:type="dxa"/>
        <w:tblCellMar>
          <w:top w:w="0" w:type="dxa"/>
          <w:left w:w="0" w:type="dxa"/>
          <w:bottom w:w="0" w:type="dxa"/>
          <w:right w:w="0" w:type="dxa"/>
        </w:tblCellMar>
      </w:tblPr>
      <w:tr>
        <w:trPr>
          <w:trHeight w:val="192"/>
        </w:trPr>
        <w:tc>
          <w:tcPr>
            <w:tcW w:w="2360" w:type="dxa"/>
            <w:vAlign w:val="bottom"/>
            <w:gridSpan w:val="3"/>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11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90"/>
        </w:trPr>
        <w:tc>
          <w:tcPr>
            <w:tcW w:w="1140" w:type="dxa"/>
            <w:vAlign w:val="bottom"/>
          </w:tcPr>
          <w:p>
            <w:pPr>
              <w:spacing w:after="0"/>
              <w:rPr>
                <w:sz w:val="16"/>
                <w:szCs w:val="16"/>
                <w:color w:val="auto"/>
              </w:rPr>
            </w:pPr>
          </w:p>
        </w:tc>
        <w:tc>
          <w:tcPr>
            <w:tcW w:w="244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400" w:type="dxa"/>
            <w:vAlign w:val="bottom"/>
          </w:tcPr>
          <w:p>
            <w:pPr>
              <w:spacing w:after="0"/>
              <w:rPr>
                <w:sz w:val="20"/>
                <w:szCs w:val="20"/>
                <w:color w:val="auto"/>
              </w:rPr>
            </w:pPr>
            <w:r>
              <w:rPr>
                <w:rFonts w:ascii="Arial" w:cs="Arial" w:eastAsia="Arial" w:hAnsi="Arial"/>
                <w:sz w:val="18"/>
                <w:szCs w:val="18"/>
                <w:color w:val="auto"/>
              </w:rPr>
              <w:t>Accumulated OCL 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color w:val="auto"/>
                <w:w w:val="92"/>
              </w:rPr>
              <w:t>Reclassified from accumulated OCL to income due to realization of previously deferred</w:t>
            </w:r>
          </w:p>
        </w:tc>
        <w:tc>
          <w:tcPr>
            <w:tcW w:w="140" w:type="dxa"/>
            <w:vAlign w:val="bottom"/>
          </w:tcPr>
          <w:p>
            <w:pPr>
              <w:spacing w:after="0"/>
              <w:rPr>
                <w:sz w:val="15"/>
                <w:szCs w:val="15"/>
                <w:color w:val="auto"/>
              </w:rPr>
            </w:pPr>
          </w:p>
        </w:tc>
      </w:tr>
      <w:tr>
        <w:trPr>
          <w:trHeight w:val="230"/>
        </w:trPr>
        <w:tc>
          <w:tcPr>
            <w:tcW w:w="6400" w:type="dxa"/>
            <w:vAlign w:val="bottom"/>
          </w:tcPr>
          <w:p>
            <w:pPr>
              <w:ind w:left="160"/>
              <w:spacing w:after="0"/>
              <w:rPr>
                <w:sz w:val="20"/>
                <w:szCs w:val="20"/>
                <w:color w:val="auto"/>
              </w:rPr>
            </w:pPr>
            <w:r>
              <w:rPr>
                <w:rFonts w:ascii="Arial" w:cs="Arial" w:eastAsia="Arial" w:hAnsi="Arial"/>
                <w:sz w:val="18"/>
                <w:szCs w:val="18"/>
                <w:color w:val="auto"/>
              </w:rPr>
              <w:t>amounts</w:t>
            </w:r>
          </w:p>
        </w:tc>
        <w:tc>
          <w:tcPr>
            <w:tcW w:w="140" w:type="dxa"/>
            <w:vAlign w:val="bottom"/>
          </w:tcPr>
          <w:p>
            <w:pPr>
              <w:spacing w:after="0"/>
              <w:rPr>
                <w:sz w:val="20"/>
                <w:szCs w:val="20"/>
                <w:color w:val="auto"/>
              </w:rPr>
            </w:pPr>
          </w:p>
        </w:tc>
      </w:tr>
      <w:tr>
        <w:trPr>
          <w:trHeight w:val="269"/>
        </w:trPr>
        <w:tc>
          <w:tcPr>
            <w:tcW w:w="6400" w:type="dxa"/>
            <w:vAlign w:val="bottom"/>
          </w:tcPr>
          <w:p>
            <w:pPr>
              <w:ind w:left="160"/>
              <w:spacing w:after="0"/>
              <w:rPr>
                <w:sz w:val="20"/>
                <w:szCs w:val="20"/>
                <w:color w:val="auto"/>
              </w:rPr>
            </w:pPr>
            <w:r>
              <w:rPr>
                <w:rFonts w:ascii="Arial" w:cs="Arial" w:eastAsia="Arial" w:hAnsi="Arial"/>
                <w:sz w:val="18"/>
                <w:szCs w:val="18"/>
                <w:color w:val="auto"/>
              </w:rPr>
              <w:t>Mark-to-market of cash flow hedge accounting contracts</w:t>
            </w: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0"/>
              <w:spacing w:after="0"/>
              <w:rPr>
                <w:sz w:val="20"/>
                <w:szCs w:val="20"/>
                <w:color w:val="auto"/>
              </w:rPr>
            </w:pPr>
            <w:r>
              <w:rPr>
                <w:rFonts w:ascii="Arial" w:cs="Arial" w:eastAsia="Arial" w:hAnsi="Arial"/>
                <w:sz w:val="18"/>
                <w:szCs w:val="18"/>
                <w:color w:val="auto"/>
                <w:w w:val="87"/>
              </w:rPr>
              <w:t>(51)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left="250"/>
              <w:spacing w:after="0"/>
              <w:rPr>
                <w:sz w:val="20"/>
                <w:szCs w:val="20"/>
                <w:color w:val="auto"/>
              </w:rPr>
            </w:pPr>
            <w:r>
              <w:rPr>
                <w:rFonts w:ascii="Arial" w:cs="Arial" w:eastAsia="Arial" w:hAnsi="Arial"/>
                <w:sz w:val="18"/>
                <w:szCs w:val="18"/>
                <w:color w:val="auto"/>
                <w:w w:val="93"/>
              </w:rPr>
              <w:t>(45)</w:t>
            </w:r>
          </w:p>
        </w:tc>
      </w:tr>
      <w:tr>
        <w:trPr>
          <w:trHeight w:val="405"/>
        </w:trPr>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640" w:type="dxa"/>
            <w:vAlign w:val="bottom"/>
          </w:tcPr>
          <w:p>
            <w:pPr>
              <w:jc w:val="center"/>
              <w:ind w:left="250"/>
              <w:spacing w:after="0"/>
              <w:rPr>
                <w:sz w:val="20"/>
                <w:szCs w:val="20"/>
                <w:color w:val="auto"/>
              </w:rPr>
            </w:pPr>
            <w:r>
              <w:rPr>
                <w:rFonts w:ascii="Arial" w:cs="Arial" w:eastAsia="Arial" w:hAnsi="Arial"/>
                <w:sz w:val="18"/>
                <w:szCs w:val="18"/>
                <w:color w:val="auto"/>
                <w:w w:val="89"/>
              </w:rPr>
              <w:t>17</w:t>
            </w:r>
          </w:p>
        </w:tc>
      </w:tr>
      <w:tr>
        <w:trPr>
          <w:trHeight w:val="270"/>
        </w:trPr>
        <w:tc>
          <w:tcPr>
            <w:tcW w:w="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3"/>
                <w:szCs w:val="23"/>
                <w:color w:val="auto"/>
              </w:rPr>
            </w:pPr>
          </w:p>
        </w:tc>
        <w:tc>
          <w:tcPr>
            <w:tcW w:w="640" w:type="dxa"/>
            <w:vAlign w:val="bottom"/>
          </w:tcPr>
          <w:p>
            <w:pPr>
              <w:jc w:val="center"/>
              <w:ind w:left="250"/>
              <w:spacing w:after="0"/>
              <w:rPr>
                <w:sz w:val="20"/>
                <w:szCs w:val="20"/>
                <w:color w:val="auto"/>
              </w:rPr>
            </w:pPr>
            <w:r>
              <w:rPr>
                <w:rFonts w:ascii="Arial" w:cs="Arial" w:eastAsia="Arial" w:hAnsi="Arial"/>
                <w:sz w:val="18"/>
                <w:szCs w:val="18"/>
                <w:color w:val="auto"/>
                <w:w w:val="93"/>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17145</wp:posOffset>
            </wp:positionV>
            <wp:extent cx="3042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6560" w:space="560"/>
            <w:col w:w="412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644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LLC</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02"/>
        </w:trPr>
        <w:tc>
          <w:tcPr>
            <w:tcW w:w="4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308610</wp:posOffset>
            </wp:positionV>
            <wp:extent cx="1808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hanging="121"/>
        <w:spacing w:after="0"/>
        <w:tabs>
          <w:tab w:leader="none" w:pos="1020" w:val="left"/>
        </w:tabs>
        <w:numPr>
          <w:ilvl w:val="0"/>
          <w:numId w:val="13"/>
        </w:numPr>
        <w:rPr>
          <w:rFonts w:ascii="Arial" w:cs="Arial" w:eastAsia="Arial" w:hAnsi="Arial"/>
          <w:sz w:val="9"/>
          <w:szCs w:val="9"/>
          <w:color w:val="auto"/>
        </w:rPr>
      </w:pPr>
      <w:r>
        <w:rPr>
          <w:rFonts w:ascii="Arial" w:cs="Arial" w:eastAsia="Arial" w:hAnsi="Arial"/>
          <w:sz w:val="14"/>
          <w:szCs w:val="14"/>
          <w:color w:val="auto"/>
        </w:rPr>
        <w:t>Relates to long-term power hedge at Elbow Creek Wind Project LLC, or Elbow Creek.</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This note should be read in conjunction with the complete description under Note 10, Long-term Debt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2019 Form 10-K. Long-term debt consisted of the following:</w:t>
      </w:r>
    </w:p>
    <w:tbl>
      <w:tblPr>
        <w:tblLayout w:type="fixed"/>
        <w:tblInd w:w="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7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9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4"/>
              </w:rPr>
              <w:t>June 30, 2020</w:t>
            </w:r>
          </w:p>
        </w:tc>
        <w:tc>
          <w:tcPr>
            <w:tcW w:w="180" w:type="dxa"/>
            <w:vAlign w:val="bottom"/>
          </w:tcPr>
          <w:p>
            <w:pPr>
              <w:spacing w:after="0"/>
              <w:rPr>
                <w:sz w:val="13"/>
                <w:szCs w:val="13"/>
                <w:color w:val="auto"/>
              </w:rPr>
            </w:pPr>
          </w:p>
        </w:tc>
        <w:tc>
          <w:tcPr>
            <w:tcW w:w="98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w w:val="90"/>
              </w:rPr>
              <w:t>December 31,</w:t>
            </w:r>
          </w:p>
        </w:tc>
        <w:tc>
          <w:tcPr>
            <w:tcW w:w="1920" w:type="dxa"/>
            <w:vAlign w:val="bottom"/>
          </w:tcPr>
          <w:p>
            <w:pPr>
              <w:jc w:val="right"/>
              <w:ind w:right="58"/>
              <w:spacing w:after="0" w:line="158" w:lineRule="exact"/>
              <w:rPr>
                <w:sz w:val="20"/>
                <w:szCs w:val="20"/>
                <w:color w:val="auto"/>
              </w:rPr>
            </w:pPr>
            <w:r>
              <w:rPr>
                <w:rFonts w:ascii="Arial" w:cs="Arial" w:eastAsia="Arial" w:hAnsi="Arial"/>
                <w:sz w:val="14"/>
                <w:szCs w:val="14"/>
                <w:b w:val="1"/>
                <w:bCs w:val="1"/>
                <w:color w:val="auto"/>
                <w:w w:val="98"/>
              </w:rPr>
              <w:t>June 30, 2020, interest rate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Outstanding at June 30,</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bottom w:val="single" w:sz="8" w:color="auto"/>
            </w:tcBorders>
          </w:tcPr>
          <w:p>
            <w:pPr>
              <w:jc w:val="right"/>
              <w:ind w:right="738"/>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(a)</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2"/>
          </w:tcPr>
          <w:p>
            <w:pPr>
              <w:jc w:val="right"/>
              <w:ind w:right="178"/>
              <w:spacing w:after="0"/>
              <w:rPr>
                <w:sz w:val="20"/>
                <w:szCs w:val="20"/>
                <w:color w:val="auto"/>
              </w:rPr>
            </w:pPr>
            <w:r>
              <w:rPr>
                <w:rFonts w:ascii="Arial" w:cs="Arial" w:eastAsia="Arial" w:hAnsi="Arial"/>
                <w:sz w:val="18"/>
                <w:szCs w:val="18"/>
                <w:color w:val="auto"/>
              </w:rPr>
              <w:t>(In millions, except rates)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debt — affiliate, due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w:t>
            </w:r>
          </w:p>
        </w:tc>
        <w:tc>
          <w:tcPr>
            <w:tcW w:w="192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3.325</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Intercompany Note with Clearway Energy, Inc.</w:t>
            </w:r>
          </w:p>
        </w:tc>
        <w:tc>
          <w:tcPr>
            <w:tcW w:w="3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8"/>
              <w:spacing w:after="0"/>
              <w:rPr>
                <w:sz w:val="20"/>
                <w:szCs w:val="20"/>
                <w:color w:val="auto"/>
              </w:rPr>
            </w:pPr>
            <w:r>
              <w:rPr>
                <w:rFonts w:ascii="Arial" w:cs="Arial" w:eastAsia="Arial" w:hAnsi="Arial"/>
                <w:sz w:val="18"/>
                <w:szCs w:val="18"/>
                <w:color w:val="auto"/>
              </w:rPr>
              <w:t>1.490</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2024</w:t>
            </w:r>
          </w:p>
        </w:tc>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w:t>
            </w:r>
          </w:p>
        </w:tc>
        <w:tc>
          <w:tcPr>
            <w:tcW w:w="19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5.375</w:t>
            </w: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0" w:type="dxa"/>
            <w:vAlign w:val="bottom"/>
          </w:tcPr>
          <w:p>
            <w:pPr>
              <w:ind w:left="20"/>
              <w:spacing w:after="0"/>
              <w:rPr>
                <w:sz w:val="20"/>
                <w:szCs w:val="20"/>
                <w:color w:val="auto"/>
              </w:rPr>
            </w:pPr>
            <w:r>
              <w:rPr>
                <w:rFonts w:ascii="Arial" w:cs="Arial" w:eastAsia="Arial" w:hAnsi="Arial"/>
                <w:sz w:val="16"/>
                <w:szCs w:val="16"/>
                <w:color w:val="auto"/>
                <w:w w:val="95"/>
              </w:rPr>
              <w:t>2025</w:t>
            </w:r>
          </w:p>
        </w:tc>
        <w:tc>
          <w:tcPr>
            <w:tcW w:w="500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600</w:t>
            </w:r>
          </w:p>
        </w:tc>
        <w:tc>
          <w:tcPr>
            <w:tcW w:w="1920" w:type="dxa"/>
            <w:vAlign w:val="bottom"/>
          </w:tcPr>
          <w:p>
            <w:pPr>
              <w:jc w:val="right"/>
              <w:ind w:right="178"/>
              <w:spacing w:after="0"/>
              <w:rPr>
                <w:sz w:val="20"/>
                <w:szCs w:val="20"/>
                <w:color w:val="auto"/>
              </w:rPr>
            </w:pPr>
            <w:r>
              <w:rPr>
                <w:rFonts w:ascii="Arial" w:cs="Arial" w:eastAsia="Arial" w:hAnsi="Arial"/>
                <w:sz w:val="18"/>
                <w:szCs w:val="18"/>
                <w:color w:val="auto"/>
              </w:rPr>
              <w:t>5.750</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2026</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350</w:t>
            </w:r>
          </w:p>
        </w:tc>
        <w:tc>
          <w:tcPr>
            <w:tcW w:w="192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5.000</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 w:type="dxa"/>
            <w:vAlign w:val="bottom"/>
          </w:tcPr>
          <w:p>
            <w:pPr>
              <w:ind w:left="20"/>
              <w:spacing w:after="0"/>
              <w:rPr>
                <w:sz w:val="20"/>
                <w:szCs w:val="20"/>
                <w:color w:val="auto"/>
              </w:rPr>
            </w:pPr>
            <w:r>
              <w:rPr>
                <w:rFonts w:ascii="Arial" w:cs="Arial" w:eastAsia="Arial" w:hAnsi="Arial"/>
                <w:sz w:val="16"/>
                <w:szCs w:val="16"/>
                <w:color w:val="auto"/>
                <w:w w:val="95"/>
              </w:rPr>
              <w:t>2028</w:t>
            </w:r>
          </w:p>
        </w:tc>
        <w:tc>
          <w:tcPr>
            <w:tcW w:w="5000" w:type="dxa"/>
            <w:vAlign w:val="bottom"/>
          </w:tcPr>
          <w:p>
            <w:pPr>
              <w:ind w:left="2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21"/>
                <w:szCs w:val="21"/>
                <w:color w:val="auto"/>
                <w:vertAlign w:val="superscript"/>
              </w:rPr>
              <w:t>(e)</w:t>
            </w:r>
          </w:p>
        </w:tc>
        <w:tc>
          <w:tcPr>
            <w:tcW w:w="300" w:type="dxa"/>
            <w:vAlign w:val="bottom"/>
          </w:tcPr>
          <w:p>
            <w:pPr>
              <w:spacing w:after="0"/>
              <w:rPr>
                <w:sz w:val="23"/>
                <w:szCs w:val="23"/>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600</w:t>
            </w:r>
          </w:p>
        </w:tc>
        <w:tc>
          <w:tcPr>
            <w:tcW w:w="1920" w:type="dxa"/>
            <w:vAlign w:val="bottom"/>
          </w:tcPr>
          <w:p>
            <w:pPr>
              <w:jc w:val="right"/>
              <w:ind w:right="178"/>
              <w:spacing w:after="0"/>
              <w:rPr>
                <w:sz w:val="20"/>
                <w:szCs w:val="20"/>
                <w:color w:val="auto"/>
              </w:rPr>
            </w:pPr>
            <w:r>
              <w:rPr>
                <w:rFonts w:ascii="Arial" w:cs="Arial" w:eastAsia="Arial" w:hAnsi="Arial"/>
                <w:sz w:val="18"/>
                <w:szCs w:val="18"/>
                <w:color w:val="auto"/>
              </w:rPr>
              <w:t>4.750</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53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Clearway Energy LLC and Clearway Energy Operating LLC Revolving Credit</w:t>
            </w:r>
          </w:p>
        </w:tc>
        <w:tc>
          <w:tcPr>
            <w:tcW w:w="3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L+2.00</w:t>
            </w:r>
          </w:p>
        </w:tc>
        <w:tc>
          <w:tcPr>
            <w:tcW w:w="1700" w:type="dxa"/>
            <w:vAlign w:val="bottom"/>
            <w:vMerge w:val="restart"/>
            <w:shd w:val="clear" w:color="auto" w:fill="CCEEFF"/>
          </w:tcPr>
          <w:p>
            <w:pPr>
              <w:jc w:val="right"/>
              <w:ind w:right="8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2"/>
        </w:trPr>
        <w:tc>
          <w:tcPr>
            <w:tcW w:w="538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Facility, due 2023 </w:t>
            </w:r>
            <w:r>
              <w:rPr>
                <w:rFonts w:ascii="Arial" w:cs="Arial" w:eastAsia="Arial" w:hAnsi="Arial"/>
                <w:sz w:val="21"/>
                <w:szCs w:val="21"/>
                <w:color w:val="auto"/>
                <w:vertAlign w:val="superscript"/>
              </w:rPr>
              <w:t>(c)</w:t>
            </w:r>
          </w:p>
        </w:tc>
        <w:tc>
          <w:tcPr>
            <w:tcW w:w="3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Project-level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6374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ectPr>
          <w:pgSz w:w="11900" w:h="16838" w:orient="portrait"/>
          <w:cols w:equalWidth="0" w:num="1">
            <w:col w:w="11240"/>
          </w:cols>
          <w:pgMar w:left="320" w:top="891" w:right="339" w:bottom="781"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Alpine, due 2022 </w:t>
      </w:r>
      <w:r>
        <w:rPr>
          <w:rFonts w:ascii="Arial" w:cs="Arial" w:eastAsia="Arial" w:hAnsi="Arial"/>
          <w:sz w:val="21"/>
          <w:szCs w:val="21"/>
          <w:color w:val="auto"/>
          <w:vertAlign w:val="superscript"/>
        </w:rPr>
        <w:t>(d)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Alta Wind I-V lease financing arrangements, due 2034 and 2035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Buckthorn Solar, due 2025</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Carlsbad Holdco, due 2038</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Carlsbad Energy Holdings LLC, due 2027 and 2038</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Chestnut Borrower, LLC, due 2024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CS4 Borrower, due 2026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CVSR, due 2037 </w:t>
      </w:r>
      <w:r>
        <w:rPr>
          <w:rFonts w:ascii="Arial" w:cs="Arial" w:eastAsia="Arial" w:hAnsi="Arial"/>
          <w:sz w:val="21"/>
          <w:szCs w:val="21"/>
          <w:color w:val="auto"/>
          <w:vertAlign w:val="superscript"/>
        </w:rPr>
        <w:t>(d)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CVSR Holdco Notes, due 2037 </w:t>
      </w:r>
      <w:r>
        <w:rPr>
          <w:rFonts w:ascii="Arial" w:cs="Arial" w:eastAsia="Arial" w:hAnsi="Arial"/>
          <w:sz w:val="21"/>
          <w:szCs w:val="21"/>
          <w:color w:val="auto"/>
          <w:vertAlign w:val="superscript"/>
        </w:rPr>
        <w:t>(d)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Duquesne, due 2059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 Segundo Energy Center, due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Energy Center Minneapolis Series D, E, F, G, H Notes, due 2025-2037</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Laredo Ridge, due 2028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Kansas South, due 2030 </w:t>
      </w:r>
      <w:r>
        <w:rPr>
          <w:rFonts w:ascii="Arial" w:cs="Arial" w:eastAsia="Arial" w:hAnsi="Arial"/>
          <w:sz w:val="21"/>
          <w:szCs w:val="21"/>
          <w:color w:val="auto"/>
          <w:vertAlign w:val="superscript"/>
        </w:rPr>
        <w:t>(d)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Kawailoa Solar Holdings LLC, due 2026</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Marsh Landing, due 2023 </w:t>
      </w:r>
      <w:r>
        <w:rPr>
          <w:rFonts w:ascii="Arial" w:cs="Arial" w:eastAsia="Arial" w:hAnsi="Arial"/>
          <w:sz w:val="21"/>
          <w:szCs w:val="21"/>
          <w:color w:val="auto"/>
          <w:vertAlign w:val="superscript"/>
        </w:rPr>
        <w:t>(d)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Oahu Solar Holdings LLC, due 2026</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Repowering Partnership Holdco LLC, due 2020 </w:t>
      </w:r>
      <w:r>
        <w:rPr>
          <w:rFonts w:ascii="Arial" w:cs="Arial" w:eastAsia="Arial" w:hAnsi="Arial"/>
          <w:sz w:val="21"/>
          <w:szCs w:val="21"/>
          <w:color w:val="auto"/>
          <w:vertAlign w:val="superscript"/>
        </w:rPr>
        <w:t>(b)</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South Trent, due 2028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Tapestry, due 2031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Utah Solar Portfolio, due 2022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Viento, due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Walnut Creek, due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Subtotal project-level debt:</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maturities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debt issuance costs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Add premiums </w:t>
      </w:r>
      <w:r>
        <w:rPr>
          <w:rFonts w:ascii="Arial" w:cs="Arial" w:eastAsia="Arial" w:hAnsi="Arial"/>
          <w:sz w:val="21"/>
          <w:szCs w:val="21"/>
          <w:color w:val="auto"/>
          <w:vertAlign w:val="superscript"/>
        </w:rPr>
        <w:t>(e)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2743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23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117</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816</w:t>
            </w:r>
          </w:p>
        </w:tc>
        <w:tc>
          <w:tcPr>
            <w:tcW w:w="74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128</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215</w:t>
            </w: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-325120</wp:posOffset>
            </wp:positionV>
            <wp:extent cx="706374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17145</wp:posOffset>
            </wp:positionV>
            <wp:extent cx="70637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 w:lineRule="exact"/>
        <w:rPr>
          <w:sz w:val="20"/>
          <w:szCs w:val="20"/>
          <w:color w:val="auto"/>
        </w:rPr>
      </w:pPr>
    </w:p>
    <w:p>
      <w:pPr>
        <w:ind w:left="1700" w:hanging="1210"/>
        <w:spacing w:after="0"/>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582</w:t>
      </w:r>
    </w:p>
    <w:p>
      <w:pPr>
        <w:spacing w:after="0" w:line="74" w:lineRule="exact"/>
        <w:rPr>
          <w:rFonts w:ascii="Arial" w:cs="Arial" w:eastAsia="Arial" w:hAnsi="Arial"/>
          <w:sz w:val="17"/>
          <w:szCs w:val="17"/>
          <w:color w:val="auto"/>
        </w:rPr>
      </w:pPr>
    </w:p>
    <w:p>
      <w:pPr>
        <w:ind w:left="1780" w:hanging="1284"/>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780" w:hanging="1290"/>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-139065</wp:posOffset>
            </wp:positionV>
            <wp:extent cx="706374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684</w:t>
            </w:r>
          </w:p>
        </w:tc>
        <w:tc>
          <w:tcPr>
            <w:tcW w:w="74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176</w:t>
            </w: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269</w:t>
            </w: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327</w:t>
            </w:r>
          </w:p>
        </w:tc>
        <w:tc>
          <w:tcPr>
            <w:tcW w:w="7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81</w:t>
            </w: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82</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190</w:t>
            </w: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-1353820</wp:posOffset>
            </wp:positionV>
            <wp:extent cx="706374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-1010920</wp:posOffset>
            </wp:positionV>
            <wp:extent cx="706374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-668020</wp:posOffset>
            </wp:positionV>
            <wp:extent cx="706374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06374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17145</wp:posOffset>
            </wp:positionV>
            <wp:extent cx="706374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 w:lineRule="exact"/>
        <w:rPr>
          <w:sz w:val="20"/>
          <w:szCs w:val="20"/>
          <w:color w:val="auto"/>
        </w:rPr>
      </w:pPr>
    </w:p>
    <w:p>
      <w:pPr>
        <w:ind w:left="1780" w:hanging="1200"/>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91</w:t>
      </w:r>
    </w:p>
    <w:p>
      <w:pPr>
        <w:spacing w:after="0" w:line="6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31750</wp:posOffset>
            </wp:positionV>
            <wp:extent cx="706374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40</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149</w:t>
            </w: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247</w:t>
            </w:r>
          </w:p>
        </w:tc>
        <w:tc>
          <w:tcPr>
            <w:tcW w:w="74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-153670</wp:posOffset>
            </wp:positionV>
            <wp:extent cx="706374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 w:lineRule="exact"/>
        <w:rPr>
          <w:sz w:val="20"/>
          <w:szCs w:val="20"/>
          <w:color w:val="auto"/>
        </w:rPr>
      </w:pPr>
    </w:p>
    <w:p>
      <w:pPr>
        <w:ind w:left="1780" w:hanging="1178"/>
        <w:spacing w:after="0"/>
        <w:tabs>
          <w:tab w:leader="none" w:pos="17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31750</wp:posOffset>
            </wp:positionV>
            <wp:extent cx="706374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43" w:lineRule="exact"/>
        <w:rPr>
          <w:sz w:val="20"/>
          <w:szCs w:val="20"/>
          <w:color w:val="auto"/>
        </w:rPr>
      </w:pPr>
    </w:p>
    <w:p>
      <w:pPr>
        <w:ind w:left="1700" w:hanging="1179"/>
        <w:spacing w:after="0"/>
        <w:tabs>
          <w:tab w:leader="none" w:pos="1700" w:val="left"/>
        </w:tabs>
        <w:numPr>
          <w:ilvl w:val="0"/>
          <w:numId w:val="19"/>
        </w:numPr>
        <w:rPr>
          <w:rFonts w:ascii="Arial" w:cs="Arial" w:eastAsia="Arial" w:hAnsi="Arial"/>
          <w:sz w:val="15"/>
          <w:szCs w:val="15"/>
          <w:color w:val="auto"/>
        </w:rPr>
      </w:pPr>
      <w:r>
        <w:rPr>
          <w:rFonts w:ascii="Arial" w:cs="Arial" w:eastAsia="Arial" w:hAnsi="Arial"/>
          <w:sz w:val="17"/>
          <w:szCs w:val="17"/>
          <w:color w:val="auto"/>
        </w:rPr>
        <w:t>175</w:t>
      </w:r>
    </w:p>
    <w:p>
      <w:pPr>
        <w:spacing w:after="0" w:line="75" w:lineRule="exact"/>
        <w:rPr>
          <w:sz w:val="20"/>
          <w:szCs w:val="20"/>
          <w:color w:val="auto"/>
        </w:rPr>
      </w:pPr>
    </w:p>
    <w:p>
      <w:pPr>
        <w:ind w:left="1700" w:hanging="1179"/>
        <w:spacing w:after="0"/>
        <w:tabs>
          <w:tab w:leader="none" w:pos="1700" w:val="left"/>
        </w:tabs>
        <w:numPr>
          <w:ilvl w:val="0"/>
          <w:numId w:val="20"/>
        </w:numPr>
        <w:rPr>
          <w:rFonts w:ascii="Arial" w:cs="Arial" w:eastAsia="Arial" w:hAnsi="Arial"/>
          <w:sz w:val="15"/>
          <w:szCs w:val="15"/>
          <w:color w:val="auto"/>
        </w:rPr>
      </w:pPr>
      <w:r>
        <w:rPr>
          <w:rFonts w:ascii="Arial" w:cs="Arial" w:eastAsia="Arial" w:hAnsi="Arial"/>
          <w:sz w:val="17"/>
          <w:szCs w:val="17"/>
          <w:color w:val="auto"/>
        </w:rPr>
        <w:t>296</w:t>
      </w:r>
    </w:p>
    <w:p>
      <w:pPr>
        <w:spacing w:after="0" w:line="88"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8"/>
          <w:szCs w:val="18"/>
          <w:color w:val="auto"/>
        </w:rPr>
        <w:t>5,008</w:t>
      </w:r>
      <w:r>
        <w:rPr>
          <w:rFonts w:ascii="Arial" w:cs="Arial" w:eastAsia="Arial" w:hAnsi="Arial"/>
          <w:sz w:val="15"/>
          <w:szCs w:val="15"/>
          <w:color w:val="auto"/>
        </w:rPr>
        <w:t>5,175</w:t>
      </w:r>
    </w:p>
    <w:p>
      <w:pPr>
        <w:spacing w:after="0" w:line="76"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8"/>
          <w:szCs w:val="18"/>
          <w:color w:val="auto"/>
        </w:rPr>
        <w:t>6,810</w:t>
      </w:r>
      <w:r>
        <w:rPr>
          <w:rFonts w:ascii="Arial" w:cs="Arial" w:eastAsia="Arial" w:hAnsi="Arial"/>
          <w:sz w:val="15"/>
          <w:szCs w:val="15"/>
          <w:color w:val="auto"/>
        </w:rPr>
        <w:t>6,857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31750</wp:posOffset>
            </wp:positionV>
            <wp:extent cx="706374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-327660</wp:posOffset>
            </wp:positionV>
            <wp:extent cx="706374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188595"/>
                    </a:xfrm>
                    <a:prstGeom prst="rect">
                      <a:avLst/>
                    </a:prstGeom>
                    <a:noFill/>
                  </pic:spPr>
                </pic:pic>
              </a:graphicData>
            </a:graphic>
          </wp:anchor>
        </w:drawing>
      </w:r>
    </w:p>
    <w:p>
      <w:pPr>
        <w:spacing w:after="0" w:line="43" w:lineRule="exact"/>
        <w:rPr>
          <w:sz w:val="20"/>
          <w:szCs w:val="20"/>
          <w:color w:val="auto"/>
        </w:rPr>
      </w:pPr>
    </w:p>
    <w:p>
      <w:pPr>
        <w:ind w:left="1480" w:hanging="1065"/>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(1,824)</w:t>
      </w:r>
    </w:p>
    <w:p>
      <w:pPr>
        <w:spacing w:after="0" w:line="86" w:lineRule="exact"/>
        <w:rPr>
          <w:sz w:val="20"/>
          <w:szCs w:val="20"/>
          <w:color w:val="auto"/>
        </w:rPr>
      </w:pPr>
    </w:p>
    <w:p>
      <w:pPr>
        <w:ind w:left="1700" w:hanging="1195"/>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(77)</w:t>
      </w:r>
    </w:p>
    <w:p>
      <w:pPr>
        <w:spacing w:after="0" w:line="8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-139065</wp:posOffset>
            </wp:positionV>
            <wp:extent cx="706374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340" w:val="left"/>
          <w:tab w:leader="none" w:pos="1020" w:val="left"/>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6,377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35445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5445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L+2.00</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5.696 - 7.015</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L+1.750</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000" w:type="dxa"/>
            <w:vAlign w:val="bottom"/>
          </w:tcPr>
          <w:p>
            <w:pPr>
              <w:ind w:left="760"/>
              <w:spacing w:after="0"/>
              <w:rPr>
                <w:sz w:val="20"/>
                <w:szCs w:val="20"/>
                <w:color w:val="auto"/>
              </w:rPr>
            </w:pPr>
            <w:r>
              <w:rPr>
                <w:rFonts w:ascii="Arial" w:cs="Arial" w:eastAsia="Arial" w:hAnsi="Arial"/>
                <w:sz w:val="18"/>
                <w:szCs w:val="18"/>
                <w:color w:val="auto"/>
              </w:rPr>
              <w:t>4.210</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2000" w:type="dxa"/>
            <w:vAlign w:val="bottom"/>
          </w:tcPr>
          <w:p>
            <w:pPr>
              <w:ind w:left="760"/>
              <w:spacing w:after="0"/>
              <w:rPr>
                <w:sz w:val="20"/>
                <w:szCs w:val="20"/>
                <w:color w:val="auto"/>
              </w:rPr>
            </w:pPr>
            <w:r>
              <w:rPr>
                <w:rFonts w:ascii="Arial" w:cs="Arial" w:eastAsia="Arial" w:hAnsi="Arial"/>
                <w:sz w:val="18"/>
                <w:szCs w:val="18"/>
                <w:color w:val="auto"/>
              </w:rPr>
              <w:t>various</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L+2.50</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L+2.00</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2.339 - 3.775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00" w:type="dxa"/>
            <w:vAlign w:val="bottom"/>
          </w:tcPr>
          <w:p>
            <w:pPr>
              <w:ind w:left="760"/>
              <w:spacing w:after="0"/>
              <w:rPr>
                <w:sz w:val="20"/>
                <w:szCs w:val="20"/>
                <w:color w:val="auto"/>
              </w:rPr>
            </w:pPr>
            <w:r>
              <w:rPr>
                <w:rFonts w:ascii="Arial" w:cs="Arial" w:eastAsia="Arial" w:hAnsi="Arial"/>
                <w:sz w:val="18"/>
                <w:szCs w:val="18"/>
                <w:color w:val="auto"/>
              </w:rPr>
              <w:t>4.680</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000" w:type="dxa"/>
            <w:vAlign w:val="bottom"/>
          </w:tcPr>
          <w:p>
            <w:pPr>
              <w:ind w:left="760"/>
              <w:spacing w:after="0"/>
              <w:rPr>
                <w:sz w:val="20"/>
                <w:szCs w:val="20"/>
                <w:color w:val="auto"/>
              </w:rPr>
            </w:pPr>
            <w:r>
              <w:rPr>
                <w:rFonts w:ascii="Arial" w:cs="Arial" w:eastAsia="Arial" w:hAnsi="Arial"/>
                <w:sz w:val="18"/>
                <w:szCs w:val="18"/>
                <w:color w:val="auto"/>
              </w:rPr>
              <w:t>4.620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000" w:type="dxa"/>
            <w:vAlign w:val="bottom"/>
          </w:tcPr>
          <w:p>
            <w:pPr>
              <w:jc w:val="right"/>
              <w:ind w:right="610"/>
              <w:spacing w:after="0"/>
              <w:rPr>
                <w:sz w:val="20"/>
                <w:szCs w:val="20"/>
                <w:color w:val="auto"/>
              </w:rPr>
            </w:pPr>
            <w:r>
              <w:rPr>
                <w:rFonts w:ascii="Arial" w:cs="Arial" w:eastAsia="Arial" w:hAnsi="Arial"/>
                <w:sz w:val="18"/>
                <w:szCs w:val="18"/>
                <w:color w:val="auto"/>
                <w:w w:val="93"/>
              </w:rPr>
              <w:t>L+1.75 - L+2.375</w:t>
            </w: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2000" w:type="dxa"/>
            <w:vAlign w:val="bottom"/>
          </w:tcPr>
          <w:p>
            <w:pPr>
              <w:ind w:left="760"/>
              <w:spacing w:after="0"/>
              <w:rPr>
                <w:sz w:val="20"/>
                <w:szCs w:val="20"/>
                <w:color w:val="auto"/>
              </w:rPr>
            </w:pPr>
            <w:r>
              <w:rPr>
                <w:rFonts w:ascii="Arial" w:cs="Arial" w:eastAsia="Arial" w:hAnsi="Arial"/>
                <w:sz w:val="18"/>
                <w:szCs w:val="18"/>
                <w:color w:val="auto"/>
              </w:rPr>
              <w:t>various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L+2.125</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L+2.25</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L+1.375</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L+2.125</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L+1.375</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L+.85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L+1.350</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L+1.375</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L+2.625</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L+2.00</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000" w:type="dxa"/>
            <w:vAlign w:val="bottom"/>
          </w:tcPr>
          <w:p>
            <w:pPr>
              <w:jc w:val="right"/>
              <w:ind w:right="610"/>
              <w:spacing w:after="0"/>
              <w:rPr>
                <w:sz w:val="20"/>
                <w:szCs w:val="20"/>
                <w:color w:val="auto"/>
              </w:rPr>
            </w:pPr>
            <w:r>
              <w:rPr>
                <w:rFonts w:ascii="Arial" w:cs="Arial" w:eastAsia="Arial" w:hAnsi="Arial"/>
                <w:sz w:val="18"/>
                <w:szCs w:val="18"/>
                <w:color w:val="auto"/>
              </w:rPr>
              <w:t>L+1.75</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000" w:type="dxa"/>
            <w:vAlign w:val="bottom"/>
          </w:tcPr>
          <w:p>
            <w:pPr>
              <w:ind w:left="760"/>
              <w:spacing w:after="0"/>
              <w:rPr>
                <w:sz w:val="20"/>
                <w:szCs w:val="20"/>
                <w:color w:val="auto"/>
              </w:rPr>
            </w:pPr>
            <w:r>
              <w:rPr>
                <w:rFonts w:ascii="Arial" w:cs="Arial" w:eastAsia="Arial" w:hAnsi="Arial"/>
                <w:sz w:val="18"/>
                <w:szCs w:val="18"/>
                <w:color w:val="auto"/>
              </w:rPr>
              <w:t>various</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859" w:lineRule="exact"/>
        <w:rPr>
          <w:sz w:val="20"/>
          <w:szCs w:val="20"/>
          <w:color w:val="auto"/>
        </w:rPr>
      </w:pPr>
    </w:p>
    <w:p>
      <w:pPr>
        <w:sectPr>
          <w:pgSz w:w="11900" w:h="16838" w:orient="portrait"/>
          <w:cols w:equalWidth="0" w:num="3">
            <w:col w:w="4680" w:space="720"/>
            <w:col w:w="2000" w:space="620"/>
            <w:col w:w="3220"/>
          </w:cols>
          <w:pgMar w:left="320" w:top="891" w:right="339" w:bottom="781" w:gutter="0" w:footer="0" w:header="0"/>
          <w:type w:val="continuous"/>
        </w:sectPr>
      </w:pPr>
    </w:p>
    <w:p>
      <w:pPr>
        <w:spacing w:after="0" w:line="318" w:lineRule="exact"/>
        <w:rPr>
          <w:sz w:val="20"/>
          <w:szCs w:val="20"/>
          <w:color w:val="auto"/>
        </w:rPr>
      </w:pPr>
    </w:p>
    <w:p>
      <w:pPr>
        <w:ind w:left="80" w:hanging="72"/>
        <w:spacing w:after="0" w:line="282" w:lineRule="auto"/>
        <w:tabs>
          <w:tab w:leader="none" w:pos="142"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As of June 30, 2020, L+ equals 3 month LIBOR plus x%, except for Viento, due 2023 and Kansas South, due 2030 where L+ equals 6 month LIBOR plus x% and Utah Solar Portfolio, where L+ equals 1 month LIBOR plus 2.625%</w:t>
      </w:r>
    </w:p>
    <w:p>
      <w:pPr>
        <w:ind w:left="160" w:hanging="152"/>
        <w:spacing w:after="0" w:line="187"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Repaid in the first quarter of 2020, as further described below</w:t>
      </w:r>
    </w:p>
    <w:p>
      <w:pPr>
        <w:ind w:left="160" w:hanging="152"/>
        <w:spacing w:after="0" w:line="192" w:lineRule="auto"/>
        <w:tabs>
          <w:tab w:leader="none" w:pos="16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ind w:left="160" w:hanging="152"/>
        <w:spacing w:after="0" w:line="219"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Entities affected by PG&amp;E Bankruptcy, see further discussion below</w:t>
      </w:r>
    </w:p>
    <w:p>
      <w:pPr>
        <w:ind w:left="160" w:hanging="152"/>
        <w:spacing w:after="0" w:line="223"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781" w:gutter="0" w:footer="0" w:header="0"/>
          <w:type w:val="continuous"/>
        </w:sectPr>
      </w:pPr>
    </w:p>
    <w:bookmarkStart w:id="31" w:name="page32"/>
    <w:bookmarkEnd w:id="31"/>
    <w:p>
      <w:pPr>
        <w:jc w:val="both"/>
        <w:ind w:firstLine="405"/>
        <w:spacing w:after="0" w:line="259"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June 30, 2020, the Company was in compliance with all of the required covenants, other than any covenants impacted by the PG&amp;E Bankruptcy, as discussed below. The discussion below describes material changes to or additions of long-term debt for the six months ended June 30,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June 30, 2020, the Company had no outstanding borrowings under the revolving credit facility and $56 million in letters of credit outstanding. During the six months ended June 30, 2020, the Company borrowed $265 million under the revolving credit facility, and subsequently repaid $265 million utilizing the proceeds from the issuance of additional 2028 Senior Notes, as described below, and cash on hand.</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outstanding long-term debt to Clearway Energy, Inc. which were in turn utilized to repay the $45 million outstanding principal amount of Clearway Energy, Inc.’s 2020 Convertible Notes on June 1, 2020, as well as to repay amounts outstanding under the Company's revolving credit facility and for general corporate purposes.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2024 Senior Notes Redemption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January 3, 2020, the Company redeemed the $88 million aggregate principal amount of the 2024 Senior Notes that remained outstanding</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Intercompany Note with Clearway Energy, Inc.</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2020, distributions from all PG&amp;E affected projects to Clearway Energy Operating LLC were prohibited under the related debt agreements. 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The Company has reclassified the related debt to non-current based on its original maturity as of June 30, 2020.</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February 2020, the Company repaid $260 million of construction debt outstanding under the construction loan facility. The repayment was effectuated with the proceeds from the tax equity contributions for Wildorado TE Holdco, as further descried in Note 4,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as well as with the contributions by the Company.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Upon consolidation of DGPV Holdco 3, as described in Note 4, Investments Accounted for by the Equity Method and Variable Interest Entities, the Company consolidates additional non-recourse debt for certain subsidiaries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405"/>
        <w:spacing w:after="0" w:line="293" w:lineRule="auto"/>
        <w:rPr>
          <w:sz w:val="20"/>
          <w:szCs w:val="20"/>
          <w:color w:val="auto"/>
        </w:rPr>
      </w:pPr>
      <w:r>
        <w:rPr>
          <w:rFonts w:ascii="Arial" w:cs="Arial" w:eastAsia="Arial" w:hAnsi="Arial"/>
          <w:sz w:val="16"/>
          <w:szCs w:val="16"/>
          <w:color w:val="auto"/>
        </w:rPr>
        <w:t>Renew CS4 Borrower LLC, or CS4 Borrower, a consolidated subsidiary of DGPV Holdco 3, is party to a credit agreement for construction loans up to $97.4 million, an investment tax credit bridge loan, or ITC bridge loan, for up to $89.9 million and letter of credit facilities up to $4.9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bears annual interest at a rate of LIBOR plus an applicable margin, which is 2.00% per annum through the third anniversary of the term conversion, and 2.25% per annum thereafter through the maturity date in June 2026. The borrowings are secured by the membership interests in the project companies.</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$120.3 million and letters of credit of up to $7.9 million. The loans bear annual interest at a rate of LIBOR plus an applicable margin, which is 2.50% per annum through the fifth anniversary of the financial closing date, or July 2022, and 2.75% per annum thereafter through the maturity date in April 2024. The borrowings are secured by the membership interests in the project companies.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3"/>
          </w:tcPr>
          <w:p>
            <w:pPr>
              <w:ind w:left="600"/>
              <w:spacing w:after="0"/>
              <w:rPr>
                <w:sz w:val="20"/>
                <w:szCs w:val="20"/>
                <w:color w:val="auto"/>
              </w:rPr>
            </w:pPr>
            <w:r>
              <w:rPr>
                <w:rFonts w:ascii="Arial" w:cs="Arial" w:eastAsia="Arial" w:hAnsi="Arial"/>
                <w:sz w:val="14"/>
                <w:szCs w:val="14"/>
                <w:b w:val="1"/>
                <w:bCs w:val="1"/>
                <w:color w:val="auto"/>
              </w:rPr>
              <w:t>Three months ended June 30, 2020</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0"/>
              </w:rPr>
              <w:t>Conventional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1"/>
              </w:rPr>
              <w:t>Renewables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5"/>
              </w:rPr>
              <w:t>Thermal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Generation</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Cost of operations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Development costs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Gain on sale of unconsolidated affiliate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2,674</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6,290</w:t>
            </w:r>
          </w:p>
        </w:tc>
        <w:tc>
          <w:tcPr>
            <w:tcW w:w="3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613</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602"/>
        </w:trPr>
        <w:tc>
          <w:tcPr>
            <w:tcW w:w="4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3"/>
          </w:tcPr>
          <w:p>
            <w:pPr>
              <w:jc w:val="center"/>
              <w:ind w:right="240"/>
              <w:spacing w:after="0"/>
              <w:rPr>
                <w:sz w:val="20"/>
                <w:szCs w:val="20"/>
                <w:color w:val="auto"/>
              </w:rPr>
            </w:pPr>
            <w:r>
              <w:rPr>
                <w:rFonts w:ascii="Arial" w:cs="Arial" w:eastAsia="Arial" w:hAnsi="Arial"/>
                <w:sz w:val="14"/>
                <w:szCs w:val="14"/>
                <w:b w:val="1"/>
                <w:bCs w:val="1"/>
                <w:color w:val="auto"/>
                <w:w w:val="91"/>
              </w:rPr>
              <w:t>Three months ended June 30, 2019</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2"/>
              <w:spacing w:after="0" w:line="153" w:lineRule="exact"/>
              <w:rPr>
                <w:sz w:val="20"/>
                <w:szCs w:val="20"/>
                <w:color w:val="auto"/>
              </w:rPr>
            </w:pPr>
            <w:r>
              <w:rPr>
                <w:rFonts w:ascii="Arial" w:cs="Arial" w:eastAsia="Arial" w:hAnsi="Arial"/>
                <w:sz w:val="14"/>
                <w:szCs w:val="14"/>
                <w:b w:val="1"/>
                <w:bCs w:val="1"/>
                <w:color w:val="auto"/>
                <w:w w:val="96"/>
              </w:rPr>
              <w:t>Conventional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Renewables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5"/>
              </w:rPr>
              <w:t>Thermal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Generation</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Cost of operations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Impairment losses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Acquisition-related transaction and integration costs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Development costs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0"/>
              </w:rPr>
              <w:t>Six months ended June 30, 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Generation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affiliates</w:t>
            </w:r>
          </w:p>
        </w:tc>
        <w:tc>
          <w:tcPr>
            <w:tcW w:w="1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0"/>
              </w:rPr>
              <w:t>Six months ended June 30, 2019</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Generation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91" w:right="5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73" w:lineRule="auto"/>
        <w:tabs>
          <w:tab w:leader="none" w:pos="2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Maintenance LLC, or RENOM, a wholly-owned subsidiary of CEG, which provides operation and maintenance, or O&amp;M, to these subsidiaries. The Company incurred total expenses for these services of $9 million and $18 million for each of the three and six months ended June 30, 2020, respectively. The Company incurred total expenses for these services of $7 million and $14 million for each of the three and six months ended June 30, 2019, respectively. There was a balance of $9 million and $7 million due to RENOM as of June 30, 2020 and December 31, 2019, respectively.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$2 million and $4 million for each of the three and six months ended June 30, 2020, respectively. The Company incurred expenses under these agreements of $1 million and $3 million for each of the three and six months ended June 30, 2019, respectively.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 and amounts due to the Company from CEG and subsidiaries are recorded as accounts receivable - affiliate on the Company's consolidated balance sheet. The Company incurred expenses of $0.6 million and $1.2 million under these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for each of the three and six months ended June 30, 2020, respectively. The expenses under these agreements were immaterial to the Company's financials for each of the three and six months ended June 30,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June 30, 2020, Clearway Energy Operating LLC had outstanding $600 million of the 2025 Senior Notes, $350 million of the 2026 Senior Notes and $850 million of the 2028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2019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June 30, 2020:</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CBAD Holdings 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CWEN Pinnacle Repowering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 SREC HoldCo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ECP Uptown Campus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Caguas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Fajardo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Hawaii Development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 Fuel Cell, LLC</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left="36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Three Months Ended June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9"/>
              </w:rPr>
              <w:t>Other Guarantor</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40"/>
              <w:spacing w:after="0"/>
              <w:rPr>
                <w:sz w:val="20"/>
                <w:szCs w:val="20"/>
                <w:color w:val="auto"/>
              </w:rPr>
            </w:pPr>
            <w:r>
              <w:rPr>
                <w:rFonts w:ascii="Arial" w:cs="Arial" w:eastAsia="Arial" w:hAnsi="Arial"/>
                <w:sz w:val="18"/>
                <w:szCs w:val="18"/>
                <w:color w:val="auto"/>
              </w:rPr>
              <w:t>Cost of operations</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Acquisition-related transaction and integration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20"/>
              <w:spacing w:after="0"/>
              <w:rPr>
                <w:sz w:val="20"/>
                <w:szCs w:val="20"/>
                <w:color w:val="auto"/>
              </w:rPr>
            </w:pPr>
            <w:r>
              <w:rPr>
                <w:rFonts w:ascii="Arial" w:cs="Arial" w:eastAsia="Arial" w:hAnsi="Arial"/>
                <w:sz w:val="18"/>
                <w:szCs w:val="18"/>
                <w:color w:val="auto"/>
              </w:rPr>
              <w:t>Development costs</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40"/>
              <w:spacing w:after="0"/>
              <w:rPr>
                <w:sz w:val="20"/>
                <w:szCs w:val="20"/>
                <w:color w:val="auto"/>
              </w:rPr>
            </w:pPr>
            <w:r>
              <w:rPr>
                <w:rFonts w:ascii="Arial" w:cs="Arial" w:eastAsia="Arial" w:hAnsi="Arial"/>
                <w:sz w:val="18"/>
                <w:szCs w:val="18"/>
                <w:color w:val="auto"/>
                <w:w w:val="99"/>
              </w:rPr>
              <w:t>Equity in earnings of consolidated affiliates</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660" w:type="dxa"/>
            <w:vAlign w:val="bottom"/>
          </w:tcPr>
          <w:p>
            <w:pPr>
              <w:ind w:left="2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6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Net (loss) income attributable to</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6"/>
              </w:rPr>
              <w:t>Net Income Attributable to Clearway Energy</w:t>
            </w:r>
          </w:p>
        </w:tc>
        <w:tc>
          <w:tcPr>
            <w:tcW w:w="26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8"/>
        </w:trPr>
        <w:tc>
          <w:tcPr>
            <w:tcW w:w="36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LLC</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60"/>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26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Acquisition-related transaction and integration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Equity in earnings of consolidated affiliates</w:t>
            </w:r>
          </w:p>
        </w:tc>
        <w:tc>
          <w:tcPr>
            <w:tcW w:w="260" w:type="dxa"/>
            <w:vAlign w:val="bottom"/>
          </w:tcPr>
          <w:p>
            <w:pPr>
              <w:spacing w:after="0"/>
              <w:rPr>
                <w:sz w:val="21"/>
                <w:szCs w:val="21"/>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Equity in (losses) earnings of unconsolidated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6"/>
        </w:trPr>
        <w:tc>
          <w:tcPr>
            <w:tcW w:w="358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580" w:type="dxa"/>
            <w:vAlign w:val="bottom"/>
          </w:tcPr>
          <w:p>
            <w:pPr>
              <w:ind w:left="160"/>
              <w:spacing w:after="0"/>
              <w:rPr>
                <w:sz w:val="20"/>
                <w:szCs w:val="20"/>
                <w:color w:val="auto"/>
              </w:rPr>
            </w:pPr>
            <w:r>
              <w:rPr>
                <w:rFonts w:ascii="Arial" w:cs="Arial" w:eastAsia="Arial" w:hAnsi="Arial"/>
                <w:sz w:val="18"/>
                <w:szCs w:val="18"/>
                <w:color w:val="auto"/>
                <w:w w:val="98"/>
              </w:rPr>
              <w:t>Less: Net loss attributable to noncontrolling</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4"/>
              </w:rPr>
              <w:t>Net Income Attributable to Clearway Energy</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LLC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80" w:hanging="149"/>
        <w:spacing w:after="0"/>
        <w:tabs>
          <w:tab w:leader="none" w:pos="38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66" w:lineRule="exact"/>
        <w:rPr>
          <w:rFonts w:ascii="Arial" w:cs="Arial" w:eastAsia="Arial" w:hAnsi="Arial"/>
          <w:sz w:val="18"/>
          <w:szCs w:val="18"/>
          <w:color w:val="auto"/>
          <w:vertAlign w:val="superscript"/>
        </w:rPr>
      </w:pPr>
    </w:p>
    <w:p>
      <w:pPr>
        <w:ind w:left="5520"/>
        <w:spacing w:after="0"/>
        <w:rPr>
          <w:rFonts w:ascii="Arial" w:cs="Arial" w:eastAsia="Arial" w:hAnsi="Arial"/>
          <w:sz w:val="18"/>
          <w:szCs w:val="18"/>
          <w:color w:val="auto"/>
          <w:vertAlign w:val="superscript"/>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9" w:name="page40"/>
    <w:bookmarkEnd w:id="39"/>
    <w:p>
      <w:pPr>
        <w:jc w:val="center"/>
        <w:ind w:right="-11"/>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Three Months Ended June 30, 2020</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9"/>
              </w:rPr>
              <w:t>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income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64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56"/>
        </w:trPr>
        <w:tc>
          <w:tcPr>
            <w:tcW w:w="3640" w:type="dxa"/>
            <w:vAlign w:val="bottom"/>
          </w:tcPr>
          <w:p>
            <w:pPr>
              <w:ind w:left="260"/>
              <w:spacing w:after="0" w:line="156" w:lineRule="exact"/>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left="413"/>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Comprehensive Income Attributable to</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center"/>
              <w:ind w:left="413"/>
              <w:spacing w:after="0"/>
              <w:rPr>
                <w:sz w:val="20"/>
                <w:szCs w:val="20"/>
                <w:color w:val="auto"/>
              </w:rPr>
            </w:pPr>
            <w:r>
              <w:rPr>
                <w:rFonts w:ascii="Arial" w:cs="Arial" w:eastAsia="Arial" w:hAnsi="Arial"/>
                <w:sz w:val="18"/>
                <w:szCs w:val="18"/>
                <w:color w:val="auto"/>
                <w:w w:val="89"/>
              </w:rPr>
              <w:t>97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1379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93"/>
              </w:rPr>
              <w:t>(95)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loss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513"/>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640" w:type="dxa"/>
            <w:vAlign w:val="bottom"/>
          </w:tcPr>
          <w:p>
            <w:pPr>
              <w:ind w:left="3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413"/>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left="513"/>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93"/>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473"/>
              <w:spacing w:after="0"/>
              <w:rPr>
                <w:sz w:val="20"/>
                <w:szCs w:val="20"/>
                <w:color w:val="auto"/>
              </w:rPr>
            </w:pPr>
            <w:r>
              <w:rPr>
                <w:rFonts w:ascii="Arial" w:cs="Arial" w:eastAsia="Arial" w:hAnsi="Arial"/>
                <w:sz w:val="18"/>
                <w:szCs w:val="18"/>
                <w:color w:val="auto"/>
                <w:w w:val="93"/>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6"/>
        </w:trPr>
        <w:tc>
          <w:tcPr>
            <w:tcW w:w="3640" w:type="dxa"/>
            <w:vAlign w:val="bottom"/>
          </w:tcPr>
          <w:p>
            <w:pPr>
              <w:ind w:left="260"/>
              <w:spacing w:after="0" w:line="156" w:lineRule="exact"/>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left="413"/>
              <w:spacing w:after="0"/>
              <w:rPr>
                <w:sz w:val="20"/>
                <w:szCs w:val="20"/>
                <w:color w:val="auto"/>
              </w:rPr>
            </w:pPr>
            <w:r>
              <w:rPr>
                <w:rFonts w:ascii="Arial" w:cs="Arial" w:eastAsia="Arial" w:hAnsi="Arial"/>
                <w:sz w:val="18"/>
                <w:szCs w:val="18"/>
                <w:color w:val="auto"/>
                <w:w w:val="93"/>
              </w:rPr>
              <w:t>(59)</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ind w:left="6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center"/>
              <w:ind w:left="513"/>
              <w:spacing w:after="0"/>
              <w:rPr>
                <w:sz w:val="20"/>
                <w:szCs w:val="20"/>
                <w:color w:val="auto"/>
              </w:rPr>
            </w:pPr>
            <w:r>
              <w:rPr>
                <w:rFonts w:ascii="Arial" w:cs="Arial" w:eastAsia="Arial" w:hAnsi="Arial"/>
                <w:sz w:val="18"/>
                <w:szCs w:val="18"/>
                <w:color w:val="auto"/>
                <w:w w:val="99"/>
              </w:rPr>
              <w:t>—</w:t>
            </w:r>
          </w:p>
        </w:tc>
        <w:tc>
          <w:tcPr>
            <w:tcW w:w="10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Comprehensive Income Attributable to</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center"/>
              <w:ind w:left="413"/>
              <w:spacing w:after="0"/>
              <w:rPr>
                <w:sz w:val="20"/>
                <w:szCs w:val="20"/>
                <w:color w:val="auto"/>
              </w:rPr>
            </w:pPr>
            <w:r>
              <w:rPr>
                <w:rFonts w:ascii="Arial" w:cs="Arial" w:eastAsia="Arial" w:hAnsi="Arial"/>
                <w:sz w:val="18"/>
                <w:szCs w:val="18"/>
                <w:color w:val="auto"/>
                <w:w w:val="89"/>
              </w:rPr>
              <w:t>37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center"/>
              <w:ind w:left="473"/>
              <w:spacing w:after="0"/>
              <w:rPr>
                <w:sz w:val="20"/>
                <w:szCs w:val="20"/>
                <w:color w:val="auto"/>
              </w:rPr>
            </w:pPr>
            <w:r>
              <w:rPr>
                <w:rFonts w:ascii="Arial" w:cs="Arial" w:eastAsia="Arial" w:hAnsi="Arial"/>
                <w:sz w:val="18"/>
                <w:szCs w:val="18"/>
                <w:color w:val="auto"/>
                <w:w w:val="93"/>
              </w:rPr>
              <w:t>(75)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13798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91"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3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Clearway Energy</w:t>
            </w:r>
          </w:p>
        </w:tc>
        <w:tc>
          <w:tcPr>
            <w:tcW w:w="12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9"/>
              </w:rPr>
              <w:t>Other Guarantor</w:t>
            </w:r>
          </w:p>
        </w:tc>
        <w:tc>
          <w:tcPr>
            <w:tcW w:w="12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Non-Guarantor</w:t>
            </w:r>
          </w:p>
        </w:tc>
        <w:tc>
          <w:tcPr>
            <w:tcW w:w="12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(a)</w:t>
            </w:r>
          </w:p>
        </w:tc>
        <w:tc>
          <w:tcPr>
            <w:tcW w:w="140" w:type="dxa"/>
            <w:vAlign w:val="bottom"/>
          </w:tcPr>
          <w:p>
            <w:pPr>
              <w:spacing w:after="0"/>
              <w:rPr>
                <w:sz w:val="13"/>
                <w:szCs w:val="13"/>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14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 trade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Accounts receivable — affiliate</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Investment in consolidated subsidiaries</w:t>
            </w:r>
          </w:p>
        </w:tc>
        <w:tc>
          <w:tcPr>
            <w:tcW w:w="3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investments in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 of use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64"/>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640" w:type="dxa"/>
            <w:vAlign w:val="bottom"/>
          </w:tcPr>
          <w:p>
            <w:pPr>
              <w:ind w:left="280"/>
              <w:spacing w:after="0"/>
              <w:rPr>
                <w:sz w:val="20"/>
                <w:szCs w:val="20"/>
                <w:color w:val="auto"/>
              </w:rPr>
            </w:pPr>
            <w:r>
              <w:rPr>
                <w:rFonts w:ascii="Arial" w:cs="Arial" w:eastAsia="Arial" w:hAnsi="Arial"/>
                <w:sz w:val="16"/>
                <w:szCs w:val="16"/>
                <w:b w:val="1"/>
                <w:bCs w:val="1"/>
                <w:color w:val="auto"/>
              </w:rPr>
              <w:t>LIABILITIES AND MEMBERS' EQUITY</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5"/>
          </w:tcPr>
          <w:p>
            <w:pPr>
              <w:ind w:left="9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w w:val="98"/>
              </w:rPr>
              <w:t>Current portion of long-term debt — external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 — affiliate</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expense</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5"/>
              </w:rPr>
              <w:t>Accrued expenses and other current liabilities</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Contributed capital</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Clearway Energy</w:t>
            </w: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Cash (Used in) Provided by Operating Activities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Intercompany transactions between Clearway Energy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LLC and subsidiaries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Consolidation of DGPV Holdco 3</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Proceeds from sale of assets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Insurance proceeds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w w:val="96"/>
              </w:rPr>
              <w:t>Net Cash (Used in) Provided by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left="271"/>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Transfer of funds under intercompany cash</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management arrangement</w:t>
            </w:r>
          </w:p>
        </w:tc>
        <w:tc>
          <w:tcPr>
            <w:tcW w:w="28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89"/>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Buyout of Repowering Partnership II noncontrolling</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proceeds from the issuance of Class C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of dividends and distributions</w:t>
            </w:r>
          </w:p>
        </w:tc>
        <w:tc>
          <w:tcPr>
            <w:tcW w:w="280" w:type="dxa"/>
            <w:vAlign w:val="bottom"/>
          </w:tcPr>
          <w:p>
            <w:pPr>
              <w:spacing w:after="0"/>
              <w:rPr>
                <w:sz w:val="21"/>
                <w:szCs w:val="21"/>
                <w:color w:val="auto"/>
              </w:rPr>
            </w:pPr>
          </w:p>
        </w:tc>
        <w:tc>
          <w:tcPr>
            <w:tcW w:w="880" w:type="dxa"/>
            <w:vAlign w:val="bottom"/>
          </w:tcPr>
          <w:p>
            <w:pPr>
              <w:jc w:val="center"/>
              <w:ind w:left="251"/>
              <w:spacing w:after="0"/>
              <w:rPr>
                <w:sz w:val="20"/>
                <w:szCs w:val="20"/>
                <w:color w:val="auto"/>
              </w:rPr>
            </w:pPr>
            <w:r>
              <w:rPr>
                <w:rFonts w:ascii="Arial" w:cs="Arial" w:eastAsia="Arial" w:hAnsi="Arial"/>
                <w:sz w:val="18"/>
                <w:szCs w:val="18"/>
                <w:color w:val="auto"/>
                <w:w w:val="93"/>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for the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Proceeds from the issuance of long-term debt —</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external. . . . .</w:t>
            </w:r>
          </w:p>
        </w:tc>
        <w:tc>
          <w:tcPr>
            <w:tcW w:w="28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Proceeds from long-term debt — affiliate</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for long-term debt — affiliate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w w:val="95"/>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Increase (Decrease) in Cash, Cash Equivalents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4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89"/>
              </w:rPr>
              <w:t>58</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period</w:t>
            </w:r>
          </w:p>
        </w:tc>
        <w:tc>
          <w:tcPr>
            <w:tcW w:w="280" w:type="dxa"/>
            <w:vAlign w:val="bottom"/>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280" w:type="dxa"/>
            <w:vAlign w:val="bottom"/>
            <w:gridSpan w:val="2"/>
            <w:vMerge w:val="continue"/>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10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1340" w:type="dxa"/>
            <w:vAlign w:val="bottom"/>
            <w:gridSpan w:val="2"/>
            <w:vMerge w:val="continue"/>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w w:val="89"/>
              </w:rPr>
              <w:t>43</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2"/>
                <w:szCs w:val="12"/>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920" w:type="dxa"/>
            <w:vAlign w:val="bottom"/>
            <w:gridSpan w:val="2"/>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1"/>
                <w:szCs w:val="21"/>
                <w:color w:val="auto"/>
              </w:rPr>
            </w:pPr>
          </w:p>
        </w:tc>
        <w:tc>
          <w:tcPr>
            <w:tcW w:w="920" w:type="dxa"/>
            <w:vAlign w:val="bottom"/>
            <w:gridSpan w:val="2"/>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3420" w:type="dxa"/>
            <w:vAlign w:val="bottom"/>
          </w:tcPr>
          <w:p>
            <w:pPr>
              <w:ind w:left="140"/>
              <w:spacing w:after="0" w:line="176" w:lineRule="exact"/>
              <w:rPr>
                <w:sz w:val="20"/>
                <w:szCs w:val="20"/>
                <w:color w:val="auto"/>
              </w:rPr>
            </w:pPr>
            <w:r>
              <w:rPr>
                <w:rFonts w:ascii="Arial" w:cs="Arial" w:eastAsia="Arial" w:hAnsi="Arial"/>
                <w:sz w:val="18"/>
                <w:szCs w:val="18"/>
                <w:color w:val="auto"/>
              </w:rPr>
              <w:t>Acquisition-related transaction and</w:t>
            </w:r>
          </w:p>
        </w:tc>
        <w:tc>
          <w:tcPr>
            <w:tcW w:w="160" w:type="dxa"/>
            <w:vAlign w:val="bottom"/>
          </w:tcPr>
          <w:p>
            <w:pPr>
              <w:spacing w:after="0"/>
              <w:rPr>
                <w:sz w:val="15"/>
                <w:szCs w:val="15"/>
                <w:color w:val="auto"/>
              </w:rPr>
            </w:pPr>
          </w:p>
        </w:tc>
        <w:tc>
          <w:tcPr>
            <w:tcW w:w="920" w:type="dxa"/>
            <w:vAlign w:val="bottom"/>
            <w:gridSpan w:val="2"/>
            <w:vMerge w:val="restart"/>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20" w:type="dxa"/>
            <w:vAlign w:val="bottom"/>
          </w:tcPr>
          <w:p>
            <w:pPr>
              <w:ind w:left="300"/>
              <w:spacing w:after="0"/>
              <w:rPr>
                <w:sz w:val="20"/>
                <w:szCs w:val="20"/>
                <w:color w:val="auto"/>
              </w:rPr>
            </w:pPr>
            <w:r>
              <w:rPr>
                <w:rFonts w:ascii="Arial" w:cs="Arial" w:eastAsia="Arial" w:hAnsi="Arial"/>
                <w:sz w:val="18"/>
                <w:szCs w:val="18"/>
                <w:color w:val="auto"/>
              </w:rPr>
              <w:t>integration costs</w:t>
            </w: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420" w:type="dxa"/>
            <w:vAlign w:val="bottom"/>
          </w:tcPr>
          <w:p>
            <w:pPr>
              <w:ind w:left="2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Equity in (losses) income of consolidated</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191"/>
              <w:spacing w:after="0"/>
              <w:rPr>
                <w:sz w:val="20"/>
                <w:szCs w:val="20"/>
                <w:color w:val="auto"/>
              </w:rPr>
            </w:pPr>
            <w:r>
              <w:rPr>
                <w:rFonts w:ascii="Arial" w:cs="Arial" w:eastAsia="Arial" w:hAnsi="Arial"/>
                <w:sz w:val="18"/>
                <w:szCs w:val="18"/>
                <w:color w:val="auto"/>
                <w:w w:val="93"/>
              </w:rPr>
              <w:t>(32)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affiliates</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140"/>
              <w:spacing w:after="0" w:line="176" w:lineRule="exact"/>
              <w:rPr>
                <w:sz w:val="20"/>
                <w:szCs w:val="20"/>
                <w:color w:val="auto"/>
              </w:rPr>
            </w:pPr>
            <w:r>
              <w:rPr>
                <w:rFonts w:ascii="Arial" w:cs="Arial" w:eastAsia="Arial" w:hAnsi="Arial"/>
                <w:sz w:val="18"/>
                <w:szCs w:val="18"/>
                <w:color w:val="auto"/>
                <w:w w:val="91"/>
              </w:rPr>
              <w:t>Equity in earnings (losses) of unconsolidated</w:t>
            </w:r>
          </w:p>
        </w:tc>
        <w:tc>
          <w:tcPr>
            <w:tcW w:w="160" w:type="dxa"/>
            <w:vAlign w:val="bottom"/>
          </w:tcPr>
          <w:p>
            <w:pPr>
              <w:spacing w:after="0"/>
              <w:rPr>
                <w:sz w:val="15"/>
                <w:szCs w:val="15"/>
                <w:color w:val="auto"/>
              </w:rPr>
            </w:pPr>
          </w:p>
        </w:tc>
        <w:tc>
          <w:tcPr>
            <w:tcW w:w="920" w:type="dxa"/>
            <w:vAlign w:val="bottom"/>
            <w:gridSpan w:val="2"/>
            <w:vMerge w:val="restart"/>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20" w:type="dxa"/>
            <w:vAlign w:val="bottom"/>
          </w:tcPr>
          <w:p>
            <w:pPr>
              <w:ind w:left="30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1"/>
                <w:szCs w:val="21"/>
                <w:color w:val="auto"/>
              </w:rPr>
            </w:pPr>
          </w:p>
        </w:tc>
        <w:tc>
          <w:tcPr>
            <w:tcW w:w="920" w:type="dxa"/>
            <w:vAlign w:val="bottom"/>
            <w:gridSpan w:val="2"/>
          </w:tcPr>
          <w:p>
            <w:pPr>
              <w:jc w:val="center"/>
              <w:ind w:left="131"/>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34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ind w:left="191"/>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93"/>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55"/>
        </w:trPr>
        <w:tc>
          <w:tcPr>
            <w:tcW w:w="3420" w:type="dxa"/>
            <w:vAlign w:val="bottom"/>
          </w:tcPr>
          <w:p>
            <w:pPr>
              <w:ind w:left="140"/>
              <w:spacing w:after="0" w:line="156" w:lineRule="exact"/>
              <w:rPr>
                <w:sz w:val="20"/>
                <w:szCs w:val="20"/>
                <w:color w:val="auto"/>
              </w:rPr>
            </w:pPr>
            <w:r>
              <w:rPr>
                <w:rFonts w:ascii="Arial" w:cs="Arial" w:eastAsia="Arial" w:hAnsi="Arial"/>
                <w:sz w:val="18"/>
                <w:szCs w:val="18"/>
                <w:color w:val="auto"/>
              </w:rPr>
              <w:t>Less: Net income attributable to</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left="231"/>
              <w:spacing w:after="0"/>
              <w:rPr>
                <w:sz w:val="20"/>
                <w:szCs w:val="20"/>
                <w:color w:val="auto"/>
              </w:rPr>
            </w:pPr>
            <w:r>
              <w:rPr>
                <w:rFonts w:ascii="Arial" w:cs="Arial" w:eastAsia="Arial" w:hAnsi="Arial"/>
                <w:sz w:val="18"/>
                <w:szCs w:val="18"/>
                <w:color w:val="auto"/>
                <w:w w:val="99"/>
              </w:rPr>
              <w:t>—</w:t>
            </w:r>
          </w:p>
        </w:tc>
        <w:tc>
          <w:tcPr>
            <w:tcW w:w="10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ind w:left="8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Net (Loss) Income Attributable to Clearway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center"/>
              <w:ind w:left="191"/>
              <w:spacing w:after="0"/>
              <w:rPr>
                <w:sz w:val="20"/>
                <w:szCs w:val="20"/>
                <w:color w:val="auto"/>
              </w:rPr>
            </w:pPr>
            <w:r>
              <w:rPr>
                <w:rFonts w:ascii="Arial" w:cs="Arial" w:eastAsia="Arial" w:hAnsi="Arial"/>
                <w:sz w:val="18"/>
                <w:szCs w:val="18"/>
                <w:color w:val="auto"/>
                <w:w w:val="93"/>
              </w:rPr>
              <w:t>(32)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Energy LLC</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2"/>
                <w:szCs w:val="12"/>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0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0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420" w:type="dxa"/>
            <w:vAlign w:val="bottom"/>
          </w:tcPr>
          <w:p>
            <w:pPr>
              <w:ind w:left="10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20" w:type="dxa"/>
            <w:vAlign w:val="bottom"/>
          </w:tcPr>
          <w:p>
            <w:pPr>
              <w:ind w:left="100"/>
              <w:spacing w:after="0"/>
              <w:rPr>
                <w:sz w:val="20"/>
                <w:szCs w:val="20"/>
                <w:color w:val="auto"/>
              </w:rPr>
            </w:pPr>
            <w:r>
              <w:rPr>
                <w:rFonts w:ascii="Arial" w:cs="Arial" w:eastAsia="Arial" w:hAnsi="Arial"/>
                <w:sz w:val="18"/>
                <w:szCs w:val="18"/>
                <w:color w:val="auto"/>
              </w:rPr>
              <w:t>Acquisition-related transaction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integration costs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Development costs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420" w:type="dxa"/>
            <w:vAlign w:val="bottom"/>
          </w:tcPr>
          <w:p>
            <w:pPr>
              <w:ind w:left="2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Equity in losses of 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100"/>
              <w:spacing w:after="0"/>
              <w:rPr>
                <w:sz w:val="20"/>
                <w:szCs w:val="20"/>
                <w:color w:val="auto"/>
              </w:rPr>
            </w:pPr>
            <w:r>
              <w:rPr>
                <w:rFonts w:ascii="Arial" w:cs="Arial" w:eastAsia="Arial" w:hAnsi="Arial"/>
                <w:sz w:val="18"/>
                <w:szCs w:val="18"/>
                <w:color w:val="auto"/>
                <w:w w:val="92"/>
              </w:rPr>
              <w:t>Equity in earnings (losses) of unconsolidated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420" w:type="dxa"/>
            <w:vAlign w:val="bottom"/>
          </w:tcPr>
          <w:p>
            <w:pPr>
              <w:ind w:left="10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6"/>
        </w:trPr>
        <w:tc>
          <w:tcPr>
            <w:tcW w:w="34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3420" w:type="dxa"/>
            <w:vAlign w:val="bottom"/>
          </w:tcPr>
          <w:p>
            <w:pPr>
              <w:ind w:left="100"/>
              <w:spacing w:after="0"/>
              <w:rPr>
                <w:sz w:val="20"/>
                <w:szCs w:val="20"/>
                <w:color w:val="auto"/>
              </w:rPr>
            </w:pPr>
            <w:r>
              <w:rPr>
                <w:rFonts w:ascii="Arial" w:cs="Arial" w:eastAsia="Arial" w:hAnsi="Arial"/>
                <w:sz w:val="18"/>
                <w:szCs w:val="18"/>
                <w:color w:val="auto"/>
              </w:rPr>
              <w:t>Less: Net income (loss) attributable to</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1"/>
              </w:rPr>
              <w:t>Net (Loss) Income Attributable to Clearway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Energy LLC</w:t>
            </w: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385"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2"/>
                <w:szCs w:val="12"/>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 on derivatives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tcPr>
          <w:p>
            <w:pPr>
              <w:ind w:left="240"/>
              <w:spacing w:after="0" w:line="156" w:lineRule="exact"/>
              <w:rPr>
                <w:sz w:val="20"/>
                <w:szCs w:val="20"/>
                <w:color w:val="auto"/>
              </w:rPr>
            </w:pPr>
            <w:r>
              <w:rPr>
                <w:rFonts w:ascii="Arial" w:cs="Arial" w:eastAsia="Arial" w:hAnsi="Arial"/>
                <w:sz w:val="18"/>
                <w:szCs w:val="18"/>
                <w:color w:val="auto"/>
                <w:w w:val="92"/>
              </w:rPr>
              <w:t>Less: Comprehensive income attributable</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 noncontrolling interests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3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(Loss)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Attributable to Clearway Energy LLC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40" w:type="dxa"/>
            <w:vAlign w:val="bottom"/>
            <w:gridSpan w:val="3"/>
          </w:tcPr>
          <w:p>
            <w:pPr>
              <w:ind w:left="20"/>
              <w:spacing w:after="0" w:line="172" w:lineRule="exact"/>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 on derivatives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2"/>
          </w:tcPr>
          <w:p>
            <w:pPr>
              <w:ind w:left="240"/>
              <w:spacing w:after="0" w:line="156" w:lineRule="exact"/>
              <w:rPr>
                <w:sz w:val="20"/>
                <w:szCs w:val="20"/>
                <w:color w:val="auto"/>
              </w:rPr>
            </w:pPr>
            <w:r>
              <w:rPr>
                <w:rFonts w:ascii="Arial" w:cs="Arial" w:eastAsia="Arial" w:hAnsi="Arial"/>
                <w:sz w:val="18"/>
                <w:szCs w:val="18"/>
                <w:color w:val="auto"/>
              </w:rPr>
              <w:t>Less: Comprehensive income (loss)</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w w:val="99"/>
              </w:rPr>
              <w:t>attributable to noncontrolling interests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3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(Loss)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Attributable to Clearway Energy LLC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331"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Clearway</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120" w:type="dxa"/>
            <w:vAlign w:val="bottom"/>
          </w:tcPr>
          <w:p>
            <w:pPr>
              <w:jc w:val="right"/>
              <w:ind w:right="60"/>
              <w:spacing w:after="0" w:line="158" w:lineRule="exact"/>
              <w:rPr>
                <w:sz w:val="20"/>
                <w:szCs w:val="20"/>
                <w:color w:val="auto"/>
              </w:rPr>
            </w:pPr>
            <w:r>
              <w:rPr>
                <w:rFonts w:ascii="Arial" w:cs="Arial" w:eastAsia="Arial" w:hAnsi="Arial"/>
                <w:sz w:val="14"/>
                <w:szCs w:val="14"/>
                <w:b w:val="1"/>
                <w:bCs w:val="1"/>
                <w:color w:val="auto"/>
                <w:w w:val="96"/>
              </w:rPr>
              <w:t>Non-Guarantor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3"/>
                <w:szCs w:val="13"/>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40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125</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24"/>
        </w:trPr>
        <w:tc>
          <w:tcPr>
            <w:tcW w:w="3460" w:type="dxa"/>
            <w:vAlign w:val="bottom"/>
          </w:tcPr>
          <w:p>
            <w:pPr>
              <w:ind w:left="22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receivable — affiliate</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346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460" w:type="dxa"/>
            <w:vAlign w:val="bottom"/>
          </w:tcPr>
          <w:p>
            <w:pPr>
              <w:ind w:left="220"/>
              <w:spacing w:after="0"/>
              <w:rPr>
                <w:sz w:val="20"/>
                <w:szCs w:val="20"/>
                <w:color w:val="auto"/>
              </w:rPr>
            </w:pPr>
            <w:r>
              <w:rPr>
                <w:rFonts w:ascii="Arial" w:cs="Arial" w:eastAsia="Arial" w:hAnsi="Arial"/>
                <w:sz w:val="16"/>
                <w:szCs w:val="16"/>
                <w:color w:val="auto"/>
              </w:rPr>
              <w:t>Notes receivable</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0"/>
        </w:trPr>
        <w:tc>
          <w:tcPr>
            <w:tcW w:w="34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6,000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 in consolidated subsidiaries</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(5,718)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460" w:type="dxa"/>
            <w:vAlign w:val="bottom"/>
          </w:tcPr>
          <w:p>
            <w:pPr>
              <w:ind w:left="2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479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Notes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220"/>
              <w:spacing w:after="0"/>
              <w:rPr>
                <w:sz w:val="20"/>
                <w:szCs w:val="20"/>
                <w:color w:val="auto"/>
              </w:rPr>
            </w:pPr>
            <w:r>
              <w:rPr>
                <w:rFonts w:ascii="Arial" w:cs="Arial" w:eastAsia="Arial" w:hAnsi="Arial"/>
                <w:sz w:val="16"/>
                <w:szCs w:val="16"/>
                <w:color w:val="auto"/>
              </w:rPr>
              <w:t>Notes receivable — affiliate</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23"/>
        </w:trPr>
        <w:tc>
          <w:tcPr>
            <w:tcW w:w="3460" w:type="dxa"/>
            <w:vAlign w:val="bottom"/>
          </w:tcPr>
          <w:p>
            <w:pPr>
              <w:ind w:left="220"/>
              <w:spacing w:after="0"/>
              <w:rPr>
                <w:sz w:val="20"/>
                <w:szCs w:val="20"/>
                <w:color w:val="auto"/>
              </w:rPr>
            </w:pPr>
            <w:r>
              <w:rPr>
                <w:rFonts w:ascii="Arial" w:cs="Arial" w:eastAsia="Arial" w:hAnsi="Arial"/>
                <w:sz w:val="16"/>
                <w:szCs w:val="16"/>
                <w:color w:val="auto"/>
              </w:rPr>
              <w:t>Right-of-use assets, net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3460" w:type="dxa"/>
            <w:vAlign w:val="bottom"/>
          </w:tcPr>
          <w:p>
            <w:pPr>
              <w:ind w:left="340"/>
              <w:spacing w:after="0"/>
              <w:rPr>
                <w:sz w:val="20"/>
                <w:szCs w:val="20"/>
                <w:color w:val="auto"/>
              </w:rPr>
            </w:pPr>
            <w:r>
              <w:rPr>
                <w:rFonts w:ascii="Arial" w:cs="Arial" w:eastAsia="Arial" w:hAnsi="Arial"/>
                <w:sz w:val="16"/>
                <w:szCs w:val="16"/>
                <w:color w:val="auto"/>
              </w:rPr>
              <w:t>Total other assets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3,858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8,791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3,860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(5,718)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Clearway</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20" w:type="dxa"/>
            <w:vAlign w:val="bottom"/>
          </w:tcPr>
          <w:p>
            <w:pPr>
              <w:spacing w:after="0"/>
              <w:rPr>
                <w:sz w:val="13"/>
                <w:szCs w:val="13"/>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1,692</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5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4"/>
        </w:trPr>
        <w:tc>
          <w:tcPr>
            <w:tcW w:w="386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3"/>
        </w:trPr>
        <w:tc>
          <w:tcPr>
            <w:tcW w:w="38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1,532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53"/>
        </w:trPr>
        <w:tc>
          <w:tcPr>
            <w:tcW w:w="38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0"/>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lease liabilities</w:t>
            </w: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2,257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53"/>
        </w:trPr>
        <w:tc>
          <w:tcPr>
            <w:tcW w:w="38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6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4"/>
        </w:trPr>
        <w:tc>
          <w:tcPr>
            <w:tcW w:w="38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53"/>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2,149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47"/>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8,791</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3,860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Intercompany transactions between Clearway Energy LLC</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and subsidiaries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Acquisition</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Partnership interests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Buyout of Wind TE Holdco noncontrolling interest</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Return of investment from unconsolidated affiliates</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investments in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Transfer of funds under intercompany cash management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arrangement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Net contributions (distributions) from noncontrolling</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of) proceeds from distributions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the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Payments for the revolving credit facility</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the issuance of long-term debt-external</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Payments for long-term debt — external</w:t>
            </w: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for long-term debt — affiliate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4"/>
              </w:rPr>
              <w:t>Net Decrease in Cash, Cash Equivalents and Restricted</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30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5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30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The Company believes the allegations of NPPD are meritless and the Company is vigorously defending its rights under the PPAs.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June 30,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297815</wp:posOffset>
            </wp:positionV>
            <wp:extent cx="4457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Three months ended June</w:t>
            </w: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Three months ended June</w:t>
            </w:r>
          </w:p>
        </w:tc>
        <w:tc>
          <w:tcPr>
            <w:tcW w:w="28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Six months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30, 2019</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30, 2019</w:t>
            </w:r>
          </w:p>
        </w:tc>
      </w:tr>
      <w:tr>
        <w:trPr>
          <w:trHeight w:val="196"/>
        </w:trPr>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r>
      <w:tr>
        <w:trPr>
          <w:trHeight w:val="243"/>
        </w:trPr>
        <w:tc>
          <w:tcPr>
            <w:tcW w:w="4220" w:type="dxa"/>
            <w:vAlign w:val="bottom"/>
          </w:tcPr>
          <w:p>
            <w:pPr>
              <w:ind w:left="220"/>
              <w:spacing w:after="0"/>
              <w:rPr>
                <w:sz w:val="20"/>
                <w:szCs w:val="20"/>
                <w:color w:val="auto"/>
              </w:rPr>
            </w:pPr>
            <w:r>
              <w:rPr>
                <w:rFonts w:ascii="Arial" w:cs="Arial" w:eastAsia="Arial" w:hAnsi="Arial"/>
                <w:sz w:val="18"/>
                <w:szCs w:val="18"/>
                <w:color w:val="auto"/>
              </w:rPr>
              <w:t>Operating lease cost - Variable</w:t>
            </w:r>
          </w:p>
        </w:tc>
        <w:tc>
          <w:tcPr>
            <w:tcW w:w="36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7</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lease liabilities as of June 30, 2020 and December 31, 2019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366395</wp:posOffset>
            </wp:positionV>
            <wp:extent cx="34118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6"/>
                <w:szCs w:val="16"/>
                <w:color w:val="auto"/>
              </w:rPr>
            </w:pPr>
          </w:p>
        </w:tc>
      </w:tr>
      <w:tr>
        <w:trPr>
          <w:trHeight w:val="223"/>
        </w:trPr>
        <w:tc>
          <w:tcPr>
            <w:tcW w:w="4600" w:type="dxa"/>
            <w:vAlign w:val="bottom"/>
          </w:tcPr>
          <w:p>
            <w:pPr>
              <w:spacing w:after="0"/>
              <w:rPr>
                <w:sz w:val="19"/>
                <w:szCs w:val="19"/>
                <w:color w:val="auto"/>
              </w:rPr>
            </w:pPr>
          </w:p>
        </w:tc>
        <w:tc>
          <w:tcPr>
            <w:tcW w:w="4940" w:type="dxa"/>
            <w:vAlign w:val="bottom"/>
            <w:gridSpan w:val="4"/>
          </w:tcPr>
          <w:p>
            <w:pPr>
              <w:jc w:val="right"/>
              <w:ind w:right="995"/>
              <w:spacing w:after="0"/>
              <w:rPr>
                <w:sz w:val="20"/>
                <w:szCs w:val="20"/>
                <w:color w:val="auto"/>
              </w:rPr>
            </w:pPr>
            <w:r>
              <w:rPr>
                <w:rFonts w:ascii="Arial" w:cs="Arial" w:eastAsia="Arial" w:hAnsi="Arial"/>
                <w:sz w:val="16"/>
                <w:szCs w:val="16"/>
                <w:b w:val="1"/>
                <w:bCs w:val="1"/>
                <w:color w:val="auto"/>
              </w:rPr>
              <w:t>(In millions, except term and rate)</w:t>
            </w:r>
          </w:p>
        </w:tc>
        <w:tc>
          <w:tcPr>
            <w:tcW w:w="420" w:type="dxa"/>
            <w:vAlign w:val="bottom"/>
          </w:tcPr>
          <w:p>
            <w:pPr>
              <w:spacing w:after="0"/>
              <w:rPr>
                <w:sz w:val="19"/>
                <w:szCs w:val="19"/>
                <w:color w:val="auto"/>
              </w:rPr>
            </w:pPr>
          </w:p>
        </w:tc>
      </w:tr>
      <w:tr>
        <w:trPr>
          <w:trHeight w:val="289"/>
        </w:trPr>
        <w:tc>
          <w:tcPr>
            <w:tcW w:w="4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5"/>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ROU Assets - operating leases, net</w:t>
            </w:r>
          </w:p>
        </w:tc>
        <w:tc>
          <w:tcPr>
            <w:tcW w:w="1660" w:type="dxa"/>
            <w:vAlign w:val="bottom"/>
            <w:tcBorders>
              <w:bottom w:val="single" w:sz="8" w:color="auto"/>
            </w:tcBorders>
            <w:shd w:val="clear" w:color="auto" w:fill="CCEEFF"/>
          </w:tcPr>
          <w:p>
            <w:pPr>
              <w:jc w:val="right"/>
              <w:ind w:right="14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257</w:t>
            </w:r>
          </w:p>
        </w:tc>
        <w:tc>
          <w:tcPr>
            <w:tcW w:w="11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4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223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3"/>
                <w:szCs w:val="23"/>
                <w:color w:val="auto"/>
                <w:vertAlign w:val="superscript"/>
              </w:rPr>
              <w:t>(a)</w:t>
            </w:r>
          </w:p>
        </w:tc>
        <w:tc>
          <w:tcPr>
            <w:tcW w:w="16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Long-term lease liability - operating leases</w:t>
            </w:r>
          </w:p>
        </w:tc>
        <w:tc>
          <w:tcPr>
            <w:tcW w:w="166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260</w:t>
            </w:r>
          </w:p>
        </w:tc>
        <w:tc>
          <w:tcPr>
            <w:tcW w:w="1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227</w:t>
            </w:r>
          </w:p>
        </w:tc>
      </w:tr>
      <w:tr>
        <w:trPr>
          <w:trHeight w:val="27"/>
        </w:trPr>
        <w:tc>
          <w:tcPr>
            <w:tcW w:w="46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lease liability</w:t>
            </w:r>
          </w:p>
        </w:tc>
        <w:tc>
          <w:tcPr>
            <w:tcW w:w="1660" w:type="dxa"/>
            <w:vAlign w:val="bottom"/>
            <w:tcBorders>
              <w:bottom w:val="single" w:sz="8" w:color="auto"/>
            </w:tcBorders>
            <w:shd w:val="clear" w:color="auto" w:fill="CCEEFF"/>
          </w:tcPr>
          <w:p>
            <w:pPr>
              <w:jc w:val="right"/>
              <w:ind w:right="14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267</w:t>
            </w:r>
          </w:p>
        </w:tc>
        <w:tc>
          <w:tcPr>
            <w:tcW w:w="11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14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460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1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21"/>
                <w:szCs w:val="21"/>
                <w:color w:val="auto"/>
              </w:rPr>
            </w:pPr>
          </w:p>
        </w:tc>
      </w:tr>
      <w:tr>
        <w:trPr>
          <w:trHeight w:val="27"/>
        </w:trPr>
        <w:tc>
          <w:tcPr>
            <w:tcW w:w="46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163195</wp:posOffset>
            </wp:positionV>
            <wp:extent cx="34118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74" w:lineRule="exact"/>
        <w:rPr>
          <w:sz w:val="20"/>
          <w:szCs w:val="20"/>
          <w:color w:val="auto"/>
        </w:rPr>
      </w:pPr>
    </w:p>
    <w:p>
      <w:pPr>
        <w:jc w:val="center"/>
        <w:ind w:left="4280"/>
        <w:spacing w:after="0"/>
        <w:rPr>
          <w:sz w:val="20"/>
          <w:szCs w:val="20"/>
          <w:color w:val="auto"/>
        </w:rPr>
      </w:pPr>
      <w:r>
        <w:rPr>
          <w:rFonts w:ascii="Arial" w:cs="Arial" w:eastAsia="Arial" w:hAnsi="Arial"/>
          <w:sz w:val="12"/>
          <w:szCs w:val="12"/>
          <w:b w:val="1"/>
          <w:bCs w:val="1"/>
          <w:color w:val="auto"/>
        </w:rPr>
        <w:t>Six months ended</w:t>
      </w:r>
    </w:p>
    <w:p>
      <w:pPr>
        <w:spacing w:after="0" w:line="27"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13335</wp:posOffset>
            </wp:positionV>
            <wp:extent cx="632650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2650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Six months ended</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June 30, 2019</w:t>
      </w:r>
    </w:p>
    <w:p>
      <w:pPr>
        <w:spacing w:after="0" w:line="47" w:lineRule="exact"/>
        <w:rPr>
          <w:sz w:val="20"/>
          <w:szCs w:val="20"/>
          <w:color w:val="auto"/>
        </w:rPr>
      </w:pPr>
    </w:p>
    <w:p>
      <w:pPr>
        <w:sectPr>
          <w:pgSz w:w="11900" w:h="16838" w:orient="portrait"/>
          <w:cols w:equalWidth="0" w:num="2">
            <w:col w:w="8280" w:space="720"/>
            <w:col w:w="2240"/>
          </w:cols>
          <w:pgMar w:left="320" w:top="891" w:right="339" w:bottom="1440" w:gutter="0" w:footer="0" w:header="0"/>
          <w:type w:val="continuous"/>
        </w:sectPr>
      </w:pPr>
    </w:p>
    <w:p>
      <w:pPr>
        <w:ind w:left="840"/>
        <w:spacing w:after="0"/>
        <w:tabs>
          <w:tab w:leader="none" w:pos="5240" w:val="left"/>
          <w:tab w:leader="none" w:pos="6980" w:val="left"/>
          <w:tab w:leader="none" w:pos="8500" w:val="left"/>
          <w:tab w:leader="none" w:pos="10360" w:val="left"/>
        </w:tabs>
        <w:rPr>
          <w:sz w:val="20"/>
          <w:szCs w:val="20"/>
          <w:color w:val="auto"/>
        </w:rPr>
      </w:pPr>
      <w:r>
        <w:rPr>
          <w:rFonts w:ascii="Arial" w:cs="Arial" w:eastAsia="Arial" w:hAnsi="Arial"/>
          <w:sz w:val="18"/>
          <w:szCs w:val="18"/>
          <w:color w:val="auto"/>
        </w:rPr>
        <w:t>Cash paid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3798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80" w:right="280" w:hanging="91"/>
        <w:spacing w:after="0" w:line="273" w:lineRule="auto"/>
        <w:tabs>
          <w:tab w:leader="none" w:pos="239" w:val="left"/>
        </w:tabs>
        <w:numPr>
          <w:ilvl w:val="0"/>
          <w:numId w:val="36"/>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1" w:name="page52"/>
    <w:bookmarkEnd w:id="51"/>
    <w:p>
      <w:pPr>
        <w:ind w:left="420"/>
        <w:spacing w:after="0"/>
        <w:rPr>
          <w:sz w:val="20"/>
          <w:szCs w:val="20"/>
          <w:color w:val="auto"/>
        </w:rPr>
      </w:pPr>
      <w:r>
        <w:rPr>
          <w:rFonts w:ascii="Arial" w:cs="Arial" w:eastAsia="Arial" w:hAnsi="Arial"/>
          <w:sz w:val="18"/>
          <w:szCs w:val="18"/>
          <w:color w:val="auto"/>
        </w:rPr>
        <w:t>Maturities of operating lease liabilities as of June 30,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134620</wp:posOffset>
            </wp:positionV>
            <wp:extent cx="694372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740" w:type="dxa"/>
            <w:vAlign w:val="bottom"/>
          </w:tcPr>
          <w:p>
            <w:pPr>
              <w:ind w:left="200"/>
              <w:spacing w:after="0"/>
              <w:rPr>
                <w:sz w:val="20"/>
                <w:szCs w:val="20"/>
                <w:color w:val="auto"/>
              </w:rPr>
            </w:pPr>
            <w:r>
              <w:rPr>
                <w:rFonts w:ascii="Arial" w:cs="Arial" w:eastAsia="Arial" w:hAnsi="Arial"/>
                <w:sz w:val="18"/>
                <w:szCs w:val="18"/>
                <w:color w:val="auto"/>
              </w:rPr>
              <w:t>Remainder of 2020</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r>
      <w:tr>
        <w:trPr>
          <w:trHeight w:val="237"/>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9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439</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63"/>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liability - operating leases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267</w:t>
            </w:r>
          </w:p>
        </w:tc>
      </w:tr>
      <w:tr>
        <w:trPr>
          <w:trHeight w:val="20"/>
        </w:trPr>
        <w:tc>
          <w:tcPr>
            <w:tcW w:w="8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Oahu Solar Lease Agreements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$20 million and $21 million as of December 31, 2019 and a corresponding right-of-use asset of $18 million and $19 million related to leases as of June 30, 2020 and December 31, 2019,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w:t>
      </w:r>
    </w:p>
    <w:p>
      <w:pPr>
        <w:spacing w:after="0" w:line="171"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gridSpan w:val="13"/>
          </w:tcPr>
          <w:p>
            <w:pPr>
              <w:jc w:val="center"/>
              <w:ind w:right="260"/>
              <w:spacing w:after="0"/>
              <w:rPr>
                <w:sz w:val="20"/>
                <w:szCs w:val="20"/>
                <w:color w:val="auto"/>
              </w:rPr>
            </w:pPr>
            <w:r>
              <w:rPr>
                <w:rFonts w:ascii="Arial" w:cs="Arial" w:eastAsia="Arial" w:hAnsi="Arial"/>
                <w:sz w:val="16"/>
                <w:szCs w:val="16"/>
                <w:b w:val="1"/>
                <w:bCs w:val="1"/>
                <w:color w:val="auto"/>
                <w:w w:val="90"/>
              </w:rPr>
              <w:t>Three months ended June 30, 2020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88"/>
              </w:rPr>
              <w:t>Renewables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gridSpan w:val="13"/>
          </w:tcPr>
          <w:p>
            <w:pPr>
              <w:jc w:val="center"/>
              <w:ind w:right="260"/>
              <w:spacing w:after="0"/>
              <w:rPr>
                <w:sz w:val="20"/>
                <w:szCs w:val="20"/>
                <w:color w:val="auto"/>
              </w:rPr>
            </w:pPr>
            <w:r>
              <w:rPr>
                <w:rFonts w:ascii="Arial" w:cs="Arial" w:eastAsia="Arial" w:hAnsi="Arial"/>
                <w:sz w:val="16"/>
                <w:szCs w:val="16"/>
                <w:b w:val="1"/>
                <w:bCs w:val="1"/>
                <w:color w:val="auto"/>
                <w:w w:val="89"/>
              </w:rPr>
              <w:t>Six months ended June 30, 2020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88"/>
              </w:rPr>
              <w:t>Renewables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9"/>
          </w:tcPr>
          <w:p>
            <w:pPr>
              <w:jc w:val="center"/>
              <w:ind w:left="97"/>
              <w:spacing w:after="0"/>
              <w:rPr>
                <w:sz w:val="20"/>
                <w:szCs w:val="20"/>
                <w:color w:val="auto"/>
              </w:rPr>
            </w:pPr>
            <w:r>
              <w:rPr>
                <w:rFonts w:ascii="Arial" w:cs="Arial" w:eastAsia="Arial" w:hAnsi="Arial"/>
                <w:sz w:val="16"/>
                <w:szCs w:val="16"/>
                <w:b w:val="1"/>
                <w:bCs w:val="1"/>
                <w:color w:val="auto"/>
                <w:w w:val="90"/>
              </w:rPr>
              <w:t>Three months ended June 30, 2019</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3"/>
              </w:rPr>
              <w:t>Conventional Generation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Thermal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86"/>
              </w:rPr>
              <w:t>157</w:t>
            </w:r>
          </w:p>
        </w:tc>
        <w:tc>
          <w:tcPr>
            <w:tcW w:w="980" w:type="dxa"/>
            <w:vAlign w:val="bottom"/>
            <w:tcBorders>
              <w:bottom w:val="single" w:sz="8" w:color="CCEEFF"/>
            </w:tcBorders>
            <w:gridSpan w:val="3"/>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86"/>
              </w:rPr>
              <w:t>157</w:t>
            </w:r>
          </w:p>
        </w:tc>
        <w:tc>
          <w:tcPr>
            <w:tcW w:w="980" w:type="dxa"/>
            <w:vAlign w:val="bottom"/>
            <w:gridSpan w:val="3"/>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332"/>
              <w:spacing w:after="0"/>
              <w:rPr>
                <w:sz w:val="20"/>
                <w:szCs w:val="20"/>
                <w:color w:val="auto"/>
              </w:rPr>
            </w:pPr>
            <w:r>
              <w:rPr>
                <w:rFonts w:ascii="Arial" w:cs="Arial" w:eastAsia="Arial" w:hAnsi="Arial"/>
                <w:sz w:val="16"/>
                <w:szCs w:val="16"/>
                <w:b w:val="1"/>
                <w:bCs w:val="1"/>
                <w:color w:val="auto"/>
                <w:w w:val="89"/>
              </w:rPr>
              <w:t>Six months ended June 30, 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Conventional Generation</w:t>
            </w:r>
          </w:p>
        </w:tc>
        <w:tc>
          <w:tcPr>
            <w:tcW w:w="260" w:type="dxa"/>
            <w:vAlign w:val="bottom"/>
          </w:tcPr>
          <w:p>
            <w:pPr>
              <w:spacing w:after="0"/>
              <w:rPr>
                <w:sz w:val="16"/>
                <w:szCs w:val="16"/>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Renewables</w:t>
            </w: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rPr>
              <w:t>Thermal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21"/>
                <w:szCs w:val="21"/>
                <w:color w:val="auto"/>
              </w:rPr>
            </w:pPr>
          </w:p>
        </w:tc>
        <w:tc>
          <w:tcPr>
            <w:tcW w:w="1740" w:type="dxa"/>
            <w:vAlign w:val="bottom"/>
          </w:tcPr>
          <w:p>
            <w:pPr>
              <w:jc w:val="right"/>
              <w:ind w:right="75"/>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right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220" w:type="dxa"/>
            <w:vAlign w:val="bottom"/>
            <w:gridSpan w:val="10"/>
          </w:tcPr>
          <w:p>
            <w:pPr>
              <w:spacing w:after="0"/>
              <w:rPr>
                <w:sz w:val="20"/>
                <w:szCs w:val="20"/>
                <w:color w:val="auto"/>
              </w:rPr>
            </w:pPr>
            <w:r>
              <w:rPr>
                <w:rFonts w:ascii="Arial" w:cs="Arial" w:eastAsia="Arial" w:hAnsi="Arial"/>
                <w:sz w:val="18"/>
                <w:szCs w:val="18"/>
                <w:color w:val="auto"/>
                <w:w w:val="98"/>
              </w:rPr>
              <w:t>Minimum future rent payments under the operating leases for the remaining periods as of June 30, 2020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52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15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15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4"/>
                <w:szCs w:val="24"/>
                <w:color w:val="auto"/>
              </w:rPr>
            </w:pPr>
          </w:p>
        </w:tc>
        <w:tc>
          <w:tcPr>
            <w:tcW w:w="3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auto"/>
              <w:right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gridSpan w:val="6"/>
            <w:vMerge w:val="restart"/>
          </w:tcPr>
          <w:p>
            <w:pPr>
              <w:spacing w:after="0"/>
              <w:rPr>
                <w:sz w:val="20"/>
                <w:szCs w:val="20"/>
                <w:color w:val="auto"/>
              </w:rPr>
            </w:pPr>
            <w:r>
              <w:rPr>
                <w:rFonts w:ascii="Arial" w:cs="Arial" w:eastAsia="Arial" w:hAnsi="Arial"/>
                <w:sz w:val="18"/>
                <w:szCs w:val="18"/>
                <w:color w:val="auto"/>
                <w:w w:val="89"/>
              </w:rPr>
              <w:t>Property, plant and equipment, net related to the Company’s operating leases were as follows:</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780" w:type="dxa"/>
            <w:vAlign w:val="bottom"/>
            <w:gridSpan w:val="6"/>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612"/>
              <w:spacing w:after="0"/>
              <w:rPr>
                <w:sz w:val="20"/>
                <w:szCs w:val="20"/>
                <w:color w:val="auto"/>
              </w:rPr>
            </w:pPr>
            <w:r>
              <w:rPr>
                <w:rFonts w:ascii="Arial" w:cs="Arial" w:eastAsia="Arial" w:hAnsi="Arial"/>
                <w:sz w:val="18"/>
                <w:szCs w:val="18"/>
                <w:color w:val="auto"/>
                <w:w w:val="93"/>
              </w:rPr>
              <w:t>6,974</w:t>
            </w:r>
          </w:p>
        </w:tc>
        <w:tc>
          <w:tcPr>
            <w:tcW w:w="3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6,942</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center"/>
              <w:ind w:left="592"/>
              <w:spacing w:after="0"/>
              <w:rPr>
                <w:sz w:val="20"/>
                <w:szCs w:val="20"/>
                <w:color w:val="auto"/>
              </w:rPr>
            </w:pPr>
            <w:r>
              <w:rPr>
                <w:rFonts w:ascii="Arial" w:cs="Arial" w:eastAsia="Arial" w:hAnsi="Arial"/>
                <w:sz w:val="18"/>
                <w:szCs w:val="18"/>
                <w:color w:val="auto"/>
                <w:w w:val="91"/>
              </w:rPr>
              <w:t>(1,769)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3"/>
              </w:rPr>
              <w:t>5,205</w:t>
            </w:r>
          </w:p>
        </w:tc>
        <w:tc>
          <w:tcPr>
            <w:tcW w:w="3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rPr>
              <w:t>5,293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Asset Impairments</w:t>
      </w:r>
    </w:p>
    <w:p>
      <w:pPr>
        <w:spacing w:after="0" w:line="2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three and six months and ended June 30, 2019, the Company recorded an impairment loss of $19 million related to a facility in the Thermal segment.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324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six months ended June 30, 2020 and 2019.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2019 Form 10-K, which includes detailed discussions of various items impacting the Company's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480" w:hanging="320"/>
        <w:spacing w:after="0" w:line="277" w:lineRule="auto"/>
        <w:tabs>
          <w:tab w:leader="none" w:pos="129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960" w:hanging="320"/>
        <w:spacing w:after="0" w:line="277" w:lineRule="auto"/>
        <w:tabs>
          <w:tab w:leader="none" w:pos="129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280" w:hanging="320"/>
        <w:spacing w:after="0" w:line="277" w:lineRule="auto"/>
        <w:tabs>
          <w:tab w:leader="none" w:pos="129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840" w:hanging="320"/>
        <w:spacing w:after="0" w:line="277"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5,991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Company also owns </w:t>
      </w:r>
      <w:r>
        <w:rPr>
          <w:rFonts w:ascii="Arial" w:cs="Arial" w:eastAsia="Arial" w:hAnsi="Arial"/>
          <w:sz w:val="18"/>
          <w:szCs w:val="18"/>
          <w:color w:val="231F20"/>
        </w:rPr>
        <w:t>thermal infrastructure assets with an aggregate steam and chilled water capacity of</w:t>
      </w:r>
      <w:r>
        <w:rPr>
          <w:rFonts w:ascii="Arial" w:cs="Arial" w:eastAsia="Arial" w:hAnsi="Arial"/>
          <w:sz w:val="18"/>
          <w:szCs w:val="18"/>
          <w:color w:val="auto"/>
        </w:rPr>
        <w:t xml:space="preserve"> 1,453 </w:t>
      </w:r>
      <w:r>
        <w:rPr>
          <w:rFonts w:ascii="Arial" w:cs="Arial" w:eastAsia="Arial" w:hAnsi="Arial"/>
          <w:sz w:val="18"/>
          <w:szCs w:val="18"/>
          <w:color w:val="231F20"/>
        </w:rPr>
        <w:t>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 xml:space="preserve">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t>
      </w:r>
      <w:r>
        <w:rPr>
          <w:rFonts w:ascii="Arial" w:cs="Arial" w:eastAsia="Arial" w:hAnsi="Arial"/>
          <w:sz w:val="18"/>
          <w:szCs w:val="18"/>
          <w:color w:val="000000"/>
        </w:rPr>
        <w:t>The weighted average remaining contract duration of these offtake agreements was approximately 13 years</w:t>
      </w:r>
      <w:r>
        <w:rPr>
          <w:rFonts w:ascii="Arial" w:cs="Arial" w:eastAsia="Arial" w:hAnsi="Arial"/>
          <w:sz w:val="18"/>
          <w:szCs w:val="18"/>
          <w:color w:val="231F20"/>
        </w:rPr>
        <w:t xml:space="preserve"> as of June 30, 2020 </w:t>
      </w:r>
      <w:r>
        <w:rPr>
          <w:rFonts w:ascii="Arial" w:cs="Arial" w:eastAsia="Arial" w:hAnsi="Arial"/>
          <w:sz w:val="18"/>
          <w:szCs w:val="18"/>
          <w:color w:val="000000"/>
        </w:rPr>
        <w:t>based on CAFD</w:t>
      </w:r>
      <w:r>
        <w:rPr>
          <w:rFonts w:ascii="Arial" w:cs="Arial" w:eastAsia="Arial" w:hAnsi="Arial"/>
          <w:sz w:val="18"/>
          <w:szCs w:val="18"/>
          <w:color w:val="231F20"/>
        </w:rPr>
        <w: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 Company's operating assets are comprised of the following projects: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Offtake Counterparty</w:t>
            </w:r>
          </w:p>
        </w:tc>
        <w:tc>
          <w:tcPr>
            <w:tcW w:w="120" w:type="dxa"/>
            <w:vAlign w:val="bottom"/>
            <w:vMerge w:val="restart"/>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100" w:type="dxa"/>
            <w:vAlign w:val="bottom"/>
            <w:tcBorders>
              <w:bottom w:val="single" w:sz="8" w:color="CCEEFF"/>
            </w:tcBorders>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Conventional</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Carlsbad</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Diego Gas &amp;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2,472</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Utility Scale Solar</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Tucson Electric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San Diego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City of Georgetown, TX</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2043</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2034</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9"/>
                <w:szCs w:val="9"/>
                <w:color w:val="auto"/>
              </w:rPr>
              <w:t>(b)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TA High Desert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9"/>
                <w:szCs w:val="9"/>
                <w:color w:val="auto"/>
              </w:rPr>
              <w:t>(b) (e)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1,157</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Distributed Solar</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Apple I LLC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AZ DG Solar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2025 - 2033</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Clearway Chestnut Projects</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2032-2034</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Renew Solar CS4 Projects</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2029-2044</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SPP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2026 - 2037</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2023 - 2039</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33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Offtake Counterparty</w:t>
            </w:r>
          </w:p>
        </w:tc>
        <w:tc>
          <w:tcPr>
            <w:tcW w:w="11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2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334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Wind</w:t>
            </w:r>
          </w:p>
        </w:tc>
        <w:tc>
          <w:tcPr>
            <w:tcW w:w="2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220"/>
              <w:spacing w:after="0"/>
              <w:rPr>
                <w:sz w:val="20"/>
                <w:szCs w:val="20"/>
                <w:color w:val="auto"/>
              </w:rPr>
            </w:pPr>
            <w:r>
              <w:rPr>
                <w:rFonts w:ascii="Arial" w:cs="Arial" w:eastAsia="Arial" w:hAnsi="Arial"/>
                <w:sz w:val="14"/>
                <w:szCs w:val="14"/>
                <w:color w:val="auto"/>
              </w:rPr>
              <w:t>Alta I</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Alta II</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3280" w:type="dxa"/>
            <w:vAlign w:val="bottom"/>
          </w:tcPr>
          <w:p>
            <w:pPr>
              <w:ind w:left="220"/>
              <w:spacing w:after="0"/>
              <w:rPr>
                <w:sz w:val="20"/>
                <w:szCs w:val="20"/>
                <w:color w:val="auto"/>
              </w:rPr>
            </w:pPr>
            <w:r>
              <w:rPr>
                <w:rFonts w:ascii="Arial" w:cs="Arial" w:eastAsia="Arial" w:hAnsi="Arial"/>
                <w:sz w:val="14"/>
                <w:szCs w:val="14"/>
                <w:color w:val="auto"/>
              </w:rPr>
              <w:t>Alta III</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Alta IV</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Alta V</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168</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9"/>
                <w:szCs w:val="9"/>
                <w:color w:val="auto"/>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9"/>
                <w:szCs w:val="9"/>
                <w:color w:val="auto"/>
              </w:rPr>
              <w:t>(b)</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Buffalo Bear</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Western Farmers Electric Co-operative</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Crosswinds</w:t>
            </w:r>
          </w:p>
        </w:tc>
        <w:tc>
          <w:tcPr>
            <w:tcW w:w="208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3"/>
              </w:rPr>
              <w:t>Corn Belt Power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9"/>
                <w:szCs w:val="9"/>
                <w:color w:val="auto"/>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Elkhorn Ridge</w:t>
            </w:r>
          </w:p>
        </w:tc>
        <w:tc>
          <w:tcPr>
            <w:tcW w:w="2080" w:type="dxa"/>
            <w:vAlign w:val="bottom"/>
          </w:tcPr>
          <w:p>
            <w:pPr>
              <w:jc w:val="right"/>
              <w:spacing w:after="0"/>
              <w:rPr>
                <w:sz w:val="20"/>
                <w:szCs w:val="20"/>
                <w:color w:val="auto"/>
              </w:rPr>
            </w:pPr>
            <w:r>
              <w:rPr>
                <w:rFonts w:ascii="Arial" w:cs="Arial" w:eastAsia="Arial" w:hAnsi="Arial"/>
                <w:sz w:val="14"/>
                <w:szCs w:val="14"/>
                <w:color w:val="auto"/>
              </w:rPr>
              <w:t>66.7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Forward</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Constellation NewEnergy, Inc.</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Goat Wind</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Hardin</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Interstate Power and Light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Laredo Ridge</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Lookout</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Odin</w:t>
            </w:r>
          </w:p>
        </w:tc>
        <w:tc>
          <w:tcPr>
            <w:tcW w:w="2080" w:type="dxa"/>
            <w:vAlign w:val="bottom"/>
          </w:tcPr>
          <w:p>
            <w:pPr>
              <w:jc w:val="right"/>
              <w:spacing w:after="0"/>
              <w:rPr>
                <w:sz w:val="20"/>
                <w:szCs w:val="20"/>
                <w:color w:val="auto"/>
              </w:rPr>
            </w:pPr>
            <w:r>
              <w:rPr>
                <w:rFonts w:ascii="Arial" w:cs="Arial" w:eastAsia="Arial" w:hAnsi="Arial"/>
                <w:sz w:val="14"/>
                <w:szCs w:val="14"/>
                <w:color w:val="auto"/>
              </w:rPr>
              <w:t>99.9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Pinnacle</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San Juan Mesa</w:t>
            </w:r>
          </w:p>
        </w:tc>
        <w:tc>
          <w:tcPr>
            <w:tcW w:w="208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Sleeping Bear</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South Trent</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1"/>
              </w:rPr>
              <w:t>AEP Energy Partners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Spanish Fork</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9"/>
                <w:szCs w:val="9"/>
                <w:color w:val="auto"/>
              </w:rPr>
              <w:t>(b)</w:t>
            </w:r>
          </w:p>
        </w:tc>
        <w:tc>
          <w:tcPr>
            <w:tcW w:w="2080" w:type="dxa"/>
            <w:vAlign w:val="bottom"/>
          </w:tcPr>
          <w:p>
            <w:pPr>
              <w:jc w:val="right"/>
              <w:spacing w:after="0"/>
              <w:rPr>
                <w:sz w:val="20"/>
                <w:szCs w:val="20"/>
                <w:color w:val="auto"/>
              </w:rPr>
            </w:pPr>
            <w:r>
              <w:rPr>
                <w:rFonts w:ascii="Arial" w:cs="Arial" w:eastAsia="Arial" w:hAnsi="Arial"/>
                <w:sz w:val="14"/>
                <w:szCs w:val="14"/>
                <w:color w:val="auto"/>
              </w:rPr>
              <w:t>90.1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9"/>
                <w:szCs w:val="9"/>
                <w:color w:val="auto"/>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3280" w:type="dxa"/>
            <w:vAlign w:val="bottom"/>
          </w:tcPr>
          <w:p>
            <w:pPr>
              <w:ind w:left="220"/>
              <w:spacing w:after="0"/>
              <w:rPr>
                <w:sz w:val="20"/>
                <w:szCs w:val="20"/>
                <w:color w:val="auto"/>
              </w:rPr>
            </w:pPr>
            <w:r>
              <w:rPr>
                <w:rFonts w:ascii="Arial" w:cs="Arial" w:eastAsia="Arial" w:hAnsi="Arial"/>
                <w:sz w:val="14"/>
                <w:szCs w:val="14"/>
                <w:color w:val="auto"/>
              </w:rPr>
              <w:t>Taloga</w:t>
            </w:r>
          </w:p>
        </w:tc>
        <w:tc>
          <w:tcPr>
            <w:tcW w:w="20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5"/>
              </w:rPr>
              <w:t>Oklahoma Gas &amp; Electric</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9"/>
                <w:szCs w:val="9"/>
                <w:color w:val="auto"/>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2,203</w:t>
            </w:r>
          </w:p>
        </w:tc>
        <w:tc>
          <w:tcPr>
            <w:tcW w:w="3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Thermal</w:t>
            </w:r>
          </w:p>
        </w:tc>
        <w:tc>
          <w:tcPr>
            <w:tcW w:w="2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Thermal Generation</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c>
          <w:tcPr>
            <w:tcW w:w="334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Total net generation capacity </w:t>
            </w:r>
            <w:r>
              <w:rPr>
                <w:rFonts w:ascii="Arial" w:cs="Arial" w:eastAsia="Arial" w:hAnsi="Arial"/>
                <w:sz w:val="9"/>
                <w:szCs w:val="9"/>
                <w:color w:val="auto"/>
              </w:rPr>
              <w:t>(c)</w:t>
            </w:r>
          </w:p>
        </w:tc>
        <w:tc>
          <w:tcPr>
            <w:tcW w:w="20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6,027</w:t>
            </w:r>
          </w:p>
        </w:tc>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Thermal equivalent MWt</w:t>
            </w:r>
            <w:r>
              <w:rPr>
                <w:rFonts w:ascii="Arial" w:cs="Arial" w:eastAsia="Arial" w:hAnsi="Arial"/>
                <w:sz w:val="9"/>
                <w:szCs w:val="9"/>
                <w:color w:val="auto"/>
              </w:rPr>
              <w:t>(d)</w:t>
            </w:r>
          </w:p>
        </w:tc>
        <w:tc>
          <w:tcPr>
            <w:tcW w:w="2080" w:type="dxa"/>
            <w:vAlign w:val="bottom"/>
          </w:tcPr>
          <w:p>
            <w:pPr>
              <w:jc w:val="right"/>
              <w:spacing w:after="0"/>
              <w:rPr>
                <w:sz w:val="20"/>
                <w:szCs w:val="20"/>
                <w:color w:val="auto"/>
              </w:rPr>
            </w:pPr>
            <w:r>
              <w:rPr>
                <w:rFonts w:ascii="Arial" w:cs="Arial" w:eastAsia="Arial" w:hAnsi="Arial"/>
                <w:sz w:val="14"/>
                <w:szCs w:val="14"/>
                <w:color w:val="auto"/>
              </w:rPr>
              <w:t>92.9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1,453</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798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2020.</w:t>
      </w:r>
    </w:p>
    <w:p>
      <w:pPr>
        <w:spacing w:after="0" w:line="13" w:lineRule="exact"/>
        <w:rPr>
          <w:rFonts w:ascii="Arial" w:cs="Arial" w:eastAsia="Arial" w:hAnsi="Arial"/>
          <w:sz w:val="9"/>
          <w:szCs w:val="9"/>
          <w:color w:val="auto"/>
        </w:rPr>
      </w:pPr>
    </w:p>
    <w:p>
      <w:pPr>
        <w:ind w:left="160" w:hanging="152"/>
        <w:spacing w:after="0"/>
        <w:tabs>
          <w:tab w:leader="none" w:pos="160" w:val="left"/>
        </w:tabs>
        <w:numPr>
          <w:ilvl w:val="0"/>
          <w:numId w:val="38"/>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Item 1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w:t>
      </w:r>
    </w:p>
    <w:p>
      <w:pPr>
        <w:spacing w:after="0" w:line="9" w:lineRule="exact"/>
        <w:rPr>
          <w:rFonts w:ascii="Arial" w:cs="Arial" w:eastAsia="Arial" w:hAnsi="Arial"/>
          <w:sz w:val="9"/>
          <w:szCs w:val="9"/>
          <w:color w:val="auto"/>
        </w:rPr>
      </w:pPr>
    </w:p>
    <w:p>
      <w:pPr>
        <w:ind w:firstLine="8"/>
        <w:spacing w:after="0" w:line="245" w:lineRule="auto"/>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6,033 MWs.</w:t>
      </w:r>
    </w:p>
    <w:p>
      <w:pPr>
        <w:ind w:firstLine="8"/>
        <w:spacing w:after="0" w:line="241" w:lineRule="auto"/>
        <w:tabs>
          <w:tab w:leader="none" w:pos="158" w:val="left"/>
        </w:tabs>
        <w:numPr>
          <w:ilvl w:val="0"/>
          <w:numId w:val="38"/>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19 MWt available under the right-to-use provisions contained in agreements between one of the Company's thermal facilities and certain of its customers.</w:t>
      </w: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Represents interests in Four Brothers Solar, LLC, Granite Mountain Holdings, LLC, and Iron Springs Holdings, LLC, all acquired as part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 March 2017 Drop Down Assets (ownership percentage is based upon cash to be distributed).</w:t>
      </w:r>
    </w:p>
    <w:p>
      <w:pPr>
        <w:spacing w:after="0" w:line="2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Additionally,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165 MW based on cash to be distributed pursuant to the partnership agreements as of June 30, 2020. For further discussions, see Item 1 —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Item 15 — Note 5, Investments Accounted for by the Equity Method and Variable Interest Entities to the consolidated financial statements included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 Update</w:t>
      </w:r>
    </w:p>
    <w:p>
      <w:pPr>
        <w:spacing w:after="0" w:line="171" w:lineRule="exact"/>
        <w:rPr>
          <w:sz w:val="20"/>
          <w:szCs w:val="20"/>
          <w:color w:val="auto"/>
        </w:rPr>
      </w:pPr>
    </w:p>
    <w:p>
      <w:pPr>
        <w:jc w:val="both"/>
        <w:ind w:left="340" w:hanging="332"/>
        <w:spacing w:after="0" w:line="291"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2019, PG&amp;E, one of the Company's largest customers, filed for reorganization under Chapter 11 of the U.S. Bankruptcy Code in the U.S. Bankruptcy Court for the Northern District of California, or the Bankruptcy Court. The PG&amp;E Bankruptcy triggered defaults under the PPAs with PG&amp;E and such related financing agreements. As a result, the Company had previously recorded approximately $1.19 billion of principal, net of the related unamortized debt issuance costs, as short-term debt. 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The Company has reclassified the related debt to non-current based on its original maturity as of June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left="340" w:hanging="332"/>
        <w:spacing w:after="0" w:line="254"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proceeds from the additional 2028 Senior Notes were used to repay the $45 million outstanding long-term debt to Clearway Energy, Inc. which were in turn utilized to repay the $45 million outstanding principal amount of Clearway Energy, Inc.'s 2020 Convertible Notes on June 1, 2020, as well as to fund the repayment of outstanding borrowings under the Company's revolving credit facility and for general corporate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340" w:hanging="332"/>
        <w:spacing w:after="0" w:line="263" w:lineRule="auto"/>
        <w:tabs>
          <w:tab w:leader="none" w:pos="335"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On August 3, 2020, the Company entered into an agreement with CEG to acquire an interest in Mesquite Star Pledgor LLC, which owns the Mesquite Star wind project, a 419 MW utility scale wind project located in Fisher County, Texas for approximately $79 million. The acquisition is expected to close during the third quarter of 2020 and will be funded with existing liquidity.</w:t>
      </w:r>
    </w:p>
    <w:p>
      <w:pPr>
        <w:spacing w:after="0" w:line="129" w:lineRule="exact"/>
        <w:rPr>
          <w:rFonts w:ascii="Arial" w:cs="Arial" w:eastAsia="Arial" w:hAnsi="Arial"/>
          <w:sz w:val="18"/>
          <w:szCs w:val="18"/>
          <w:b w:val="1"/>
          <w:bCs w:val="1"/>
          <w:i w:val="1"/>
          <w:iCs w:val="1"/>
          <w:color w:val="auto"/>
        </w:rPr>
      </w:pPr>
    </w:p>
    <w:p>
      <w:pPr>
        <w:jc w:val="both"/>
        <w:ind w:left="340" w:hanging="332"/>
        <w:spacing w:after="0" w:line="263"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August 3, 2020, CEG offered the Company the opportunity to purchase (i) residual interests in the Kawailoa and Oahu Solar Partnerships and (ii) 100% of its interests in Langford Holding, LLC, which owns the Langford wind project. The transaction is subject to negotiation and approval by the Company's Independent Directors.</w:t>
      </w:r>
    </w:p>
    <w:p>
      <w:pPr>
        <w:spacing w:after="0" w:line="129" w:lineRule="exact"/>
        <w:rPr>
          <w:rFonts w:ascii="Arial" w:cs="Arial" w:eastAsia="Arial" w:hAnsi="Arial"/>
          <w:sz w:val="18"/>
          <w:szCs w:val="18"/>
          <w:color w:val="auto"/>
        </w:rPr>
      </w:pPr>
    </w:p>
    <w:p>
      <w:pPr>
        <w:jc w:val="both"/>
        <w:ind w:left="340" w:hanging="332"/>
        <w:spacing w:after="0" w:line="271" w:lineRule="auto"/>
        <w:tabs>
          <w:tab w:leader="none" w:pos="3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(i) 100% of the equity interests in Rattlesnake Flat, LLC, which owns the Rattlesnake Wind Project, a 144 net MW wind facility located in Adams County, WA; (ii) CEG's interest in Repowering Partnership II LLC (Repowering 1.0), which the Company acquired on May 11, 2020; and (iii) 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124"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May 11, 2020, the Company acquired CEG's interest in Repowering Partnership II LLC for cash consideration of $70 million. Repowering Partnership II LLC is no longer a VIE and subsequent to the acquisition, is a wholly-owned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Sale of Interest in RPV Holdco 1</w:t>
      </w:r>
    </w:p>
    <w:p>
      <w:pPr>
        <w:spacing w:after="0" w:line="252" w:lineRule="exact"/>
        <w:rPr>
          <w:sz w:val="20"/>
          <w:szCs w:val="20"/>
          <w:color w:val="auto"/>
        </w:rPr>
      </w:pPr>
    </w:p>
    <w:p>
      <w:pPr>
        <w:jc w:val="both"/>
        <w:ind w:left="340" w:hanging="332"/>
        <w:spacing w:after="0" w:line="263"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May 14, 2020, the Company sold its interests in RPV Holdco 1 LLC, or RPV Holdco, to a third party for net 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left="340" w:hanging="332"/>
        <w:spacing w:after="0" w:line="259"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May 29, 2020, the final construction projects owned by DGPV Holdco 3 were placed in service which resulted in a reconsideration event. The Company determined that it will consolidate DGPV Holdco 3 effective on May 29, 2020 and show the interest owned by CEG as noncontrolling interest as of that date. This resulted in the consolidation of assets of $400 million and liabilities of $290 million as of May 29, 2020. The impact to the results of operations for the period from May 30, 2020 to June 30, 2020 was not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171" w:lineRule="exact"/>
        <w:rPr>
          <w:sz w:val="20"/>
          <w:szCs w:val="20"/>
          <w:color w:val="auto"/>
        </w:rPr>
      </w:pPr>
    </w:p>
    <w:p>
      <w:pPr>
        <w:jc w:val="both"/>
        <w:ind w:left="340" w:hanging="332"/>
        <w:spacing w:after="0" w:line="259"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July 2020, all necessary regulatory approvals were obtained with respect to the Company's Marsh Landing project to provide black start capability in the greater San Francisco Bay area, which would restart Marsh Landing in the event of a blackout, under a five-year contract with the California Independent System Operator to support their emergency restoration of the electrical grid. The project has commenced construction and is expected to achieve commercial operations in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1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Affordable Clean Energy Rule </w:t>
      </w:r>
      <w:r>
        <w:rPr>
          <w:rFonts w:ascii="Arial" w:cs="Arial" w:eastAsia="Arial" w:hAnsi="Arial"/>
          <w:sz w:val="18"/>
          <w:szCs w:val="18"/>
          <w:color w:val="auto"/>
        </w:rPr>
        <w:t>— The attention in recent years on GHG emissions has resulted in federal regulations and state legislative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Proposed State Solar Photovoltaic Module Disposal and Recycling Regulations </w:t>
      </w:r>
      <w:r>
        <w:rPr>
          <w:rFonts w:ascii="Arial" w:cs="Arial" w:eastAsia="Arial" w:hAnsi="Arial"/>
          <w:sz w:val="17"/>
          <w:szCs w:val="17"/>
          <w:color w:val="auto"/>
        </w:rPr>
        <w:t>— On October 1, 2015, California enacted SB 489, which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California’s Department of Toxic Substances Control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Comments on the proposed rule were due by June 10, 2019, but the date was extended to January 8, 2020, as a result of text modifications. The final rule has not yet been published.</w:t>
      </w:r>
    </w:p>
    <w:p>
      <w:pPr>
        <w:spacing w:after="0" w:line="12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 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ind w:firstLine="405"/>
        <w:spacing w:after="0" w:line="272" w:lineRule="auto"/>
        <w:rPr>
          <w:sz w:val="20"/>
          <w:szCs w:val="20"/>
          <w:color w:val="auto"/>
        </w:rPr>
      </w:pPr>
      <w:r>
        <w:rPr>
          <w:rFonts w:ascii="Arial" w:cs="Arial" w:eastAsia="Arial" w:hAnsi="Arial"/>
          <w:sz w:val="17"/>
          <w:szCs w:val="17"/>
          <w:color w:val="auto"/>
        </w:rPr>
        <w:t>On February 3, 2020, the U.S. Fish and Wildlife Service published in the Federal Register a notice of proposed rulemaking to solicit public comment on a proposed regulation that would codify Solicitor’s Opinion M-37050 defining the scope of certain prohibitions under the MBTA. The proposed rule would clarify that criminal liability for pursuing, hunting, taking, capturing, or killing or attempting to take, capture or kill migratory birds is limited to actions directed at migratory birds, their nests, or their eggs. The proposed rule would have the effect of clarifying that these prohibitions do not extend to actions that only incidentally take or kill migratory birds as a result of otherwise lawful activities. Comments on the proposed rule were due by March 19, 2020. The final rule has not yet been published. On June 5, 2020, the US Fish and Wildlife Service made available the draft Environmental Impact Statement (DEIS) for the proposed rule to define the scope of the MBTA. A 45-day comment period on the DEIS was opened.</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2019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2019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All of the Company’s facilities have remained operational. The Company believes that all of its accounts receivable balances as of June 30, 2020 are collectible. The Company will continue to assess collectability based on any future developments.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Quarterly Report on Form 10-Q for the fiscal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93"/>
              </w:rPr>
              <w:t>(In millions)</w:t>
            </w:r>
          </w:p>
        </w:tc>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Impairment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Development costs</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(Loss) income attributable to noncontrolling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interests and redeemable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Net Income (Loss) Attributable to Clearway Energy,</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9"/>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LLC</w:t>
            </w: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metrics: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Renewables MWh generated/sold (in thousands) </w:t>
      </w:r>
      <w:r>
        <w:rPr>
          <w:rFonts w:ascii="Arial" w:cs="Arial" w:eastAsia="Arial" w:hAnsi="Arial"/>
          <w:sz w:val="20"/>
          <w:szCs w:val="20"/>
          <w:color w:val="auto"/>
          <w:vertAlign w:val="superscript"/>
        </w:rPr>
        <w:t>(a)</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Thermal MWt sold (in thousands)</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Thermal MWh sold (in thousands)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Conventional MWh generated (in thousands) </w:t>
      </w:r>
      <w:r>
        <w:rPr>
          <w:rFonts w:ascii="Arial" w:cs="Arial" w:eastAsia="Arial" w:hAnsi="Arial"/>
          <w:sz w:val="20"/>
          <w:szCs w:val="20"/>
          <w:color w:val="auto"/>
          <w:vertAlign w:val="superscript"/>
        </w:rPr>
        <w:t>(a) (b)</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Conventional equivalent availability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330200</wp:posOffset>
            </wp:positionV>
            <wp:extent cx="13201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92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13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3"/>
        </w:trPr>
        <w:tc>
          <w:tcPr>
            <w:tcW w:w="1340" w:type="dxa"/>
            <w:vAlign w:val="bottom"/>
          </w:tcPr>
          <w:p>
            <w:pPr>
              <w:jc w:val="right"/>
              <w:ind w:right="135"/>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3,397</w:t>
            </w:r>
          </w:p>
        </w:tc>
      </w:tr>
      <w:tr>
        <w:trPr>
          <w:trHeight w:val="270"/>
        </w:trPr>
        <w:tc>
          <w:tcPr>
            <w:tcW w:w="1340" w:type="dxa"/>
            <w:vAlign w:val="bottom"/>
          </w:tcPr>
          <w:p>
            <w:pPr>
              <w:jc w:val="right"/>
              <w:ind w:right="135"/>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1,112</w:t>
            </w:r>
          </w:p>
        </w:tc>
      </w:tr>
      <w:tr>
        <w:trPr>
          <w:trHeight w:val="270"/>
        </w:trPr>
        <w:tc>
          <w:tcPr>
            <w:tcW w:w="1340" w:type="dxa"/>
            <w:vAlign w:val="bottom"/>
          </w:tcPr>
          <w:p>
            <w:pPr>
              <w:jc w:val="right"/>
              <w:ind w:right="1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59</w:t>
            </w:r>
          </w:p>
        </w:tc>
      </w:tr>
      <w:tr>
        <w:trPr>
          <w:trHeight w:val="270"/>
        </w:trPr>
        <w:tc>
          <w:tcPr>
            <w:tcW w:w="1340" w:type="dxa"/>
            <w:vAlign w:val="bottom"/>
          </w:tcPr>
          <w:p>
            <w:pPr>
              <w:jc w:val="right"/>
              <w:ind w:right="135"/>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325</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95.1 %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92.0 %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-847725</wp:posOffset>
            </wp:positionV>
            <wp:extent cx="702945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29450" cy="18034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-496570</wp:posOffset>
            </wp:positionV>
            <wp:extent cx="70294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-153670</wp:posOffset>
            </wp:positionV>
            <wp:extent cx="70294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891"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400" w:hanging="149"/>
        <w:spacing w:after="0"/>
        <w:tabs>
          <w:tab w:leader="none" w:pos="400" w:val="left"/>
        </w:tabs>
        <w:numPr>
          <w:ilvl w:val="0"/>
          <w:numId w:val="45"/>
        </w:numPr>
        <w:rPr>
          <w:rFonts w:ascii="Arial" w:cs="Arial" w:eastAsia="Arial" w:hAnsi="Arial"/>
          <w:sz w:val="11"/>
          <w:szCs w:val="11"/>
          <w:color w:val="auto"/>
        </w:rPr>
      </w:pPr>
      <w:r>
        <w:rPr>
          <w:rFonts w:ascii="Arial" w:cs="Arial" w:eastAsia="Arial" w:hAnsi="Arial"/>
          <w:sz w:val="14"/>
          <w:szCs w:val="14"/>
          <w:color w:val="auto"/>
        </w:rPr>
        <w:t>Volumes do not include the MWh generated/sold by the Company's equity method investments.</w:t>
      </w:r>
    </w:p>
    <w:p>
      <w:pPr>
        <w:spacing w:after="0" w:line="13" w:lineRule="exact"/>
        <w:rPr>
          <w:rFonts w:ascii="Arial" w:cs="Arial" w:eastAsia="Arial" w:hAnsi="Arial"/>
          <w:sz w:val="11"/>
          <w:szCs w:val="11"/>
          <w:color w:val="auto"/>
        </w:rPr>
      </w:pPr>
    </w:p>
    <w:p>
      <w:pPr>
        <w:ind w:left="400" w:hanging="149"/>
        <w:spacing w:after="0"/>
        <w:tabs>
          <w:tab w:leader="none" w:pos="400" w:val="left"/>
        </w:tabs>
        <w:numPr>
          <w:ilvl w:val="0"/>
          <w:numId w:val="45"/>
        </w:numPr>
        <w:rPr>
          <w:rFonts w:ascii="Arial" w:cs="Arial" w:eastAsia="Arial" w:hAnsi="Arial"/>
          <w:sz w:val="9"/>
          <w:szCs w:val="9"/>
          <w:color w:val="auto"/>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p>
      <w:pPr>
        <w:ind w:right="298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June 30,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Conventional</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Generation</w:t>
            </w: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740" w:type="dxa"/>
            <w:vAlign w:val="bottom"/>
          </w:tcPr>
          <w:p>
            <w:pPr>
              <w:ind w:left="22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Energy and capacity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740" w:type="dxa"/>
            <w:vAlign w:val="bottom"/>
          </w:tcPr>
          <w:p>
            <w:pPr>
              <w:ind w:left="22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Gross margin increased by $47 million during the three months ended June 30, 2020, compared to the same period in 2019, due to a combination of the drivers summarized in the table below:</w:t>
      </w:r>
    </w:p>
    <w:p>
      <w:pPr>
        <w:sectPr>
          <w:pgSz w:w="11900" w:h="16838" w:orient="portrait"/>
          <w:cols w:equalWidth="0" w:num="1">
            <w:col w:w="11240"/>
          </w:cols>
          <w:pgMar w:left="320" w:top="1440" w:right="339" w:bottom="1440" w:gutter="0" w:footer="0" w:header="0"/>
        </w:sectPr>
      </w:pPr>
    </w:p>
    <w:p>
      <w:pPr>
        <w:spacing w:after="0" w:line="274" w:lineRule="exact"/>
        <w:rPr>
          <w:sz w:val="20"/>
          <w:szCs w:val="20"/>
          <w:color w:val="auto"/>
        </w:rPr>
      </w:pPr>
    </w:p>
    <w:p>
      <w:pPr>
        <w:jc w:val="center"/>
        <w:ind w:left="520"/>
        <w:spacing w:after="0"/>
        <w:rPr>
          <w:sz w:val="20"/>
          <w:szCs w:val="20"/>
          <w:color w:val="auto"/>
        </w:rPr>
      </w:pPr>
      <w:r>
        <w:rPr>
          <w:rFonts w:ascii="Arial" w:cs="Arial" w:eastAsia="Arial" w:hAnsi="Arial"/>
          <w:sz w:val="15"/>
          <w:szCs w:val="15"/>
          <w:b w:val="1"/>
          <w:bCs w:val="1"/>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Conventional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Thermal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Increase primarily due to a $9 million increase due to the prior year outage at CVSR in June 2019, an increase of $7 million related to the Oahu and Kawailoa facilities achieving COD in late 2019, a $4 million increase due to the completion of the repowering of Elbow Creek and Wildorado and an increase of $3 million from the consolidation of the Chestnut and CS4 Funds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-589915</wp:posOffset>
            </wp:positionV>
            <wp:extent cx="6635115" cy="582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35115" cy="582930"/>
                    </a:xfrm>
                    <a:prstGeom prst="rect">
                      <a:avLst/>
                    </a:prstGeom>
                    <a:noFill/>
                  </pic:spPr>
                </pic:pic>
              </a:graphicData>
            </a:graphic>
          </wp:anchor>
        </w:drawing>
      </w:r>
    </w:p>
    <w:p>
      <w:pPr>
        <w:ind w:right="1260"/>
        <w:spacing w:after="0" w:line="374" w:lineRule="auto"/>
        <w:rPr>
          <w:sz w:val="20"/>
          <w:szCs w:val="20"/>
          <w:color w:val="auto"/>
        </w:rPr>
      </w:pPr>
      <w:r>
        <w:rPr>
          <w:rFonts w:ascii="Arial" w:cs="Arial" w:eastAsia="Arial" w:hAnsi="Arial"/>
          <w:sz w:val="17"/>
          <w:szCs w:val="17"/>
          <w:color w:val="auto"/>
        </w:rPr>
        <w:t>Increase is due primarily to the acquisition of Carlsbad Energy in December 2019 Decrease primarily due to the sale of Dover on 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-222885</wp:posOffset>
            </wp:positionV>
            <wp:extent cx="663511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351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91" w:hanging="1191"/>
        <w:spacing w:after="0"/>
        <w:tabs>
          <w:tab w:leader="none" w:pos="11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27</w:t>
      </w:r>
    </w:p>
    <w:p>
      <w:pPr>
        <w:spacing w:after="0" w:line="63" w:lineRule="exact"/>
        <w:rPr>
          <w:rFonts w:ascii="Arial" w:cs="Arial" w:eastAsia="Arial" w:hAnsi="Arial"/>
          <w:sz w:val="18"/>
          <w:szCs w:val="18"/>
          <w:color w:val="auto"/>
        </w:rPr>
      </w:pPr>
    </w:p>
    <w:p>
      <w:pPr>
        <w:ind w:left="1191"/>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63" w:lineRule="exact"/>
        <w:rPr>
          <w:rFonts w:ascii="Arial" w:cs="Arial" w:eastAsia="Arial" w:hAnsi="Arial"/>
          <w:sz w:val="18"/>
          <w:szCs w:val="18"/>
          <w:color w:val="auto"/>
        </w:rPr>
      </w:pPr>
    </w:p>
    <w:p>
      <w:pPr>
        <w:ind w:left="1211"/>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683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80" w:lineRule="exact"/>
        <w:rPr>
          <w:sz w:val="20"/>
          <w:szCs w:val="20"/>
          <w:color w:val="auto"/>
        </w:rPr>
      </w:pPr>
    </w:p>
    <w:p>
      <w:pPr>
        <w:ind w:left="1191" w:hanging="1191"/>
        <w:spacing w:after="0"/>
        <w:tabs>
          <w:tab w:leader="none" w:pos="11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683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683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180" w:space="520"/>
            <w:col w:w="7140" w:space="109"/>
            <w:col w:w="2291"/>
          </w:cols>
          <w:pgMar w:left="320" w:top="1440"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and maintenance expense increased by $10 million during the three months ended June 30, 2020, compared to the same period in 2019, due to a $7 million increase in the Conventional segment related to the acquisition of the Carlsbad Energy Center in December 2019 and a $3 million increase in the Renewables segment due to increased operations and maintenance expense related to the projects achieving COD in late 2019 and early 2020, including the Oahu and Kawailoa facilities and Elbow Creek and Wildorado repowering.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Depreciation, amortization and accretion expense increased by $9 million during the three months ended June 30, 2020, compared to the same period in 2019, primarily due to an $8 million increase in the Conventional segment related to the acquisition of the Carlsbad Energy Center in December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three months ended June 30, 2019, relate to a facility within the Company's Thermal segment, as further described in Note 13, </w:t>
      </w:r>
      <w:r>
        <w:rPr>
          <w:rFonts w:ascii="Arial" w:cs="Arial" w:eastAsia="Arial" w:hAnsi="Arial"/>
          <w:sz w:val="18"/>
          <w:szCs w:val="18"/>
          <w:i w:val="1"/>
          <w:iCs w:val="1"/>
          <w:color w:val="auto"/>
        </w:rPr>
        <w:t>Asset Impairments.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$5 million during the three months ended June 30, 2020, compared to the same period in 2019, primarily due to an increase in MSA fees charged by CEG, personnel costs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Equity in earnings of unconsolidated affiliates increased by $5 million during the three months ended June 30, 2020, compared to the same period in 2019, primarily driven by changes in the HLBV values for the Utah and DGPV investments.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14, 2020, the Company sold its interests in RPV Holdco 1 LLC, or RPV Holdco, to a third party which resulted in a gain on sale of investment of approximately $49 million. For further discussion on this transaction, see Note 3 - Acquisition and Dispositions</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decreased by $37 million during the three months ended June 30, 2020, compared to the same period in 2019, due to the following:</w:t>
      </w:r>
    </w:p>
    <w:p>
      <w:pPr>
        <w:spacing w:after="0" w:line="8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520" w:type="dxa"/>
            <w:vAlign w:val="bottom"/>
          </w:tcPr>
          <w:p>
            <w:pPr>
              <w:spacing w:after="0"/>
              <w:rPr>
                <w:sz w:val="20"/>
                <w:szCs w:val="20"/>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interest rate swaps</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29"/>
        </w:trPr>
        <w:tc>
          <w:tcPr>
            <w:tcW w:w="9080" w:type="dxa"/>
            <w:vAlign w:val="bottom"/>
          </w:tcPr>
          <w:p>
            <w:pPr>
              <w:spacing w:after="0"/>
              <w:rPr>
                <w:sz w:val="20"/>
                <w:szCs w:val="20"/>
                <w:color w:val="auto"/>
              </w:rPr>
            </w:pPr>
            <w:r>
              <w:rPr>
                <w:rFonts w:ascii="Arial" w:cs="Arial" w:eastAsia="Arial" w:hAnsi="Arial"/>
                <w:sz w:val="18"/>
                <w:szCs w:val="18"/>
                <w:color w:val="auto"/>
                <w:w w:val="94"/>
              </w:rPr>
              <w:t>Reclassification of losses previously deferred in AOCI to the statement of operations in connection with project-level debt</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refinancing activities</w:t>
            </w:r>
          </w:p>
        </w:tc>
        <w:tc>
          <w:tcPr>
            <w:tcW w:w="11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r>
      <w:tr>
        <w:trPr>
          <w:trHeight w:val="237"/>
        </w:trPr>
        <w:tc>
          <w:tcPr>
            <w:tcW w:w="9080" w:type="dxa"/>
            <w:vAlign w:val="bottom"/>
          </w:tcPr>
          <w:p>
            <w:pPr>
              <w:spacing w:after="0"/>
              <w:rPr>
                <w:sz w:val="20"/>
                <w:szCs w:val="20"/>
                <w:color w:val="auto"/>
              </w:rPr>
            </w:pPr>
          </w:p>
        </w:tc>
        <w:tc>
          <w:tcPr>
            <w:tcW w:w="1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
        </w:trPr>
        <w:tc>
          <w:tcPr>
            <w:tcW w:w="9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For the three months ended June 30, 2020, the Company had a $27 million loss attributable to tax equity noncontrolling interests related to losses of $15 million related to CEG's interests in the Repowering partnership through the acquisition date of May 11, 2020, as well as losses of $12 million attributable to noncontrolling interests with respect to its tax equity financing arrangements and the application of the HLBV method.</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June 30, 2019, the Company had a loss of $4 million attributable to CEG's interests in the Kawailoa, Oahu and Repowering partnerships, offset by income of $6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320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Six Months Ended June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4"/>
                <w:szCs w:val="14"/>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Generation</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160" w:type="dxa"/>
            <w:vAlign w:val="bottom"/>
          </w:tcPr>
          <w:p>
            <w:pPr>
              <w:ind w:left="22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Energy and capacity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41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416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ind w:firstLine="405"/>
        <w:spacing w:after="0" w:line="277" w:lineRule="auto"/>
        <w:rPr>
          <w:sz w:val="20"/>
          <w:szCs w:val="20"/>
          <w:color w:val="auto"/>
        </w:rPr>
      </w:pPr>
      <w:r>
        <w:rPr>
          <w:rFonts w:ascii="Arial" w:cs="Arial" w:eastAsia="Arial" w:hAnsi="Arial"/>
          <w:sz w:val="18"/>
          <w:szCs w:val="18"/>
          <w:color w:val="auto"/>
        </w:rPr>
        <w:t>Gross margin increased by $90 million during the six months ended June 30, 2020, compared to the same period in 2019 primarily due to a combination of the following:</w:t>
      </w:r>
    </w:p>
    <w:p>
      <w:pPr>
        <w:sectPr>
          <w:pgSz w:w="11900" w:h="16838" w:orient="portrait"/>
          <w:cols w:equalWidth="0" w:num="1">
            <w:col w:w="11240"/>
          </w:cols>
          <w:pgMar w:left="320" w:top="895" w:right="339" w:bottom="1440" w:gutter="0" w:footer="0" w:header="0"/>
        </w:sect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5"/>
          <w:szCs w:val="15"/>
          <w:b w:val="1"/>
          <w:bCs w:val="1"/>
          <w:color w:val="auto"/>
        </w:rPr>
        <w:t>Segment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right="40"/>
        <w:spacing w:after="0" w:line="453" w:lineRule="auto"/>
        <w:rPr>
          <w:sz w:val="20"/>
          <w:szCs w:val="20"/>
          <w:color w:val="auto"/>
        </w:rPr>
      </w:pPr>
      <w:r>
        <w:rPr>
          <w:rFonts w:ascii="Arial" w:cs="Arial" w:eastAsia="Arial" w:hAnsi="Arial"/>
          <w:sz w:val="16"/>
          <w:szCs w:val="16"/>
          <w:b w:val="1"/>
          <w:bCs w:val="1"/>
          <w:color w:val="auto"/>
        </w:rPr>
        <w:t>Renewables Conventional</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Thermal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of $20 million related to higher wind energy production primarily at Alta, as well as the completion of the repowering of Elbow Creek and Wildorado. Additional increases of $9 million were due to the prior year outage at CVSR, $11 million due to the Oahu and Kawailoa facilities achieving COD in late 2019 and $3 million from the consolidation of the Chestnut and CS4 Funds in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-574675</wp:posOffset>
            </wp:positionV>
            <wp:extent cx="7132320" cy="5829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Increase is due primarily to the acquisition of Carlsbad Energy in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31750</wp:posOffset>
            </wp:positionV>
            <wp:extent cx="713232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Decrease of $3 million related to the sale of the Energy Center Dover on March 2, 2020, offset by an increase of $2 million related to the acquisition of the Duquesne University Energy System on May 1, 2019</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48"/>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8" w:hanging="1108"/>
        <w:spacing w:after="0"/>
        <w:tabs>
          <w:tab w:leader="none" w:pos="11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46</w:t>
      </w:r>
    </w:p>
    <w:p>
      <w:pPr>
        <w:spacing w:after="0" w:line="63" w:lineRule="exact"/>
        <w:rPr>
          <w:rFonts w:ascii="Arial" w:cs="Arial" w:eastAsia="Arial" w:hAnsi="Arial"/>
          <w:sz w:val="18"/>
          <w:szCs w:val="18"/>
          <w:color w:val="auto"/>
        </w:rPr>
      </w:pPr>
    </w:p>
    <w:p>
      <w:pPr>
        <w:ind w:left="1108"/>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7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ind w:left="1108" w:hanging="1108"/>
        <w:spacing w:after="0"/>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944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100" w:space="460"/>
            <w:col w:w="8080" w:space="52"/>
            <w:col w:w="1548"/>
          </w:cols>
          <w:pgMar w:left="320" w:top="895"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and maintenance expense increased by $21 million during the six months ended June 30, 2020, compared to the same period in 2019. This is due to a $13 million increase in the Conventional segment related to the acquisition of the Carlsbad Energy Center in December 2019 and an $8 million increase in the Renewables segment related to COD having been reached for the Oahu and Kawailoa facilities in late 2019 and the repowering of Elbow Creek and Wildorado in late 2019 and early 2020.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amortization and accretion expense increased by $25 million during the six months ended June 30, 2020, compared to the same period in 2019 primarily due to a $16 million increase in the Conventional segment related to the acquisition of the Carlsbad Energy Center in December 2019 and a $9 million increase in the Renewables Segment due to the Oahu and Kawailoa projects which reached COD in late 2019 as well as the completion of the repowering activities at Elbow Creek and Wildorado projects in the fourth quarter of 2019 and the first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six months ended June 30, 2019, relate to a facility within the Company's Thermal segment, as further described in Note 13 ,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$8 million during the six months ended June 30, 2020, compared to the same period in 2019, primarily due to an increase in MSA fees charged by CEG, personnel costs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 decreased by $11 million during the six months ended June 30, 2020, compared to the same period in 2019, primarily driven by changes in the HLBV values for the Utah, RPV and DGPV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14, 2020, the Company sold its interests in RPV Holdco 1 LLC, or RPV Holdco, to a third party which resulted in a gain on sale of investment of approximately $49 million. For further discussion on this transaction, see Note 3 - Acquisition and Dispositions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5" w:name="page66"/>
    <w:bookmarkEnd w:id="65"/>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$29 million during the six months ended June 30, 2020, compared to the same period in 2019, primarily due to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Reclassification of losses previously deferred in AOCI to the statement of operations in connection with project-level debt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Decrease in interest expense due to lower principal balances of project level debt for the remainder of the portfolio</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9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Increase in Corporate interest expense due to additional revolver borrowings and the issuance of the additional Senior Notes due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37"/>
        </w:trPr>
        <w:tc>
          <w:tcPr>
            <w:tcW w:w="96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9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9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the Company had losses of $35 million attributable to CEG's interests in the Kawailoa, Oahu and Repowering partnerships and losses of $31 million attributable to noncontrolling interests with respect to its tax equity financing arrangements and the application of the HLBV method.</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2019, the Company had a loss of $6 million attributable to CEG's interests in the Oahu, Kawailoa and Repowering partnerships, partially offset by income of $2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xml:space="preserve"> and </w:t>
      </w:r>
      <w:r>
        <w:rPr>
          <w:rFonts w:ascii="Arial" w:cs="Arial" w:eastAsia="Arial" w:hAnsi="Arial"/>
          <w:sz w:val="18"/>
          <w:szCs w:val="18"/>
          <w:color w:val="000000"/>
        </w:rPr>
        <w:t>December 31, 2019</w:t>
      </w:r>
      <w:r>
        <w:rPr>
          <w:rFonts w:ascii="Arial" w:cs="Arial" w:eastAsia="Arial" w:hAnsi="Arial"/>
          <w:sz w:val="18"/>
          <w:szCs w:val="18"/>
          <w:color w:val="231F20"/>
        </w:rPr>
        <w:t>, the Company's liquidity was approximately $854 million and $839 million, respectively, comprised of cash, restricted cash and availability under the Company's revolving credit facility.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2019</w:t>
            </w:r>
          </w:p>
        </w:tc>
      </w:tr>
      <w:tr>
        <w:trPr>
          <w:trHeight w:val="23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60" w:type="dxa"/>
            <w:vAlign w:val="bottom"/>
          </w:tcPr>
          <w:p>
            <w:pPr>
              <w:ind w:left="200"/>
              <w:spacing w:after="0"/>
              <w:rPr>
                <w:sz w:val="20"/>
                <w:szCs w:val="20"/>
                <w:color w:val="auto"/>
              </w:rPr>
            </w:pPr>
            <w:r>
              <w:rPr>
                <w:rFonts w:ascii="Arial" w:cs="Arial" w:eastAsia="Arial" w:hAnsi="Arial"/>
                <w:sz w:val="18"/>
                <w:szCs w:val="18"/>
                <w:color w:val="auto"/>
              </w:rPr>
              <w:t>Clearway Energy LLC, excluding subsidiaries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accounts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r>
      <w:tr>
        <w:trPr>
          <w:trHeight w:val="243"/>
        </w:trPr>
        <w:tc>
          <w:tcPr>
            <w:tcW w:w="7360" w:type="dxa"/>
            <w:vAlign w:val="bottom"/>
          </w:tcPr>
          <w:p>
            <w:pPr>
              <w:ind w:left="20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3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133</w:t>
            </w:r>
          </w:p>
        </w:tc>
      </w:tr>
      <w:tr>
        <w:trPr>
          <w:trHeight w:val="27"/>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3"/>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Revolving credit facility availability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425</w:t>
            </w:r>
          </w:p>
        </w:tc>
      </w:tr>
      <w:tr>
        <w:trPr>
          <w:trHeight w:val="27"/>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liquidity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839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231F20"/>
        </w:rPr>
        <w:t xml:space="preserve">The Company's liquidity includes $241 million and $262 million of restricted cash balances as of June 30, 2020 and December 31, </w:t>
      </w:r>
      <w:r>
        <w:rPr>
          <w:rFonts w:ascii="Arial" w:cs="Arial" w:eastAsia="Arial" w:hAnsi="Arial"/>
          <w:sz w:val="16"/>
          <w:szCs w:val="16"/>
          <w:color w:val="000000"/>
        </w:rPr>
        <w:t>2019</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2020, these restricted funds were comprised of $80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$20 million designated for current debt service payments, and $56 million restricted for reserves including debt service, performance obligations and other reserves, as well as capital expenditures. The remaining $85 million is held in distribution reserve accounts. As of June 30, 2020, $14 million of cash that was restricted pending the outcome of the PG&amp;E Bankruptcy was reclassified into cash and cash equivalents.</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the Company had no outstanding borrowings under the revolving credit facility and $56 million in letters of credit outstanding. During the six months ended June 30, 2020, the Company borrowed $265 million under the revolving credit facility, and subsequently repaid $265 million utilizing the proceeds from the 2028 Senior Notes and cash on hand.</w:t>
      </w:r>
    </w:p>
    <w:p>
      <w:pPr>
        <w:spacing w:after="0" w:line="13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During 2019, PG&amp;E, one of the Company's largest customers,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was an event of default under the related financing agreements which caused uncertainty around the timing of when certain project-level cash distributions will be available to the Company. </w:t>
      </w:r>
      <w:r>
        <w:rPr>
          <w:rFonts w:ascii="Arial" w:cs="Arial" w:eastAsia="Arial" w:hAnsi="Arial"/>
          <w:sz w:val="17"/>
          <w:szCs w:val="17"/>
          <w:color w:val="231F20"/>
        </w:rPr>
        <w:t>On</w:t>
      </w:r>
      <w:r>
        <w:rPr>
          <w:rFonts w:ascii="Arial" w:cs="Arial" w:eastAsia="Arial" w:hAnsi="Arial"/>
          <w:sz w:val="17"/>
          <w:szCs w:val="17"/>
          <w:color w:val="auto"/>
        </w:rPr>
        <w:t xml:space="preserve"> </w:t>
      </w:r>
      <w:r>
        <w:rPr>
          <w:rFonts w:ascii="Arial" w:cs="Arial" w:eastAsia="Arial" w:hAnsi="Arial"/>
          <w:sz w:val="17"/>
          <w:szCs w:val="17"/>
          <w:color w:val="231F20"/>
        </w:rPr>
        <w:t>July 1, 2020, PG&amp;E emerged from bankruptcy and assumed the Company's contracts without modification. Subsequent to July 1, 2020, the Company collected all remaining receivables due from PG&amp;E for pre-petition periods and a</w:t>
      </w:r>
      <w:r>
        <w:rPr>
          <w:rFonts w:ascii="Arial" w:cs="Arial" w:eastAsia="Arial" w:hAnsi="Arial"/>
          <w:sz w:val="17"/>
          <w:szCs w:val="17"/>
          <w:color w:val="000000"/>
        </w:rPr>
        <w:t>s of July 31, 2020, $50 million of cash in distribution reserve accounts at</w:t>
      </w:r>
      <w:r>
        <w:rPr>
          <w:rFonts w:ascii="Arial" w:cs="Arial" w:eastAsia="Arial" w:hAnsi="Arial"/>
          <w:sz w:val="17"/>
          <w:szCs w:val="17"/>
          <w:color w:val="231F20"/>
        </w:rPr>
        <w:t xml:space="preserve"> </w:t>
      </w:r>
      <w:r>
        <w:rPr>
          <w:rFonts w:ascii="Arial" w:cs="Arial" w:eastAsia="Arial" w:hAnsi="Arial"/>
          <w:sz w:val="17"/>
          <w:szCs w:val="17"/>
          <w:color w:val="000000"/>
        </w:rPr>
        <w:t>subsidiaries affected by the PG&amp;E Bankruptcy was distributed to Clearway Energy Operating LLC.</w:t>
      </w:r>
    </w:p>
    <w:p>
      <w:pPr>
        <w:spacing w:after="0" w:line="1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5.750% Senior Notes, due 2025</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2026</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Note 7, </w:t>
      </w:r>
      <w:r>
        <w:rPr>
          <w:rFonts w:ascii="Arial" w:cs="Arial" w:eastAsia="Arial" w:hAnsi="Arial"/>
          <w:sz w:val="17"/>
          <w:szCs w:val="17"/>
          <w:i w:val="1"/>
          <w:iCs w:val="1"/>
          <w:color w:val="231F20"/>
        </w:rPr>
        <w:t>Long-term Debt</w:t>
      </w:r>
      <w:r>
        <w:rPr>
          <w:rFonts w:ascii="Arial" w:cs="Arial" w:eastAsia="Arial" w:hAnsi="Arial"/>
          <w:sz w:val="17"/>
          <w:szCs w:val="17"/>
          <w:color w:val="231F20"/>
        </w:rPr>
        <w:t xml:space="preserve">, to this Form 10-Q and Note 10, </w:t>
      </w:r>
      <w:r>
        <w:rPr>
          <w:rFonts w:ascii="Arial" w:cs="Arial" w:eastAsia="Arial" w:hAnsi="Arial"/>
          <w:sz w:val="17"/>
          <w:szCs w:val="17"/>
          <w:i w:val="1"/>
          <w:iCs w:val="1"/>
          <w:color w:val="231F20"/>
        </w:rPr>
        <w:t>Long-term Debt</w:t>
      </w:r>
      <w:r>
        <w:rPr>
          <w:rFonts w:ascii="Arial" w:cs="Arial" w:eastAsia="Arial" w:hAnsi="Arial"/>
          <w:sz w:val="17"/>
          <w:szCs w:val="17"/>
          <w:color w:val="231F20"/>
        </w:rPr>
        <w:t xml:space="preserve">, to the consolidated financial statements included in the Company's </w:t>
      </w:r>
      <w:r>
        <w:rPr>
          <w:rFonts w:ascii="Arial" w:cs="Arial" w:eastAsia="Arial" w:hAnsi="Arial"/>
          <w:sz w:val="17"/>
          <w:szCs w:val="17"/>
          <w:color w:val="000000"/>
        </w:rPr>
        <w:t>2019 Form 10-K</w:t>
      </w:r>
      <w:r>
        <w:rPr>
          <w:rFonts w:ascii="Arial" w:cs="Arial" w:eastAsia="Arial" w:hAnsi="Arial"/>
          <w:sz w:val="17"/>
          <w:szCs w:val="17"/>
          <w:color w:val="231F20"/>
        </w:rPr>
        <w:t>, the Company's financing arrangements consist</w:t>
      </w:r>
      <w:r>
        <w:rPr>
          <w:rFonts w:ascii="Arial" w:cs="Arial" w:eastAsia="Arial" w:hAnsi="Arial"/>
          <w:sz w:val="17"/>
          <w:szCs w:val="17"/>
          <w:color w:val="000000"/>
        </w:rPr>
        <w:t xml:space="preserve"> corporate level debt, which includes Senior Notes, Convertible Notes and the revolving credit facility; the ATM Program; and project-level financings for its various assets.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$439 million available under the revolving credit facility as of June 30, 2020.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used to repay the outstanding long-term debt to Clearway Energy, Inc. which were in turn utilized to repay the $45 million outstanding principal amount of Clearway Energy Inc.'s 2020 Convertible Notes on June 1, 2020, as well as repay amounts outstanding under the Company’s revolving credit facility and for general corporate purposes.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ATM Sales</w:t>
      </w:r>
    </w:p>
    <w:p>
      <w:pPr>
        <w:spacing w:after="0" w:line="171"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During the six months ended June 30, 2020, Clearway Energy, Inc. issued and sold 1,749,665 shares of Class C common stock for net proceeds of $38 million, which resulted in the completion of the shares of Class C common stock that were available to be issued under the ATM Program</w:t>
      </w:r>
      <w:r>
        <w:rPr>
          <w:rFonts w:ascii="Arial" w:cs="Arial" w:eastAsia="Arial" w:hAnsi="Arial"/>
          <w:sz w:val="17"/>
          <w:szCs w:val="17"/>
          <w:b w:val="1"/>
          <w:bCs w:val="1"/>
          <w:color w:val="auto"/>
        </w:rPr>
        <w:t>.</w:t>
      </w:r>
      <w:r>
        <w:rPr>
          <w:rFonts w:ascii="Arial" w:cs="Arial" w:eastAsia="Arial" w:hAnsi="Arial"/>
          <w:sz w:val="17"/>
          <w:szCs w:val="17"/>
          <w:color w:val="auto"/>
        </w:rPr>
        <w:t xml:space="preserve"> Clearway Energy, Inc. utilized the proceeds of the sales to acquire 1,749,665 of the Company's Class C units and, as a result, Clearway Energy, Inc. currently owns 57.41% of the economic interests of the Company, with CEG retaining the remaining 42.59%.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Interest in RPV Holdco 1</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On May 14, 2020, the Company sold its interests in RPV Holdco 1 LLC, or RPV Holdco, to a third party for net proceeds of approximately </w:t>
      </w:r>
      <w:r>
        <w:rPr>
          <w:rFonts w:ascii="Arial" w:cs="Arial" w:eastAsia="Arial" w:hAnsi="Arial"/>
          <w:sz w:val="18"/>
          <w:szCs w:val="18"/>
          <w:color w:val="000000"/>
        </w:rPr>
        <w:t>$75 million</w:t>
      </w:r>
      <w:r>
        <w:rPr>
          <w:rFonts w:ascii="Arial" w:cs="Arial" w:eastAsia="Arial" w:hAnsi="Arial"/>
          <w:sz w:val="18"/>
          <w:szCs w:val="18"/>
          <w:color w:val="231F20"/>
        </w:rPr>
        <w:t>. The Company previously accounted for its interest in RPV Holdco as an equity method investment. The sale of the investment resulted in a</w:t>
      </w:r>
      <w:r>
        <w:rPr>
          <w:rFonts w:ascii="Arial" w:cs="Arial" w:eastAsia="Arial" w:hAnsi="Arial"/>
          <w:sz w:val="18"/>
          <w:szCs w:val="18"/>
          <w:color w:val="000000"/>
        </w:rPr>
        <w:t xml:space="preserve"> </w:t>
      </w:r>
      <w:r>
        <w:rPr>
          <w:rFonts w:ascii="Arial" w:cs="Arial" w:eastAsia="Arial" w:hAnsi="Arial"/>
          <w:sz w:val="18"/>
          <w:szCs w:val="18"/>
          <w:color w:val="231F20"/>
        </w:rPr>
        <w:t xml:space="preserve">gain of approximately </w:t>
      </w:r>
      <w:r>
        <w:rPr>
          <w:rFonts w:ascii="Arial" w:cs="Arial" w:eastAsia="Arial" w:hAnsi="Arial"/>
          <w:sz w:val="18"/>
          <w:szCs w:val="18"/>
          <w:color w:val="000000"/>
        </w:rPr>
        <w:t>$49 million</w:t>
      </w:r>
      <w:r>
        <w:rPr>
          <w:rFonts w:ascii="Arial" w:cs="Arial" w:eastAsia="Arial" w:hAnsi="Arial"/>
          <w:sz w:val="18"/>
          <w:szCs w:val="18"/>
          <w:color w:val="231F20"/>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Sale </w:t>
      </w:r>
      <w:r>
        <w:rPr>
          <w:rFonts w:ascii="Arial" w:cs="Arial" w:eastAsia="Arial" w:hAnsi="Arial"/>
          <w:sz w:val="18"/>
          <w:szCs w:val="18"/>
          <w:i w:val="1"/>
          <w:iCs w:val="1"/>
          <w:color w:val="000000"/>
        </w:rPr>
        <w:t>of Energy Center Dover LLC and Energy Center Smyrna LLC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For the six months ended </w:t>
      </w:r>
      <w:r>
        <w:rPr>
          <w:rFonts w:ascii="Arial" w:cs="Arial" w:eastAsia="Arial" w:hAnsi="Arial"/>
          <w:sz w:val="18"/>
          <w:szCs w:val="18"/>
          <w:color w:val="000000"/>
        </w:rPr>
        <w:t>June 30, 2020</w:t>
      </w:r>
      <w:r>
        <w:rPr>
          <w:rFonts w:ascii="Arial" w:cs="Arial" w:eastAsia="Arial" w:hAnsi="Arial"/>
          <w:sz w:val="18"/>
          <w:szCs w:val="18"/>
          <w:color w:val="231F20"/>
        </w:rPr>
        <w:t xml:space="preserve">, the Company used approximately $83 million to fund capital expenditures, including growth </w:t>
      </w:r>
      <w:r>
        <w:rPr>
          <w:rFonts w:ascii="Arial" w:cs="Arial" w:eastAsia="Arial" w:hAnsi="Arial"/>
          <w:sz w:val="18"/>
          <w:szCs w:val="18"/>
          <w:color w:val="000000"/>
        </w:rPr>
        <w:t>expenditures of</w:t>
      </w:r>
      <w:r>
        <w:rPr>
          <w:rFonts w:ascii="Arial" w:cs="Arial" w:eastAsia="Arial" w:hAnsi="Arial"/>
          <w:sz w:val="18"/>
          <w:szCs w:val="18"/>
          <w:color w:val="231F20"/>
        </w:rPr>
        <w:t xml:space="preserve"> </w:t>
      </w:r>
      <w:r>
        <w:rPr>
          <w:rFonts w:ascii="Arial" w:cs="Arial" w:eastAsia="Arial" w:hAnsi="Arial"/>
          <w:sz w:val="18"/>
          <w:szCs w:val="18"/>
          <w:color w:val="000000"/>
        </w:rPr>
        <w:t>$69 million, $46 million of which were incurred in connection with the repowering of the Elbow Creek and Wildorado facilities completed in the first quarter of 2020, as well as $6 million in connection with Oahu and Kawailoa Partnerships. The Company also incurred $12 million of growth capital expenditures in the Thermal segment in connection with various development projects. In addition, the Company incurred $14 million in maintenance capital expenditures. The Company estimates $32 million of maintenance expenditures for 2020. These estimates are subject to continuing review and adjustment. Actual capital expenditures may vary from these estimates.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Repowering Partnership II LLC</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11, 2020 the Company acquired CEG's remaining interest in Repowering 1.0, which includes the 161 MW Wildorado and 122 MW Elbow Creek wind projects, for cash consideration of $70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in Mesquite Star Wind Project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August 3, 2020, the Company entered into an agreement with CEG to acquire an interest in Mesquite Star Pledgor LLC, which owns the Mesquite Star wind project, a 419 MW utility scale wind project located in Fisher County, Texas for approximately $79 million. The acquisition is expected to close during the third quarter of 2020 and will be funded with existing liquidity.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17, 2020, the Company entered into binding agreements to acquire and invest in a portfolio of the following projects: (i) 100% of the equity interests in Rattlesnake Flat, LLC, which owns the Rattlesnake Wind Project, a 144 net MW wind facility located in Adams County, WA; (ii) CEG's interest in Repowering Partnership II LLC (Repowering 1.0), which the Company acquired on May 11, 2020;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2020, the Company invested $10 million in distributed generation partnerships with CEG.</w:t>
      </w: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During the six months ended June 30, 2020, the Company borrowed $265 million under the revolving credit facility, and subsequently repaid $265 million utilizing the proceeds from the issuance of additional 2028 Senior Notes as described above and cash on hand.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i w:val="1"/>
          <w:iCs w:val="1"/>
          <w:color w:val="auto"/>
        </w:rPr>
        <w:t>2020 Convertible Notes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1, 2020, the Company repaid its outstanding $45 million of long-term debt owed to Clearway Energy, Inc. which was in turn utilized to repay the remaining Clearway Energy, Inc. 2020 Convertible Notes, utilizing the proceeds from the issuance of additional 2028 Senior Notes as described above.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Energy, Inc.</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2020:</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30, 2020, the Company declared a distribution on its Class A, Class B, Class C and Class D units of $0.3125 per unit payable on September 15, 2020 to unit holders of record as of September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changes in cash flows for the six months ended June 30, 2020, compared to the six months ended June 30,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3"/>
              </w:rPr>
              <w:t>Six months ended June 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 millions)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6"/>
              </w:rPr>
              <w:t>150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240" w:type="dxa"/>
            <w:vAlign w:val="bottom"/>
          </w:tcPr>
          <w:p>
            <w:pPr>
              <w:jc w:val="center"/>
              <w:ind w:left="530"/>
              <w:spacing w:after="0"/>
              <w:rPr>
                <w:sz w:val="20"/>
                <w:szCs w:val="20"/>
                <w:color w:val="auto"/>
              </w:rPr>
            </w:pPr>
            <w:r>
              <w:rPr>
                <w:rFonts w:ascii="Arial" w:cs="Arial" w:eastAsia="Arial" w:hAnsi="Arial"/>
                <w:sz w:val="18"/>
                <w:szCs w:val="18"/>
                <w:color w:val="auto"/>
                <w:w w:val="90"/>
              </w:rPr>
              <w:t>(211)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0"/>
              </w:rPr>
              <w:t>(228)</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7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operating income adjusted for non-cash items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80" w:type="dxa"/>
            <w:vAlign w:val="bottom"/>
            <w:gridSpan w:val="5"/>
          </w:tcPr>
          <w:p>
            <w:pPr>
              <w:ind w:left="80"/>
              <w:spacing w:after="0"/>
              <w:rPr>
                <w:sz w:val="20"/>
                <w:szCs w:val="20"/>
                <w:color w:val="auto"/>
              </w:rPr>
            </w:pPr>
            <w:r>
              <w:rPr>
                <w:rFonts w:ascii="Arial" w:cs="Arial" w:eastAsia="Arial" w:hAnsi="Arial"/>
                <w:sz w:val="18"/>
                <w:szCs w:val="18"/>
                <w:color w:val="auto"/>
                <w:w w:val="97"/>
              </w:rPr>
              <w:t>Decrease in working capital driven primarily by the timing of accounts receivable collections and payment of accounts payable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left="432"/>
              <w:spacing w:after="0"/>
              <w:rPr>
                <w:sz w:val="20"/>
                <w:szCs w:val="20"/>
                <w:color w:val="auto"/>
              </w:rPr>
            </w:pPr>
            <w:r>
              <w:rPr>
                <w:rFonts w:ascii="Arial" w:cs="Arial" w:eastAsia="Arial" w:hAnsi="Arial"/>
                <w:sz w:val="18"/>
                <w:szCs w:val="18"/>
                <w:color w:val="auto"/>
                <w:w w:val="93"/>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 dividend distributions received from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8"/>
                <w:szCs w:val="18"/>
                <w:color w:val="auto"/>
                <w:w w:val="93"/>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432"/>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Changes to net cash provided by (used in) investing activities were driven by: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Acquisition of Duquesne University District Energy System on May 1, 2019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3"/>
          </w:tcPr>
          <w:p>
            <w:pPr>
              <w:ind w:left="100"/>
              <w:spacing w:after="0"/>
              <w:rPr>
                <w:sz w:val="20"/>
                <w:szCs w:val="20"/>
                <w:color w:val="auto"/>
              </w:rPr>
            </w:pPr>
            <w:r>
              <w:rPr>
                <w:rFonts w:ascii="Arial" w:cs="Arial" w:eastAsia="Arial" w:hAnsi="Arial"/>
                <w:sz w:val="18"/>
                <w:szCs w:val="18"/>
                <w:color w:val="auto"/>
                <w:w w:val="92"/>
              </w:rPr>
              <w:t>Proceeds received from sale of RPV Holdco, Energy Center Dover LLC and Energy Center Smyrna LLC in 2020</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Payment to buy out an existing tax equity partner of Wind TE Holdco on January 2, 2019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Increase in cash due to consolidation of DGPV Holdco LLC in May 2020</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98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3"/>
              </w:rPr>
              <w:t>Decrease in growth capital expenditures in the Renewables segment related to prior year expenditures for the repowering of Elbow</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Creek and Wildorado</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40" w:type="dxa"/>
            <w:vAlign w:val="bottom"/>
            <w:gridSpan w:val="2"/>
          </w:tcPr>
          <w:p>
            <w:pPr>
              <w:ind w:left="100"/>
              <w:spacing w:after="0"/>
              <w:rPr>
                <w:sz w:val="20"/>
                <w:szCs w:val="20"/>
                <w:color w:val="auto"/>
              </w:rPr>
            </w:pPr>
            <w:r>
              <w:rPr>
                <w:rFonts w:ascii="Arial" w:cs="Arial" w:eastAsia="Arial" w:hAnsi="Arial"/>
                <w:sz w:val="18"/>
                <w:szCs w:val="18"/>
                <w:color w:val="auto"/>
                <w:w w:val="91"/>
              </w:rPr>
              <w:t>Payment to acquire the Class A interest in the Oahu Partnership and Kawailoa Partnership in 2019</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Increase in net distributions from unconsolidated affiliates in 2020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7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ectPr>
          <w:pgSz w:w="11900" w:h="16838" w:orient="portrait"/>
          <w:cols w:equalWidth="0" w:num="1">
            <w:col w:w="11220"/>
          </w:cols>
          <w:pgMar w:left="320" w:top="891" w:right="359"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6" w:lineRule="exact"/>
        <w:rPr>
          <w:sz w:val="20"/>
          <w:szCs w:val="20"/>
          <w:color w:val="auto"/>
        </w:rPr>
      </w:pPr>
    </w:p>
    <w:p>
      <w:pPr>
        <w:ind w:left="140" w:right="40"/>
        <w:spacing w:after="0" w:line="277" w:lineRule="auto"/>
        <w:rPr>
          <w:sz w:val="20"/>
          <w:szCs w:val="20"/>
          <w:color w:val="auto"/>
        </w:rPr>
      </w:pPr>
      <w:r>
        <w:rPr>
          <w:rFonts w:ascii="Arial" w:cs="Arial" w:eastAsia="Arial" w:hAnsi="Arial"/>
          <w:sz w:val="18"/>
          <w:szCs w:val="18"/>
          <w:color w:val="auto"/>
        </w:rPr>
        <w:t>Decrease in net repayments of affiliate long-term debt in 2020 compared to 2019, primarily due to repayments in the first quarter 2019 to repay an intercompany demand note</w:t>
      </w:r>
    </w:p>
    <w:p>
      <w:pPr>
        <w:spacing w:after="0" w:line="8" w:lineRule="exact"/>
        <w:rPr>
          <w:sz w:val="20"/>
          <w:szCs w:val="20"/>
          <w:color w:val="auto"/>
        </w:rPr>
      </w:pPr>
    </w:p>
    <w:p>
      <w:pPr>
        <w:ind w:left="140" w:right="40"/>
        <w:spacing w:after="0" w:line="277" w:lineRule="auto"/>
        <w:rPr>
          <w:sz w:val="20"/>
          <w:szCs w:val="20"/>
          <w:color w:val="auto"/>
        </w:rPr>
      </w:pPr>
      <w:r>
        <w:rPr>
          <w:rFonts w:ascii="Arial" w:cs="Arial" w:eastAsia="Arial" w:hAnsi="Arial"/>
          <w:sz w:val="18"/>
          <w:szCs w:val="18"/>
          <w:color w:val="auto"/>
        </w:rPr>
        <w:t>Increase in net contributions received from noncontrolling interests in 2020 compared to 2019, primarily from tax equity contributions in the Wildorado 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proceeds received from equity issuance in 2020</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payments for debt issuance costs due to project level debt refinancing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106285"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Decrease in proceeds from external long-term debt in 2020 compared to 2019 primarily due to 2019 project level financing agreements at Repowering Partnership, Tapestry and Thermal offset by the 2028 Senior Note proceeds in 2020</w:t>
      </w:r>
    </w:p>
    <w:p>
      <w:pPr>
        <w:spacing w:after="0" w:line="8" w:lineRule="exact"/>
        <w:rPr>
          <w:sz w:val="20"/>
          <w:szCs w:val="20"/>
          <w:color w:val="auto"/>
        </w:rPr>
      </w:pPr>
    </w:p>
    <w:p>
      <w:pPr>
        <w:ind w:left="140" w:right="460"/>
        <w:spacing w:after="0" w:line="298" w:lineRule="auto"/>
        <w:rPr>
          <w:sz w:val="20"/>
          <w:szCs w:val="20"/>
          <w:color w:val="auto"/>
        </w:rPr>
      </w:pPr>
      <w:r>
        <w:rPr>
          <w:rFonts w:ascii="Arial" w:cs="Arial" w:eastAsia="Arial" w:hAnsi="Arial"/>
          <w:sz w:val="17"/>
          <w:szCs w:val="17"/>
          <w:color w:val="auto"/>
        </w:rPr>
        <w:t>Increase in payments for external long-term debt in 2020 compared to 2019 primarily due to repayments of Repowering Partners construction debt and the 2024 Senior Notes in 2020 partially offset by project level debt refinancing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-6985</wp:posOffset>
            </wp:positionV>
            <wp:extent cx="710628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140" w:right="2340"/>
        <w:spacing w:after="0" w:line="340" w:lineRule="auto"/>
        <w:rPr>
          <w:sz w:val="20"/>
          <w:szCs w:val="20"/>
          <w:color w:val="auto"/>
        </w:rPr>
      </w:pPr>
      <w:r>
        <w:rPr>
          <w:rFonts w:ascii="Arial" w:cs="Arial" w:eastAsia="Arial" w:hAnsi="Arial"/>
          <w:sz w:val="18"/>
          <w:szCs w:val="18"/>
          <w:color w:val="auto"/>
        </w:rPr>
        <w:t>Payment to buy out CEG's noncontrolling interest in Repowering Partnership II LLC on May 11, 2020 Increase in dividends paid to unit holders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-36830</wp:posOffset>
            </wp:positionV>
            <wp:extent cx="710628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millions)</w:t>
      </w:r>
    </w:p>
    <w:p>
      <w:pPr>
        <w:spacing w:after="0" w:line="266" w:lineRule="exact"/>
        <w:rPr>
          <w:sz w:val="20"/>
          <w:szCs w:val="20"/>
          <w:color w:val="auto"/>
        </w:rPr>
      </w:pPr>
    </w:p>
    <w:p>
      <w:pPr>
        <w:ind w:left="840" w:hanging="8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180</w:t>
      </w:r>
    </w:p>
    <w:p>
      <w:pPr>
        <w:spacing w:after="0" w:line="27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165</w:t>
      </w:r>
    </w:p>
    <w:p>
      <w:pPr>
        <w:spacing w:after="0" w:line="6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6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7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(207)</w:t>
      </w:r>
    </w:p>
    <w:p>
      <w:pPr>
        <w:spacing w:after="0" w:line="27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ind w:left="1020" w:hanging="1011"/>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8058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100"/>
            <w:col w:w="126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June 30, 2020, the Company has several investments with an ownership interest percentage of 50%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in energy and energy-related entities that are accounted for under the equity method. DGPV Holdco 1 LLC</w:t>
      </w:r>
      <w:r>
        <w:rPr>
          <w:rFonts w:ascii="Arial" w:cs="Arial" w:eastAsia="Arial" w:hAnsi="Arial"/>
          <w:sz w:val="18"/>
          <w:szCs w:val="18"/>
          <w:i w:val="1"/>
          <w:iCs w:val="1"/>
          <w:color w:val="auto"/>
        </w:rPr>
        <w:t>,</w:t>
      </w:r>
      <w:r>
        <w:rPr>
          <w:rFonts w:ascii="Arial" w:cs="Arial" w:eastAsia="Arial" w:hAnsi="Arial"/>
          <w:sz w:val="18"/>
          <w:szCs w:val="18"/>
          <w:color w:val="auto"/>
        </w:rPr>
        <w:t xml:space="preserve"> DGPV Holdco 2 LLC and GenConn are variable interest entities for which the Company is not the primary beneficiary. The Company's pro-rata share of non-recourse debt held by unconsolidated affiliates was approximately $660 million as of June 30, 2020. This indebtedness may restrict the ability of these subsidiaries to issue dividends or distributions to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2019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2020</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2020</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Derivative Activity (Losses) Gains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Contracts acquired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CCEEFF"/>
            </w:tcBorders>
            <w:shd w:val="clear" w:color="auto" w:fill="CCEEFF"/>
          </w:tcPr>
          <w:p>
            <w:pPr>
              <w:spacing w:after="0"/>
              <w:rPr>
                <w:sz w:val="24"/>
                <w:szCs w:val="24"/>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contracts as of June 30, 2020</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1"/>
              </w:rPr>
              <w:t>Fair value of contracts as of June 30, 2020</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5 Years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3"/>
              </w:rPr>
              <w:t>(41)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1"/>
                <w:szCs w:val="21"/>
                <w:color w:val="auto"/>
              </w:rPr>
            </w:pPr>
          </w:p>
        </w:tc>
        <w:tc>
          <w:tcPr>
            <w:tcW w:w="1220" w:type="dxa"/>
            <w:vAlign w:val="bottom"/>
            <w:gridSpan w:val="2"/>
          </w:tcPr>
          <w:p>
            <w:pPr>
              <w:jc w:val="center"/>
              <w:ind w:left="3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40" w:type="dxa"/>
            <w:vAlign w:val="bottom"/>
            <w:tcBorders>
              <w:bottom w:val="single" w:sz="8" w:color="CCEEFF"/>
            </w:tcBorders>
            <w:gridSpan w:val="2"/>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Borders>
              <w:right w:val="single" w:sz="8" w:color="CCEEFF"/>
            </w:tcBorders>
          </w:tcPr>
          <w:p>
            <w:pPr>
              <w:spacing w:after="0"/>
              <w:rPr>
                <w:sz w:val="24"/>
                <w:szCs w:val="24"/>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93"/>
              </w:rPr>
              <w:t>(41)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8"/>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34"/>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2019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2019</w:t>
      </w:r>
      <w:r>
        <w:rPr>
          <w:rFonts w:ascii="Arial" w:cs="Arial" w:eastAsia="Arial" w:hAnsi="Arial"/>
          <w:sz w:val="17"/>
          <w:szCs w:val="17"/>
          <w:color w:val="231F20"/>
        </w:rPr>
        <w:t xml:space="preserve"> </w:t>
      </w:r>
      <w:r>
        <w:rPr>
          <w:rFonts w:ascii="Arial" w:cs="Arial" w:eastAsia="Arial" w:hAnsi="Arial"/>
          <w:sz w:val="17"/>
          <w:szCs w:val="17"/>
          <w:color w:val="000000"/>
        </w:rPr>
        <w:t xml:space="preserve">included in the 2019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2020</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$230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w:t>
      </w:r>
      <w:r>
        <w:rPr>
          <w:rFonts w:ascii="Arial" w:cs="Arial" w:eastAsia="Arial" w:hAnsi="Arial"/>
          <w:sz w:val="17"/>
          <w:szCs w:val="17"/>
          <w:color w:val="231F20"/>
        </w:rPr>
        <w:t>, a 1% change in interest rates would result in an approximately $2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2020</w:t>
      </w:r>
      <w:r>
        <w:rPr>
          <w:rFonts w:ascii="Arial" w:cs="Arial" w:eastAsia="Arial" w:hAnsi="Arial"/>
          <w:sz w:val="18"/>
          <w:szCs w:val="18"/>
          <w:color w:val="231F20"/>
        </w:rPr>
        <w:t xml:space="preserve">, the fair value of the Company's debt was $6,919 million and the carrying value was $6,815 million. The Company estimates that a 1% decrease in market interest rates would have increased the fair value of its long-term debt by approximately </w:t>
      </w:r>
      <w:r>
        <w:rPr>
          <w:rFonts w:ascii="Arial" w:cs="Arial" w:eastAsia="Arial" w:hAnsi="Arial"/>
          <w:sz w:val="18"/>
          <w:szCs w:val="18"/>
          <w:color w:val="000000"/>
        </w:rPr>
        <w:t>$420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8"/>
          <w:szCs w:val="18"/>
          <w:color w:val="000000"/>
        </w:rPr>
        <w:t>$1 million</w:t>
      </w:r>
      <w:r>
        <w:rPr>
          <w:rFonts w:ascii="Arial" w:cs="Arial" w:eastAsia="Arial" w:hAnsi="Arial"/>
          <w:sz w:val="18"/>
          <w:szCs w:val="18"/>
          <w:color w:val="231F20"/>
        </w:rPr>
        <w:t xml:space="preserve"> to the net value of derivatives as of </w:t>
      </w:r>
      <w:r>
        <w:rPr>
          <w:rFonts w:ascii="Arial" w:cs="Arial" w:eastAsia="Arial" w:hAnsi="Arial"/>
          <w:sz w:val="18"/>
          <w:szCs w:val="18"/>
          <w:color w:val="000000"/>
        </w:rPr>
        <w:t>June 30, 2020</w:t>
      </w:r>
      <w:r>
        <w:rPr>
          <w:rFonts w:ascii="Arial" w:cs="Arial" w:eastAsia="Arial" w:hAnsi="Arial"/>
          <w:sz w:val="18"/>
          <w:szCs w:val="18"/>
          <w:color w:val="231F20"/>
        </w:rPr>
        <w:t xml:space="preserve">. The impact of a $0.50 per MWh increase or decrease in power prices across the term of the derivatives contracts would cause a change of approximately $1 million to the net value of power derivatives as of </w:t>
      </w:r>
      <w:r>
        <w:rPr>
          <w:rFonts w:ascii="Arial" w:cs="Arial" w:eastAsia="Arial" w:hAnsi="Arial"/>
          <w:sz w:val="18"/>
          <w:szCs w:val="18"/>
          <w:color w:val="000000"/>
        </w:rPr>
        <w:t>June 30,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2020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June 30, 2020,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2019 Form 10-K, as supplemented by the risk factors disclosed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the Company's Quarterly Report on Form 10-Q for the quarter ended March 31, 2020. There have been no material changes in the Company's risk factors since those reported in its 2019 Form 10-K, as supplemented by the those reported in its Quarterly Report on Form 10-Q for the quarter ended March 31,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6 — 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2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6"/>
                <w:szCs w:val="16"/>
                <w:color w:val="auto"/>
              </w:rPr>
              <w:t>4.1</w:t>
            </w:r>
          </w:p>
        </w:tc>
        <w:tc>
          <w:tcPr>
            <w:tcW w:w="5720" w:type="dxa"/>
            <w:vAlign w:val="bottom"/>
            <w:gridSpan w:val="13"/>
          </w:tcPr>
          <w:p>
            <w:pPr>
              <w:spacing w:after="0"/>
              <w:rPr>
                <w:rFonts w:ascii="Arial" w:cs="Arial" w:eastAsia="Arial" w:hAnsi="Arial"/>
                <w:sz w:val="16"/>
                <w:szCs w:val="16"/>
                <w:color w:val="0000FF"/>
                <w:w w:val="93"/>
              </w:rPr>
            </w:pPr>
            <w:hyperlink r:id="rId152">
              <w:r>
                <w:rPr>
                  <w:rFonts w:ascii="Arial" w:cs="Arial" w:eastAsia="Arial" w:hAnsi="Arial"/>
                  <w:sz w:val="16"/>
                  <w:szCs w:val="16"/>
                  <w:color w:val="0000FF"/>
                  <w:w w:val="93"/>
                </w:rPr>
                <w:t>Eleventh Supplemental Indenture, dated as of July 17, 2020, among Clearway Energy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560" w:type="dxa"/>
            <w:vAlign w:val="bottom"/>
            <w:tcBorders>
              <w:top w:val="single" w:sz="8" w:color="0000FF"/>
            </w:tcBorders>
            <w:gridSpan w:val="10"/>
          </w:tcPr>
          <w:p>
            <w:pPr>
              <w:spacing w:after="0" w:line="155" w:lineRule="exact"/>
              <w:rPr>
                <w:rFonts w:ascii="Arial" w:cs="Arial" w:eastAsia="Arial" w:hAnsi="Arial"/>
                <w:sz w:val="16"/>
                <w:szCs w:val="16"/>
                <w:color w:val="0000FF"/>
                <w:w w:val="97"/>
              </w:rPr>
            </w:pPr>
            <w:hyperlink r:id="rId152">
              <w:r>
                <w:rPr>
                  <w:rFonts w:ascii="Arial" w:cs="Arial" w:eastAsia="Arial" w:hAnsi="Arial"/>
                  <w:sz w:val="16"/>
                  <w:szCs w:val="16"/>
                  <w:color w:val="0000FF"/>
                  <w:w w:val="97"/>
                </w:rPr>
                <w:t>Operating LLC, the guarantors named therein and Delaware Trust Company (as</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180" w:type="dxa"/>
            <w:vAlign w:val="bottom"/>
            <w:tcBorders>
              <w:top w:val="single" w:sz="8" w:color="0000FF"/>
            </w:tcBorders>
            <w:gridSpan w:val="6"/>
          </w:tcPr>
          <w:p>
            <w:pPr>
              <w:spacing w:after="0" w:line="155" w:lineRule="exact"/>
              <w:rPr>
                <w:rFonts w:ascii="Arial" w:cs="Arial" w:eastAsia="Arial" w:hAnsi="Arial"/>
                <w:sz w:val="16"/>
                <w:szCs w:val="16"/>
                <w:color w:val="0000FF"/>
              </w:rPr>
            </w:pPr>
            <w:hyperlink r:id="rId152">
              <w:r>
                <w:rPr>
                  <w:rFonts w:ascii="Arial" w:cs="Arial" w:eastAsia="Arial" w:hAnsi="Arial"/>
                  <w:sz w:val="16"/>
                  <w:szCs w:val="16"/>
                  <w:color w:val="0000FF"/>
                </w:rPr>
                <w:t>successor in interest to Law Debenture Trust Company of New York).</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6"/>
                <w:szCs w:val="16"/>
                <w:color w:val="auto"/>
              </w:rPr>
              <w:t>4.2</w:t>
            </w:r>
          </w:p>
        </w:tc>
        <w:tc>
          <w:tcPr>
            <w:tcW w:w="5720" w:type="dxa"/>
            <w:vAlign w:val="bottom"/>
            <w:gridSpan w:val="13"/>
          </w:tcPr>
          <w:p>
            <w:pPr>
              <w:spacing w:after="0"/>
              <w:rPr>
                <w:rFonts w:ascii="Arial" w:cs="Arial" w:eastAsia="Arial" w:hAnsi="Arial"/>
                <w:sz w:val="16"/>
                <w:szCs w:val="16"/>
                <w:color w:val="0000FF"/>
                <w:w w:val="94"/>
              </w:rPr>
            </w:pPr>
            <w:hyperlink r:id="rId153">
              <w:r>
                <w:rPr>
                  <w:rFonts w:ascii="Arial" w:cs="Arial" w:eastAsia="Arial" w:hAnsi="Arial"/>
                  <w:sz w:val="16"/>
                  <w:szCs w:val="16"/>
                  <w:color w:val="0000FF"/>
                  <w:w w:val="94"/>
                </w:rPr>
                <w:t>Seventh Supplemental Indenture, dated as of July 17, 2020, among Clearway Energy</w:t>
              </w:r>
            </w:hyperlink>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500" w:type="dxa"/>
            <w:vAlign w:val="bottom"/>
            <w:tcBorders>
              <w:top w:val="single" w:sz="8" w:color="0000FF"/>
            </w:tcBorders>
            <w:gridSpan w:val="9"/>
          </w:tcPr>
          <w:p>
            <w:pPr>
              <w:spacing w:after="0"/>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Operating LLC, the guarantors named therein and Delaware Trust Company</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4.3</w:t>
            </w:r>
          </w:p>
        </w:tc>
        <w:tc>
          <w:tcPr>
            <w:tcW w:w="5340" w:type="dxa"/>
            <w:vAlign w:val="bottom"/>
            <w:tcBorders>
              <w:bottom w:val="single" w:sz="8" w:color="0000FF"/>
            </w:tcBorders>
            <w:gridSpan w:val="7"/>
          </w:tcPr>
          <w:p>
            <w:pPr>
              <w:spacing w:after="0"/>
              <w:rPr>
                <w:rFonts w:ascii="Arial" w:cs="Arial" w:eastAsia="Arial" w:hAnsi="Arial"/>
                <w:sz w:val="16"/>
                <w:szCs w:val="16"/>
                <w:color w:val="0000FF"/>
                <w:w w:val="91"/>
              </w:rPr>
            </w:pPr>
            <w:hyperlink r:id="rId154">
              <w:r>
                <w:rPr>
                  <w:rFonts w:ascii="Arial" w:cs="Arial" w:eastAsia="Arial" w:hAnsi="Arial"/>
                  <w:sz w:val="16"/>
                  <w:szCs w:val="16"/>
                  <w:color w:val="0000FF"/>
                  <w:w w:val="91"/>
                </w:rPr>
                <w:t>Third Supplemental Indenture, dated as of July 17, 2020, among Clearway Energy</w:t>
              </w:r>
            </w:hyperlink>
          </w:p>
        </w:tc>
        <w:tc>
          <w:tcPr>
            <w:tcW w:w="140" w:type="dxa"/>
            <w:vAlign w:val="bottom"/>
          </w:tcPr>
          <w:p>
            <w:pPr>
              <w:spacing w:after="0"/>
              <w:rPr>
                <w:sz w:val="20"/>
                <w:szCs w:val="20"/>
                <w:color w:val="auto"/>
              </w:rPr>
            </w:pPr>
          </w:p>
        </w:tc>
        <w:tc>
          <w:tcPr>
            <w:tcW w:w="12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340" w:type="dxa"/>
            <w:vAlign w:val="bottom"/>
            <w:gridSpan w:val="7"/>
          </w:tcPr>
          <w:p>
            <w:pPr>
              <w:spacing w:after="0"/>
              <w:rPr>
                <w:rFonts w:ascii="Arial" w:cs="Arial" w:eastAsia="Arial" w:hAnsi="Arial"/>
                <w:sz w:val="16"/>
                <w:szCs w:val="16"/>
                <w:u w:val="single" w:color="auto"/>
                <w:color w:val="0000FF"/>
                <w:w w:val="97"/>
              </w:rPr>
            </w:pPr>
            <w:hyperlink r:id="rId154">
              <w:r>
                <w:rPr>
                  <w:rFonts w:ascii="Arial" w:cs="Arial" w:eastAsia="Arial" w:hAnsi="Arial"/>
                  <w:sz w:val="16"/>
                  <w:szCs w:val="16"/>
                  <w:u w:val="single" w:color="auto"/>
                  <w:color w:val="0000FF"/>
                  <w:w w:val="97"/>
                </w:rPr>
                <w:t>Operating LLC, the guarantors named therein and Delaware Trust Company.</w:t>
              </w:r>
            </w:hyperlink>
          </w:p>
        </w:tc>
        <w:tc>
          <w:tcPr>
            <w:tcW w:w="14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10.1*^</w:t>
            </w:r>
          </w:p>
        </w:tc>
        <w:tc>
          <w:tcPr>
            <w:tcW w:w="5720" w:type="dxa"/>
            <w:vAlign w:val="bottom"/>
            <w:gridSpan w:val="13"/>
          </w:tcPr>
          <w:p>
            <w:pPr>
              <w:spacing w:after="0"/>
              <w:rPr>
                <w:rFonts w:ascii="Arial" w:cs="Arial" w:eastAsia="Arial" w:hAnsi="Arial"/>
                <w:sz w:val="16"/>
                <w:szCs w:val="16"/>
                <w:color w:val="0000FF"/>
                <w:w w:val="94"/>
              </w:rPr>
            </w:pPr>
            <w:hyperlink r:id="rId155">
              <w:r>
                <w:rPr>
                  <w:rFonts w:ascii="Arial" w:cs="Arial" w:eastAsia="Arial" w:hAnsi="Arial"/>
                  <w:sz w:val="16"/>
                  <w:szCs w:val="16"/>
                  <w:color w:val="0000FF"/>
                  <w:w w:val="94"/>
                </w:rPr>
                <w:t>Purchase and Sale Agreement, dated as of April 17, 2020, by and between Clearway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3"/>
              </w:rPr>
            </w:pPr>
            <w:hyperlink r:id="rId155">
              <w:r>
                <w:rPr>
                  <w:rFonts w:ascii="Arial" w:cs="Arial" w:eastAsia="Arial" w:hAnsi="Arial"/>
                  <w:sz w:val="16"/>
                  <w:szCs w:val="16"/>
                  <w:color w:val="0000FF"/>
                  <w:w w:val="93"/>
                </w:rPr>
                <w:t>Energy Operating LLC and Clearway Renew LLC.</w:t>
              </w:r>
            </w:hyperlink>
          </w:p>
        </w:tc>
        <w:tc>
          <w:tcPr>
            <w:tcW w:w="216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10.2*^</w:t>
            </w:r>
          </w:p>
        </w:tc>
        <w:tc>
          <w:tcPr>
            <w:tcW w:w="5600" w:type="dxa"/>
            <w:vAlign w:val="bottom"/>
            <w:tcBorders>
              <w:bottom w:val="single" w:sz="8" w:color="0000FF"/>
            </w:tcBorders>
            <w:gridSpan w:val="11"/>
          </w:tcPr>
          <w:p>
            <w:pPr>
              <w:spacing w:after="0"/>
              <w:rPr>
                <w:rFonts w:ascii="Arial" w:cs="Arial" w:eastAsia="Arial" w:hAnsi="Arial"/>
                <w:sz w:val="16"/>
                <w:szCs w:val="16"/>
                <w:color w:val="0000FF"/>
                <w:w w:val="90"/>
              </w:rPr>
            </w:pPr>
            <w:hyperlink r:id="rId156">
              <w:r>
                <w:rPr>
                  <w:rFonts w:ascii="Arial" w:cs="Arial" w:eastAsia="Arial" w:hAnsi="Arial"/>
                  <w:sz w:val="16"/>
                  <w:szCs w:val="16"/>
                  <w:color w:val="0000FF"/>
                  <w:w w:val="90"/>
                </w:rPr>
                <w:t>Membership Interest Purchase Agreement, dated as of April 17, 2020, by and between</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120" w:type="dxa"/>
            <w:vAlign w:val="bottom"/>
            <w:tcBorders>
              <w:bottom w:val="single" w:sz="8" w:color="0000FF"/>
            </w:tcBorders>
            <w:gridSpan w:val="3"/>
          </w:tcPr>
          <w:p>
            <w:pPr>
              <w:spacing w:after="0" w:line="155" w:lineRule="exact"/>
              <w:rPr>
                <w:rFonts w:ascii="Arial" w:cs="Arial" w:eastAsia="Arial" w:hAnsi="Arial"/>
                <w:sz w:val="16"/>
                <w:szCs w:val="16"/>
                <w:color w:val="0000FF"/>
                <w:w w:val="93"/>
              </w:rPr>
            </w:pPr>
            <w:hyperlink r:id="rId156">
              <w:r>
                <w:rPr>
                  <w:rFonts w:ascii="Arial" w:cs="Arial" w:eastAsia="Arial" w:hAnsi="Arial"/>
                  <w:sz w:val="16"/>
                  <w:szCs w:val="16"/>
                  <w:color w:val="0000FF"/>
                  <w:w w:val="93"/>
                </w:rPr>
                <w:t>Clearway Energy Operating LLC and SP Wind Holdings, LLC.</w:t>
              </w:r>
            </w:hyperlink>
          </w:p>
        </w:tc>
        <w:tc>
          <w:tcPr>
            <w:tcW w:w="148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10.3*^</w:t>
            </w:r>
          </w:p>
        </w:tc>
        <w:tc>
          <w:tcPr>
            <w:tcW w:w="5720" w:type="dxa"/>
            <w:vAlign w:val="bottom"/>
            <w:gridSpan w:val="13"/>
          </w:tcPr>
          <w:p>
            <w:pPr>
              <w:spacing w:after="0"/>
              <w:rPr>
                <w:rFonts w:ascii="Arial" w:cs="Arial" w:eastAsia="Arial" w:hAnsi="Arial"/>
                <w:sz w:val="16"/>
                <w:szCs w:val="16"/>
                <w:color w:val="0000FF"/>
                <w:w w:val="92"/>
              </w:rPr>
            </w:pPr>
            <w:hyperlink r:id="rId157">
              <w:r>
                <w:rPr>
                  <w:rFonts w:ascii="Arial" w:cs="Arial" w:eastAsia="Arial" w:hAnsi="Arial"/>
                  <w:sz w:val="16"/>
                  <w:szCs w:val="16"/>
                  <w:color w:val="0000FF"/>
                  <w:w w:val="92"/>
                </w:rPr>
                <w:t>Membership Interest Purchase Agreement, dated as of April 17, 2020, by and between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60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157">
              <w:r>
                <w:rPr>
                  <w:rFonts w:ascii="Arial" w:cs="Arial" w:eastAsia="Arial" w:hAnsi="Arial"/>
                  <w:sz w:val="16"/>
                  <w:szCs w:val="16"/>
                  <w:color w:val="0000FF"/>
                </w:rPr>
                <w:t>CWSP Wildorado Elbow Holding LLC and Wind TE Holdco LLC.</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5720" w:type="dxa"/>
            <w:vAlign w:val="bottom"/>
            <w:gridSpan w:val="13"/>
          </w:tcPr>
          <w:p>
            <w:pPr>
              <w:spacing w:after="0"/>
              <w:rPr>
                <w:rFonts w:ascii="Arial" w:cs="Arial" w:eastAsia="Arial" w:hAnsi="Arial"/>
                <w:sz w:val="16"/>
                <w:szCs w:val="16"/>
                <w:color w:val="0000FF"/>
                <w:w w:val="93"/>
              </w:rPr>
            </w:pPr>
            <w:hyperlink r:id="rId158">
              <w:r>
                <w:rPr>
                  <w:rFonts w:ascii="Arial" w:cs="Arial" w:eastAsia="Arial" w:hAnsi="Arial"/>
                  <w:sz w:val="16"/>
                  <w:szCs w:val="16"/>
                  <w:color w:val="0000FF"/>
                  <w:w w:val="93"/>
                </w:rPr>
                <w:t>Limited Liability Company Agreement of Pinnacle Repowering Partnership LLC, dated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70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158">
              <w:r>
                <w:rPr>
                  <w:rFonts w:ascii="Arial" w:cs="Arial" w:eastAsia="Arial" w:hAnsi="Arial"/>
                  <w:sz w:val="16"/>
                  <w:szCs w:val="16"/>
                  <w:color w:val="0000FF"/>
                </w:rPr>
                <w:t>as of April 17,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340" w:type="dxa"/>
            <w:vAlign w:val="bottom"/>
            <w:shd w:val="clear" w:color="auto" w:fill="0000FF"/>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00" w:type="dxa"/>
            <w:vAlign w:val="bottom"/>
            <w:vMerge w:val="continue"/>
          </w:tcPr>
          <w:p>
            <w:pPr>
              <w:spacing w:after="0"/>
              <w:rPr>
                <w:sz w:val="24"/>
                <w:szCs w:val="24"/>
                <w:color w:val="auto"/>
              </w:rPr>
            </w:pPr>
          </w:p>
        </w:tc>
        <w:tc>
          <w:tcPr>
            <w:tcW w:w="5720" w:type="dxa"/>
            <w:vAlign w:val="bottom"/>
            <w:gridSpan w:val="13"/>
          </w:tcPr>
          <w:p>
            <w:pPr>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Rule 13a-14(a)/15d-14(a) certification of Christopher S. Sotos.</w:t>
              </w:r>
            </w:hyperlink>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5720" w:type="dxa"/>
            <w:vAlign w:val="bottom"/>
            <w:gridSpan w:val="13"/>
          </w:tcPr>
          <w:p>
            <w:pPr>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Rule 13a-14(a)/15d-14(a) certification of Chad Plotkin.</w:t>
              </w:r>
            </w:hyperlink>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6"/>
                <w:szCs w:val="16"/>
                <w:color w:val="auto"/>
              </w:rPr>
              <w:t>31.3</w:t>
            </w:r>
          </w:p>
        </w:tc>
        <w:tc>
          <w:tcPr>
            <w:tcW w:w="5720" w:type="dxa"/>
            <w:vAlign w:val="bottom"/>
            <w:gridSpan w:val="13"/>
          </w:tcPr>
          <w:p>
            <w:pPr>
              <w:spacing w:after="0"/>
              <w:rPr>
                <w:rFonts w:ascii="Arial" w:cs="Arial" w:eastAsia="Arial" w:hAnsi="Arial"/>
                <w:sz w:val="16"/>
                <w:szCs w:val="16"/>
                <w:color w:val="0000FF"/>
              </w:rPr>
            </w:pPr>
            <w:hyperlink w:anchor="page81">
              <w:r>
                <w:rPr>
                  <w:rFonts w:ascii="Arial" w:cs="Arial" w:eastAsia="Arial" w:hAnsi="Arial"/>
                  <w:sz w:val="16"/>
                  <w:szCs w:val="16"/>
                  <w:u w:val="single" w:color="auto"/>
                  <w:color w:val="0000FF"/>
                </w:rPr>
                <w:t>Rule 13a-14(a)/15d-14(a) certification of Mary-Lee Stillwell</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40" w:hanging="994"/>
        <w:spacing w:after="0"/>
        <w:tabs>
          <w:tab w:leader="none" w:pos="1040" w:val="left"/>
        </w:tabs>
        <w:numPr>
          <w:ilvl w:val="0"/>
          <w:numId w:val="52"/>
        </w:numPr>
        <w:rPr>
          <w:rFonts w:ascii="Arial" w:cs="Arial" w:eastAsia="Arial" w:hAnsi="Arial"/>
          <w:sz w:val="16"/>
          <w:szCs w:val="16"/>
          <w:color w:val="0000FF"/>
        </w:rPr>
      </w:pPr>
      <w:hyperlink w:anchor="page82">
        <w:r>
          <w:rPr>
            <w:rFonts w:ascii="Arial" w:cs="Arial" w:eastAsia="Arial" w:hAnsi="Arial"/>
            <w:sz w:val="16"/>
            <w:szCs w:val="16"/>
            <w:u w:val="single" w:color="auto"/>
            <w:color w:val="0000FF"/>
          </w:rPr>
          <w:t>Section 1350 Certification</w:t>
        </w:r>
        <w:r>
          <w:rPr>
            <w:rFonts w:ascii="Arial" w:cs="Arial" w:eastAsia="Arial" w:hAnsi="Arial"/>
            <w:sz w:val="16"/>
            <w:szCs w:val="16"/>
            <w:color w:val="0000FF"/>
          </w:rPr>
          <w:t>.</w:t>
        </w:r>
      </w:hyperlink>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INS</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57"/>
        </w:trPr>
        <w:tc>
          <w:tcPr>
            <w:tcW w:w="80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5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CAL</w:t>
            </w:r>
          </w:p>
        </w:tc>
        <w:tc>
          <w:tcPr>
            <w:tcW w:w="400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DEF</w:t>
            </w:r>
          </w:p>
        </w:tc>
        <w:tc>
          <w:tcPr>
            <w:tcW w:w="400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5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LAB</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PRE</w:t>
            </w:r>
          </w:p>
        </w:tc>
        <w:tc>
          <w:tcPr>
            <w:tcW w:w="4000" w:type="dxa"/>
            <w:vAlign w:val="bottom"/>
          </w:tcPr>
          <w:p>
            <w:pPr>
              <w:ind w:left="200"/>
              <w:spacing w:after="0"/>
              <w:rPr>
                <w:sz w:val="20"/>
                <w:szCs w:val="20"/>
                <w:color w:val="auto"/>
              </w:rPr>
            </w:pPr>
            <w:r>
              <w:rPr>
                <w:rFonts w:ascii="Arial" w:cs="Arial" w:eastAsia="Arial" w:hAnsi="Arial"/>
                <w:sz w:val="16"/>
                <w:szCs w:val="16"/>
                <w:color w:val="auto"/>
                <w:w w:val="93"/>
              </w:rPr>
              <w:t>Inline XBRL Taxonomy Extension Presentation Linkbase.</w:t>
            </w:r>
          </w:p>
        </w:tc>
      </w:tr>
    </w:tbl>
    <w:p>
      <w:pPr>
        <w:spacing w:after="0" w:line="50" w:lineRule="exact"/>
        <w:rPr>
          <w:sz w:val="20"/>
          <w:szCs w:val="20"/>
          <w:color w:val="auto"/>
        </w:rPr>
      </w:pPr>
    </w:p>
    <w:p>
      <w:pPr>
        <w:ind w:left="1040" w:right="40" w:hanging="994"/>
        <w:spacing w:after="0" w:line="278"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July 21, 2020.</w:t>
      </w:r>
    </w:p>
    <w:p>
      <w:pPr>
        <w:spacing w:after="0" w:line="26"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Incorporated herein by reference to Exhibit 4.2 to the Company's Current Report on Form 8-K filed on July 21, 2020.</w:t>
      </w:r>
    </w:p>
    <w:p>
      <w:pPr>
        <w:spacing w:after="0" w:line="319" w:lineRule="auto"/>
        <w:rPr>
          <w:sz w:val="20"/>
          <w:szCs w:val="20"/>
          <w:color w:val="auto"/>
        </w:rPr>
      </w:pPr>
      <w:r>
        <w:rPr>
          <w:rFonts w:ascii="Arial" w:cs="Arial" w:eastAsia="Arial" w:hAnsi="Arial"/>
          <w:sz w:val="15"/>
          <w:szCs w:val="15"/>
          <w:color w:val="auto"/>
        </w:rPr>
        <w:t>Incorporated herein by reference to Exhibit 4.3 to the Company's Current Report on Form 8-K filed on July 21,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10.3 to the Company's Current Report on Form 8-K filed on April 20, 2020.</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10.4 to the Company's Current Report on Form 8-K filed on April 20, 2020.</w:t>
      </w: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655" w:lineRule="exact"/>
        <w:rPr>
          <w:sz w:val="20"/>
          <w:szCs w:val="20"/>
          <w:color w:val="auto"/>
        </w:rPr>
      </w:pPr>
    </w:p>
    <w:p>
      <w:pPr>
        <w:sectPr>
          <w:pgSz w:w="11900" w:h="16838" w:orient="portrait"/>
          <w:cols w:equalWidth="0" w:num="2">
            <w:col w:w="6760" w:space="180"/>
            <w:col w:w="420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960" w:hanging="614"/>
        <w:spacing w:after="0" w:line="319" w:lineRule="auto"/>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ind w:left="640" w:right="540" w:hanging="614"/>
        <w:spacing w:after="0" w:line="278"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w:t>
      </w:r>
    </w:p>
    <w:p>
      <w:pPr>
        <w:sectPr>
          <w:pgSz w:w="11900" w:h="16838" w:orient="portrait"/>
          <w:cols w:equalWidth="0" w:num="1">
            <w:col w:w="11220"/>
          </w:cols>
          <w:pgMar w:left="320" w:top="891" w:right="35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854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w:t>
      </w:r>
    </w:p>
    <w:p>
      <w:pPr>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6000" w:space="720"/>
            <w:col w:w="450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891" w:right="35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18942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Christopher S. Sotos</w:t>
      </w:r>
    </w:p>
    <w:p>
      <w:pPr>
        <w:ind w:left="7000"/>
        <w:spacing w:after="0" w:line="203" w:lineRule="auto"/>
        <w:rPr>
          <w:sz w:val="20"/>
          <w:szCs w:val="20"/>
          <w:color w:val="auto"/>
        </w:rPr>
      </w:pPr>
      <w:r>
        <w:rPr>
          <w:rFonts w:ascii="Arial" w:cs="Arial" w:eastAsia="Arial" w:hAnsi="Arial"/>
          <w:sz w:val="18"/>
          <w:szCs w:val="18"/>
          <w:i w:val="1"/>
          <w:iCs w:val="1"/>
          <w:color w:val="auto"/>
        </w:rPr>
        <w:t>Chief Executive Officer</w:t>
      </w: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98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19716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98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4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1809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ind w:left="7300"/>
        <w:spacing w:after="0" w:line="203" w:lineRule="auto"/>
        <w:rPr>
          <w:sz w:val="20"/>
          <w:szCs w:val="20"/>
          <w:color w:val="auto"/>
        </w:rPr>
      </w:pPr>
      <w:r>
        <w:rPr>
          <w:rFonts w:ascii="Arial" w:cs="Arial" w:eastAsia="Arial" w:hAnsi="Arial"/>
          <w:sz w:val="18"/>
          <w:szCs w:val="18"/>
          <w:i w:val="1"/>
          <w:iCs w:val="1"/>
          <w:color w:val="auto"/>
        </w:rPr>
        <w:t>Chief Accounting Officer</w:t>
      </w: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June 30, 2020,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Accounting Officer</w:t>
      </w:r>
    </w:p>
    <w:p>
      <w:pPr>
        <w:ind w:left="590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Letter"/>
      <w:start w:val="1"/>
    </w:lvl>
  </w:abstractNum>
  <w:abstractNum w:abstractNumId="8">
    <w:nsid w:val="614FD4A1"/>
    <w:multiLevelType w:val="hybridMultilevel"/>
    <w:lvl w:ilvl="0">
      <w:lvlJc w:val="left"/>
      <w:lvlText w:val="(%1)"/>
      <w:numFmt w:val="lowerLetter"/>
      <w:start w:val="2"/>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decimal"/>
      <w:start w:val="582"/>
    </w:lvl>
  </w:abstractNum>
  <w:abstractNum w:abstractNumId="14">
    <w:nsid w:val="77465F01"/>
    <w:multiLevelType w:val="hybridMultilevel"/>
    <w:lvl w:ilvl="0">
      <w:lvlJc w:val="left"/>
      <w:lvlText w:val="%1"/>
      <w:numFmt w:val="decimal"/>
      <w:start w:val="110"/>
    </w:lvl>
  </w:abstractNum>
  <w:abstractNum w:abstractNumId="15">
    <w:nsid w:val="7724C67E"/>
    <w:multiLevelType w:val="hybridMultilevel"/>
    <w:lvl w:ilvl="0">
      <w:lvlJc w:val="left"/>
      <w:lvlText w:val="%1"/>
      <w:numFmt w:val="decimal"/>
      <w:start w:val="104"/>
    </w:lvl>
  </w:abstractNum>
  <w:abstractNum w:abstractNumId="16">
    <w:nsid w:val="5C482A97"/>
    <w:multiLevelType w:val="hybridMultilevel"/>
    <w:lvl w:ilvl="0">
      <w:lvlJc w:val="left"/>
      <w:lvlText w:val="%1"/>
      <w:numFmt w:val="decimal"/>
      <w:start w:val="91"/>
    </w:lvl>
  </w:abstractNum>
  <w:abstractNum w:abstractNumId="17">
    <w:nsid w:val="2463B9EA"/>
    <w:multiLevelType w:val="hybridMultilevel"/>
    <w:lvl w:ilvl="0">
      <w:lvlJc w:val="left"/>
      <w:lvlText w:val="%1"/>
      <w:numFmt w:val="decimal"/>
      <w:start w:val="35"/>
    </w:lvl>
  </w:abstractNum>
  <w:abstractNum w:abstractNumId="18">
    <w:nsid w:val="5E884ADC"/>
    <w:multiLevelType w:val="hybridMultilevel"/>
    <w:lvl w:ilvl="0">
      <w:lvlJc w:val="left"/>
      <w:lvlText w:val="%1"/>
      <w:numFmt w:val="decimal"/>
      <w:start w:val="161"/>
    </w:lvl>
  </w:abstractNum>
  <w:abstractNum w:abstractNumId="19">
    <w:nsid w:val="51EAD36B"/>
    <w:multiLevelType w:val="hybridMultilevel"/>
    <w:lvl w:ilvl="0">
      <w:lvlJc w:val="left"/>
      <w:lvlText w:val="%1"/>
      <w:numFmt w:val="decimal"/>
      <w:start w:val="286"/>
    </w:lvl>
  </w:abstractNum>
  <w:abstractNum w:abstractNumId="20">
    <w:nsid w:val="2D517796"/>
    <w:multiLevelType w:val="hybridMultilevel"/>
    <w:lvl w:ilvl="0">
      <w:lvlJc w:val="left"/>
      <w:lvlText w:val="(%1)"/>
      <w:numFmt w:val="decimal"/>
      <w:start w:val="359"/>
    </w:lvl>
  </w:abstractNum>
  <w:abstractNum w:abstractNumId="21">
    <w:nsid w:val="580BD78F"/>
    <w:multiLevelType w:val="hybridMultilevel"/>
    <w:lvl w:ilvl="0">
      <w:lvlJc w:val="left"/>
      <w:lvlText w:val="(%1)"/>
      <w:numFmt w:val="decimal"/>
      <w:start w:val="79"/>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amp;"/>
      <w:numFmt w:val="bullet"/>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32"/>
    </w:lvl>
  </w:abstractNum>
  <w:abstractNum w:abstractNumId="52">
    <w:nsid w:val="275AC794"/>
    <w:multiLevelType w:val="hybridMultilevel"/>
    <w:lvl w:ilvl="0">
      <w:lvlJc w:val="left"/>
      <w:lvlText w:val="%1"/>
      <w:numFmt w:val="decimal"/>
      <w:start w:val="104"/>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52" Type="http://schemas.openxmlformats.org/officeDocument/2006/relationships/hyperlink" Target="http://www.sec.gov/Archives/edgar/data/1567683/000110465920085304/tm2025125d1_ex4-3.htm" TargetMode="External"/><Relationship Id="rId153" Type="http://schemas.openxmlformats.org/officeDocument/2006/relationships/hyperlink" Target="http://www.sec.gov/Archives/edgar/data/1637757/000110465920085307/tm2025128d1_ex4-2.htm" TargetMode="External"/><Relationship Id="rId154" Type="http://schemas.openxmlformats.org/officeDocument/2006/relationships/hyperlink" Target="http://www.sec.gov/Archives/edgar/data/1637757/000110465920085307/tm2025128d1_ex4-3.htm" TargetMode="External"/><Relationship Id="rId155" Type="http://schemas.openxmlformats.org/officeDocument/2006/relationships/hyperlink" Target="http://www.sec.gov/Archives/edgar/data/1637757/000110465920048786/tm2016404d1_ex10-1.htm" TargetMode="External"/><Relationship Id="rId156" Type="http://schemas.openxmlformats.org/officeDocument/2006/relationships/hyperlink" Target="http://www.sec.gov/Archives/edgar/data/1637757/000110465920048786/tm2016404d1_ex10-2.htm" TargetMode="External"/><Relationship Id="rId157" Type="http://schemas.openxmlformats.org/officeDocument/2006/relationships/hyperlink" Target="http://www.sec.gov/Archives/edgar/data/1637757/000110465920048786/tm2016404d1_ex10-3.htm" TargetMode="External"/><Relationship Id="rId158" Type="http://schemas.openxmlformats.org/officeDocument/2006/relationships/hyperlink" Target="http://www.sec.gov/Archives/edgar/data/1637757/000110465920048786/tm2016404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2020-08-06T14:26:33Z</dcterms:created>
  <dcterms:modified xsi:type="dcterms:W3CDTF">2020-08-06T14:26:33Z</dcterms:modified>
</cp:coreProperties>
</file>