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SCHEDULE 13G</w:t>
      </w:r>
    </w:p>
    <w:p>
      <w:pPr>
        <w:spacing w:after="0" w:line="24" w:lineRule="exact"/>
        <w:rPr>
          <w:sz w:val="24"/>
          <w:szCs w:val="24"/>
          <w:color w:val="auto"/>
        </w:rPr>
      </w:pPr>
    </w:p>
    <w:p>
      <w:pPr>
        <w:jc w:val="center"/>
        <w:ind w:right="-79"/>
        <w:spacing w:after="0"/>
        <w:tabs>
          <w:tab w:leader="none" w:pos="220" w:val="left"/>
        </w:tabs>
        <w:rPr>
          <w:sz w:val="20"/>
          <w:szCs w:val="20"/>
          <w:color w:val="auto"/>
        </w:rPr>
      </w:pPr>
      <w:r>
        <w:rPr>
          <w:rFonts w:ascii="Arial" w:cs="Arial" w:eastAsia="Arial" w:hAnsi="Arial"/>
          <w:sz w:val="19"/>
          <w:szCs w:val="19"/>
          <w:b w:val="1"/>
          <w:bCs w:val="1"/>
          <w:color w:val="auto"/>
        </w:rPr>
        <w:t>(Amendment No.</w:t>
        <w:tab/>
        <w:t>)*</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(Name of Issuer)</w:t>
      </w:r>
    </w:p>
    <w:p>
      <w:pPr>
        <w:spacing w:after="0" w:line="216" w:lineRule="exact"/>
        <w:rPr>
          <w:sz w:val="24"/>
          <w:szCs w:val="24"/>
          <w:color w:val="auto"/>
        </w:rPr>
      </w:pPr>
    </w:p>
    <w:p>
      <w:pPr>
        <w:ind w:left="3960"/>
        <w:spacing w:after="0"/>
        <w:rPr>
          <w:sz w:val="20"/>
          <w:szCs w:val="20"/>
          <w:color w:val="auto"/>
        </w:rPr>
      </w:pPr>
      <w:r>
        <w:rPr>
          <w:rFonts w:ascii="Arial" w:cs="Arial" w:eastAsia="Arial" w:hAnsi="Arial"/>
          <w:sz w:val="19"/>
          <w:szCs w:val="19"/>
          <w:b w:val="1"/>
          <w:bCs w:val="1"/>
          <w:color w:val="auto"/>
        </w:rPr>
        <w:t>Class A Common Stock, par value $0.01 per share</w:t>
      </w:r>
    </w:p>
    <w:p>
      <w:pPr>
        <w:spacing w:after="0" w:line="29" w:lineRule="exact"/>
        <w:rPr>
          <w:sz w:val="24"/>
          <w:szCs w:val="24"/>
          <w:color w:val="auto"/>
        </w:rPr>
      </w:pPr>
    </w:p>
    <w:p>
      <w:pPr>
        <w:ind w:left="3960"/>
        <w:spacing w:after="0"/>
        <w:rPr>
          <w:sz w:val="20"/>
          <w:szCs w:val="20"/>
          <w:color w:val="auto"/>
        </w:rPr>
      </w:pPr>
      <w:r>
        <w:rPr>
          <w:rFonts w:ascii="Arial" w:cs="Arial" w:eastAsia="Arial" w:hAnsi="Arial"/>
          <w:sz w:val="19"/>
          <w:szCs w:val="19"/>
          <w:b w:val="1"/>
          <w:bCs w:val="1"/>
          <w:color w:val="auto"/>
        </w:rPr>
        <w:t>Class C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(Title of Class of Securities)</w:t>
      </w:r>
    </w:p>
    <w:p>
      <w:pPr>
        <w:spacing w:after="0" w:line="232" w:lineRule="exact"/>
        <w:rPr>
          <w:sz w:val="24"/>
          <w:szCs w:val="24"/>
          <w:color w:val="auto"/>
        </w:rPr>
      </w:pPr>
    </w:p>
    <w:p>
      <w:pPr>
        <w:ind w:left="4500"/>
        <w:spacing w:after="0"/>
        <w:rPr>
          <w:sz w:val="20"/>
          <w:szCs w:val="20"/>
          <w:color w:val="auto"/>
        </w:rPr>
      </w:pPr>
      <w:r>
        <w:rPr>
          <w:rFonts w:ascii="Arial" w:cs="Arial" w:eastAsia="Arial" w:hAnsi="Arial"/>
          <w:sz w:val="19"/>
          <w:szCs w:val="19"/>
          <w:b w:val="1"/>
          <w:bCs w:val="1"/>
          <w:color w:val="auto"/>
        </w:rPr>
        <w:t>18539C105 (Class A Common Stock)</w:t>
      </w:r>
    </w:p>
    <w:p>
      <w:pPr>
        <w:spacing w:after="0" w:line="29" w:lineRule="exact"/>
        <w:rPr>
          <w:sz w:val="24"/>
          <w:szCs w:val="24"/>
          <w:color w:val="auto"/>
        </w:rPr>
      </w:pPr>
    </w:p>
    <w:p>
      <w:pPr>
        <w:ind w:left="4500"/>
        <w:spacing w:after="0"/>
        <w:rPr>
          <w:sz w:val="20"/>
          <w:szCs w:val="20"/>
          <w:color w:val="auto"/>
        </w:rPr>
      </w:pPr>
      <w:r>
        <w:rPr>
          <w:rFonts w:ascii="Arial" w:cs="Arial" w:eastAsia="Arial" w:hAnsi="Arial"/>
          <w:sz w:val="19"/>
          <w:szCs w:val="19"/>
          <w:b w:val="1"/>
          <w:bCs w:val="1"/>
          <w:color w:val="auto"/>
        </w:rPr>
        <w:t>18539C204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(CUSIP Number)</w:t>
      </w:r>
    </w:p>
    <w:p>
      <w:pPr>
        <w:spacing w:after="0" w:line="232" w:lineRule="exact"/>
        <w:rPr>
          <w:sz w:val="24"/>
          <w:szCs w:val="24"/>
          <w:color w:val="auto"/>
        </w:rPr>
      </w:pPr>
    </w:p>
    <w:p>
      <w:pPr>
        <w:ind w:left="4060"/>
        <w:spacing w:after="0"/>
        <w:rPr>
          <w:sz w:val="20"/>
          <w:szCs w:val="20"/>
          <w:color w:val="auto"/>
        </w:rPr>
      </w:pPr>
      <w:r>
        <w:rPr>
          <w:rFonts w:ascii="Arial" w:cs="Arial" w:eastAsia="Arial" w:hAnsi="Arial"/>
          <w:sz w:val="19"/>
          <w:szCs w:val="19"/>
          <w:b w:val="1"/>
          <w:bCs w:val="1"/>
          <w:color w:val="auto"/>
        </w:rPr>
        <w:t>February 25, 2019 (for Class A Common Stock)</w:t>
      </w:r>
    </w:p>
    <w:p>
      <w:pPr>
        <w:spacing w:after="0" w:line="29" w:lineRule="exact"/>
        <w:rPr>
          <w:sz w:val="24"/>
          <w:szCs w:val="24"/>
          <w:color w:val="auto"/>
        </w:rPr>
      </w:pPr>
    </w:p>
    <w:p>
      <w:pPr>
        <w:ind w:left="4060"/>
        <w:spacing w:after="0"/>
        <w:rPr>
          <w:sz w:val="20"/>
          <w:szCs w:val="20"/>
          <w:color w:val="auto"/>
        </w:rPr>
      </w:pPr>
      <w:r>
        <w:rPr>
          <w:rFonts w:ascii="Arial" w:cs="Arial" w:eastAsia="Arial" w:hAnsi="Arial"/>
          <w:sz w:val="19"/>
          <w:szCs w:val="19"/>
          <w:b w:val="1"/>
          <w:bCs w:val="1"/>
          <w:color w:val="auto"/>
        </w:rPr>
        <w:t>February 21, 2019 (for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67" w:lineRule="exact"/>
        <w:rPr>
          <w:sz w:val="24"/>
          <w:szCs w:val="24"/>
          <w:color w:val="auto"/>
        </w:rPr>
      </w:pPr>
    </w:p>
    <w:p>
      <w:pPr>
        <w:ind w:left="1200" w:hanging="683"/>
        <w:spacing w:after="0"/>
        <w:tabs>
          <w:tab w:leader="none" w:pos="120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w:t>
      </w:r>
    </w:p>
    <w:p>
      <w:pPr>
        <w:spacing w:after="0" w:line="123"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19"/>
          <w:szCs w:val="19"/>
          <w:color w:val="auto"/>
        </w:rPr>
        <w:t>x</w:t>
      </w:r>
      <w:r>
        <w:rPr>
          <w:rFonts w:ascii="Arial" w:cs="Arial" w:eastAsia="Arial" w:hAnsi="Arial"/>
          <w:sz w:val="17"/>
          <w:szCs w:val="17"/>
          <w:color w:val="auto"/>
        </w:rPr>
        <w:t>Rule 13d-1(c)</w:t>
      </w:r>
    </w:p>
    <w:p>
      <w:pPr>
        <w:spacing w:after="0" w:line="123" w:lineRule="exact"/>
        <w:rPr>
          <w:rFonts w:ascii="Arial" w:cs="Arial" w:eastAsia="Arial" w:hAnsi="Arial"/>
          <w:sz w:val="19"/>
          <w:szCs w:val="19"/>
          <w:color w:val="auto"/>
        </w:rPr>
      </w:pPr>
    </w:p>
    <w:p>
      <w:pPr>
        <w:ind w:left="1200" w:hanging="683"/>
        <w:spacing w:after="0"/>
        <w:tabs>
          <w:tab w:leader="none" w:pos="120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13d-1(d)</w:t>
      </w:r>
    </w:p>
    <w:p>
      <w:pPr>
        <w:spacing w:after="0" w:line="295" w:lineRule="exact"/>
        <w:rPr>
          <w:sz w:val="24"/>
          <w:szCs w:val="24"/>
          <w:color w:val="auto"/>
        </w:rPr>
      </w:pPr>
    </w:p>
    <w:p>
      <w:pPr>
        <w:ind w:right="140"/>
        <w:spacing w:after="0" w:line="275"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37" w:lineRule="exact"/>
        <w:rPr>
          <w:sz w:val="24"/>
          <w:szCs w:val="24"/>
          <w:color w:val="auto"/>
        </w:rPr>
      </w:pPr>
    </w:p>
    <w:p>
      <w:pPr>
        <w:spacing w:after="0"/>
        <w:rPr>
          <w:sz w:val="20"/>
          <w:szCs w:val="20"/>
          <w:color w:val="auto"/>
        </w:rPr>
      </w:pPr>
      <w:r>
        <w:rPr>
          <w:rFonts w:ascii="Arial" w:cs="Arial" w:eastAsia="Arial" w:hAnsi="Arial"/>
          <w:sz w:val="19"/>
          <w:szCs w:val="19"/>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64667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20"/>
          </w:cols>
          <w:pgMar w:left="120" w:top="312" w:right="200" w:bottom="1440" w:gutter="0" w:footer="0" w:header="0"/>
        </w:sectPr>
      </w:pPr>
    </w:p>
    <w:bookmarkStart w:id="1" w:name="page2"/>
    <w:bookmarkEnd w:id="1"/>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2"/>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Credit Strategies Master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60" w:hanging="1214"/>
        <w:spacing w:after="0"/>
        <w:tabs>
          <w:tab w:leader="none" w:pos="2260" w:val="left"/>
        </w:tabs>
        <w:numPr>
          <w:ilvl w:val="1"/>
          <w:numId w:val="3"/>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60" w:hanging="1214"/>
        <w:spacing w:after="0"/>
        <w:tabs>
          <w:tab w:leader="none" w:pos="2260" w:val="left"/>
        </w:tabs>
        <w:numPr>
          <w:ilvl w:val="1"/>
          <w:numId w:val="3"/>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51435</wp:posOffset>
            </wp:positionV>
            <wp:extent cx="6184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-174625</wp:posOffset>
            </wp:positionV>
            <wp:extent cx="6184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4"/>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20" w:hanging="1146"/>
        <w:spacing w:after="0"/>
        <w:tabs>
          <w:tab w:leader="none" w:pos="2820" w:val="left"/>
        </w:tabs>
        <w:numPr>
          <w:ilvl w:val="0"/>
          <w:numId w:val="6"/>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196215</wp:posOffset>
            </wp:positionV>
            <wp:extent cx="5822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2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6</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836,530 shares of Class A Common Stock</w:t>
            </w:r>
          </w:p>
        </w:tc>
        <w:tc>
          <w:tcPr>
            <w:tcW w:w="0" w:type="dxa"/>
            <w:vAlign w:val="bottom"/>
          </w:tcPr>
          <w:p>
            <w:pPr>
              <w:spacing w:after="0"/>
              <w:rPr>
                <w:sz w:val="1"/>
                <w:szCs w:val="1"/>
                <w:color w:val="auto"/>
              </w:rPr>
            </w:pPr>
          </w:p>
        </w:tc>
      </w:tr>
      <w:tr>
        <w:trPr>
          <w:trHeight w:val="114"/>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6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2,563,376 shares of Class C Common Stock</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6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146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1460" w:type="dxa"/>
            <w:vAlign w:val="bottom"/>
            <w:vMerge w:val="restart"/>
          </w:tcPr>
          <w:p>
            <w:pPr>
              <w:jc w:val="right"/>
              <w:ind w:right="92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6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6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20" w:type="dxa"/>
            <w:vAlign w:val="bottom"/>
          </w:tcPr>
          <w:p>
            <w:pPr>
              <w:spacing w:after="0"/>
              <w:rPr>
                <w:sz w:val="24"/>
                <w:szCs w:val="24"/>
                <w:color w:val="auto"/>
              </w:rPr>
            </w:pP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8</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836,530 shares of Class A Common Stock</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2,563,376 shares of Class C Common Stock</w:t>
            </w:r>
          </w:p>
        </w:tc>
        <w:tc>
          <w:tcPr>
            <w:tcW w:w="0" w:type="dxa"/>
            <w:vAlign w:val="bottom"/>
          </w:tcPr>
          <w:p>
            <w:pPr>
              <w:spacing w:after="0"/>
              <w:rPr>
                <w:sz w:val="1"/>
                <w:szCs w:val="1"/>
                <w:color w:val="auto"/>
              </w:rPr>
            </w:pPr>
          </w:p>
        </w:tc>
      </w:tr>
      <w:tr>
        <w:trPr>
          <w:trHeight w:val="58"/>
        </w:trPr>
        <w:tc>
          <w:tcPr>
            <w:tcW w:w="1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7"/>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836,530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2,563,376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8"/>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2.4%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3.5%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8"/>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2" w:name="page3"/>
    <w:bookmarkEnd w:id="2"/>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ST Fund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60" w:hanging="1214"/>
        <w:spacing w:after="0"/>
        <w:tabs>
          <w:tab w:leader="none" w:pos="2260" w:val="left"/>
        </w:tabs>
        <w:numPr>
          <w:ilvl w:val="1"/>
          <w:numId w:val="10"/>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60" w:hanging="1214"/>
        <w:spacing w:after="0"/>
        <w:tabs>
          <w:tab w:leader="none" w:pos="2260" w:val="left"/>
        </w:tabs>
        <w:numPr>
          <w:ilvl w:val="1"/>
          <w:numId w:val="10"/>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51435</wp:posOffset>
            </wp:positionV>
            <wp:extent cx="6184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-174625</wp:posOffset>
            </wp:positionV>
            <wp:extent cx="6184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20" w:hanging="1146"/>
        <w:spacing w:after="0"/>
        <w:tabs>
          <w:tab w:leader="none" w:pos="28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196215</wp:posOffset>
            </wp:positionV>
            <wp:extent cx="58229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2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6</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836,530 shares of Class A Common Stock</w:t>
            </w:r>
          </w:p>
        </w:tc>
        <w:tc>
          <w:tcPr>
            <w:tcW w:w="0" w:type="dxa"/>
            <w:vAlign w:val="bottom"/>
          </w:tcPr>
          <w:p>
            <w:pPr>
              <w:spacing w:after="0"/>
              <w:rPr>
                <w:sz w:val="1"/>
                <w:szCs w:val="1"/>
                <w:color w:val="auto"/>
              </w:rPr>
            </w:pPr>
          </w:p>
        </w:tc>
      </w:tr>
      <w:tr>
        <w:trPr>
          <w:trHeight w:val="114"/>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6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2,563,376 shares of Class C Common Stock</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6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146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1460" w:type="dxa"/>
            <w:vAlign w:val="bottom"/>
            <w:vMerge w:val="restart"/>
          </w:tcPr>
          <w:p>
            <w:pPr>
              <w:jc w:val="right"/>
              <w:ind w:right="92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6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6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20" w:type="dxa"/>
            <w:vAlign w:val="bottom"/>
          </w:tcPr>
          <w:p>
            <w:pPr>
              <w:spacing w:after="0"/>
              <w:rPr>
                <w:sz w:val="24"/>
                <w:szCs w:val="24"/>
                <w:color w:val="auto"/>
              </w:rPr>
            </w:pP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8</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836,530 shares of Class A Common Stock</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2,563,376 shares of Class C Common Stock</w:t>
            </w:r>
          </w:p>
        </w:tc>
        <w:tc>
          <w:tcPr>
            <w:tcW w:w="0" w:type="dxa"/>
            <w:vAlign w:val="bottom"/>
          </w:tcPr>
          <w:p>
            <w:pPr>
              <w:spacing w:after="0"/>
              <w:rPr>
                <w:sz w:val="1"/>
                <w:szCs w:val="1"/>
                <w:color w:val="auto"/>
              </w:rPr>
            </w:pPr>
          </w:p>
        </w:tc>
      </w:tr>
      <w:tr>
        <w:trPr>
          <w:trHeight w:val="58"/>
        </w:trPr>
        <w:tc>
          <w:tcPr>
            <w:tcW w:w="1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836,530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2,563,376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2.4%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3.5%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3" w:name="page4"/>
    <w:bookmarkEnd w:id="3"/>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ST Operating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60" w:hanging="1214"/>
        <w:spacing w:after="0"/>
        <w:tabs>
          <w:tab w:leader="none" w:pos="2260" w:val="left"/>
        </w:tabs>
        <w:numPr>
          <w:ilvl w:val="1"/>
          <w:numId w:val="17"/>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60" w:hanging="1214"/>
        <w:spacing w:after="0"/>
        <w:tabs>
          <w:tab w:leader="none" w:pos="2260" w:val="left"/>
        </w:tabs>
        <w:numPr>
          <w:ilvl w:val="1"/>
          <w:numId w:val="17"/>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51435</wp:posOffset>
            </wp:positionV>
            <wp:extent cx="61849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-174625</wp:posOffset>
            </wp:positionV>
            <wp:extent cx="61849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20" w:hanging="1146"/>
        <w:spacing w:after="0"/>
        <w:tabs>
          <w:tab w:leader="none" w:pos="28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196215</wp:posOffset>
            </wp:positionV>
            <wp:extent cx="58229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2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6</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836,530 shares of Class A Common Stock</w:t>
            </w:r>
          </w:p>
        </w:tc>
        <w:tc>
          <w:tcPr>
            <w:tcW w:w="0" w:type="dxa"/>
            <w:vAlign w:val="bottom"/>
          </w:tcPr>
          <w:p>
            <w:pPr>
              <w:spacing w:after="0"/>
              <w:rPr>
                <w:sz w:val="1"/>
                <w:szCs w:val="1"/>
                <w:color w:val="auto"/>
              </w:rPr>
            </w:pPr>
          </w:p>
        </w:tc>
      </w:tr>
      <w:tr>
        <w:trPr>
          <w:trHeight w:val="114"/>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6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2,563,376 shares of Class C Common Stock</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6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146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1460" w:type="dxa"/>
            <w:vAlign w:val="bottom"/>
            <w:vMerge w:val="restart"/>
          </w:tcPr>
          <w:p>
            <w:pPr>
              <w:jc w:val="right"/>
              <w:ind w:right="92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6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6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20" w:type="dxa"/>
            <w:vAlign w:val="bottom"/>
          </w:tcPr>
          <w:p>
            <w:pPr>
              <w:spacing w:after="0"/>
              <w:rPr>
                <w:sz w:val="24"/>
                <w:szCs w:val="24"/>
                <w:color w:val="auto"/>
              </w:rPr>
            </w:pP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8</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836,530 shares of Class A Common Stock</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2,563,376 shares of Class C Common Stock</w:t>
            </w:r>
          </w:p>
        </w:tc>
        <w:tc>
          <w:tcPr>
            <w:tcW w:w="0" w:type="dxa"/>
            <w:vAlign w:val="bottom"/>
          </w:tcPr>
          <w:p>
            <w:pPr>
              <w:spacing w:after="0"/>
              <w:rPr>
                <w:sz w:val="1"/>
                <w:szCs w:val="1"/>
                <w:color w:val="auto"/>
              </w:rPr>
            </w:pPr>
          </w:p>
        </w:tc>
      </w:tr>
      <w:tr>
        <w:trPr>
          <w:trHeight w:val="58"/>
        </w:trPr>
        <w:tc>
          <w:tcPr>
            <w:tcW w:w="1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836,530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2,563,376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 2.4%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3.5%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4" w:name="page5"/>
    <w:bookmarkEnd w:id="4"/>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ST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60" w:hanging="1214"/>
        <w:spacing w:after="0"/>
        <w:tabs>
          <w:tab w:leader="none" w:pos="2260" w:val="left"/>
        </w:tabs>
        <w:numPr>
          <w:ilvl w:val="1"/>
          <w:numId w:val="24"/>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60" w:hanging="1214"/>
        <w:spacing w:after="0"/>
        <w:tabs>
          <w:tab w:leader="none" w:pos="2260" w:val="left"/>
        </w:tabs>
        <w:numPr>
          <w:ilvl w:val="1"/>
          <w:numId w:val="24"/>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51435</wp:posOffset>
            </wp:positionV>
            <wp:extent cx="61849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-174625</wp:posOffset>
            </wp:positionV>
            <wp:extent cx="61849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20" w:hanging="1146"/>
        <w:spacing w:after="0"/>
        <w:tabs>
          <w:tab w:leader="none" w:pos="28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196215</wp:posOffset>
            </wp:positionV>
            <wp:extent cx="58229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2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6</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836,530 shares of Class A Common Stock</w:t>
            </w:r>
          </w:p>
        </w:tc>
        <w:tc>
          <w:tcPr>
            <w:tcW w:w="0" w:type="dxa"/>
            <w:vAlign w:val="bottom"/>
          </w:tcPr>
          <w:p>
            <w:pPr>
              <w:spacing w:after="0"/>
              <w:rPr>
                <w:sz w:val="1"/>
                <w:szCs w:val="1"/>
                <w:color w:val="auto"/>
              </w:rPr>
            </w:pPr>
          </w:p>
        </w:tc>
      </w:tr>
      <w:tr>
        <w:trPr>
          <w:trHeight w:val="114"/>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6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2,563,376 shares of Class C Common Stock</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6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146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1460" w:type="dxa"/>
            <w:vAlign w:val="bottom"/>
            <w:vMerge w:val="restart"/>
          </w:tcPr>
          <w:p>
            <w:pPr>
              <w:jc w:val="right"/>
              <w:ind w:right="92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6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6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20" w:type="dxa"/>
            <w:vAlign w:val="bottom"/>
          </w:tcPr>
          <w:p>
            <w:pPr>
              <w:spacing w:after="0"/>
              <w:rPr>
                <w:sz w:val="24"/>
                <w:szCs w:val="24"/>
                <w:color w:val="auto"/>
              </w:rPr>
            </w:pP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8</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836,530 shares of Class A Common Stock</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2,563,376 shares of Class C Common Stock</w:t>
            </w:r>
          </w:p>
        </w:tc>
        <w:tc>
          <w:tcPr>
            <w:tcW w:w="0" w:type="dxa"/>
            <w:vAlign w:val="bottom"/>
          </w:tcPr>
          <w:p>
            <w:pPr>
              <w:spacing w:after="0"/>
              <w:rPr>
                <w:sz w:val="1"/>
                <w:szCs w:val="1"/>
                <w:color w:val="auto"/>
              </w:rPr>
            </w:pPr>
          </w:p>
        </w:tc>
      </w:tr>
      <w:tr>
        <w:trPr>
          <w:trHeight w:val="58"/>
        </w:trPr>
        <w:tc>
          <w:tcPr>
            <w:tcW w:w="1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836,530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2,563,376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(9) 2.4%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3.5%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5" w:name="page6"/>
    <w:bookmarkEnd w:id="5"/>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ST Management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60" w:hanging="1214"/>
        <w:spacing w:after="0"/>
        <w:tabs>
          <w:tab w:leader="none" w:pos="2260" w:val="left"/>
        </w:tabs>
        <w:numPr>
          <w:ilvl w:val="1"/>
          <w:numId w:val="31"/>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60" w:hanging="1214"/>
        <w:spacing w:after="0"/>
        <w:tabs>
          <w:tab w:leader="none" w:pos="2260" w:val="left"/>
        </w:tabs>
        <w:numPr>
          <w:ilvl w:val="1"/>
          <w:numId w:val="31"/>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51435</wp:posOffset>
            </wp:positionV>
            <wp:extent cx="61849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-174625</wp:posOffset>
            </wp:positionV>
            <wp:extent cx="61849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20" w:hanging="1146"/>
        <w:spacing w:after="0"/>
        <w:tabs>
          <w:tab w:leader="none" w:pos="28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196215</wp:posOffset>
            </wp:positionV>
            <wp:extent cx="58229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2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6</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836,530 shares of Class A Common Stock</w:t>
            </w:r>
          </w:p>
        </w:tc>
        <w:tc>
          <w:tcPr>
            <w:tcW w:w="0" w:type="dxa"/>
            <w:vAlign w:val="bottom"/>
          </w:tcPr>
          <w:p>
            <w:pPr>
              <w:spacing w:after="0"/>
              <w:rPr>
                <w:sz w:val="1"/>
                <w:szCs w:val="1"/>
                <w:color w:val="auto"/>
              </w:rPr>
            </w:pPr>
          </w:p>
        </w:tc>
      </w:tr>
      <w:tr>
        <w:trPr>
          <w:trHeight w:val="114"/>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6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2,563,376 shares of Class C Common Stock</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6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146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1460" w:type="dxa"/>
            <w:vAlign w:val="bottom"/>
            <w:vMerge w:val="restart"/>
          </w:tcPr>
          <w:p>
            <w:pPr>
              <w:jc w:val="right"/>
              <w:ind w:right="92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6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6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20" w:type="dxa"/>
            <w:vAlign w:val="bottom"/>
          </w:tcPr>
          <w:p>
            <w:pPr>
              <w:spacing w:after="0"/>
              <w:rPr>
                <w:sz w:val="24"/>
                <w:szCs w:val="24"/>
                <w:color w:val="auto"/>
              </w:rPr>
            </w:pP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8</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836,530 shares of Class A Common Stock</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2,563,376 shares of Class C Common Stock</w:t>
            </w:r>
          </w:p>
        </w:tc>
        <w:tc>
          <w:tcPr>
            <w:tcW w:w="0" w:type="dxa"/>
            <w:vAlign w:val="bottom"/>
          </w:tcPr>
          <w:p>
            <w:pPr>
              <w:spacing w:after="0"/>
              <w:rPr>
                <w:sz w:val="1"/>
                <w:szCs w:val="1"/>
                <w:color w:val="auto"/>
              </w:rPr>
            </w:pPr>
          </w:p>
        </w:tc>
      </w:tr>
      <w:tr>
        <w:trPr>
          <w:trHeight w:val="58"/>
        </w:trPr>
        <w:tc>
          <w:tcPr>
            <w:tcW w:w="1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836,530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2,563,376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(9) 2.4%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3.5%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6" w:name="page7"/>
    <w:bookmarkEnd w:id="6"/>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A-N Credit Fund (Delaware),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60" w:hanging="1214"/>
        <w:spacing w:after="0"/>
        <w:tabs>
          <w:tab w:leader="none" w:pos="2260" w:val="left"/>
        </w:tabs>
        <w:numPr>
          <w:ilvl w:val="1"/>
          <w:numId w:val="38"/>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60" w:hanging="1214"/>
        <w:spacing w:after="0"/>
        <w:tabs>
          <w:tab w:leader="none" w:pos="2260" w:val="left"/>
        </w:tabs>
        <w:numPr>
          <w:ilvl w:val="1"/>
          <w:numId w:val="38"/>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51435</wp:posOffset>
            </wp:positionV>
            <wp:extent cx="61849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-174625</wp:posOffset>
            </wp:positionV>
            <wp:extent cx="61849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20" w:hanging="1146"/>
        <w:spacing w:after="0"/>
        <w:tabs>
          <w:tab w:leader="none" w:pos="28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196215</wp:posOffset>
            </wp:positionV>
            <wp:extent cx="58229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2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6</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411,513 shares of Class A Common Stock</w:t>
            </w:r>
          </w:p>
        </w:tc>
        <w:tc>
          <w:tcPr>
            <w:tcW w:w="0" w:type="dxa"/>
            <w:vAlign w:val="bottom"/>
          </w:tcPr>
          <w:p>
            <w:pPr>
              <w:spacing w:after="0"/>
              <w:rPr>
                <w:sz w:val="1"/>
                <w:szCs w:val="1"/>
                <w:color w:val="auto"/>
              </w:rPr>
            </w:pPr>
          </w:p>
        </w:tc>
      </w:tr>
      <w:tr>
        <w:trPr>
          <w:trHeight w:val="114"/>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6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1,141,846 shares of Class C Common Stock</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6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146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1460" w:type="dxa"/>
            <w:vAlign w:val="bottom"/>
            <w:vMerge w:val="restart"/>
          </w:tcPr>
          <w:p>
            <w:pPr>
              <w:jc w:val="right"/>
              <w:ind w:right="92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6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6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20" w:type="dxa"/>
            <w:vAlign w:val="bottom"/>
          </w:tcPr>
          <w:p>
            <w:pPr>
              <w:spacing w:after="0"/>
              <w:rPr>
                <w:sz w:val="24"/>
                <w:szCs w:val="24"/>
                <w:color w:val="auto"/>
              </w:rPr>
            </w:pP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8</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411,513 shares of Class A Common Stock</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1,141,846 shares of Class C Common Stock</w:t>
            </w:r>
          </w:p>
        </w:tc>
        <w:tc>
          <w:tcPr>
            <w:tcW w:w="0" w:type="dxa"/>
            <w:vAlign w:val="bottom"/>
          </w:tcPr>
          <w:p>
            <w:pPr>
              <w:spacing w:after="0"/>
              <w:rPr>
                <w:sz w:val="1"/>
                <w:szCs w:val="1"/>
                <w:color w:val="auto"/>
              </w:rPr>
            </w:pPr>
          </w:p>
        </w:tc>
      </w:tr>
      <w:tr>
        <w:trPr>
          <w:trHeight w:val="58"/>
        </w:trPr>
        <w:tc>
          <w:tcPr>
            <w:tcW w:w="1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411,513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1,141,846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1.2%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1.6%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7" w:name="page8"/>
    <w:bookmarkEnd w:id="7"/>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A-N Credit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60" w:hanging="1214"/>
        <w:spacing w:after="0"/>
        <w:tabs>
          <w:tab w:leader="none" w:pos="2260" w:val="left"/>
        </w:tabs>
        <w:numPr>
          <w:ilvl w:val="1"/>
          <w:numId w:val="45"/>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60" w:hanging="1214"/>
        <w:spacing w:after="0"/>
        <w:tabs>
          <w:tab w:leader="none" w:pos="2260" w:val="left"/>
        </w:tabs>
        <w:numPr>
          <w:ilvl w:val="1"/>
          <w:numId w:val="45"/>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51435</wp:posOffset>
            </wp:positionV>
            <wp:extent cx="61849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-174625</wp:posOffset>
            </wp:positionV>
            <wp:extent cx="61849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20" w:hanging="1146"/>
        <w:spacing w:after="0"/>
        <w:tabs>
          <w:tab w:leader="none" w:pos="28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196215</wp:posOffset>
            </wp:positionV>
            <wp:extent cx="58229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2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6</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411,513 shares of Class A Common Stock</w:t>
            </w:r>
          </w:p>
        </w:tc>
        <w:tc>
          <w:tcPr>
            <w:tcW w:w="0" w:type="dxa"/>
            <w:vAlign w:val="bottom"/>
          </w:tcPr>
          <w:p>
            <w:pPr>
              <w:spacing w:after="0"/>
              <w:rPr>
                <w:sz w:val="1"/>
                <w:szCs w:val="1"/>
                <w:color w:val="auto"/>
              </w:rPr>
            </w:pPr>
          </w:p>
        </w:tc>
      </w:tr>
      <w:tr>
        <w:trPr>
          <w:trHeight w:val="114"/>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6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1,141,846 shares of Class C Common Stock</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6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146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1460" w:type="dxa"/>
            <w:vAlign w:val="bottom"/>
            <w:vMerge w:val="restart"/>
          </w:tcPr>
          <w:p>
            <w:pPr>
              <w:jc w:val="right"/>
              <w:ind w:right="92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6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6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20" w:type="dxa"/>
            <w:vAlign w:val="bottom"/>
          </w:tcPr>
          <w:p>
            <w:pPr>
              <w:spacing w:after="0"/>
              <w:rPr>
                <w:sz w:val="24"/>
                <w:szCs w:val="24"/>
                <w:color w:val="auto"/>
              </w:rPr>
            </w:pP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8</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411,513 shares of Class A Common Stock</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1,141,846 shares of Class C Common Stock</w:t>
            </w:r>
          </w:p>
        </w:tc>
        <w:tc>
          <w:tcPr>
            <w:tcW w:w="0" w:type="dxa"/>
            <w:vAlign w:val="bottom"/>
          </w:tcPr>
          <w:p>
            <w:pPr>
              <w:spacing w:after="0"/>
              <w:rPr>
                <w:sz w:val="1"/>
                <w:szCs w:val="1"/>
                <w:color w:val="auto"/>
              </w:rPr>
            </w:pPr>
          </w:p>
        </w:tc>
      </w:tr>
      <w:tr>
        <w:trPr>
          <w:trHeight w:val="58"/>
        </w:trPr>
        <w:tc>
          <w:tcPr>
            <w:tcW w:w="1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411,513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1,141,846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Percent of Class Represented by Amount in Row (9) 1.2%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1.6%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8" w:name="page9"/>
    <w:bookmarkEnd w:id="8"/>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TR Enhanced Levered Yield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60" w:hanging="1214"/>
        <w:spacing w:after="0"/>
        <w:tabs>
          <w:tab w:leader="none" w:pos="2260" w:val="left"/>
        </w:tabs>
        <w:numPr>
          <w:ilvl w:val="1"/>
          <w:numId w:val="52"/>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60" w:hanging="1214"/>
        <w:spacing w:after="0"/>
        <w:tabs>
          <w:tab w:leader="none" w:pos="2260" w:val="left"/>
        </w:tabs>
        <w:numPr>
          <w:ilvl w:val="1"/>
          <w:numId w:val="52"/>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51435</wp:posOffset>
            </wp:positionV>
            <wp:extent cx="61849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-174625</wp:posOffset>
            </wp:positionV>
            <wp:extent cx="61849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20" w:hanging="1146"/>
        <w:spacing w:after="0"/>
        <w:tabs>
          <w:tab w:leader="none" w:pos="28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196215</wp:posOffset>
            </wp:positionV>
            <wp:extent cx="58229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2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6</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46,640 shares of Class A Common Stock</w:t>
            </w:r>
          </w:p>
        </w:tc>
        <w:tc>
          <w:tcPr>
            <w:tcW w:w="0" w:type="dxa"/>
            <w:vAlign w:val="bottom"/>
          </w:tcPr>
          <w:p>
            <w:pPr>
              <w:spacing w:after="0"/>
              <w:rPr>
                <w:sz w:val="1"/>
                <w:szCs w:val="1"/>
                <w:color w:val="auto"/>
              </w:rPr>
            </w:pPr>
          </w:p>
        </w:tc>
      </w:tr>
      <w:tr>
        <w:trPr>
          <w:trHeight w:val="114"/>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6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68,443 shares of Class C Common Stock</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6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146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1460" w:type="dxa"/>
            <w:vAlign w:val="bottom"/>
            <w:vMerge w:val="restart"/>
          </w:tcPr>
          <w:p>
            <w:pPr>
              <w:jc w:val="right"/>
              <w:ind w:right="92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6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6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20" w:type="dxa"/>
            <w:vAlign w:val="bottom"/>
          </w:tcPr>
          <w:p>
            <w:pPr>
              <w:spacing w:after="0"/>
              <w:rPr>
                <w:sz w:val="24"/>
                <w:szCs w:val="24"/>
                <w:color w:val="auto"/>
              </w:rPr>
            </w:pP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8</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46,640 shares of Class A Common Stock</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68,443 shares of Class C Common Stock</w:t>
            </w:r>
          </w:p>
        </w:tc>
        <w:tc>
          <w:tcPr>
            <w:tcW w:w="0" w:type="dxa"/>
            <w:vAlign w:val="bottom"/>
          </w:tcPr>
          <w:p>
            <w:pPr>
              <w:spacing w:after="0"/>
              <w:rPr>
                <w:sz w:val="1"/>
                <w:szCs w:val="1"/>
                <w:color w:val="auto"/>
              </w:rPr>
            </w:pPr>
          </w:p>
        </w:tc>
      </w:tr>
      <w:tr>
        <w:trPr>
          <w:trHeight w:val="58"/>
        </w:trPr>
        <w:tc>
          <w:tcPr>
            <w:tcW w:w="1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46,640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68,443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0.1%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0.1%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9" w:name="page10"/>
    <w:bookmarkEnd w:id="9"/>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TR Opportunistic,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60" w:hanging="1214"/>
        <w:spacing w:after="0"/>
        <w:tabs>
          <w:tab w:leader="none" w:pos="2260" w:val="left"/>
        </w:tabs>
        <w:numPr>
          <w:ilvl w:val="1"/>
          <w:numId w:val="59"/>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60" w:hanging="1214"/>
        <w:spacing w:after="0"/>
        <w:tabs>
          <w:tab w:leader="none" w:pos="2260" w:val="left"/>
        </w:tabs>
        <w:numPr>
          <w:ilvl w:val="1"/>
          <w:numId w:val="59"/>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51435</wp:posOffset>
            </wp:positionV>
            <wp:extent cx="61849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-174625</wp:posOffset>
            </wp:positionV>
            <wp:extent cx="61849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20" w:hanging="1146"/>
        <w:spacing w:after="0"/>
        <w:tabs>
          <w:tab w:leader="none" w:pos="28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196215</wp:posOffset>
            </wp:positionV>
            <wp:extent cx="58229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2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6</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198,366 shares of Class A Common Stock</w:t>
            </w:r>
          </w:p>
        </w:tc>
        <w:tc>
          <w:tcPr>
            <w:tcW w:w="0" w:type="dxa"/>
            <w:vAlign w:val="bottom"/>
          </w:tcPr>
          <w:p>
            <w:pPr>
              <w:spacing w:after="0"/>
              <w:rPr>
                <w:sz w:val="1"/>
                <w:szCs w:val="1"/>
                <w:color w:val="auto"/>
              </w:rPr>
            </w:pPr>
          </w:p>
        </w:tc>
      </w:tr>
      <w:tr>
        <w:trPr>
          <w:trHeight w:val="114"/>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6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506,459 shares of Class C Common Stock</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6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146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1460" w:type="dxa"/>
            <w:vAlign w:val="bottom"/>
            <w:vMerge w:val="restart"/>
          </w:tcPr>
          <w:p>
            <w:pPr>
              <w:jc w:val="right"/>
              <w:ind w:right="92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6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6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20" w:type="dxa"/>
            <w:vAlign w:val="bottom"/>
          </w:tcPr>
          <w:p>
            <w:pPr>
              <w:spacing w:after="0"/>
              <w:rPr>
                <w:sz w:val="24"/>
                <w:szCs w:val="24"/>
                <w:color w:val="auto"/>
              </w:rPr>
            </w:pP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8</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198,366 shares of Class A Common Stock</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506,459 shares of Class C Common Stock</w:t>
            </w:r>
          </w:p>
        </w:tc>
        <w:tc>
          <w:tcPr>
            <w:tcW w:w="0" w:type="dxa"/>
            <w:vAlign w:val="bottom"/>
          </w:tcPr>
          <w:p>
            <w:pPr>
              <w:spacing w:after="0"/>
              <w:rPr>
                <w:sz w:val="1"/>
                <w:szCs w:val="1"/>
                <w:color w:val="auto"/>
              </w:rPr>
            </w:pPr>
          </w:p>
        </w:tc>
      </w:tr>
      <w:tr>
        <w:trPr>
          <w:trHeight w:val="58"/>
        </w:trPr>
        <w:tc>
          <w:tcPr>
            <w:tcW w:w="1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198,366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506,459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Percent of Class Represented by Amount in Row (9) 0.6%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0.7%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10" w:name="page11"/>
    <w:bookmarkEnd w:id="10"/>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Total Return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60" w:hanging="1214"/>
        <w:spacing w:after="0"/>
        <w:tabs>
          <w:tab w:leader="none" w:pos="2260" w:val="left"/>
        </w:tabs>
        <w:numPr>
          <w:ilvl w:val="1"/>
          <w:numId w:val="66"/>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60" w:hanging="1214"/>
        <w:spacing w:after="0"/>
        <w:tabs>
          <w:tab w:leader="none" w:pos="2260" w:val="left"/>
        </w:tabs>
        <w:numPr>
          <w:ilvl w:val="1"/>
          <w:numId w:val="66"/>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51435</wp:posOffset>
            </wp:positionV>
            <wp:extent cx="61849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-174625</wp:posOffset>
            </wp:positionV>
            <wp:extent cx="61849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20" w:hanging="1146"/>
        <w:spacing w:after="0"/>
        <w:tabs>
          <w:tab w:leader="none" w:pos="28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196215</wp:posOffset>
            </wp:positionV>
            <wp:extent cx="58229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2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6</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198,366 shares of Class A Common Stock</w:t>
            </w:r>
          </w:p>
        </w:tc>
        <w:tc>
          <w:tcPr>
            <w:tcW w:w="0" w:type="dxa"/>
            <w:vAlign w:val="bottom"/>
          </w:tcPr>
          <w:p>
            <w:pPr>
              <w:spacing w:after="0"/>
              <w:rPr>
                <w:sz w:val="1"/>
                <w:szCs w:val="1"/>
                <w:color w:val="auto"/>
              </w:rPr>
            </w:pPr>
          </w:p>
        </w:tc>
      </w:tr>
      <w:tr>
        <w:trPr>
          <w:trHeight w:val="114"/>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6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506,459 shares of Class C Common Stock</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6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146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1460" w:type="dxa"/>
            <w:vAlign w:val="bottom"/>
            <w:vMerge w:val="restart"/>
          </w:tcPr>
          <w:p>
            <w:pPr>
              <w:jc w:val="right"/>
              <w:ind w:right="92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6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6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20" w:type="dxa"/>
            <w:vAlign w:val="bottom"/>
          </w:tcPr>
          <w:p>
            <w:pPr>
              <w:spacing w:after="0"/>
              <w:rPr>
                <w:sz w:val="24"/>
                <w:szCs w:val="24"/>
                <w:color w:val="auto"/>
              </w:rPr>
            </w:pPr>
          </w:p>
        </w:tc>
        <w:tc>
          <w:tcPr>
            <w:tcW w:w="1460" w:type="dxa"/>
            <w:vAlign w:val="bottom"/>
          </w:tcPr>
          <w:p>
            <w:pPr>
              <w:jc w:val="right"/>
              <w:ind w:right="925"/>
              <w:spacing w:after="0"/>
              <w:rPr>
                <w:sz w:val="20"/>
                <w:szCs w:val="20"/>
                <w:color w:val="auto"/>
              </w:rPr>
            </w:pPr>
            <w:r>
              <w:rPr>
                <w:rFonts w:ascii="Arial" w:cs="Arial" w:eastAsia="Arial" w:hAnsi="Arial"/>
                <w:sz w:val="19"/>
                <w:szCs w:val="19"/>
                <w:color w:val="auto"/>
              </w:rPr>
              <w:t>8</w:t>
            </w:r>
          </w:p>
        </w:tc>
        <w:tc>
          <w:tcPr>
            <w:tcW w:w="9160" w:type="dxa"/>
            <w:vAlign w:val="bottom"/>
          </w:tcPr>
          <w:p>
            <w:pPr>
              <w:ind w:left="4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198,366 shares of Class A Common Stock</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160" w:type="dxa"/>
            <w:vAlign w:val="bottom"/>
          </w:tcPr>
          <w:p>
            <w:pPr>
              <w:ind w:left="40"/>
              <w:spacing w:after="0"/>
              <w:rPr>
                <w:sz w:val="20"/>
                <w:szCs w:val="20"/>
                <w:color w:val="auto"/>
              </w:rPr>
            </w:pPr>
            <w:r>
              <w:rPr>
                <w:rFonts w:ascii="Arial" w:cs="Arial" w:eastAsia="Arial" w:hAnsi="Arial"/>
                <w:sz w:val="19"/>
                <w:szCs w:val="19"/>
                <w:color w:val="auto"/>
              </w:rPr>
              <w:t>506,459 shares of Class C Common Stock</w:t>
            </w:r>
          </w:p>
        </w:tc>
        <w:tc>
          <w:tcPr>
            <w:tcW w:w="0" w:type="dxa"/>
            <w:vAlign w:val="bottom"/>
          </w:tcPr>
          <w:p>
            <w:pPr>
              <w:spacing w:after="0"/>
              <w:rPr>
                <w:sz w:val="1"/>
                <w:szCs w:val="1"/>
                <w:color w:val="auto"/>
              </w:rPr>
            </w:pPr>
          </w:p>
        </w:tc>
      </w:tr>
      <w:tr>
        <w:trPr>
          <w:trHeight w:val="58"/>
        </w:trPr>
        <w:tc>
          <w:tcPr>
            <w:tcW w:w="1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198,366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506,459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Percent of Class Represented by Amount in Row (9) 0.6%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0.7%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11" w:name="page12"/>
    <w:bookmarkEnd w:id="11"/>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Total Return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80" w:hanging="1234"/>
        <w:spacing w:after="0"/>
        <w:tabs>
          <w:tab w:leader="none" w:pos="2280" w:val="left"/>
        </w:tabs>
        <w:numPr>
          <w:ilvl w:val="1"/>
          <w:numId w:val="73"/>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80" w:hanging="1234"/>
        <w:spacing w:after="0"/>
        <w:tabs>
          <w:tab w:leader="none" w:pos="2280" w:val="left"/>
        </w:tabs>
        <w:numPr>
          <w:ilvl w:val="1"/>
          <w:numId w:val="73"/>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51435</wp:posOffset>
            </wp:positionV>
            <wp:extent cx="61760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-174625</wp:posOffset>
            </wp:positionV>
            <wp:extent cx="61760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7601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40" w:hanging="1152"/>
        <w:spacing w:after="0"/>
        <w:tabs>
          <w:tab w:leader="none" w:pos="28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196215</wp:posOffset>
            </wp:positionV>
            <wp:extent cx="58140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6</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198,366 shares of Class A Common Stock</w:t>
            </w:r>
          </w:p>
        </w:tc>
        <w:tc>
          <w:tcPr>
            <w:tcW w:w="0" w:type="dxa"/>
            <w:vAlign w:val="bottom"/>
          </w:tcPr>
          <w:p>
            <w:pPr>
              <w:spacing w:after="0"/>
              <w:rPr>
                <w:sz w:val="1"/>
                <w:szCs w:val="1"/>
                <w:color w:val="auto"/>
              </w:rPr>
            </w:pPr>
          </w:p>
        </w:tc>
      </w:tr>
      <w:tr>
        <w:trPr>
          <w:trHeight w:val="114"/>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4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506,459 shares of Class C Common Stock</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4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144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1440" w:type="dxa"/>
            <w:vAlign w:val="bottom"/>
            <w:vMerge w:val="restart"/>
          </w:tcPr>
          <w:p>
            <w:pPr>
              <w:jc w:val="right"/>
              <w:ind w:right="90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4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4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4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40" w:type="dxa"/>
            <w:vAlign w:val="bottom"/>
          </w:tcPr>
          <w:p>
            <w:pPr>
              <w:spacing w:after="0"/>
              <w:rPr>
                <w:sz w:val="24"/>
                <w:szCs w:val="24"/>
                <w:color w:val="auto"/>
              </w:rPr>
            </w:pP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8</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198,366 shares of Class A Common Stock</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506,459 shares of Class C Common Stock</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198,366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506,459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Percent of Class Represented by Amount in Row (9) 0.6%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0.7%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12" w:name="page13"/>
    <w:bookmarkEnd w:id="12"/>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Total Return Master Fund Enhanced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80" w:hanging="1234"/>
        <w:spacing w:after="0"/>
        <w:tabs>
          <w:tab w:leader="none" w:pos="2280" w:val="left"/>
        </w:tabs>
        <w:numPr>
          <w:ilvl w:val="1"/>
          <w:numId w:val="80"/>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80" w:hanging="1234"/>
        <w:spacing w:after="0"/>
        <w:tabs>
          <w:tab w:leader="none" w:pos="2280" w:val="left"/>
        </w:tabs>
        <w:numPr>
          <w:ilvl w:val="1"/>
          <w:numId w:val="80"/>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51435</wp:posOffset>
            </wp:positionV>
            <wp:extent cx="61760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-174625</wp:posOffset>
            </wp:positionV>
            <wp:extent cx="61760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7601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40" w:hanging="1152"/>
        <w:spacing w:after="0"/>
        <w:tabs>
          <w:tab w:leader="none" w:pos="28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196215</wp:posOffset>
            </wp:positionV>
            <wp:extent cx="58140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6</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198,366 shares of Class A Common Stock</w:t>
            </w:r>
          </w:p>
        </w:tc>
        <w:tc>
          <w:tcPr>
            <w:tcW w:w="0" w:type="dxa"/>
            <w:vAlign w:val="bottom"/>
          </w:tcPr>
          <w:p>
            <w:pPr>
              <w:spacing w:after="0"/>
              <w:rPr>
                <w:sz w:val="1"/>
                <w:szCs w:val="1"/>
                <w:color w:val="auto"/>
              </w:rPr>
            </w:pPr>
          </w:p>
        </w:tc>
      </w:tr>
      <w:tr>
        <w:trPr>
          <w:trHeight w:val="114"/>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4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506,459 shares of Class C Common Stock</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4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144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1440" w:type="dxa"/>
            <w:vAlign w:val="bottom"/>
            <w:vMerge w:val="restart"/>
          </w:tcPr>
          <w:p>
            <w:pPr>
              <w:jc w:val="right"/>
              <w:ind w:right="90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4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4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4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40" w:type="dxa"/>
            <w:vAlign w:val="bottom"/>
          </w:tcPr>
          <w:p>
            <w:pPr>
              <w:spacing w:after="0"/>
              <w:rPr>
                <w:sz w:val="24"/>
                <w:szCs w:val="24"/>
                <w:color w:val="auto"/>
              </w:rPr>
            </w:pP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8</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198,366 shares of Class A Common Stock</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506,459 shares of Class C Common Stock</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198,366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506,459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0.6%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0.7%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13" w:name="page14"/>
    <w:bookmarkEnd w:id="13"/>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89" w:lineRule="auto"/>
        <w:rPr>
          <w:rFonts w:ascii="Arial" w:cs="Arial" w:eastAsia="Arial" w:hAnsi="Arial"/>
          <w:sz w:val="19"/>
          <w:szCs w:val="19"/>
          <w:color w:val="auto"/>
        </w:rPr>
      </w:pPr>
      <w:r>
        <w:rPr>
          <w:rFonts w:ascii="Arial" w:cs="Arial" w:eastAsia="Arial" w:hAnsi="Arial"/>
          <w:sz w:val="18"/>
          <w:szCs w:val="18"/>
          <w:color w:val="auto"/>
        </w:rPr>
        <w:t>I.R.S. Identification Nos. of Above Persons (Entities Only). Apollo Total Return Enhanced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10160</wp:posOffset>
            </wp:positionV>
            <wp:extent cx="69551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1" w:lineRule="exact"/>
        <w:rPr>
          <w:sz w:val="20"/>
          <w:szCs w:val="20"/>
          <w:color w:val="auto"/>
        </w:rPr>
      </w:pPr>
    </w:p>
    <w:p>
      <w:pPr>
        <w:ind w:left="1040" w:hanging="650"/>
        <w:spacing w:after="0"/>
        <w:tabs>
          <w:tab w:leader="none" w:pos="10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80" w:hanging="1234"/>
        <w:spacing w:after="0"/>
        <w:tabs>
          <w:tab w:leader="none" w:pos="2280" w:val="left"/>
        </w:tabs>
        <w:numPr>
          <w:ilvl w:val="1"/>
          <w:numId w:val="87"/>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80" w:hanging="1234"/>
        <w:spacing w:after="0"/>
        <w:tabs>
          <w:tab w:leader="none" w:pos="2280" w:val="left"/>
        </w:tabs>
        <w:numPr>
          <w:ilvl w:val="1"/>
          <w:numId w:val="87"/>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51435</wp:posOffset>
            </wp:positionV>
            <wp:extent cx="617601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-174625</wp:posOffset>
            </wp:positionV>
            <wp:extent cx="61760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7601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40" w:hanging="1152"/>
        <w:spacing w:after="0"/>
        <w:tabs>
          <w:tab w:leader="none" w:pos="28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196215</wp:posOffset>
            </wp:positionV>
            <wp:extent cx="58140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6</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245,006 shares of Class A Common Stock</w:t>
            </w:r>
          </w:p>
        </w:tc>
        <w:tc>
          <w:tcPr>
            <w:tcW w:w="0" w:type="dxa"/>
            <w:vAlign w:val="bottom"/>
          </w:tcPr>
          <w:p>
            <w:pPr>
              <w:spacing w:after="0"/>
              <w:rPr>
                <w:sz w:val="1"/>
                <w:szCs w:val="1"/>
                <w:color w:val="auto"/>
              </w:rPr>
            </w:pPr>
          </w:p>
        </w:tc>
      </w:tr>
      <w:tr>
        <w:trPr>
          <w:trHeight w:val="114"/>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4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574,902 shares of Class C Common Stock</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4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144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1440" w:type="dxa"/>
            <w:vAlign w:val="bottom"/>
            <w:vMerge w:val="restart"/>
          </w:tcPr>
          <w:p>
            <w:pPr>
              <w:jc w:val="right"/>
              <w:ind w:right="90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4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4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4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40" w:type="dxa"/>
            <w:vAlign w:val="bottom"/>
          </w:tcPr>
          <w:p>
            <w:pPr>
              <w:spacing w:after="0"/>
              <w:rPr>
                <w:sz w:val="24"/>
                <w:szCs w:val="24"/>
                <w:color w:val="auto"/>
              </w:rPr>
            </w:pP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8</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245,006 shares of Class A Common Stock</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574,902 shares of Class C Common Stock</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245,006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574,902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Percent of Class Represented by Amount in Row (9) 0.7%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0.8%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14" w:name="page15"/>
    <w:bookmarkEnd w:id="14"/>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Credit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94"/>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80" w:hanging="1234"/>
        <w:spacing w:after="0"/>
        <w:tabs>
          <w:tab w:leader="none" w:pos="2280" w:val="left"/>
        </w:tabs>
        <w:numPr>
          <w:ilvl w:val="1"/>
          <w:numId w:val="94"/>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80" w:hanging="1234"/>
        <w:spacing w:after="0"/>
        <w:tabs>
          <w:tab w:leader="none" w:pos="2280" w:val="left"/>
        </w:tabs>
        <w:numPr>
          <w:ilvl w:val="1"/>
          <w:numId w:val="94"/>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51435</wp:posOffset>
            </wp:positionV>
            <wp:extent cx="617601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-174625</wp:posOffset>
            </wp:positionV>
            <wp:extent cx="61760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7601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95"/>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40" w:hanging="1152"/>
        <w:spacing w:after="0"/>
        <w:tabs>
          <w:tab w:leader="none" w:pos="28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196215</wp:posOffset>
            </wp:positionV>
            <wp:extent cx="58140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6</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21,640 shares of Class A Common Stock</w:t>
            </w:r>
          </w:p>
        </w:tc>
        <w:tc>
          <w:tcPr>
            <w:tcW w:w="0" w:type="dxa"/>
            <w:vAlign w:val="bottom"/>
          </w:tcPr>
          <w:p>
            <w:pPr>
              <w:spacing w:after="0"/>
              <w:rPr>
                <w:sz w:val="1"/>
                <w:szCs w:val="1"/>
                <w:color w:val="auto"/>
              </w:rPr>
            </w:pPr>
          </w:p>
        </w:tc>
      </w:tr>
      <w:tr>
        <w:trPr>
          <w:trHeight w:val="114"/>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4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28,547 shares of Class C Common Stock</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4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144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1440" w:type="dxa"/>
            <w:vAlign w:val="bottom"/>
            <w:vMerge w:val="restart"/>
          </w:tcPr>
          <w:p>
            <w:pPr>
              <w:jc w:val="right"/>
              <w:ind w:right="90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4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4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4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40" w:type="dxa"/>
            <w:vAlign w:val="bottom"/>
          </w:tcPr>
          <w:p>
            <w:pPr>
              <w:spacing w:after="0"/>
              <w:rPr>
                <w:sz w:val="24"/>
                <w:szCs w:val="24"/>
                <w:color w:val="auto"/>
              </w:rPr>
            </w:pP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8</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21,640 shares of Class A Common Stock</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28,547 shares of Class C Common Stock</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21,640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28,547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hanging="650"/>
        <w:spacing w:after="0"/>
        <w:tabs>
          <w:tab w:leader="none" w:pos="10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0.1% of outstanding Class A Common Stock</w:t>
      </w:r>
    </w:p>
    <w:p>
      <w:pPr>
        <w:spacing w:after="0" w:line="9"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Percentage amounts to less than one-tenth of a percent of outstanding Class C Common Stock</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040" w:hanging="650"/>
        <w:spacing w:after="0"/>
        <w:tabs>
          <w:tab w:leader="none" w:pos="10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15" w:name="page16"/>
    <w:bookmarkEnd w:id="15"/>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Capital Credit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80" w:hanging="1234"/>
        <w:spacing w:after="0"/>
        <w:tabs>
          <w:tab w:leader="none" w:pos="228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80" w:hanging="1234"/>
        <w:spacing w:after="0"/>
        <w:tabs>
          <w:tab w:leader="none" w:pos="228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51435</wp:posOffset>
            </wp:positionV>
            <wp:extent cx="61760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-174625</wp:posOffset>
            </wp:positionV>
            <wp:extent cx="61760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7601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40" w:hanging="1152"/>
        <w:spacing w:after="0"/>
        <w:tabs>
          <w:tab w:leader="none" w:pos="28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196215</wp:posOffset>
            </wp:positionV>
            <wp:extent cx="58140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6</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21,640 shares of Class A Common Stock</w:t>
            </w:r>
          </w:p>
        </w:tc>
        <w:tc>
          <w:tcPr>
            <w:tcW w:w="0" w:type="dxa"/>
            <w:vAlign w:val="bottom"/>
          </w:tcPr>
          <w:p>
            <w:pPr>
              <w:spacing w:after="0"/>
              <w:rPr>
                <w:sz w:val="1"/>
                <w:szCs w:val="1"/>
                <w:color w:val="auto"/>
              </w:rPr>
            </w:pPr>
          </w:p>
        </w:tc>
      </w:tr>
      <w:tr>
        <w:trPr>
          <w:trHeight w:val="114"/>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4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28,547 shares of Class C Common Stock</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4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144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1440" w:type="dxa"/>
            <w:vAlign w:val="bottom"/>
            <w:vMerge w:val="restart"/>
          </w:tcPr>
          <w:p>
            <w:pPr>
              <w:jc w:val="right"/>
              <w:ind w:right="90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4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4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4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40" w:type="dxa"/>
            <w:vAlign w:val="bottom"/>
          </w:tcPr>
          <w:p>
            <w:pPr>
              <w:spacing w:after="0"/>
              <w:rPr>
                <w:sz w:val="24"/>
                <w:szCs w:val="24"/>
                <w:color w:val="auto"/>
              </w:rPr>
            </w:pP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8</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21,640 shares of Class A Common Stock</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28,547 shares of Class C Common Stock</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21,640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28,547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hanging="650"/>
        <w:spacing w:after="0"/>
        <w:tabs>
          <w:tab w:leader="none" w:pos="10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0.1% of outstanding Class A Common Stock</w:t>
      </w:r>
    </w:p>
    <w:p>
      <w:pPr>
        <w:spacing w:after="0" w:line="9"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Percentage amounts to less than one-tenth of a percent of outstanding Class C Common Stock</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040" w:hanging="650"/>
        <w:spacing w:after="0"/>
        <w:tabs>
          <w:tab w:leader="none" w:pos="10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16" w:name="page17"/>
    <w:bookmarkEnd w:id="16"/>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SA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80" w:hanging="1234"/>
        <w:spacing w:after="0"/>
        <w:tabs>
          <w:tab w:leader="none" w:pos="228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80" w:hanging="1234"/>
        <w:spacing w:after="0"/>
        <w:tabs>
          <w:tab w:leader="none" w:pos="228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51435</wp:posOffset>
            </wp:positionV>
            <wp:extent cx="61760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-174625</wp:posOffset>
            </wp:positionV>
            <wp:extent cx="61760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7601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40" w:hanging="1152"/>
        <w:spacing w:after="0"/>
        <w:tabs>
          <w:tab w:leader="none" w:pos="28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196215</wp:posOffset>
            </wp:positionV>
            <wp:extent cx="58140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6</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20,825 shares of Class A Common Stock</w:t>
            </w:r>
          </w:p>
        </w:tc>
        <w:tc>
          <w:tcPr>
            <w:tcW w:w="0" w:type="dxa"/>
            <w:vAlign w:val="bottom"/>
          </w:tcPr>
          <w:p>
            <w:pPr>
              <w:spacing w:after="0"/>
              <w:rPr>
                <w:sz w:val="1"/>
                <w:szCs w:val="1"/>
                <w:color w:val="auto"/>
              </w:rPr>
            </w:pPr>
          </w:p>
        </w:tc>
      </w:tr>
      <w:tr>
        <w:trPr>
          <w:trHeight w:val="114"/>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4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17,325 shares of Class C Common Stock</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4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144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1440" w:type="dxa"/>
            <w:vAlign w:val="bottom"/>
            <w:vMerge w:val="restart"/>
          </w:tcPr>
          <w:p>
            <w:pPr>
              <w:jc w:val="right"/>
              <w:ind w:right="90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4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4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4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40" w:type="dxa"/>
            <w:vAlign w:val="bottom"/>
          </w:tcPr>
          <w:p>
            <w:pPr>
              <w:spacing w:after="0"/>
              <w:rPr>
                <w:sz w:val="24"/>
                <w:szCs w:val="24"/>
                <w:color w:val="auto"/>
              </w:rPr>
            </w:pP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8</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20,825 shares of Class A Common Stock</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17,325 shares of Class C Common Stock</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20,825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17,325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hanging="650"/>
        <w:spacing w:after="0"/>
        <w:tabs>
          <w:tab w:leader="none" w:pos="104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0.1% of outstanding Class A Common Stock</w:t>
      </w:r>
    </w:p>
    <w:p>
      <w:pPr>
        <w:spacing w:after="0" w:line="9"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Percentage amounts to less than one-tenth of a percent of outstanding Class C Common Stock</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040" w:hanging="650"/>
        <w:spacing w:after="0"/>
        <w:tabs>
          <w:tab w:leader="none" w:pos="104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17" w:name="page18"/>
    <w:bookmarkEnd w:id="17"/>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Arrowhead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80" w:hanging="1234"/>
        <w:spacing w:after="0"/>
        <w:tabs>
          <w:tab w:leader="none" w:pos="228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80" w:hanging="1234"/>
        <w:spacing w:after="0"/>
        <w:tabs>
          <w:tab w:leader="none" w:pos="228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51435</wp:posOffset>
            </wp:positionV>
            <wp:extent cx="617601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-174625</wp:posOffset>
            </wp:positionV>
            <wp:extent cx="617601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7601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40" w:hanging="1152"/>
        <w:spacing w:after="0"/>
        <w:tabs>
          <w:tab w:leader="none" w:pos="284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196215</wp:posOffset>
            </wp:positionV>
            <wp:extent cx="58140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6</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410,680 shares of Class A Common Stock</w:t>
            </w:r>
          </w:p>
        </w:tc>
        <w:tc>
          <w:tcPr>
            <w:tcW w:w="0" w:type="dxa"/>
            <w:vAlign w:val="bottom"/>
          </w:tcPr>
          <w:p>
            <w:pPr>
              <w:spacing w:after="0"/>
              <w:rPr>
                <w:sz w:val="1"/>
                <w:szCs w:val="1"/>
                <w:color w:val="auto"/>
              </w:rPr>
            </w:pPr>
          </w:p>
        </w:tc>
      </w:tr>
      <w:tr>
        <w:trPr>
          <w:trHeight w:val="114"/>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4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950,537 shares of Class C Common Stock</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4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144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1440" w:type="dxa"/>
            <w:vAlign w:val="bottom"/>
            <w:vMerge w:val="restart"/>
          </w:tcPr>
          <w:p>
            <w:pPr>
              <w:jc w:val="right"/>
              <w:ind w:right="90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4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4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4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40" w:type="dxa"/>
            <w:vAlign w:val="bottom"/>
          </w:tcPr>
          <w:p>
            <w:pPr>
              <w:spacing w:after="0"/>
              <w:rPr>
                <w:sz w:val="24"/>
                <w:szCs w:val="24"/>
                <w:color w:val="auto"/>
              </w:rPr>
            </w:pP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8</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410,680 shares of Class A Common Stock</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950,537 shares of Class C Common Stock</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410,680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950,537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x</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1.2%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1.3%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18" w:name="page19"/>
    <w:bookmarkEnd w:id="18"/>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80" w:hanging="1234"/>
        <w:spacing w:after="0"/>
        <w:tabs>
          <w:tab w:leader="none" w:pos="228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80" w:hanging="1234"/>
        <w:spacing w:after="0"/>
        <w:tabs>
          <w:tab w:leader="none" w:pos="228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51435</wp:posOffset>
            </wp:positionV>
            <wp:extent cx="617601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-174625</wp:posOffset>
            </wp:positionV>
            <wp:extent cx="617601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7601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40" w:hanging="1152"/>
        <w:spacing w:after="0"/>
        <w:tabs>
          <w:tab w:leader="none" w:pos="284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196215</wp:posOffset>
            </wp:positionV>
            <wp:extent cx="58140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6</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2,099,361 shares of Class A Common Stock</w:t>
            </w:r>
          </w:p>
        </w:tc>
        <w:tc>
          <w:tcPr>
            <w:tcW w:w="0" w:type="dxa"/>
            <w:vAlign w:val="bottom"/>
          </w:tcPr>
          <w:p>
            <w:pPr>
              <w:spacing w:after="0"/>
              <w:rPr>
                <w:sz w:val="1"/>
                <w:szCs w:val="1"/>
                <w:color w:val="auto"/>
              </w:rPr>
            </w:pPr>
          </w:p>
        </w:tc>
      </w:tr>
      <w:tr>
        <w:trPr>
          <w:trHeight w:val="114"/>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4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5,455,943 shares of Class C Common Stock</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4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144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1440" w:type="dxa"/>
            <w:vAlign w:val="bottom"/>
            <w:vMerge w:val="restart"/>
          </w:tcPr>
          <w:p>
            <w:pPr>
              <w:jc w:val="right"/>
              <w:ind w:right="90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4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4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4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40" w:type="dxa"/>
            <w:vAlign w:val="bottom"/>
          </w:tcPr>
          <w:p>
            <w:pPr>
              <w:spacing w:after="0"/>
              <w:rPr>
                <w:sz w:val="24"/>
                <w:szCs w:val="24"/>
                <w:color w:val="auto"/>
              </w:rPr>
            </w:pP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8</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2,099,361 shares of Class A Common Stock</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5,455,943 shares of Class C Common Stock</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2,099,361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5,455,943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Percent of Class Represented by Amount in Row (9) 6.1%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7.4%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19" w:name="page20"/>
    <w:bookmarkEnd w:id="19"/>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Capital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80" w:hanging="1234"/>
        <w:spacing w:after="0"/>
        <w:tabs>
          <w:tab w:leader="none" w:pos="228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80" w:hanging="1234"/>
        <w:spacing w:after="0"/>
        <w:tabs>
          <w:tab w:leader="none" w:pos="228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51435</wp:posOffset>
            </wp:positionV>
            <wp:extent cx="617601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-174625</wp:posOffset>
            </wp:positionV>
            <wp:extent cx="617601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7601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40" w:hanging="1152"/>
        <w:spacing w:after="0"/>
        <w:tabs>
          <w:tab w:leader="none" w:pos="284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196215</wp:posOffset>
            </wp:positionV>
            <wp:extent cx="58140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6</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2,099,361 shares of Class A Common Stock</w:t>
            </w:r>
          </w:p>
        </w:tc>
        <w:tc>
          <w:tcPr>
            <w:tcW w:w="0" w:type="dxa"/>
            <w:vAlign w:val="bottom"/>
          </w:tcPr>
          <w:p>
            <w:pPr>
              <w:spacing w:after="0"/>
              <w:rPr>
                <w:sz w:val="1"/>
                <w:szCs w:val="1"/>
                <w:color w:val="auto"/>
              </w:rPr>
            </w:pPr>
          </w:p>
        </w:tc>
      </w:tr>
      <w:tr>
        <w:trPr>
          <w:trHeight w:val="114"/>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4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5,455,943 shares of Class C Common Stock</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4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144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1440" w:type="dxa"/>
            <w:vAlign w:val="bottom"/>
            <w:vMerge w:val="restart"/>
          </w:tcPr>
          <w:p>
            <w:pPr>
              <w:jc w:val="right"/>
              <w:ind w:right="90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4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4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4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40" w:type="dxa"/>
            <w:vAlign w:val="bottom"/>
          </w:tcPr>
          <w:p>
            <w:pPr>
              <w:spacing w:after="0"/>
              <w:rPr>
                <w:sz w:val="24"/>
                <w:szCs w:val="24"/>
                <w:color w:val="auto"/>
              </w:rPr>
            </w:pP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8</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2,099,361 shares of Class A Common Stock</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5,455,943 shares of Class C Common Stock</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2,099,361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5,455,943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Percent of Class Represented by Amount in Row (9) 6.1%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7.4%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20" w:name="page21"/>
    <w:bookmarkEnd w:id="20"/>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Management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80" w:hanging="1234"/>
        <w:spacing w:after="0"/>
        <w:tabs>
          <w:tab w:leader="none" w:pos="228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80" w:hanging="1234"/>
        <w:spacing w:after="0"/>
        <w:tabs>
          <w:tab w:leader="none" w:pos="228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51435</wp:posOffset>
            </wp:positionV>
            <wp:extent cx="617601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-174625</wp:posOffset>
            </wp:positionV>
            <wp:extent cx="61760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7601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40" w:hanging="1152"/>
        <w:spacing w:after="0"/>
        <w:tabs>
          <w:tab w:leader="none" w:pos="28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196215</wp:posOffset>
            </wp:positionV>
            <wp:extent cx="58140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6</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2,099,361 shares of Class A Common Stock</w:t>
            </w:r>
          </w:p>
        </w:tc>
        <w:tc>
          <w:tcPr>
            <w:tcW w:w="0" w:type="dxa"/>
            <w:vAlign w:val="bottom"/>
          </w:tcPr>
          <w:p>
            <w:pPr>
              <w:spacing w:after="0"/>
              <w:rPr>
                <w:sz w:val="1"/>
                <w:szCs w:val="1"/>
                <w:color w:val="auto"/>
              </w:rPr>
            </w:pPr>
          </w:p>
        </w:tc>
      </w:tr>
      <w:tr>
        <w:trPr>
          <w:trHeight w:val="114"/>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4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5,455,943 shares of Class C Common Stock</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4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144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1440" w:type="dxa"/>
            <w:vAlign w:val="bottom"/>
            <w:vMerge w:val="restart"/>
          </w:tcPr>
          <w:p>
            <w:pPr>
              <w:jc w:val="right"/>
              <w:ind w:right="90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4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4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4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40" w:type="dxa"/>
            <w:vAlign w:val="bottom"/>
          </w:tcPr>
          <w:p>
            <w:pPr>
              <w:spacing w:after="0"/>
              <w:rPr>
                <w:sz w:val="24"/>
                <w:szCs w:val="24"/>
                <w:color w:val="auto"/>
              </w:rPr>
            </w:pP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8</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2,099,361 shares of Class A Common Stock</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5,455,943 shares of Class C Common Stock</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2,099,361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5,455,943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Percent of Class Represented by Amount in Row (9) 6.1%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7.4%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21" w:name="page22"/>
    <w:bookmarkEnd w:id="21"/>
    <w:p>
      <w:pPr>
        <w:jc w:val="right"/>
        <w:ind w:right="10140"/>
        <w:spacing w:after="0"/>
        <w:rPr>
          <w:sz w:val="20"/>
          <w:szCs w:val="20"/>
          <w:color w:val="auto"/>
        </w:rPr>
      </w:pPr>
      <w:r>
        <w:rPr>
          <w:rFonts w:ascii="Arial" w:cs="Arial" w:eastAsia="Arial" w:hAnsi="Arial"/>
          <w:sz w:val="17"/>
          <w:szCs w:val="17"/>
          <w:color w:val="auto"/>
        </w:rPr>
        <w:t>CUSIP No. 18539C105</w:t>
      </w:r>
    </w:p>
    <w:p>
      <w:pPr>
        <w:spacing w:after="0" w:line="46" w:lineRule="exact"/>
        <w:rPr>
          <w:sz w:val="20"/>
          <w:szCs w:val="20"/>
          <w:color w:val="auto"/>
        </w:rPr>
      </w:pPr>
    </w:p>
    <w:p>
      <w:pPr>
        <w:jc w:val="right"/>
        <w:ind w:right="10140"/>
        <w:spacing w:after="0"/>
        <w:rPr>
          <w:sz w:val="20"/>
          <w:szCs w:val="20"/>
          <w:color w:val="auto"/>
        </w:rPr>
      </w:pPr>
      <w:r>
        <w:rPr>
          <w:rFonts w:ascii="Arial" w:cs="Arial" w:eastAsia="Arial" w:hAnsi="Arial"/>
          <w:sz w:val="19"/>
          <w:szCs w:val="19"/>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76250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0" w:hanging="650"/>
        <w:spacing w:after="0"/>
        <w:tabs>
          <w:tab w:leader="none" w:pos="104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040" w:right="6360"/>
        <w:spacing w:after="0" w:line="261"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Apollo Management Holdings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24765</wp:posOffset>
            </wp:positionV>
            <wp:extent cx="69551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 w:hanging="650"/>
        <w:spacing w:after="0"/>
        <w:tabs>
          <w:tab w:leader="none" w:pos="10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23" w:lineRule="exact"/>
        <w:rPr>
          <w:rFonts w:ascii="Arial" w:cs="Arial" w:eastAsia="Arial" w:hAnsi="Arial"/>
          <w:sz w:val="19"/>
          <w:szCs w:val="19"/>
          <w:color w:val="auto"/>
        </w:rPr>
      </w:pPr>
    </w:p>
    <w:p>
      <w:pPr>
        <w:ind w:left="2280" w:hanging="1234"/>
        <w:spacing w:after="0"/>
        <w:tabs>
          <w:tab w:leader="none" w:pos="228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80" w:hanging="1234"/>
        <w:spacing w:after="0"/>
        <w:tabs>
          <w:tab w:leader="none" w:pos="228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51435</wp:posOffset>
            </wp:positionV>
            <wp:extent cx="617601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-174625</wp:posOffset>
            </wp:positionV>
            <wp:extent cx="617601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7601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hanging="650"/>
        <w:spacing w:after="0"/>
        <w:tabs>
          <w:tab w:leader="none" w:pos="104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51435</wp:posOffset>
            </wp:positionV>
            <wp:extent cx="69551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40" w:right="8120" w:hanging="650"/>
        <w:spacing w:after="0" w:line="275" w:lineRule="auto"/>
        <w:tabs>
          <w:tab w:leader="none" w:pos="104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40" w:hanging="1152"/>
        <w:spacing w:after="0"/>
        <w:tabs>
          <w:tab w:leader="none" w:pos="284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196215</wp:posOffset>
            </wp:positionV>
            <wp:extent cx="58140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vMerge w:val="restart"/>
          </w:tcPr>
          <w:p>
            <w:pPr>
              <w:spacing w:after="0"/>
              <w:rPr>
                <w:sz w:val="20"/>
                <w:szCs w:val="20"/>
                <w:color w:val="auto"/>
              </w:rPr>
            </w:pPr>
            <w:r>
              <w:rPr>
                <w:rFonts w:ascii="Arial" w:cs="Arial" w:eastAsia="Arial" w:hAnsi="Arial"/>
                <w:sz w:val="19"/>
                <w:szCs w:val="19"/>
                <w:color w:val="auto"/>
              </w:rPr>
              <w:t>Number of</w:t>
            </w: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6</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2,099,361 shares of Class A Common Stock</w:t>
            </w:r>
          </w:p>
        </w:tc>
        <w:tc>
          <w:tcPr>
            <w:tcW w:w="0" w:type="dxa"/>
            <w:vAlign w:val="bottom"/>
          </w:tcPr>
          <w:p>
            <w:pPr>
              <w:spacing w:after="0"/>
              <w:rPr>
                <w:sz w:val="1"/>
                <w:szCs w:val="1"/>
                <w:color w:val="auto"/>
              </w:rPr>
            </w:pPr>
          </w:p>
        </w:tc>
      </w:tr>
      <w:tr>
        <w:trPr>
          <w:trHeight w:val="114"/>
        </w:trPr>
        <w:tc>
          <w:tcPr>
            <w:tcW w:w="13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1440" w:type="dxa"/>
            <w:vAlign w:val="bottom"/>
          </w:tcPr>
          <w:p>
            <w:pPr>
              <w:spacing w:after="0"/>
              <w:rPr>
                <w:sz w:val="9"/>
                <w:szCs w:val="9"/>
                <w:color w:val="auto"/>
              </w:rPr>
            </w:pPr>
          </w:p>
        </w:tc>
        <w:tc>
          <w:tcPr>
            <w:tcW w:w="9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5,455,943 shares of Class C Common Stock</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line="165" w:lineRule="exact"/>
              <w:rPr>
                <w:sz w:val="20"/>
                <w:szCs w:val="20"/>
                <w:color w:val="auto"/>
              </w:rPr>
            </w:pPr>
            <w:r>
              <w:rPr>
                <w:rFonts w:ascii="Arial" w:cs="Arial" w:eastAsia="Arial" w:hAnsi="Arial"/>
                <w:sz w:val="19"/>
                <w:szCs w:val="19"/>
                <w:color w:val="auto"/>
              </w:rPr>
              <w:t>Beneficially</w:t>
            </w:r>
          </w:p>
        </w:tc>
        <w:tc>
          <w:tcPr>
            <w:tcW w:w="1440" w:type="dxa"/>
            <w:vAlign w:val="bottom"/>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0"/>
                <w:szCs w:val="20"/>
                <w:color w:val="auto"/>
              </w:rPr>
            </w:pPr>
            <w:r>
              <w:rPr>
                <w:rFonts w:ascii="Arial" w:cs="Arial" w:eastAsia="Arial" w:hAnsi="Arial"/>
                <w:sz w:val="19"/>
                <w:szCs w:val="19"/>
                <w:color w:val="auto"/>
              </w:rPr>
              <w:t>Owned by</w:t>
            </w:r>
          </w:p>
        </w:tc>
        <w:tc>
          <w:tcPr>
            <w:tcW w:w="144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20"/>
                <w:szCs w:val="20"/>
                <w:color w:val="auto"/>
              </w:rPr>
            </w:pPr>
            <w:r>
              <w:rPr>
                <w:rFonts w:ascii="Arial" w:cs="Arial" w:eastAsia="Arial" w:hAnsi="Arial"/>
                <w:sz w:val="19"/>
                <w:szCs w:val="19"/>
                <w:color w:val="auto"/>
              </w:rPr>
              <w:t>Each</w:t>
            </w:r>
          </w:p>
        </w:tc>
        <w:tc>
          <w:tcPr>
            <w:tcW w:w="1440" w:type="dxa"/>
            <w:vAlign w:val="bottom"/>
            <w:vMerge w:val="restart"/>
          </w:tcPr>
          <w:p>
            <w:pPr>
              <w:jc w:val="right"/>
              <w:ind w:right="905"/>
              <w:spacing w:after="0"/>
              <w:rPr>
                <w:sz w:val="20"/>
                <w:szCs w:val="20"/>
                <w:color w:val="auto"/>
              </w:rPr>
            </w:pPr>
            <w:r>
              <w:rPr>
                <w:rFonts w:ascii="Arial" w:cs="Arial" w:eastAsia="Arial" w:hAnsi="Arial"/>
                <w:sz w:val="19"/>
                <w:szCs w:val="19"/>
                <w:color w:val="auto"/>
              </w:rPr>
              <w:t>7</w:t>
            </w:r>
          </w:p>
        </w:tc>
        <w:tc>
          <w:tcPr>
            <w:tcW w:w="9160" w:type="dxa"/>
            <w:vAlign w:val="bottom"/>
            <w:vMerge w:val="restart"/>
          </w:tcPr>
          <w:p>
            <w:pPr>
              <w:ind w:left="6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27"/>
        </w:trPr>
        <w:tc>
          <w:tcPr>
            <w:tcW w:w="134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144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9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340" w:type="dxa"/>
            <w:vAlign w:val="bottom"/>
          </w:tcPr>
          <w:p>
            <w:pPr>
              <w:spacing w:after="0" w:line="165" w:lineRule="exact"/>
              <w:rPr>
                <w:sz w:val="20"/>
                <w:szCs w:val="20"/>
                <w:color w:val="auto"/>
              </w:rPr>
            </w:pPr>
            <w:r>
              <w:rPr>
                <w:rFonts w:ascii="Arial" w:cs="Arial" w:eastAsia="Arial" w:hAnsi="Arial"/>
                <w:sz w:val="19"/>
                <w:szCs w:val="19"/>
                <w:color w:val="auto"/>
              </w:rPr>
              <w:t>Person With:</w:t>
            </w:r>
          </w:p>
        </w:tc>
        <w:tc>
          <w:tcPr>
            <w:tcW w:w="1440" w:type="dxa"/>
            <w:vAlign w:val="bottom"/>
          </w:tcPr>
          <w:p>
            <w:pPr>
              <w:spacing w:after="0"/>
              <w:rPr>
                <w:sz w:val="16"/>
                <w:szCs w:val="16"/>
                <w:color w:val="auto"/>
              </w:rPr>
            </w:pPr>
          </w:p>
        </w:tc>
        <w:tc>
          <w:tcPr>
            <w:tcW w:w="9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340" w:type="dxa"/>
            <w:vAlign w:val="bottom"/>
          </w:tcPr>
          <w:p>
            <w:pPr>
              <w:spacing w:after="0"/>
              <w:rPr>
                <w:sz w:val="24"/>
                <w:szCs w:val="24"/>
                <w:color w:val="auto"/>
              </w:rPr>
            </w:pPr>
          </w:p>
        </w:tc>
        <w:tc>
          <w:tcPr>
            <w:tcW w:w="1440" w:type="dxa"/>
            <w:vAlign w:val="bottom"/>
          </w:tcPr>
          <w:p>
            <w:pPr>
              <w:jc w:val="right"/>
              <w:ind w:right="905"/>
              <w:spacing w:after="0"/>
              <w:rPr>
                <w:sz w:val="20"/>
                <w:szCs w:val="20"/>
                <w:color w:val="auto"/>
              </w:rPr>
            </w:pPr>
            <w:r>
              <w:rPr>
                <w:rFonts w:ascii="Arial" w:cs="Arial" w:eastAsia="Arial" w:hAnsi="Arial"/>
                <w:sz w:val="19"/>
                <w:szCs w:val="19"/>
                <w:color w:val="auto"/>
              </w:rPr>
              <w:t>8</w:t>
            </w:r>
          </w:p>
        </w:tc>
        <w:tc>
          <w:tcPr>
            <w:tcW w:w="9160" w:type="dxa"/>
            <w:vAlign w:val="bottom"/>
          </w:tcPr>
          <w:p>
            <w:pPr>
              <w:ind w:left="6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2,099,361 shares of Class A Common Stock</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Arial" w:cs="Arial" w:eastAsia="Arial" w:hAnsi="Arial"/>
                <w:sz w:val="19"/>
                <w:szCs w:val="19"/>
                <w:color w:val="auto"/>
              </w:rPr>
              <w:t>5,455,943 shares of Class C Common Stock</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1040" w:right="5820" w:hanging="650"/>
        <w:spacing w:after="0" w:line="257" w:lineRule="auto"/>
        <w:tabs>
          <w:tab w:leader="none" w:pos="104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2,099,361 shares of Class A Common Stock</w:t>
      </w:r>
    </w:p>
    <w:p>
      <w:pPr>
        <w:spacing w:after="0" w:line="1"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5,455,943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hanging="650"/>
        <w:spacing w:after="0"/>
        <w:tabs>
          <w:tab w:leader="none" w:pos="10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900" w:hanging="650"/>
        <w:spacing w:after="0" w:line="272" w:lineRule="auto"/>
        <w:tabs>
          <w:tab w:leader="none" w:pos="10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Percent of Class Represented by Amount in Row (9) 6.1% of outstanding Class A Common Stock</w:t>
      </w:r>
    </w:p>
    <w:p>
      <w:pPr>
        <w:ind w:left="1040"/>
        <w:spacing w:after="0"/>
        <w:rPr>
          <w:rFonts w:ascii="Arial" w:cs="Arial" w:eastAsia="Arial" w:hAnsi="Arial"/>
          <w:sz w:val="18"/>
          <w:szCs w:val="18"/>
          <w:color w:val="auto"/>
        </w:rPr>
      </w:pPr>
      <w:r>
        <w:rPr>
          <w:rFonts w:ascii="Arial" w:cs="Arial" w:eastAsia="Arial" w:hAnsi="Arial"/>
          <w:sz w:val="19"/>
          <w:szCs w:val="19"/>
          <w:color w:val="auto"/>
        </w:rPr>
        <w:t>7.4% of outstanding Class C Common Stock</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hanging="650"/>
        <w:spacing w:after="0"/>
        <w:tabs>
          <w:tab w:leader="none" w:pos="10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-1260475</wp:posOffset>
            </wp:positionV>
            <wp:extent cx="69551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80" w:top="270" w:right="120" w:bottom="1440" w:gutter="0" w:footer="0" w:header="0"/>
        </w:sectPr>
      </w:pPr>
    </w:p>
    <w:bookmarkStart w:id="22" w:name="page23"/>
    <w:bookmarkEnd w:id="22"/>
    <w:p>
      <w:pPr>
        <w:spacing w:after="0"/>
        <w:rPr>
          <w:sz w:val="20"/>
          <w:szCs w:val="20"/>
          <w:color w:val="auto"/>
        </w:rPr>
      </w:pPr>
      <w:r>
        <w:rPr>
          <w:rFonts w:ascii="Arial" w:cs="Arial" w:eastAsia="Arial" w:hAnsi="Arial"/>
          <w:sz w:val="19"/>
          <w:szCs w:val="19"/>
          <w:b w:val="1"/>
          <w:bCs w:val="1"/>
          <w:color w:val="auto"/>
        </w:rPr>
        <w:t>Item 1.</w:t>
      </w:r>
    </w:p>
    <w:p>
      <w:pPr>
        <w:spacing w:after="0" w:line="130" w:lineRule="exact"/>
        <w:rPr>
          <w:sz w:val="20"/>
          <w:szCs w:val="20"/>
          <w:color w:val="auto"/>
        </w:rPr>
      </w:pPr>
    </w:p>
    <w:p>
      <w:pPr>
        <w:ind w:left="1540" w:right="8660" w:hanging="536"/>
        <w:spacing w:after="0" w:line="336" w:lineRule="auto"/>
        <w:tabs>
          <w:tab w:leader="none" w:pos="1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Name of Issuer Clearway Energy, Inc.</w:t>
      </w:r>
    </w:p>
    <w:p>
      <w:pPr>
        <w:spacing w:after="0" w:line="23" w:lineRule="exact"/>
        <w:rPr>
          <w:rFonts w:ascii="Arial" w:cs="Arial" w:eastAsia="Arial" w:hAnsi="Arial"/>
          <w:sz w:val="17"/>
          <w:szCs w:val="17"/>
          <w:color w:val="auto"/>
        </w:rPr>
      </w:pPr>
    </w:p>
    <w:p>
      <w:pPr>
        <w:ind w:left="1540" w:right="6440" w:hanging="536"/>
        <w:spacing w:after="0" w:line="257" w:lineRule="auto"/>
        <w:tabs>
          <w:tab w:leader="none" w:pos="15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Address of Issuerâ€™s Principal Executive Offices 804 Carnegie Center</w:t>
      </w:r>
    </w:p>
    <w:p>
      <w:pPr>
        <w:spacing w:after="0" w:line="1" w:lineRule="exact"/>
        <w:rPr>
          <w:rFonts w:ascii="Arial" w:cs="Arial" w:eastAsia="Arial" w:hAnsi="Arial"/>
          <w:sz w:val="19"/>
          <w:szCs w:val="19"/>
          <w:color w:val="auto"/>
        </w:rPr>
      </w:pPr>
    </w:p>
    <w:p>
      <w:pPr>
        <w:ind w:left="1540"/>
        <w:spacing w:after="0"/>
        <w:rPr>
          <w:rFonts w:ascii="Arial" w:cs="Arial" w:eastAsia="Arial" w:hAnsi="Arial"/>
          <w:sz w:val="19"/>
          <w:szCs w:val="19"/>
          <w:color w:val="auto"/>
        </w:rPr>
      </w:pPr>
      <w:r>
        <w:rPr>
          <w:rFonts w:ascii="Arial" w:cs="Arial" w:eastAsia="Arial" w:hAnsi="Arial"/>
          <w:sz w:val="19"/>
          <w:szCs w:val="19"/>
          <w:color w:val="auto"/>
        </w:rPr>
        <w:t>Princeton, New Jersey 08540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w:t>
      </w:r>
    </w:p>
    <w:p>
      <w:pPr>
        <w:spacing w:after="0" w:line="130" w:lineRule="exact"/>
        <w:rPr>
          <w:sz w:val="20"/>
          <w:szCs w:val="20"/>
          <w:color w:val="auto"/>
        </w:rPr>
      </w:pPr>
    </w:p>
    <w:p>
      <w:pPr>
        <w:ind w:left="1540" w:hanging="536"/>
        <w:spacing w:after="0"/>
        <w:tabs>
          <w:tab w:leader="none" w:pos="154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Name of Person Filing</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This statement is filed by (i) Apollo Credit Strategies Master Fund Ltd. (â€œCredit Strategiesâ€ ), (ii) Apollo ST Fund Management</w:t>
      </w:r>
    </w:p>
    <w:p>
      <w:pPr>
        <w:spacing w:after="0" w:line="33"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LLC (â€œST Managementâ€ ), (iii) Apollo ST Operating LP (â€œST Operatingâ€ ), (iv) Apollo ST Capital LLC (â€œST</w:t>
      </w:r>
    </w:p>
    <w:p>
      <w:pPr>
        <w:spacing w:after="0" w:line="1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Capitalâ€ ), (v) ST Management Holdings, LLC (â€œST Management Holdingsâ€ ), (vi) Apollo A-N Credit Fund (Delaware), L.P.</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(â€œA-N Creditâ€ ), (vii) Apollo A-N Credit Management, LLC (â€œA-N Credit Managementâ€ ), (viii) Apollo TR Enhanced</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Levered Yield LLC (â€œTR Levered Yieldâ€ ), (ix) Apollo TR Opportunistic Ltd. (â€œTR Opportunisticâ€ ), (x) Apollo Total Return</w:t>
      </w:r>
    </w:p>
    <w:p>
      <w:pPr>
        <w:spacing w:after="0" w:line="3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Master Fund LP (â€œTR Master Fundâ€ ), (xi) Apollo Total Return Management LLC (â€œTR Managementâ€ ), (xii) Apollo Total</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Return Master Fund Enhanced LP (â€œTR Enhancedâ€ ), (xiii) Apollo Total Return Enhanced Management LLC (â€œTR Enhanced</w:t>
      </w:r>
    </w:p>
    <w:p>
      <w:pPr>
        <w:spacing w:after="0" w:line="33"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Managementâ€ ), (xiv) Apollo Credit Management, LLC (â€œACM LLCâ€ ), (xv) Apollo Capital Credit Management, LLC</w:t>
      </w:r>
    </w:p>
    <w:p>
      <w:pPr>
        <w:spacing w:after="0" w:line="1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(â€œACCM LLCâ€ ), (xvi) Apollo SA Management, LLC (â€œSA Managementâ€ ), (xvii) Apollo Arrowhead Management, LLC</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(â€œArrowhead Managementâ€ ), (xviii) Apollo Capital Management, L.P. (â€œCapital Managementâ€ ), (xix) Apollo Capital</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Management GP, LLC (â€œCapital Management GPâ€ ), (xx) Apollo Management Holdings, L.P. (â€œManagement Holdingsâ€ ),</w:t>
      </w:r>
    </w:p>
    <w:p>
      <w:pPr>
        <w:spacing w:after="0" w:line="3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and (xxi) Apollo Management Holdings GP, LLC (â€œManagement Holdings GPâ€ ). The foregoing are collectively referred to</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herein as the â€œReporting Persons.â€</w:t>
      </w:r>
    </w:p>
    <w:p>
      <w:pPr>
        <w:spacing w:after="0" w:line="225" w:lineRule="exact"/>
        <w:rPr>
          <w:sz w:val="20"/>
          <w:szCs w:val="20"/>
          <w:color w:val="auto"/>
        </w:rPr>
      </w:pPr>
    </w:p>
    <w:p>
      <w:pPr>
        <w:ind w:left="1540" w:right="240"/>
        <w:spacing w:after="0" w:line="288" w:lineRule="auto"/>
        <w:rPr>
          <w:sz w:val="20"/>
          <w:szCs w:val="20"/>
          <w:color w:val="auto"/>
        </w:rPr>
      </w:pPr>
      <w:r>
        <w:rPr>
          <w:rFonts w:ascii="Arial" w:cs="Arial" w:eastAsia="Arial" w:hAnsi="Arial"/>
          <w:sz w:val="17"/>
          <w:szCs w:val="17"/>
          <w:color w:val="auto"/>
        </w:rPr>
        <w:t>Credit Strategies, A-N Credit, TR Levered Yield, and TR Opportunistic each hold securities of the Issuer. ST Management serves as the investment manager for Credit Strategies. ST Operating is the sole member of ST Management. The general partner of</w:t>
      </w:r>
    </w:p>
    <w:p>
      <w:pPr>
        <w:ind w:left="1540" w:right="540"/>
        <w:spacing w:after="0" w:line="261" w:lineRule="auto"/>
        <w:rPr>
          <w:sz w:val="20"/>
          <w:szCs w:val="20"/>
          <w:color w:val="auto"/>
        </w:rPr>
      </w:pPr>
      <w:r>
        <w:rPr>
          <w:rFonts w:ascii="Arial" w:cs="Arial" w:eastAsia="Arial" w:hAnsi="Arial"/>
          <w:sz w:val="19"/>
          <w:szCs w:val="19"/>
          <w:color w:val="auto"/>
        </w:rPr>
        <w:t>ST Operating is ST Capital. ST Management Holdings is the sole member of ST Capital. A-N Credit Management serves as the investment manager for A-N Credit.</w:t>
      </w:r>
    </w:p>
    <w:p>
      <w:pPr>
        <w:spacing w:after="0" w:line="196" w:lineRule="exact"/>
        <w:rPr>
          <w:sz w:val="20"/>
          <w:szCs w:val="20"/>
          <w:color w:val="auto"/>
        </w:rPr>
      </w:pPr>
    </w:p>
    <w:p>
      <w:pPr>
        <w:ind w:left="1540"/>
        <w:spacing w:after="0" w:line="336" w:lineRule="auto"/>
        <w:rPr>
          <w:sz w:val="20"/>
          <w:szCs w:val="20"/>
          <w:color w:val="auto"/>
        </w:rPr>
      </w:pPr>
      <w:r>
        <w:rPr>
          <w:rFonts w:ascii="Arial" w:cs="Arial" w:eastAsia="Arial" w:hAnsi="Arial"/>
          <w:sz w:val="17"/>
          <w:szCs w:val="17"/>
          <w:color w:val="auto"/>
        </w:rPr>
        <w:t>TR Master Fund and TR Enhanced are the shareholders of TR Opportunistic. TR Management serves as the investment manager for TR Master Fund and TR Enhanced Management serves as the investment manager for TR Enhanced as well as for TR Levered Yield.</w:t>
      </w:r>
    </w:p>
    <w:p>
      <w:pPr>
        <w:spacing w:after="0" w:line="137" w:lineRule="exact"/>
        <w:rPr>
          <w:sz w:val="20"/>
          <w:szCs w:val="20"/>
          <w:color w:val="auto"/>
        </w:rPr>
      </w:pPr>
    </w:p>
    <w:p>
      <w:pPr>
        <w:ind w:left="1540" w:right="80"/>
        <w:spacing w:after="0" w:line="288" w:lineRule="auto"/>
        <w:rPr>
          <w:sz w:val="20"/>
          <w:szCs w:val="20"/>
          <w:color w:val="auto"/>
        </w:rPr>
      </w:pPr>
      <w:r>
        <w:rPr>
          <w:rFonts w:ascii="Arial" w:cs="Arial" w:eastAsia="Arial" w:hAnsi="Arial"/>
          <w:sz w:val="17"/>
          <w:szCs w:val="17"/>
          <w:color w:val="auto"/>
        </w:rPr>
        <w:t>ACM LLC provides investment management services for Franklin K2 Long Short Credit Fund (â€œFranklin K2â€ ). ACCM LLC is the sole member of ACM LLC. SA Management provides investment management services for Franklin Templeton Investment Funds</w:t>
      </w:r>
    </w:p>
    <w:p>
      <w:pPr>
        <w:ind w:left="1540" w:right="20" w:hanging="9"/>
        <w:spacing w:after="0" w:line="261" w:lineRule="auto"/>
        <w:tabs>
          <w:tab w:leader="none" w:pos="165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Franklin K2 Long/Short Credit Fund (â€œFTIF-Franklin K2â€ ). Arrowhead Management provides investment management services to San Bernardino County Employeesâ€™ Retirement Association (â€œSBCERAâ€ ).</w:t>
      </w:r>
    </w:p>
    <w:p>
      <w:pPr>
        <w:spacing w:after="0" w:line="196" w:lineRule="exact"/>
        <w:rPr>
          <w:sz w:val="20"/>
          <w:szCs w:val="20"/>
          <w:color w:val="auto"/>
        </w:rPr>
      </w:pPr>
    </w:p>
    <w:p>
      <w:pPr>
        <w:ind w:left="1540" w:right="920"/>
        <w:spacing w:after="0" w:line="336" w:lineRule="auto"/>
        <w:rPr>
          <w:sz w:val="20"/>
          <w:szCs w:val="20"/>
          <w:color w:val="auto"/>
        </w:rPr>
      </w:pPr>
      <w:r>
        <w:rPr>
          <w:rFonts w:ascii="Arial" w:cs="Arial" w:eastAsia="Arial" w:hAnsi="Arial"/>
          <w:sz w:val="17"/>
          <w:szCs w:val="17"/>
          <w:color w:val="auto"/>
        </w:rPr>
        <w:t>Capital Management serves as the sole member of A-N Credit Management, ACCM LLC, SA Management and Arrowhead Management, and the sole member and manager of ST Management Holdings, TR Management, TR Enhanced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80"/>
          </w:cols>
          <w:pgMar w:left="180" w:top="264" w:right="180" w:bottom="1440" w:gutter="0" w:footer="0" w:header="0"/>
        </w:sectPr>
      </w:pPr>
    </w:p>
    <w:bookmarkStart w:id="23" w:name="page24"/>
    <w:bookmarkEnd w:id="23"/>
    <w:p>
      <w:pPr>
        <w:ind w:left="1540" w:right="200"/>
        <w:spacing w:after="0" w:line="308" w:lineRule="auto"/>
        <w:rPr>
          <w:sz w:val="20"/>
          <w:szCs w:val="20"/>
          <w:color w:val="auto"/>
        </w:rPr>
      </w:pPr>
      <w:r>
        <w:rPr>
          <w:rFonts w:ascii="Arial" w:cs="Arial" w:eastAsia="Arial" w:hAnsi="Arial"/>
          <w:sz w:val="17"/>
          <w:szCs w:val="17"/>
          <w:color w:val="auto"/>
        </w:rPr>
        <w:t>Management, and provides investment management services for K2 Apollo Liquid Credit Master Fund Ltd (â€œK2 Apolloâ€ ). Capital Management GP serves as the general partner of Capital Management. Management Holdings serves as the sole member and manager of Capital Management GP, and Management Holdings GP serves as the general partner of Management Holdings.</w:t>
      </w:r>
    </w:p>
    <w:p>
      <w:pPr>
        <w:spacing w:after="0" w:line="46" w:lineRule="exact"/>
        <w:rPr>
          <w:sz w:val="20"/>
          <w:szCs w:val="20"/>
          <w:color w:val="auto"/>
        </w:rPr>
      </w:pPr>
    </w:p>
    <w:p>
      <w:pPr>
        <w:ind w:left="1540" w:hanging="536"/>
        <w:spacing w:after="0"/>
        <w:tabs>
          <w:tab w:leader="none" w:pos="154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w:t>
      </w:r>
    </w:p>
    <w:p>
      <w:pPr>
        <w:spacing w:after="0" w:line="22" w:lineRule="exact"/>
        <w:rPr>
          <w:rFonts w:ascii="Arial" w:cs="Arial" w:eastAsia="Arial" w:hAnsi="Arial"/>
          <w:sz w:val="19"/>
          <w:szCs w:val="19"/>
          <w:color w:val="auto"/>
        </w:rPr>
      </w:pPr>
    </w:p>
    <w:p>
      <w:pPr>
        <w:ind w:left="1540" w:right="200"/>
        <w:spacing w:after="0" w:line="289" w:lineRule="auto"/>
        <w:rPr>
          <w:rFonts w:ascii="Arial" w:cs="Arial" w:eastAsia="Arial" w:hAnsi="Arial"/>
          <w:sz w:val="19"/>
          <w:szCs w:val="19"/>
          <w:color w:val="auto"/>
        </w:rPr>
      </w:pPr>
      <w:r>
        <w:rPr>
          <w:rFonts w:ascii="Arial" w:cs="Arial" w:eastAsia="Arial" w:hAnsi="Arial"/>
          <w:sz w:val="17"/>
          <w:szCs w:val="17"/>
          <w:color w:val="auto"/>
        </w:rPr>
        <w:t>The principal office of Credit Strategies, TR Opportunistic, TR Master Fund and TR Enhanced is c/o Walkers Corporate Limited, Cayman Corporate Centre, 27 Hospital Road, George Town, Grand Cayman, KY-9008, Cayman Islands. The principal office of A-N Credit and TR Levered Yield is One Manhattanville Road, Suite 201, Purchase, New York 10577. The principal office of each of ST Management, ST Operating, ST Capital, ST Management Holdings, A-N Credit Management, Management, TR Enhanced Management, ACM LLC, ACCM LLC, SA Management, Arrowhead Management, Capital Management, Capital Management GP, Management Holdings and Management Holdings GP is 9 W.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Street, 43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Floor, New York, New York 10019.</w:t>
      </w:r>
    </w:p>
    <w:p>
      <w:pPr>
        <w:spacing w:after="0" w:line="2" w:lineRule="exact"/>
        <w:rPr>
          <w:rFonts w:ascii="Arial" w:cs="Arial" w:eastAsia="Arial" w:hAnsi="Arial"/>
          <w:sz w:val="19"/>
          <w:szCs w:val="19"/>
          <w:color w:val="auto"/>
        </w:rPr>
      </w:pPr>
    </w:p>
    <w:p>
      <w:pPr>
        <w:ind w:left="1540" w:hanging="536"/>
        <w:spacing w:after="0"/>
        <w:tabs>
          <w:tab w:leader="none" w:pos="154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Citizenship</w:t>
      </w:r>
    </w:p>
    <w:p>
      <w:pPr>
        <w:spacing w:after="0" w:line="22" w:lineRule="exact"/>
        <w:rPr>
          <w:rFonts w:ascii="Arial" w:cs="Arial" w:eastAsia="Arial" w:hAnsi="Arial"/>
          <w:sz w:val="19"/>
          <w:szCs w:val="19"/>
          <w:color w:val="auto"/>
        </w:rPr>
      </w:pPr>
    </w:p>
    <w:p>
      <w:pPr>
        <w:ind w:left="1540"/>
        <w:spacing w:after="0" w:line="252" w:lineRule="auto"/>
        <w:rPr>
          <w:rFonts w:ascii="Arial" w:cs="Arial" w:eastAsia="Arial" w:hAnsi="Arial"/>
          <w:sz w:val="19"/>
          <w:szCs w:val="19"/>
          <w:color w:val="auto"/>
        </w:rPr>
      </w:pPr>
      <w:r>
        <w:rPr>
          <w:rFonts w:ascii="Arial" w:cs="Arial" w:eastAsia="Arial" w:hAnsi="Arial"/>
          <w:sz w:val="19"/>
          <w:szCs w:val="19"/>
          <w:color w:val="auto"/>
        </w:rPr>
        <w:t>Credit Strategies and TR Opportunistic are exempted companies incorporated in the Cayman Islands with limited liability. ST Operating, A-N Credit, Capital Management and Management Holdings are each Delaware limited partnerships. TR Master Fund and TR Enhanced are each exempted limited partnerships registered in the Cayman Islands. TR Levered Yield, ST Management, ST Capital, ST Management Holdings, A-N Credit Management, TR Management, TR Enhanced Management, ACM LLC, ACCM LLC, SA Management, Arrowhead Management, Capital Management GP, and Management Holdings GP are each Delaware limited liability companies.</w:t>
      </w:r>
    </w:p>
    <w:p>
      <w:pPr>
        <w:spacing w:after="0" w:line="93" w:lineRule="exact"/>
        <w:rPr>
          <w:rFonts w:ascii="Arial" w:cs="Arial" w:eastAsia="Arial" w:hAnsi="Arial"/>
          <w:sz w:val="19"/>
          <w:szCs w:val="19"/>
          <w:color w:val="auto"/>
        </w:rPr>
      </w:pPr>
    </w:p>
    <w:p>
      <w:pPr>
        <w:ind w:left="1540" w:hanging="536"/>
        <w:spacing w:after="0"/>
        <w:tabs>
          <w:tab w:leader="none" w:pos="154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Title of Class of Securities</w:t>
      </w:r>
    </w:p>
    <w:p>
      <w:pPr>
        <w:spacing w:after="0" w:line="22" w:lineRule="exact"/>
        <w:rPr>
          <w:rFonts w:ascii="Arial" w:cs="Arial" w:eastAsia="Arial" w:hAnsi="Arial"/>
          <w:sz w:val="19"/>
          <w:szCs w:val="19"/>
          <w:color w:val="auto"/>
        </w:rPr>
      </w:pPr>
    </w:p>
    <w:p>
      <w:pPr>
        <w:ind w:left="1540"/>
        <w:spacing w:after="0"/>
        <w:rPr>
          <w:rFonts w:ascii="Arial" w:cs="Arial" w:eastAsia="Arial" w:hAnsi="Arial"/>
          <w:sz w:val="19"/>
          <w:szCs w:val="19"/>
          <w:color w:val="auto"/>
        </w:rPr>
      </w:pPr>
      <w:r>
        <w:rPr>
          <w:rFonts w:ascii="Arial" w:cs="Arial" w:eastAsia="Arial" w:hAnsi="Arial"/>
          <w:sz w:val="19"/>
          <w:szCs w:val="19"/>
          <w:color w:val="auto"/>
        </w:rPr>
        <w:t>Class A Common Stock, par value $0.01 per share (the â€œClass A Common Stockâ€ )</w:t>
      </w:r>
    </w:p>
    <w:p>
      <w:pPr>
        <w:spacing w:after="0" w:line="10" w:lineRule="exact"/>
        <w:rPr>
          <w:sz w:val="20"/>
          <w:szCs w:val="20"/>
          <w:color w:val="auto"/>
        </w:rPr>
      </w:pPr>
    </w:p>
    <w:p>
      <w:pPr>
        <w:ind w:left="1540" w:right="60"/>
        <w:spacing w:after="0" w:line="261" w:lineRule="auto"/>
        <w:rPr>
          <w:sz w:val="20"/>
          <w:szCs w:val="20"/>
          <w:color w:val="auto"/>
        </w:rPr>
      </w:pPr>
      <w:r>
        <w:rPr>
          <w:rFonts w:ascii="Arial" w:cs="Arial" w:eastAsia="Arial" w:hAnsi="Arial"/>
          <w:sz w:val="19"/>
          <w:szCs w:val="19"/>
          <w:color w:val="auto"/>
        </w:rPr>
        <w:t>Class C Common Stock, par value $0.01 per share (the â€œClass C Common Stock,â€ and together with Class A Common Stock, the â€œCommon Stockâ€ )</w:t>
      </w:r>
    </w:p>
    <w:p>
      <w:pPr>
        <w:spacing w:after="0" w:line="82" w:lineRule="exact"/>
        <w:rPr>
          <w:sz w:val="20"/>
          <w:szCs w:val="20"/>
          <w:color w:val="auto"/>
        </w:rPr>
      </w:pPr>
    </w:p>
    <w:p>
      <w:pPr>
        <w:ind w:left="1540" w:hanging="536"/>
        <w:spacing w:after="0"/>
        <w:tabs>
          <w:tab w:leader="none" w:pos="154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CUSIP Number</w:t>
      </w:r>
    </w:p>
    <w:p>
      <w:pPr>
        <w:spacing w:after="0" w:line="22" w:lineRule="exact"/>
        <w:rPr>
          <w:rFonts w:ascii="Arial" w:cs="Arial" w:eastAsia="Arial" w:hAnsi="Arial"/>
          <w:sz w:val="19"/>
          <w:szCs w:val="19"/>
          <w:color w:val="auto"/>
        </w:rPr>
      </w:pPr>
    </w:p>
    <w:p>
      <w:pPr>
        <w:ind w:left="1540"/>
        <w:spacing w:after="0"/>
        <w:rPr>
          <w:rFonts w:ascii="Arial" w:cs="Arial" w:eastAsia="Arial" w:hAnsi="Arial"/>
          <w:sz w:val="19"/>
          <w:szCs w:val="19"/>
          <w:color w:val="auto"/>
        </w:rPr>
      </w:pPr>
      <w:r>
        <w:rPr>
          <w:rFonts w:ascii="Arial" w:cs="Arial" w:eastAsia="Arial" w:hAnsi="Arial"/>
          <w:sz w:val="19"/>
          <w:szCs w:val="19"/>
          <w:color w:val="auto"/>
        </w:rPr>
        <w:t>18539C105 (Class A Common Stock)</w:t>
      </w:r>
    </w:p>
    <w:p>
      <w:pPr>
        <w:spacing w:after="0" w:line="9" w:lineRule="exact"/>
        <w:rPr>
          <w:rFonts w:ascii="Arial" w:cs="Arial" w:eastAsia="Arial" w:hAnsi="Arial"/>
          <w:sz w:val="19"/>
          <w:szCs w:val="19"/>
          <w:color w:val="auto"/>
        </w:rPr>
      </w:pPr>
    </w:p>
    <w:p>
      <w:pPr>
        <w:ind w:left="1540"/>
        <w:spacing w:after="0"/>
        <w:rPr>
          <w:rFonts w:ascii="Arial" w:cs="Arial" w:eastAsia="Arial" w:hAnsi="Arial"/>
          <w:sz w:val="19"/>
          <w:szCs w:val="19"/>
          <w:color w:val="auto"/>
        </w:rPr>
      </w:pPr>
      <w:r>
        <w:rPr>
          <w:rFonts w:ascii="Arial" w:cs="Arial" w:eastAsia="Arial" w:hAnsi="Arial"/>
          <w:sz w:val="19"/>
          <w:szCs w:val="19"/>
          <w:color w:val="auto"/>
        </w:rPr>
        <w:t>18539C204 (Class C Common Stock)</w:t>
      </w:r>
    </w:p>
    <w:p>
      <w:pPr>
        <w:spacing w:after="0" w:line="200" w:lineRule="exact"/>
        <w:rPr>
          <w:sz w:val="20"/>
          <w:szCs w:val="20"/>
          <w:color w:val="auto"/>
        </w:rPr>
      </w:pPr>
    </w:p>
    <w:p>
      <w:pPr>
        <w:spacing w:after="0" w:line="247" w:lineRule="exact"/>
        <w:rPr>
          <w:sz w:val="20"/>
          <w:szCs w:val="20"/>
          <w:color w:val="auto"/>
        </w:rPr>
      </w:pPr>
    </w:p>
    <w:p>
      <w:pPr>
        <w:spacing w:after="0"/>
        <w:tabs>
          <w:tab w:leader="none" w:pos="98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If this statement is filed pursuant to Rule 13d-1(b), or 13d-2(b) or (c), check whether the person filing is a:</w:t>
      </w:r>
    </w:p>
    <w:p>
      <w:pPr>
        <w:spacing w:after="0" w:line="130"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Not applicable.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80"/>
          </w:cols>
          <w:pgMar w:left="180" w:top="270" w:right="180" w:bottom="1440" w:gutter="0" w:footer="0" w:header="0"/>
        </w:sectPr>
      </w:pPr>
    </w:p>
    <w:bookmarkStart w:id="24" w:name="page25"/>
    <w:bookmarkEnd w:id="24"/>
    <w:p>
      <w:pPr>
        <w:spacing w:after="0"/>
        <w:tabs>
          <w:tab w:leader="none" w:pos="98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87" w:lineRule="exact"/>
        <w:rPr>
          <w:sz w:val="20"/>
          <w:szCs w:val="20"/>
          <w:color w:val="auto"/>
        </w:rPr>
      </w:pPr>
    </w:p>
    <w:p>
      <w:pPr>
        <w:ind w:left="1680" w:hanging="504"/>
        <w:spacing w:after="0"/>
        <w:tabs>
          <w:tab w:leader="none" w:pos="168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Amount beneficially owned:</w:t>
      </w:r>
    </w:p>
    <w:p>
      <w:pPr>
        <w:spacing w:after="0" w:line="327" w:lineRule="exact"/>
        <w:rPr>
          <w:sz w:val="20"/>
          <w:szCs w:val="20"/>
          <w:color w:val="auto"/>
        </w:rPr>
      </w:pPr>
    </w:p>
    <w:tbl>
      <w:tblPr>
        <w:tblLayout w:type="fixed"/>
        <w:tblInd w:w="164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Class A</w:t>
            </w:r>
          </w:p>
        </w:tc>
        <w:tc>
          <w:tcPr>
            <w:tcW w:w="156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Class C</w:t>
            </w:r>
          </w:p>
        </w:tc>
      </w:tr>
      <w:tr>
        <w:trPr>
          <w:trHeight w:val="180"/>
        </w:trPr>
        <w:tc>
          <w:tcPr>
            <w:tcW w:w="5800" w:type="dxa"/>
            <w:vAlign w:val="bottom"/>
          </w:tcPr>
          <w:p>
            <w:pPr>
              <w:spacing w:after="0"/>
              <w:rPr>
                <w:sz w:val="15"/>
                <w:szCs w:val="15"/>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Common Stock</w:t>
            </w:r>
          </w:p>
        </w:tc>
        <w:tc>
          <w:tcPr>
            <w:tcW w:w="15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Common Stock</w:t>
            </w:r>
          </w:p>
        </w:tc>
      </w:tr>
      <w:tr>
        <w:trPr>
          <w:trHeight w:val="222"/>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Credit Strategies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836,530</w:t>
            </w:r>
          </w:p>
        </w:tc>
        <w:tc>
          <w:tcPr>
            <w:tcW w:w="2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2,563,376</w:t>
            </w:r>
          </w:p>
        </w:tc>
        <w:tc>
          <w:tcPr>
            <w:tcW w:w="120" w:type="dxa"/>
            <w:vAlign w:val="bottom"/>
            <w:tcBorders>
              <w:top w:val="single" w:sz="8" w:color="CCEEFF"/>
            </w:tcBorders>
            <w:shd w:val="clear" w:color="auto" w:fill="CCEEFF"/>
          </w:tcPr>
          <w:p>
            <w:pPr>
              <w:spacing w:after="0"/>
              <w:rPr>
                <w:sz w:val="19"/>
                <w:szCs w:val="19"/>
                <w:color w:val="auto"/>
              </w:rPr>
            </w:pPr>
          </w:p>
        </w:tc>
      </w:tr>
      <w:tr>
        <w:trPr>
          <w:trHeight w:val="228"/>
        </w:trPr>
        <w:tc>
          <w:tcPr>
            <w:tcW w:w="5800" w:type="dxa"/>
            <w:vAlign w:val="bottom"/>
          </w:tcPr>
          <w:p>
            <w:pPr>
              <w:spacing w:after="0"/>
              <w:rPr>
                <w:sz w:val="20"/>
                <w:szCs w:val="20"/>
                <w:color w:val="auto"/>
              </w:rPr>
            </w:pPr>
            <w:r>
              <w:rPr>
                <w:rFonts w:ascii="Arial" w:cs="Arial" w:eastAsia="Arial" w:hAnsi="Arial"/>
                <w:sz w:val="19"/>
                <w:szCs w:val="19"/>
                <w:color w:val="auto"/>
              </w:rPr>
              <w:t>ST Management</w:t>
            </w:r>
          </w:p>
        </w:tc>
        <w:tc>
          <w:tcPr>
            <w:tcW w:w="1740" w:type="dxa"/>
            <w:vAlign w:val="bottom"/>
            <w:gridSpan w:val="2"/>
          </w:tcPr>
          <w:p>
            <w:pPr>
              <w:jc w:val="right"/>
              <w:ind w:right="280"/>
              <w:spacing w:after="0"/>
              <w:rPr>
                <w:sz w:val="20"/>
                <w:szCs w:val="20"/>
                <w:color w:val="auto"/>
              </w:rPr>
            </w:pPr>
            <w:r>
              <w:rPr>
                <w:rFonts w:ascii="Arial" w:cs="Arial" w:eastAsia="Arial" w:hAnsi="Arial"/>
                <w:sz w:val="19"/>
                <w:szCs w:val="19"/>
                <w:color w:val="auto"/>
              </w:rPr>
              <w:t>836,530</w:t>
            </w:r>
          </w:p>
        </w:tc>
        <w:tc>
          <w:tcPr>
            <w:tcW w:w="1560" w:type="dxa"/>
            <w:vAlign w:val="bottom"/>
            <w:gridSpan w:val="2"/>
          </w:tcPr>
          <w:p>
            <w:pPr>
              <w:jc w:val="right"/>
              <w:ind w:right="100"/>
              <w:spacing w:after="0"/>
              <w:rPr>
                <w:sz w:val="20"/>
                <w:szCs w:val="20"/>
                <w:color w:val="auto"/>
              </w:rPr>
            </w:pPr>
            <w:r>
              <w:rPr>
                <w:rFonts w:ascii="Arial" w:cs="Arial" w:eastAsia="Arial" w:hAnsi="Arial"/>
                <w:sz w:val="19"/>
                <w:szCs w:val="19"/>
                <w:color w:val="auto"/>
              </w:rPr>
              <w:t>2,563,376</w:t>
            </w:r>
          </w:p>
        </w:tc>
      </w:tr>
      <w:tr>
        <w:trPr>
          <w:trHeight w:val="228"/>
        </w:trPr>
        <w:tc>
          <w:tcPr>
            <w:tcW w:w="5800" w:type="dxa"/>
            <w:vAlign w:val="bottom"/>
            <w:shd w:val="clear" w:color="auto" w:fill="CCEEFF"/>
          </w:tcPr>
          <w:p>
            <w:pPr>
              <w:spacing w:after="0"/>
              <w:rPr>
                <w:sz w:val="20"/>
                <w:szCs w:val="20"/>
                <w:color w:val="auto"/>
              </w:rPr>
            </w:pPr>
            <w:r>
              <w:rPr>
                <w:rFonts w:ascii="Arial" w:cs="Arial" w:eastAsia="Arial" w:hAnsi="Arial"/>
                <w:sz w:val="19"/>
                <w:szCs w:val="19"/>
                <w:color w:val="auto"/>
              </w:rPr>
              <w:t>ST Operating</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836,530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2,563,376</w:t>
            </w:r>
          </w:p>
        </w:tc>
      </w:tr>
      <w:tr>
        <w:trPr>
          <w:trHeight w:val="228"/>
        </w:trPr>
        <w:tc>
          <w:tcPr>
            <w:tcW w:w="5800" w:type="dxa"/>
            <w:vAlign w:val="bottom"/>
          </w:tcPr>
          <w:p>
            <w:pPr>
              <w:spacing w:after="0"/>
              <w:rPr>
                <w:sz w:val="20"/>
                <w:szCs w:val="20"/>
                <w:color w:val="auto"/>
              </w:rPr>
            </w:pPr>
            <w:r>
              <w:rPr>
                <w:rFonts w:ascii="Arial" w:cs="Arial" w:eastAsia="Arial" w:hAnsi="Arial"/>
                <w:sz w:val="19"/>
                <w:szCs w:val="19"/>
                <w:color w:val="auto"/>
              </w:rPr>
              <w:t>ST Capital</w:t>
            </w:r>
          </w:p>
        </w:tc>
        <w:tc>
          <w:tcPr>
            <w:tcW w:w="1740" w:type="dxa"/>
            <w:vAlign w:val="bottom"/>
            <w:gridSpan w:val="2"/>
          </w:tcPr>
          <w:p>
            <w:pPr>
              <w:jc w:val="right"/>
              <w:ind w:right="280"/>
              <w:spacing w:after="0"/>
              <w:rPr>
                <w:sz w:val="20"/>
                <w:szCs w:val="20"/>
                <w:color w:val="auto"/>
              </w:rPr>
            </w:pPr>
            <w:r>
              <w:rPr>
                <w:rFonts w:ascii="Arial" w:cs="Arial" w:eastAsia="Arial" w:hAnsi="Arial"/>
                <w:sz w:val="19"/>
                <w:szCs w:val="19"/>
                <w:color w:val="auto"/>
              </w:rPr>
              <w:t>836,530</w:t>
            </w:r>
          </w:p>
        </w:tc>
        <w:tc>
          <w:tcPr>
            <w:tcW w:w="1560" w:type="dxa"/>
            <w:vAlign w:val="bottom"/>
            <w:gridSpan w:val="2"/>
          </w:tcPr>
          <w:p>
            <w:pPr>
              <w:jc w:val="right"/>
              <w:ind w:right="100"/>
              <w:spacing w:after="0"/>
              <w:rPr>
                <w:sz w:val="20"/>
                <w:szCs w:val="20"/>
                <w:color w:val="auto"/>
              </w:rPr>
            </w:pPr>
            <w:r>
              <w:rPr>
                <w:rFonts w:ascii="Arial" w:cs="Arial" w:eastAsia="Arial" w:hAnsi="Arial"/>
                <w:sz w:val="19"/>
                <w:szCs w:val="19"/>
                <w:color w:val="auto"/>
              </w:rPr>
              <w:t>2,563,376</w:t>
            </w:r>
          </w:p>
        </w:tc>
      </w:tr>
      <w:tr>
        <w:trPr>
          <w:trHeight w:val="228"/>
        </w:trPr>
        <w:tc>
          <w:tcPr>
            <w:tcW w:w="5800" w:type="dxa"/>
            <w:vAlign w:val="bottom"/>
            <w:shd w:val="clear" w:color="auto" w:fill="CCEEFF"/>
          </w:tcPr>
          <w:p>
            <w:pPr>
              <w:spacing w:after="0"/>
              <w:rPr>
                <w:sz w:val="20"/>
                <w:szCs w:val="20"/>
                <w:color w:val="auto"/>
              </w:rPr>
            </w:pPr>
            <w:r>
              <w:rPr>
                <w:rFonts w:ascii="Arial" w:cs="Arial" w:eastAsia="Arial" w:hAnsi="Arial"/>
                <w:sz w:val="19"/>
                <w:szCs w:val="19"/>
                <w:color w:val="auto"/>
              </w:rPr>
              <w:t>ST Management Holdings</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836,530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2,563,376</w:t>
            </w:r>
          </w:p>
        </w:tc>
      </w:tr>
      <w:tr>
        <w:trPr>
          <w:trHeight w:val="228"/>
        </w:trPr>
        <w:tc>
          <w:tcPr>
            <w:tcW w:w="5800" w:type="dxa"/>
            <w:vAlign w:val="bottom"/>
          </w:tcPr>
          <w:p>
            <w:pPr>
              <w:spacing w:after="0"/>
              <w:rPr>
                <w:sz w:val="20"/>
                <w:szCs w:val="20"/>
                <w:color w:val="auto"/>
              </w:rPr>
            </w:pPr>
            <w:r>
              <w:rPr>
                <w:rFonts w:ascii="Arial" w:cs="Arial" w:eastAsia="Arial" w:hAnsi="Arial"/>
                <w:sz w:val="19"/>
                <w:szCs w:val="19"/>
                <w:color w:val="auto"/>
              </w:rPr>
              <w:t>A-N Credit</w:t>
            </w:r>
          </w:p>
        </w:tc>
        <w:tc>
          <w:tcPr>
            <w:tcW w:w="1740" w:type="dxa"/>
            <w:vAlign w:val="bottom"/>
            <w:gridSpan w:val="2"/>
          </w:tcPr>
          <w:p>
            <w:pPr>
              <w:jc w:val="right"/>
              <w:ind w:right="280"/>
              <w:spacing w:after="0"/>
              <w:rPr>
                <w:sz w:val="20"/>
                <w:szCs w:val="20"/>
                <w:color w:val="auto"/>
              </w:rPr>
            </w:pPr>
            <w:r>
              <w:rPr>
                <w:rFonts w:ascii="Arial" w:cs="Arial" w:eastAsia="Arial" w:hAnsi="Arial"/>
                <w:sz w:val="19"/>
                <w:szCs w:val="19"/>
                <w:color w:val="auto"/>
              </w:rPr>
              <w:t>411,513</w:t>
            </w:r>
          </w:p>
        </w:tc>
        <w:tc>
          <w:tcPr>
            <w:tcW w:w="1560" w:type="dxa"/>
            <w:vAlign w:val="bottom"/>
            <w:gridSpan w:val="2"/>
          </w:tcPr>
          <w:p>
            <w:pPr>
              <w:jc w:val="right"/>
              <w:ind w:right="100"/>
              <w:spacing w:after="0"/>
              <w:rPr>
                <w:sz w:val="20"/>
                <w:szCs w:val="20"/>
                <w:color w:val="auto"/>
              </w:rPr>
            </w:pPr>
            <w:r>
              <w:rPr>
                <w:rFonts w:ascii="Arial" w:cs="Arial" w:eastAsia="Arial" w:hAnsi="Arial"/>
                <w:sz w:val="19"/>
                <w:szCs w:val="19"/>
                <w:color w:val="auto"/>
              </w:rPr>
              <w:t>1,141,846</w:t>
            </w:r>
          </w:p>
        </w:tc>
      </w:tr>
      <w:tr>
        <w:trPr>
          <w:trHeight w:val="228"/>
        </w:trPr>
        <w:tc>
          <w:tcPr>
            <w:tcW w:w="5800" w:type="dxa"/>
            <w:vAlign w:val="bottom"/>
            <w:shd w:val="clear" w:color="auto" w:fill="CCEEFF"/>
          </w:tcPr>
          <w:p>
            <w:pPr>
              <w:spacing w:after="0"/>
              <w:rPr>
                <w:sz w:val="20"/>
                <w:szCs w:val="20"/>
                <w:color w:val="auto"/>
              </w:rPr>
            </w:pPr>
            <w:r>
              <w:rPr>
                <w:rFonts w:ascii="Arial" w:cs="Arial" w:eastAsia="Arial" w:hAnsi="Arial"/>
                <w:sz w:val="19"/>
                <w:szCs w:val="19"/>
                <w:color w:val="auto"/>
              </w:rPr>
              <w:t>A-N Credit Management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411,513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1,141,846</w:t>
            </w:r>
          </w:p>
        </w:tc>
      </w:tr>
      <w:tr>
        <w:trPr>
          <w:trHeight w:val="228"/>
        </w:trPr>
        <w:tc>
          <w:tcPr>
            <w:tcW w:w="5800" w:type="dxa"/>
            <w:vAlign w:val="bottom"/>
          </w:tcPr>
          <w:p>
            <w:pPr>
              <w:spacing w:after="0"/>
              <w:rPr>
                <w:sz w:val="20"/>
                <w:szCs w:val="20"/>
                <w:color w:val="auto"/>
              </w:rPr>
            </w:pPr>
            <w:r>
              <w:rPr>
                <w:rFonts w:ascii="Arial" w:cs="Arial" w:eastAsia="Arial" w:hAnsi="Arial"/>
                <w:sz w:val="19"/>
                <w:szCs w:val="19"/>
                <w:color w:val="auto"/>
              </w:rPr>
              <w:t>TR Levered Yield</w:t>
            </w:r>
          </w:p>
        </w:tc>
        <w:tc>
          <w:tcPr>
            <w:tcW w:w="1740" w:type="dxa"/>
            <w:vAlign w:val="bottom"/>
            <w:gridSpan w:val="2"/>
          </w:tcPr>
          <w:p>
            <w:pPr>
              <w:jc w:val="right"/>
              <w:ind w:right="280"/>
              <w:spacing w:after="0"/>
              <w:rPr>
                <w:sz w:val="20"/>
                <w:szCs w:val="20"/>
                <w:color w:val="auto"/>
              </w:rPr>
            </w:pPr>
            <w:r>
              <w:rPr>
                <w:rFonts w:ascii="Arial" w:cs="Arial" w:eastAsia="Arial" w:hAnsi="Arial"/>
                <w:sz w:val="19"/>
                <w:szCs w:val="19"/>
                <w:color w:val="auto"/>
              </w:rPr>
              <w:t>46,640</w:t>
            </w:r>
          </w:p>
        </w:tc>
        <w:tc>
          <w:tcPr>
            <w:tcW w:w="1560" w:type="dxa"/>
            <w:vAlign w:val="bottom"/>
            <w:gridSpan w:val="2"/>
          </w:tcPr>
          <w:p>
            <w:pPr>
              <w:jc w:val="right"/>
              <w:ind w:right="100"/>
              <w:spacing w:after="0"/>
              <w:rPr>
                <w:sz w:val="20"/>
                <w:szCs w:val="20"/>
                <w:color w:val="auto"/>
              </w:rPr>
            </w:pPr>
            <w:r>
              <w:rPr>
                <w:rFonts w:ascii="Arial" w:cs="Arial" w:eastAsia="Arial" w:hAnsi="Arial"/>
                <w:sz w:val="19"/>
                <w:szCs w:val="19"/>
                <w:color w:val="auto"/>
              </w:rPr>
              <w:t>68,443</w:t>
            </w:r>
          </w:p>
        </w:tc>
      </w:tr>
      <w:tr>
        <w:trPr>
          <w:trHeight w:val="228"/>
        </w:trPr>
        <w:tc>
          <w:tcPr>
            <w:tcW w:w="5800" w:type="dxa"/>
            <w:vAlign w:val="bottom"/>
            <w:shd w:val="clear" w:color="auto" w:fill="CCEEFF"/>
          </w:tcPr>
          <w:p>
            <w:pPr>
              <w:spacing w:after="0"/>
              <w:rPr>
                <w:sz w:val="20"/>
                <w:szCs w:val="20"/>
                <w:color w:val="auto"/>
              </w:rPr>
            </w:pPr>
            <w:r>
              <w:rPr>
                <w:rFonts w:ascii="Arial" w:cs="Arial" w:eastAsia="Arial" w:hAnsi="Arial"/>
                <w:sz w:val="19"/>
                <w:szCs w:val="19"/>
                <w:color w:val="auto"/>
              </w:rPr>
              <w:t>TR Opportunistic</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198,366</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506,459</w:t>
            </w:r>
          </w:p>
        </w:tc>
      </w:tr>
      <w:tr>
        <w:trPr>
          <w:trHeight w:val="228"/>
        </w:trPr>
        <w:tc>
          <w:tcPr>
            <w:tcW w:w="5800" w:type="dxa"/>
            <w:vAlign w:val="bottom"/>
          </w:tcPr>
          <w:p>
            <w:pPr>
              <w:spacing w:after="0"/>
              <w:rPr>
                <w:sz w:val="20"/>
                <w:szCs w:val="20"/>
                <w:color w:val="auto"/>
              </w:rPr>
            </w:pPr>
            <w:r>
              <w:rPr>
                <w:rFonts w:ascii="Arial" w:cs="Arial" w:eastAsia="Arial" w:hAnsi="Arial"/>
                <w:sz w:val="19"/>
                <w:szCs w:val="19"/>
                <w:color w:val="auto"/>
              </w:rPr>
              <w:t>TR Master Fund</w:t>
            </w:r>
          </w:p>
        </w:tc>
        <w:tc>
          <w:tcPr>
            <w:tcW w:w="1740" w:type="dxa"/>
            <w:vAlign w:val="bottom"/>
            <w:gridSpan w:val="2"/>
          </w:tcPr>
          <w:p>
            <w:pPr>
              <w:jc w:val="right"/>
              <w:ind w:right="280"/>
              <w:spacing w:after="0"/>
              <w:rPr>
                <w:sz w:val="20"/>
                <w:szCs w:val="20"/>
                <w:color w:val="auto"/>
              </w:rPr>
            </w:pPr>
            <w:r>
              <w:rPr>
                <w:rFonts w:ascii="Arial" w:cs="Arial" w:eastAsia="Arial" w:hAnsi="Arial"/>
                <w:sz w:val="19"/>
                <w:szCs w:val="19"/>
                <w:color w:val="auto"/>
              </w:rPr>
              <w:t>198,366</w:t>
            </w:r>
          </w:p>
        </w:tc>
        <w:tc>
          <w:tcPr>
            <w:tcW w:w="1560" w:type="dxa"/>
            <w:vAlign w:val="bottom"/>
            <w:gridSpan w:val="2"/>
          </w:tcPr>
          <w:p>
            <w:pPr>
              <w:jc w:val="right"/>
              <w:ind w:right="100"/>
              <w:spacing w:after="0"/>
              <w:rPr>
                <w:sz w:val="20"/>
                <w:szCs w:val="20"/>
                <w:color w:val="auto"/>
              </w:rPr>
            </w:pPr>
            <w:r>
              <w:rPr>
                <w:rFonts w:ascii="Arial" w:cs="Arial" w:eastAsia="Arial" w:hAnsi="Arial"/>
                <w:sz w:val="19"/>
                <w:szCs w:val="19"/>
                <w:color w:val="auto"/>
              </w:rPr>
              <w:t>506,459</w:t>
            </w:r>
          </w:p>
        </w:tc>
      </w:tr>
      <w:tr>
        <w:trPr>
          <w:trHeight w:val="228"/>
        </w:trPr>
        <w:tc>
          <w:tcPr>
            <w:tcW w:w="5800" w:type="dxa"/>
            <w:vAlign w:val="bottom"/>
            <w:shd w:val="clear" w:color="auto" w:fill="CCEEFF"/>
          </w:tcPr>
          <w:p>
            <w:pPr>
              <w:spacing w:after="0"/>
              <w:rPr>
                <w:sz w:val="20"/>
                <w:szCs w:val="20"/>
                <w:color w:val="auto"/>
              </w:rPr>
            </w:pPr>
            <w:r>
              <w:rPr>
                <w:rFonts w:ascii="Arial" w:cs="Arial" w:eastAsia="Arial" w:hAnsi="Arial"/>
                <w:sz w:val="19"/>
                <w:szCs w:val="19"/>
                <w:color w:val="auto"/>
              </w:rPr>
              <w:t>TR Management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198,366</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506,459</w:t>
            </w:r>
          </w:p>
        </w:tc>
      </w:tr>
      <w:tr>
        <w:trPr>
          <w:trHeight w:val="228"/>
        </w:trPr>
        <w:tc>
          <w:tcPr>
            <w:tcW w:w="5800" w:type="dxa"/>
            <w:vAlign w:val="bottom"/>
          </w:tcPr>
          <w:p>
            <w:pPr>
              <w:spacing w:after="0"/>
              <w:rPr>
                <w:sz w:val="20"/>
                <w:szCs w:val="20"/>
                <w:color w:val="auto"/>
              </w:rPr>
            </w:pPr>
            <w:r>
              <w:rPr>
                <w:rFonts w:ascii="Arial" w:cs="Arial" w:eastAsia="Arial" w:hAnsi="Arial"/>
                <w:sz w:val="19"/>
                <w:szCs w:val="19"/>
                <w:color w:val="auto"/>
              </w:rPr>
              <w:t>TR Enhanced</w:t>
            </w:r>
          </w:p>
        </w:tc>
        <w:tc>
          <w:tcPr>
            <w:tcW w:w="1740" w:type="dxa"/>
            <w:vAlign w:val="bottom"/>
            <w:gridSpan w:val="2"/>
          </w:tcPr>
          <w:p>
            <w:pPr>
              <w:jc w:val="right"/>
              <w:ind w:right="280"/>
              <w:spacing w:after="0"/>
              <w:rPr>
                <w:sz w:val="20"/>
                <w:szCs w:val="20"/>
                <w:color w:val="auto"/>
              </w:rPr>
            </w:pPr>
            <w:r>
              <w:rPr>
                <w:rFonts w:ascii="Arial" w:cs="Arial" w:eastAsia="Arial" w:hAnsi="Arial"/>
                <w:sz w:val="19"/>
                <w:szCs w:val="19"/>
                <w:color w:val="auto"/>
              </w:rPr>
              <w:t>198,366</w:t>
            </w:r>
          </w:p>
        </w:tc>
        <w:tc>
          <w:tcPr>
            <w:tcW w:w="1560" w:type="dxa"/>
            <w:vAlign w:val="bottom"/>
            <w:gridSpan w:val="2"/>
          </w:tcPr>
          <w:p>
            <w:pPr>
              <w:jc w:val="right"/>
              <w:ind w:right="100"/>
              <w:spacing w:after="0"/>
              <w:rPr>
                <w:sz w:val="20"/>
                <w:szCs w:val="20"/>
                <w:color w:val="auto"/>
              </w:rPr>
            </w:pPr>
            <w:r>
              <w:rPr>
                <w:rFonts w:ascii="Arial" w:cs="Arial" w:eastAsia="Arial" w:hAnsi="Arial"/>
                <w:sz w:val="19"/>
                <w:szCs w:val="19"/>
                <w:color w:val="auto"/>
              </w:rPr>
              <w:t>506,459</w:t>
            </w:r>
          </w:p>
        </w:tc>
      </w:tr>
      <w:tr>
        <w:trPr>
          <w:trHeight w:val="228"/>
        </w:trPr>
        <w:tc>
          <w:tcPr>
            <w:tcW w:w="5800" w:type="dxa"/>
            <w:vAlign w:val="bottom"/>
            <w:shd w:val="clear" w:color="auto" w:fill="CCEEFF"/>
          </w:tcPr>
          <w:p>
            <w:pPr>
              <w:spacing w:after="0"/>
              <w:rPr>
                <w:sz w:val="20"/>
                <w:szCs w:val="20"/>
                <w:color w:val="auto"/>
              </w:rPr>
            </w:pPr>
            <w:r>
              <w:rPr>
                <w:rFonts w:ascii="Arial" w:cs="Arial" w:eastAsia="Arial" w:hAnsi="Arial"/>
                <w:sz w:val="19"/>
                <w:szCs w:val="19"/>
                <w:color w:val="auto"/>
              </w:rPr>
              <w:t>TR Enhanced Management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245,006</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574,902</w:t>
            </w:r>
          </w:p>
        </w:tc>
      </w:tr>
      <w:tr>
        <w:trPr>
          <w:trHeight w:val="228"/>
        </w:trPr>
        <w:tc>
          <w:tcPr>
            <w:tcW w:w="5800" w:type="dxa"/>
            <w:vAlign w:val="bottom"/>
          </w:tcPr>
          <w:p>
            <w:pPr>
              <w:spacing w:after="0"/>
              <w:rPr>
                <w:sz w:val="20"/>
                <w:szCs w:val="20"/>
                <w:color w:val="auto"/>
              </w:rPr>
            </w:pPr>
            <w:r>
              <w:rPr>
                <w:rFonts w:ascii="Arial" w:cs="Arial" w:eastAsia="Arial" w:hAnsi="Arial"/>
                <w:sz w:val="19"/>
                <w:szCs w:val="19"/>
                <w:color w:val="auto"/>
              </w:rPr>
              <w:t>ACM LLC</w:t>
            </w:r>
          </w:p>
        </w:tc>
        <w:tc>
          <w:tcPr>
            <w:tcW w:w="1740" w:type="dxa"/>
            <w:vAlign w:val="bottom"/>
            <w:gridSpan w:val="2"/>
          </w:tcPr>
          <w:p>
            <w:pPr>
              <w:jc w:val="right"/>
              <w:ind w:right="280"/>
              <w:spacing w:after="0"/>
              <w:rPr>
                <w:sz w:val="20"/>
                <w:szCs w:val="20"/>
                <w:color w:val="auto"/>
              </w:rPr>
            </w:pPr>
            <w:r>
              <w:rPr>
                <w:rFonts w:ascii="Arial" w:cs="Arial" w:eastAsia="Arial" w:hAnsi="Arial"/>
                <w:sz w:val="19"/>
                <w:szCs w:val="19"/>
                <w:color w:val="auto"/>
              </w:rPr>
              <w:t>21,640</w:t>
            </w:r>
          </w:p>
        </w:tc>
        <w:tc>
          <w:tcPr>
            <w:tcW w:w="1560" w:type="dxa"/>
            <w:vAlign w:val="bottom"/>
            <w:gridSpan w:val="2"/>
          </w:tcPr>
          <w:p>
            <w:pPr>
              <w:jc w:val="right"/>
              <w:ind w:right="100"/>
              <w:spacing w:after="0"/>
              <w:rPr>
                <w:sz w:val="20"/>
                <w:szCs w:val="20"/>
                <w:color w:val="auto"/>
              </w:rPr>
            </w:pPr>
            <w:r>
              <w:rPr>
                <w:rFonts w:ascii="Arial" w:cs="Arial" w:eastAsia="Arial" w:hAnsi="Arial"/>
                <w:sz w:val="19"/>
                <w:szCs w:val="19"/>
                <w:color w:val="auto"/>
              </w:rPr>
              <w:t>28,547</w:t>
            </w:r>
          </w:p>
        </w:tc>
      </w:tr>
      <w:tr>
        <w:trPr>
          <w:trHeight w:val="228"/>
        </w:trPr>
        <w:tc>
          <w:tcPr>
            <w:tcW w:w="5800" w:type="dxa"/>
            <w:vAlign w:val="bottom"/>
            <w:shd w:val="clear" w:color="auto" w:fill="CCEEFF"/>
          </w:tcPr>
          <w:p>
            <w:pPr>
              <w:spacing w:after="0"/>
              <w:rPr>
                <w:sz w:val="20"/>
                <w:szCs w:val="20"/>
                <w:color w:val="auto"/>
              </w:rPr>
            </w:pPr>
            <w:r>
              <w:rPr>
                <w:rFonts w:ascii="Arial" w:cs="Arial" w:eastAsia="Arial" w:hAnsi="Arial"/>
                <w:sz w:val="19"/>
                <w:szCs w:val="19"/>
                <w:color w:val="auto"/>
              </w:rPr>
              <w:t>ACCM LLC</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21,640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28,547</w:t>
            </w:r>
          </w:p>
        </w:tc>
      </w:tr>
      <w:tr>
        <w:trPr>
          <w:trHeight w:val="228"/>
        </w:trPr>
        <w:tc>
          <w:tcPr>
            <w:tcW w:w="5800" w:type="dxa"/>
            <w:vAlign w:val="bottom"/>
          </w:tcPr>
          <w:p>
            <w:pPr>
              <w:spacing w:after="0"/>
              <w:rPr>
                <w:sz w:val="20"/>
                <w:szCs w:val="20"/>
                <w:color w:val="auto"/>
              </w:rPr>
            </w:pPr>
            <w:r>
              <w:rPr>
                <w:rFonts w:ascii="Arial" w:cs="Arial" w:eastAsia="Arial" w:hAnsi="Arial"/>
                <w:sz w:val="19"/>
                <w:szCs w:val="19"/>
                <w:color w:val="auto"/>
              </w:rPr>
              <w:t>SA Management</w:t>
            </w:r>
          </w:p>
        </w:tc>
        <w:tc>
          <w:tcPr>
            <w:tcW w:w="1740" w:type="dxa"/>
            <w:vAlign w:val="bottom"/>
            <w:gridSpan w:val="2"/>
          </w:tcPr>
          <w:p>
            <w:pPr>
              <w:jc w:val="right"/>
              <w:ind w:right="280"/>
              <w:spacing w:after="0"/>
              <w:rPr>
                <w:sz w:val="20"/>
                <w:szCs w:val="20"/>
                <w:color w:val="auto"/>
              </w:rPr>
            </w:pPr>
            <w:r>
              <w:rPr>
                <w:rFonts w:ascii="Arial" w:cs="Arial" w:eastAsia="Arial" w:hAnsi="Arial"/>
                <w:sz w:val="19"/>
                <w:szCs w:val="19"/>
                <w:color w:val="auto"/>
              </w:rPr>
              <w:t>20,825</w:t>
            </w:r>
          </w:p>
        </w:tc>
        <w:tc>
          <w:tcPr>
            <w:tcW w:w="1560" w:type="dxa"/>
            <w:vAlign w:val="bottom"/>
            <w:gridSpan w:val="2"/>
          </w:tcPr>
          <w:p>
            <w:pPr>
              <w:jc w:val="right"/>
              <w:ind w:right="100"/>
              <w:spacing w:after="0"/>
              <w:rPr>
                <w:sz w:val="20"/>
                <w:szCs w:val="20"/>
                <w:color w:val="auto"/>
              </w:rPr>
            </w:pPr>
            <w:r>
              <w:rPr>
                <w:rFonts w:ascii="Arial" w:cs="Arial" w:eastAsia="Arial" w:hAnsi="Arial"/>
                <w:sz w:val="19"/>
                <w:szCs w:val="19"/>
                <w:color w:val="auto"/>
              </w:rPr>
              <w:t>17,325</w:t>
            </w:r>
          </w:p>
        </w:tc>
      </w:tr>
      <w:tr>
        <w:trPr>
          <w:trHeight w:val="228"/>
        </w:trPr>
        <w:tc>
          <w:tcPr>
            <w:tcW w:w="5800" w:type="dxa"/>
            <w:vAlign w:val="bottom"/>
            <w:shd w:val="clear" w:color="auto" w:fill="CCEEFF"/>
          </w:tcPr>
          <w:p>
            <w:pPr>
              <w:spacing w:after="0"/>
              <w:rPr>
                <w:sz w:val="20"/>
                <w:szCs w:val="20"/>
                <w:color w:val="auto"/>
              </w:rPr>
            </w:pPr>
            <w:r>
              <w:rPr>
                <w:rFonts w:ascii="Arial" w:cs="Arial" w:eastAsia="Arial" w:hAnsi="Arial"/>
                <w:sz w:val="19"/>
                <w:szCs w:val="19"/>
                <w:color w:val="auto"/>
              </w:rPr>
              <w:t>Arrowhead Management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410,680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950,537</w:t>
            </w:r>
          </w:p>
        </w:tc>
      </w:tr>
      <w:tr>
        <w:trPr>
          <w:trHeight w:val="228"/>
        </w:trPr>
        <w:tc>
          <w:tcPr>
            <w:tcW w:w="5800" w:type="dxa"/>
            <w:vAlign w:val="bottom"/>
          </w:tcPr>
          <w:p>
            <w:pPr>
              <w:spacing w:after="0"/>
              <w:rPr>
                <w:sz w:val="20"/>
                <w:szCs w:val="20"/>
                <w:color w:val="auto"/>
              </w:rPr>
            </w:pPr>
            <w:r>
              <w:rPr>
                <w:rFonts w:ascii="Arial" w:cs="Arial" w:eastAsia="Arial" w:hAnsi="Arial"/>
                <w:sz w:val="19"/>
                <w:szCs w:val="19"/>
                <w:color w:val="auto"/>
              </w:rPr>
              <w:t>Capital Management</w:t>
            </w:r>
          </w:p>
        </w:tc>
        <w:tc>
          <w:tcPr>
            <w:tcW w:w="1460" w:type="dxa"/>
            <w:vAlign w:val="bottom"/>
          </w:tcPr>
          <w:p>
            <w:pPr>
              <w:jc w:val="right"/>
              <w:spacing w:after="0"/>
              <w:rPr>
                <w:sz w:val="20"/>
                <w:szCs w:val="20"/>
                <w:color w:val="auto"/>
              </w:rPr>
            </w:pPr>
            <w:r>
              <w:rPr>
                <w:rFonts w:ascii="Arial" w:cs="Arial" w:eastAsia="Arial" w:hAnsi="Arial"/>
                <w:sz w:val="19"/>
                <w:szCs w:val="19"/>
                <w:color w:val="auto"/>
              </w:rPr>
              <w:t>2,099,361</w:t>
            </w:r>
          </w:p>
        </w:tc>
        <w:tc>
          <w:tcPr>
            <w:tcW w:w="28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9"/>
                <w:szCs w:val="19"/>
                <w:color w:val="auto"/>
              </w:rPr>
              <w:t>5,455,943</w:t>
            </w:r>
          </w:p>
        </w:tc>
      </w:tr>
      <w:tr>
        <w:trPr>
          <w:trHeight w:val="228"/>
        </w:trPr>
        <w:tc>
          <w:tcPr>
            <w:tcW w:w="5800" w:type="dxa"/>
            <w:vAlign w:val="bottom"/>
            <w:shd w:val="clear" w:color="auto" w:fill="CCEEFF"/>
          </w:tcPr>
          <w:p>
            <w:pPr>
              <w:spacing w:after="0"/>
              <w:rPr>
                <w:sz w:val="20"/>
                <w:szCs w:val="20"/>
                <w:color w:val="auto"/>
              </w:rPr>
            </w:pPr>
            <w:r>
              <w:rPr>
                <w:rFonts w:ascii="Arial" w:cs="Arial" w:eastAsia="Arial" w:hAnsi="Arial"/>
                <w:sz w:val="19"/>
                <w:szCs w:val="19"/>
                <w:color w:val="auto"/>
              </w:rPr>
              <w:t>Capital Management GP</w:t>
            </w: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2,099,361</w:t>
            </w: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5,455,943</w:t>
            </w:r>
          </w:p>
        </w:tc>
      </w:tr>
      <w:tr>
        <w:trPr>
          <w:trHeight w:val="228"/>
        </w:trPr>
        <w:tc>
          <w:tcPr>
            <w:tcW w:w="5800" w:type="dxa"/>
            <w:vAlign w:val="bottom"/>
          </w:tcPr>
          <w:p>
            <w:pPr>
              <w:spacing w:after="0"/>
              <w:rPr>
                <w:sz w:val="20"/>
                <w:szCs w:val="20"/>
                <w:color w:val="auto"/>
              </w:rPr>
            </w:pPr>
            <w:r>
              <w:rPr>
                <w:rFonts w:ascii="Arial" w:cs="Arial" w:eastAsia="Arial" w:hAnsi="Arial"/>
                <w:sz w:val="19"/>
                <w:szCs w:val="19"/>
                <w:color w:val="auto"/>
              </w:rPr>
              <w:t>Management Holdings</w:t>
            </w:r>
          </w:p>
        </w:tc>
        <w:tc>
          <w:tcPr>
            <w:tcW w:w="1460" w:type="dxa"/>
            <w:vAlign w:val="bottom"/>
          </w:tcPr>
          <w:p>
            <w:pPr>
              <w:jc w:val="right"/>
              <w:spacing w:after="0"/>
              <w:rPr>
                <w:sz w:val="20"/>
                <w:szCs w:val="20"/>
                <w:color w:val="auto"/>
              </w:rPr>
            </w:pPr>
            <w:r>
              <w:rPr>
                <w:rFonts w:ascii="Arial" w:cs="Arial" w:eastAsia="Arial" w:hAnsi="Arial"/>
                <w:sz w:val="19"/>
                <w:szCs w:val="19"/>
                <w:color w:val="auto"/>
              </w:rPr>
              <w:t>2,099,361</w:t>
            </w:r>
          </w:p>
        </w:tc>
        <w:tc>
          <w:tcPr>
            <w:tcW w:w="28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9"/>
                <w:szCs w:val="19"/>
                <w:color w:val="auto"/>
              </w:rPr>
              <w:t>5,455,943</w:t>
            </w:r>
          </w:p>
        </w:tc>
      </w:tr>
      <w:tr>
        <w:trPr>
          <w:trHeight w:val="228"/>
        </w:trPr>
        <w:tc>
          <w:tcPr>
            <w:tcW w:w="5800" w:type="dxa"/>
            <w:vAlign w:val="bottom"/>
            <w:shd w:val="clear" w:color="auto" w:fill="CCEEFF"/>
          </w:tcPr>
          <w:p>
            <w:pPr>
              <w:spacing w:after="0"/>
              <w:rPr>
                <w:sz w:val="20"/>
                <w:szCs w:val="20"/>
                <w:color w:val="auto"/>
              </w:rPr>
            </w:pPr>
            <w:r>
              <w:rPr>
                <w:rFonts w:ascii="Arial" w:cs="Arial" w:eastAsia="Arial" w:hAnsi="Arial"/>
                <w:sz w:val="19"/>
                <w:szCs w:val="19"/>
                <w:color w:val="auto"/>
              </w:rPr>
              <w:t>Management Holdings GP</w:t>
            </w:r>
          </w:p>
        </w:tc>
        <w:tc>
          <w:tcPr>
            <w:tcW w:w="1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2,099,361</w:t>
            </w: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5,455,943</w:t>
            </w:r>
          </w:p>
        </w:tc>
      </w:tr>
    </w:tbl>
    <w:p>
      <w:pPr>
        <w:spacing w:after="0" w:line="328" w:lineRule="exact"/>
        <w:rPr>
          <w:sz w:val="20"/>
          <w:szCs w:val="20"/>
          <w:color w:val="auto"/>
        </w:rPr>
      </w:pPr>
    </w:p>
    <w:p>
      <w:pPr>
        <w:ind w:left="1680" w:right="20"/>
        <w:spacing w:after="0" w:line="285" w:lineRule="auto"/>
        <w:rPr>
          <w:sz w:val="20"/>
          <w:szCs w:val="20"/>
          <w:color w:val="auto"/>
        </w:rPr>
      </w:pPr>
      <w:r>
        <w:rPr>
          <w:rFonts w:ascii="Arial" w:cs="Arial" w:eastAsia="Arial" w:hAnsi="Arial"/>
          <w:sz w:val="17"/>
          <w:szCs w:val="17"/>
          <w:color w:val="auto"/>
        </w:rPr>
        <w:t>The number of shares of Common Stock reported as beneficially owned in this Schedule 13G is as of February 28, 2019. The number of shares of Common Stock reported as beneficially owned by ACM LLC and ACCM LLC are held by Franklin K2, for which ACM LLC has the authority to vote and to make investment decisions. The number of shares of Common Stock reported as beneficially owned by SA Management are held by FTIF-Franklin K2, for which SA Management has the authority to vote and to make investment decisions. The number of shares reported as beneficially owned by Arrowhead Management include 410,680 shares of Class A Common Stock and 950,537 shares of Class C Common Stock held by SBCERA, for which Arrowhead Management has the authority to vote and to make investment decisions. The number of shares reported as beneficially owned by Capital Management include, among others, 153,167 shares of Class A Common Stock and 179,410 shares of Class C Common Stock held by K2 Apollo, for which Capital Management has the authority to vote and to make investment decisions. The shares of Common Stock reported as beneficially owned by ST Management Holdings, ACCM LLC, and SA Management are also included in the shares reported as beneficially owned by Capital Management, Capital Management GP, Management Holdings and Management Holdings GP.</w:t>
      </w:r>
    </w:p>
    <w:p>
      <w:pPr>
        <w:spacing w:after="0" w:line="299" w:lineRule="exact"/>
        <w:rPr>
          <w:sz w:val="20"/>
          <w:szCs w:val="20"/>
          <w:color w:val="auto"/>
        </w:rPr>
      </w:pPr>
    </w:p>
    <w:p>
      <w:pPr>
        <w:ind w:left="1680"/>
        <w:spacing w:after="0" w:line="288" w:lineRule="auto"/>
        <w:rPr>
          <w:sz w:val="20"/>
          <w:szCs w:val="20"/>
          <w:color w:val="auto"/>
        </w:rPr>
      </w:pPr>
      <w:r>
        <w:rPr>
          <w:rFonts w:ascii="Arial" w:cs="Arial" w:eastAsia="Arial" w:hAnsi="Arial"/>
          <w:sz w:val="17"/>
          <w:szCs w:val="17"/>
          <w:color w:val="auto"/>
        </w:rPr>
        <w:t>Credit Strategies, A-N Credit, TR Levered Yield and TR Opportunistic each disclaims beneficial ownership of all shares of the Common Stock included in this report other than the shares of Common Stock held of record by such Reporting Person, and the filing of this report shall not be construed as an admission that any such person or entity is the beneficial owner of any such securities for purposes of Section 13(d) or 13(g) of the Securities Exchange Act of 1934, as amended, or for any other purpose. ST Management, ST Operating, ST Capital, ST Management Holdings, A-N Credit Management, TR Master Fund, TR Management, TR Enhanced, TR Enhanced Management, ACM LLC, ACCM LLC, SA Management, Arrowhead Management, Capital Management, Capital Management GP, Management Holdings and Management Holdings GP, and Messrs. Leon Black, Joshua Harris and Marc Rowan, the managers, as well as executive officers, of Management Holdings GP, each disclaim beneficial</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60"/>
          </w:cols>
          <w:pgMar w:left="180" w:top="265" w:right="200" w:bottom="1440" w:gutter="0" w:footer="0" w:header="0"/>
        </w:sectPr>
      </w:pPr>
    </w:p>
    <w:bookmarkStart w:id="25" w:name="page26"/>
    <w:bookmarkEnd w:id="25"/>
    <w:p>
      <w:pPr>
        <w:jc w:val="both"/>
        <w:ind w:left="505" w:right="120"/>
        <w:spacing w:after="0" w:line="263" w:lineRule="auto"/>
        <w:rPr>
          <w:sz w:val="20"/>
          <w:szCs w:val="20"/>
          <w:color w:val="auto"/>
        </w:rPr>
      </w:pPr>
      <w:r>
        <w:rPr>
          <w:rFonts w:ascii="Arial" w:cs="Arial" w:eastAsia="Arial" w:hAnsi="Arial"/>
          <w:sz w:val="19"/>
          <w:szCs w:val="19"/>
          <w:color w:val="auto"/>
        </w:rPr>
        <w:t>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137" w:lineRule="exact"/>
        <w:rPr>
          <w:sz w:val="20"/>
          <w:szCs w:val="20"/>
          <w:color w:val="auto"/>
        </w:rPr>
      </w:pPr>
    </w:p>
    <w:p>
      <w:pPr>
        <w:ind w:left="505" w:hanging="505"/>
        <w:spacing w:after="0"/>
        <w:tabs>
          <w:tab w:leader="none" w:pos="505" w:val="left"/>
        </w:tabs>
        <w:numPr>
          <w:ilvl w:val="0"/>
          <w:numId w:val="155"/>
        </w:numPr>
        <w:rPr>
          <w:rFonts w:ascii="Arial" w:cs="Arial" w:eastAsia="Arial" w:hAnsi="Arial"/>
          <w:sz w:val="19"/>
          <w:szCs w:val="19"/>
          <w:color w:val="auto"/>
        </w:rPr>
      </w:pPr>
      <w:r>
        <w:rPr>
          <w:rFonts w:ascii="Arial" w:cs="Arial" w:eastAsia="Arial" w:hAnsi="Arial"/>
          <w:sz w:val="19"/>
          <w:szCs w:val="19"/>
          <w:color w:val="auto"/>
        </w:rPr>
        <w:t>Percent of class:</w:t>
      </w:r>
    </w:p>
    <w:p>
      <w:pPr>
        <w:spacing w:after="0" w:line="385" w:lineRule="exact"/>
        <w:rPr>
          <w:sz w:val="20"/>
          <w:szCs w:val="20"/>
          <w:color w:val="auto"/>
        </w:rPr>
      </w:pPr>
    </w:p>
    <w:tbl>
      <w:tblPr>
        <w:tblLayout w:type="fixed"/>
        <w:tblInd w:w="445" w:type="dxa"/>
        <w:tblCellMar>
          <w:top w:w="0" w:type="dxa"/>
          <w:left w:w="0" w:type="dxa"/>
          <w:bottom w:w="0" w:type="dxa"/>
          <w:right w:w="0" w:type="dxa"/>
        </w:tblCellMar>
      </w:tblPr>
      <w:tr>
        <w:trPr>
          <w:trHeight w:val="172"/>
        </w:trPr>
        <w:tc>
          <w:tcPr>
            <w:tcW w:w="582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Class A</w:t>
            </w:r>
          </w:p>
        </w:tc>
        <w:tc>
          <w:tcPr>
            <w:tcW w:w="1600" w:type="dxa"/>
            <w:vAlign w:val="bottom"/>
            <w:gridSpan w:val="2"/>
          </w:tcPr>
          <w:p>
            <w:pPr>
              <w:jc w:val="right"/>
              <w:ind w:right="640"/>
              <w:spacing w:after="0"/>
              <w:rPr>
                <w:sz w:val="20"/>
                <w:szCs w:val="20"/>
                <w:color w:val="auto"/>
              </w:rPr>
            </w:pPr>
            <w:r>
              <w:rPr>
                <w:rFonts w:ascii="Arial" w:cs="Arial" w:eastAsia="Arial" w:hAnsi="Arial"/>
                <w:sz w:val="15"/>
                <w:szCs w:val="15"/>
                <w:b w:val="1"/>
                <w:bCs w:val="1"/>
                <w:color w:val="auto"/>
              </w:rPr>
              <w:t>Class C</w:t>
            </w:r>
          </w:p>
        </w:tc>
      </w:tr>
      <w:tr>
        <w:trPr>
          <w:trHeight w:val="180"/>
        </w:trPr>
        <w:tc>
          <w:tcPr>
            <w:tcW w:w="58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Common Stock</w:t>
            </w:r>
          </w:p>
        </w:tc>
        <w:tc>
          <w:tcPr>
            <w:tcW w:w="3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Common Stock</w:t>
            </w:r>
          </w:p>
        </w:tc>
        <w:tc>
          <w:tcPr>
            <w:tcW w:w="160" w:type="dxa"/>
            <w:vAlign w:val="bottom"/>
            <w:tcBorders>
              <w:bottom w:val="single" w:sz="8" w:color="CCEEFF"/>
            </w:tcBorders>
          </w:tcPr>
          <w:p>
            <w:pPr>
              <w:spacing w:after="0"/>
              <w:rPr>
                <w:sz w:val="15"/>
                <w:szCs w:val="15"/>
                <w:color w:val="auto"/>
              </w:rPr>
            </w:pPr>
          </w:p>
        </w:tc>
      </w:tr>
      <w:tr>
        <w:trPr>
          <w:trHeight w:val="222"/>
        </w:trPr>
        <w:tc>
          <w:tcPr>
            <w:tcW w:w="5820" w:type="dxa"/>
            <w:vAlign w:val="bottom"/>
            <w:shd w:val="clear" w:color="auto" w:fill="CCEEFF"/>
          </w:tcPr>
          <w:p>
            <w:pPr>
              <w:spacing w:after="0"/>
              <w:rPr>
                <w:sz w:val="20"/>
                <w:szCs w:val="20"/>
                <w:color w:val="auto"/>
              </w:rPr>
            </w:pPr>
            <w:r>
              <w:rPr>
                <w:rFonts w:ascii="Arial" w:cs="Arial" w:eastAsia="Arial" w:hAnsi="Arial"/>
                <w:sz w:val="19"/>
                <w:szCs w:val="19"/>
                <w:color w:val="auto"/>
              </w:rPr>
              <w:t>Credit Strategies</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3.5%</w:t>
            </w:r>
          </w:p>
        </w:tc>
      </w:tr>
      <w:tr>
        <w:trPr>
          <w:trHeight w:val="228"/>
        </w:trPr>
        <w:tc>
          <w:tcPr>
            <w:tcW w:w="5820" w:type="dxa"/>
            <w:vAlign w:val="bottom"/>
          </w:tcPr>
          <w:p>
            <w:pPr>
              <w:spacing w:after="0"/>
              <w:rPr>
                <w:sz w:val="20"/>
                <w:szCs w:val="20"/>
                <w:color w:val="auto"/>
              </w:rPr>
            </w:pPr>
            <w:r>
              <w:rPr>
                <w:rFonts w:ascii="Arial" w:cs="Arial" w:eastAsia="Arial" w:hAnsi="Arial"/>
                <w:sz w:val="19"/>
                <w:szCs w:val="19"/>
                <w:color w:val="auto"/>
              </w:rPr>
              <w:t>ST Management</w:t>
            </w:r>
          </w:p>
        </w:tc>
        <w:tc>
          <w:tcPr>
            <w:tcW w:w="1740" w:type="dxa"/>
            <w:vAlign w:val="bottom"/>
            <w:gridSpan w:val="2"/>
          </w:tcPr>
          <w:p>
            <w:pPr>
              <w:jc w:val="right"/>
              <w:ind w:right="140"/>
              <w:spacing w:after="0"/>
              <w:rPr>
                <w:sz w:val="20"/>
                <w:szCs w:val="20"/>
                <w:color w:val="auto"/>
              </w:rPr>
            </w:pPr>
            <w:r>
              <w:rPr>
                <w:rFonts w:ascii="Arial" w:cs="Arial" w:eastAsia="Arial" w:hAnsi="Arial"/>
                <w:sz w:val="19"/>
                <w:szCs w:val="19"/>
                <w:color w:val="auto"/>
              </w:rPr>
              <w:t>2.4%</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3.5%</w:t>
            </w:r>
          </w:p>
        </w:tc>
      </w:tr>
      <w:tr>
        <w:trPr>
          <w:trHeight w:val="228"/>
        </w:trPr>
        <w:tc>
          <w:tcPr>
            <w:tcW w:w="5820" w:type="dxa"/>
            <w:vAlign w:val="bottom"/>
            <w:shd w:val="clear" w:color="auto" w:fill="CCEEFF"/>
          </w:tcPr>
          <w:p>
            <w:pPr>
              <w:spacing w:after="0"/>
              <w:rPr>
                <w:sz w:val="20"/>
                <w:szCs w:val="20"/>
                <w:color w:val="auto"/>
              </w:rPr>
            </w:pPr>
            <w:r>
              <w:rPr>
                <w:rFonts w:ascii="Arial" w:cs="Arial" w:eastAsia="Arial" w:hAnsi="Arial"/>
                <w:sz w:val="19"/>
                <w:szCs w:val="19"/>
                <w:color w:val="auto"/>
              </w:rPr>
              <w:t>ST Operating</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3.5%</w:t>
            </w:r>
          </w:p>
        </w:tc>
      </w:tr>
      <w:tr>
        <w:trPr>
          <w:trHeight w:val="228"/>
        </w:trPr>
        <w:tc>
          <w:tcPr>
            <w:tcW w:w="5820" w:type="dxa"/>
            <w:vAlign w:val="bottom"/>
          </w:tcPr>
          <w:p>
            <w:pPr>
              <w:spacing w:after="0"/>
              <w:rPr>
                <w:sz w:val="20"/>
                <w:szCs w:val="20"/>
                <w:color w:val="auto"/>
              </w:rPr>
            </w:pPr>
            <w:r>
              <w:rPr>
                <w:rFonts w:ascii="Arial" w:cs="Arial" w:eastAsia="Arial" w:hAnsi="Arial"/>
                <w:sz w:val="19"/>
                <w:szCs w:val="19"/>
                <w:color w:val="auto"/>
              </w:rPr>
              <w:t>ST Capital</w:t>
            </w:r>
          </w:p>
        </w:tc>
        <w:tc>
          <w:tcPr>
            <w:tcW w:w="1740" w:type="dxa"/>
            <w:vAlign w:val="bottom"/>
            <w:gridSpan w:val="2"/>
          </w:tcPr>
          <w:p>
            <w:pPr>
              <w:jc w:val="right"/>
              <w:ind w:right="140"/>
              <w:spacing w:after="0"/>
              <w:rPr>
                <w:sz w:val="20"/>
                <w:szCs w:val="20"/>
                <w:color w:val="auto"/>
              </w:rPr>
            </w:pPr>
            <w:r>
              <w:rPr>
                <w:rFonts w:ascii="Arial" w:cs="Arial" w:eastAsia="Arial" w:hAnsi="Arial"/>
                <w:sz w:val="19"/>
                <w:szCs w:val="19"/>
                <w:color w:val="auto"/>
              </w:rPr>
              <w:t>2.4%</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3.5%</w:t>
            </w:r>
          </w:p>
        </w:tc>
      </w:tr>
      <w:tr>
        <w:trPr>
          <w:trHeight w:val="228"/>
        </w:trPr>
        <w:tc>
          <w:tcPr>
            <w:tcW w:w="5820" w:type="dxa"/>
            <w:vAlign w:val="bottom"/>
            <w:shd w:val="clear" w:color="auto" w:fill="CCEEFF"/>
          </w:tcPr>
          <w:p>
            <w:pPr>
              <w:spacing w:after="0"/>
              <w:rPr>
                <w:sz w:val="20"/>
                <w:szCs w:val="20"/>
                <w:color w:val="auto"/>
              </w:rPr>
            </w:pPr>
            <w:r>
              <w:rPr>
                <w:rFonts w:ascii="Arial" w:cs="Arial" w:eastAsia="Arial" w:hAnsi="Arial"/>
                <w:sz w:val="19"/>
                <w:szCs w:val="19"/>
                <w:color w:val="auto"/>
              </w:rPr>
              <w:t>ST Management Holdings</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3.5%</w:t>
            </w:r>
          </w:p>
        </w:tc>
      </w:tr>
      <w:tr>
        <w:trPr>
          <w:trHeight w:val="228"/>
        </w:trPr>
        <w:tc>
          <w:tcPr>
            <w:tcW w:w="5820" w:type="dxa"/>
            <w:vAlign w:val="bottom"/>
          </w:tcPr>
          <w:p>
            <w:pPr>
              <w:spacing w:after="0"/>
              <w:rPr>
                <w:sz w:val="20"/>
                <w:szCs w:val="20"/>
                <w:color w:val="auto"/>
              </w:rPr>
            </w:pPr>
            <w:r>
              <w:rPr>
                <w:rFonts w:ascii="Arial" w:cs="Arial" w:eastAsia="Arial" w:hAnsi="Arial"/>
                <w:sz w:val="19"/>
                <w:szCs w:val="19"/>
                <w:color w:val="auto"/>
              </w:rPr>
              <w:t>A-N Credit</w:t>
            </w:r>
          </w:p>
        </w:tc>
        <w:tc>
          <w:tcPr>
            <w:tcW w:w="1740" w:type="dxa"/>
            <w:vAlign w:val="bottom"/>
            <w:gridSpan w:val="2"/>
          </w:tcPr>
          <w:p>
            <w:pPr>
              <w:jc w:val="right"/>
              <w:ind w:right="140"/>
              <w:spacing w:after="0"/>
              <w:rPr>
                <w:sz w:val="20"/>
                <w:szCs w:val="20"/>
                <w:color w:val="auto"/>
              </w:rPr>
            </w:pPr>
            <w:r>
              <w:rPr>
                <w:rFonts w:ascii="Arial" w:cs="Arial" w:eastAsia="Arial" w:hAnsi="Arial"/>
                <w:sz w:val="19"/>
                <w:szCs w:val="19"/>
                <w:color w:val="auto"/>
              </w:rPr>
              <w:t>1.2%</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1.6%</w:t>
            </w:r>
          </w:p>
        </w:tc>
      </w:tr>
      <w:tr>
        <w:trPr>
          <w:trHeight w:val="228"/>
        </w:trPr>
        <w:tc>
          <w:tcPr>
            <w:tcW w:w="5820" w:type="dxa"/>
            <w:vAlign w:val="bottom"/>
            <w:shd w:val="clear" w:color="auto" w:fill="CCEEFF"/>
          </w:tcPr>
          <w:p>
            <w:pPr>
              <w:spacing w:after="0"/>
              <w:rPr>
                <w:sz w:val="20"/>
                <w:szCs w:val="20"/>
                <w:color w:val="auto"/>
              </w:rPr>
            </w:pPr>
            <w:r>
              <w:rPr>
                <w:rFonts w:ascii="Arial" w:cs="Arial" w:eastAsia="Arial" w:hAnsi="Arial"/>
                <w:sz w:val="19"/>
                <w:szCs w:val="19"/>
                <w:color w:val="auto"/>
              </w:rPr>
              <w:t>A-N Credit Management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1.6%</w:t>
            </w:r>
          </w:p>
        </w:tc>
      </w:tr>
      <w:tr>
        <w:trPr>
          <w:trHeight w:val="228"/>
        </w:trPr>
        <w:tc>
          <w:tcPr>
            <w:tcW w:w="5820" w:type="dxa"/>
            <w:vAlign w:val="bottom"/>
          </w:tcPr>
          <w:p>
            <w:pPr>
              <w:spacing w:after="0"/>
              <w:rPr>
                <w:sz w:val="20"/>
                <w:szCs w:val="20"/>
                <w:color w:val="auto"/>
              </w:rPr>
            </w:pPr>
            <w:r>
              <w:rPr>
                <w:rFonts w:ascii="Arial" w:cs="Arial" w:eastAsia="Arial" w:hAnsi="Arial"/>
                <w:sz w:val="19"/>
                <w:szCs w:val="19"/>
                <w:color w:val="auto"/>
              </w:rPr>
              <w:t>TR Levered Yield</w:t>
            </w:r>
          </w:p>
        </w:tc>
        <w:tc>
          <w:tcPr>
            <w:tcW w:w="1740" w:type="dxa"/>
            <w:vAlign w:val="bottom"/>
            <w:gridSpan w:val="2"/>
          </w:tcPr>
          <w:p>
            <w:pPr>
              <w:jc w:val="right"/>
              <w:ind w:right="140"/>
              <w:spacing w:after="0"/>
              <w:rPr>
                <w:sz w:val="20"/>
                <w:szCs w:val="20"/>
                <w:color w:val="auto"/>
              </w:rPr>
            </w:pPr>
            <w:r>
              <w:rPr>
                <w:rFonts w:ascii="Arial" w:cs="Arial" w:eastAsia="Arial" w:hAnsi="Arial"/>
                <w:sz w:val="19"/>
                <w:szCs w:val="19"/>
                <w:color w:val="auto"/>
              </w:rPr>
              <w:t>0.1%</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0.1%</w:t>
            </w:r>
          </w:p>
        </w:tc>
      </w:tr>
      <w:tr>
        <w:trPr>
          <w:trHeight w:val="228"/>
        </w:trPr>
        <w:tc>
          <w:tcPr>
            <w:tcW w:w="5820" w:type="dxa"/>
            <w:vAlign w:val="bottom"/>
            <w:shd w:val="clear" w:color="auto" w:fill="CCEEFF"/>
          </w:tcPr>
          <w:p>
            <w:pPr>
              <w:spacing w:after="0"/>
              <w:rPr>
                <w:sz w:val="20"/>
                <w:szCs w:val="20"/>
                <w:color w:val="auto"/>
              </w:rPr>
            </w:pPr>
            <w:r>
              <w:rPr>
                <w:rFonts w:ascii="Arial" w:cs="Arial" w:eastAsia="Arial" w:hAnsi="Arial"/>
                <w:sz w:val="19"/>
                <w:szCs w:val="19"/>
                <w:color w:val="auto"/>
              </w:rPr>
              <w:t>TR Opportunistic</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0.6%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0.7%</w:t>
            </w:r>
          </w:p>
        </w:tc>
      </w:tr>
      <w:tr>
        <w:trPr>
          <w:trHeight w:val="228"/>
        </w:trPr>
        <w:tc>
          <w:tcPr>
            <w:tcW w:w="5820" w:type="dxa"/>
            <w:vAlign w:val="bottom"/>
          </w:tcPr>
          <w:p>
            <w:pPr>
              <w:spacing w:after="0"/>
              <w:rPr>
                <w:sz w:val="20"/>
                <w:szCs w:val="20"/>
                <w:color w:val="auto"/>
              </w:rPr>
            </w:pPr>
            <w:r>
              <w:rPr>
                <w:rFonts w:ascii="Arial" w:cs="Arial" w:eastAsia="Arial" w:hAnsi="Arial"/>
                <w:sz w:val="19"/>
                <w:szCs w:val="19"/>
                <w:color w:val="auto"/>
              </w:rPr>
              <w:t>TR Master Fund</w:t>
            </w:r>
          </w:p>
        </w:tc>
        <w:tc>
          <w:tcPr>
            <w:tcW w:w="1740" w:type="dxa"/>
            <w:vAlign w:val="bottom"/>
            <w:gridSpan w:val="2"/>
          </w:tcPr>
          <w:p>
            <w:pPr>
              <w:jc w:val="right"/>
              <w:ind w:right="140"/>
              <w:spacing w:after="0"/>
              <w:rPr>
                <w:sz w:val="20"/>
                <w:szCs w:val="20"/>
                <w:color w:val="auto"/>
              </w:rPr>
            </w:pPr>
            <w:r>
              <w:rPr>
                <w:rFonts w:ascii="Arial" w:cs="Arial" w:eastAsia="Arial" w:hAnsi="Arial"/>
                <w:sz w:val="19"/>
                <w:szCs w:val="19"/>
                <w:color w:val="auto"/>
              </w:rPr>
              <w:t>0.6%</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0.7%</w:t>
            </w:r>
          </w:p>
        </w:tc>
      </w:tr>
      <w:tr>
        <w:trPr>
          <w:trHeight w:val="228"/>
        </w:trPr>
        <w:tc>
          <w:tcPr>
            <w:tcW w:w="5820" w:type="dxa"/>
            <w:vAlign w:val="bottom"/>
            <w:shd w:val="clear" w:color="auto" w:fill="CCEEFF"/>
          </w:tcPr>
          <w:p>
            <w:pPr>
              <w:spacing w:after="0"/>
              <w:rPr>
                <w:sz w:val="20"/>
                <w:szCs w:val="20"/>
                <w:color w:val="auto"/>
              </w:rPr>
            </w:pPr>
            <w:r>
              <w:rPr>
                <w:rFonts w:ascii="Arial" w:cs="Arial" w:eastAsia="Arial" w:hAnsi="Arial"/>
                <w:sz w:val="19"/>
                <w:szCs w:val="19"/>
                <w:color w:val="auto"/>
              </w:rPr>
              <w:t>TR Management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0.6%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0.7%</w:t>
            </w:r>
          </w:p>
        </w:tc>
      </w:tr>
      <w:tr>
        <w:trPr>
          <w:trHeight w:val="228"/>
        </w:trPr>
        <w:tc>
          <w:tcPr>
            <w:tcW w:w="5820" w:type="dxa"/>
            <w:vAlign w:val="bottom"/>
          </w:tcPr>
          <w:p>
            <w:pPr>
              <w:spacing w:after="0"/>
              <w:rPr>
                <w:sz w:val="20"/>
                <w:szCs w:val="20"/>
                <w:color w:val="auto"/>
              </w:rPr>
            </w:pPr>
            <w:r>
              <w:rPr>
                <w:rFonts w:ascii="Arial" w:cs="Arial" w:eastAsia="Arial" w:hAnsi="Arial"/>
                <w:sz w:val="19"/>
                <w:szCs w:val="19"/>
                <w:color w:val="auto"/>
              </w:rPr>
              <w:t>TR Enhanced</w:t>
            </w:r>
          </w:p>
        </w:tc>
        <w:tc>
          <w:tcPr>
            <w:tcW w:w="1740" w:type="dxa"/>
            <w:vAlign w:val="bottom"/>
            <w:gridSpan w:val="2"/>
          </w:tcPr>
          <w:p>
            <w:pPr>
              <w:jc w:val="right"/>
              <w:ind w:right="140"/>
              <w:spacing w:after="0"/>
              <w:rPr>
                <w:sz w:val="20"/>
                <w:szCs w:val="20"/>
                <w:color w:val="auto"/>
              </w:rPr>
            </w:pPr>
            <w:r>
              <w:rPr>
                <w:rFonts w:ascii="Arial" w:cs="Arial" w:eastAsia="Arial" w:hAnsi="Arial"/>
                <w:sz w:val="19"/>
                <w:szCs w:val="19"/>
                <w:color w:val="auto"/>
              </w:rPr>
              <w:t>0.6%</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0.7%</w:t>
            </w:r>
          </w:p>
        </w:tc>
      </w:tr>
      <w:tr>
        <w:trPr>
          <w:trHeight w:val="228"/>
        </w:trPr>
        <w:tc>
          <w:tcPr>
            <w:tcW w:w="5820" w:type="dxa"/>
            <w:vAlign w:val="bottom"/>
            <w:shd w:val="clear" w:color="auto" w:fill="CCEEFF"/>
          </w:tcPr>
          <w:p>
            <w:pPr>
              <w:spacing w:after="0"/>
              <w:rPr>
                <w:sz w:val="20"/>
                <w:szCs w:val="20"/>
                <w:color w:val="auto"/>
              </w:rPr>
            </w:pPr>
            <w:r>
              <w:rPr>
                <w:rFonts w:ascii="Arial" w:cs="Arial" w:eastAsia="Arial" w:hAnsi="Arial"/>
                <w:sz w:val="19"/>
                <w:szCs w:val="19"/>
                <w:color w:val="auto"/>
              </w:rPr>
              <w:t>TR Enhanced Management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0.7%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0.8%</w:t>
            </w:r>
          </w:p>
        </w:tc>
      </w:tr>
      <w:tr>
        <w:trPr>
          <w:trHeight w:val="228"/>
        </w:trPr>
        <w:tc>
          <w:tcPr>
            <w:tcW w:w="5820" w:type="dxa"/>
            <w:vAlign w:val="bottom"/>
          </w:tcPr>
          <w:p>
            <w:pPr>
              <w:spacing w:after="0"/>
              <w:rPr>
                <w:sz w:val="20"/>
                <w:szCs w:val="20"/>
                <w:color w:val="auto"/>
              </w:rPr>
            </w:pPr>
            <w:r>
              <w:rPr>
                <w:rFonts w:ascii="Arial" w:cs="Arial" w:eastAsia="Arial" w:hAnsi="Arial"/>
                <w:sz w:val="19"/>
                <w:szCs w:val="19"/>
                <w:color w:val="auto"/>
              </w:rPr>
              <w:t>ACM LLC</w:t>
            </w:r>
          </w:p>
        </w:tc>
        <w:tc>
          <w:tcPr>
            <w:tcW w:w="1740" w:type="dxa"/>
            <w:vAlign w:val="bottom"/>
            <w:gridSpan w:val="2"/>
          </w:tcPr>
          <w:p>
            <w:pPr>
              <w:jc w:val="right"/>
              <w:ind w:right="140"/>
              <w:spacing w:after="0"/>
              <w:rPr>
                <w:sz w:val="20"/>
                <w:szCs w:val="20"/>
                <w:color w:val="auto"/>
              </w:rPr>
            </w:pPr>
            <w:r>
              <w:rPr>
                <w:rFonts w:ascii="Arial" w:cs="Arial" w:eastAsia="Arial" w:hAnsi="Arial"/>
                <w:sz w:val="19"/>
                <w:szCs w:val="19"/>
                <w:color w:val="auto"/>
              </w:rPr>
              <w:t>0.1%</w:t>
            </w:r>
          </w:p>
        </w:tc>
        <w:tc>
          <w:tcPr>
            <w:tcW w:w="16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5820" w:type="dxa"/>
            <w:vAlign w:val="bottom"/>
            <w:shd w:val="clear" w:color="auto" w:fill="CCEEFF"/>
          </w:tcPr>
          <w:p>
            <w:pPr>
              <w:spacing w:after="0"/>
              <w:rPr>
                <w:sz w:val="20"/>
                <w:szCs w:val="20"/>
                <w:color w:val="auto"/>
              </w:rPr>
            </w:pPr>
            <w:r>
              <w:rPr>
                <w:rFonts w:ascii="Arial" w:cs="Arial" w:eastAsia="Arial" w:hAnsi="Arial"/>
                <w:sz w:val="19"/>
                <w:szCs w:val="19"/>
                <w:color w:val="auto"/>
              </w:rPr>
              <w:t>ACCM LLC</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0.1%</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5820" w:type="dxa"/>
            <w:vAlign w:val="bottom"/>
          </w:tcPr>
          <w:p>
            <w:pPr>
              <w:spacing w:after="0"/>
              <w:rPr>
                <w:sz w:val="20"/>
                <w:szCs w:val="20"/>
                <w:color w:val="auto"/>
              </w:rPr>
            </w:pPr>
            <w:r>
              <w:rPr>
                <w:rFonts w:ascii="Arial" w:cs="Arial" w:eastAsia="Arial" w:hAnsi="Arial"/>
                <w:sz w:val="19"/>
                <w:szCs w:val="19"/>
                <w:color w:val="auto"/>
              </w:rPr>
              <w:t>SA Management</w:t>
            </w:r>
          </w:p>
        </w:tc>
        <w:tc>
          <w:tcPr>
            <w:tcW w:w="1740" w:type="dxa"/>
            <w:vAlign w:val="bottom"/>
            <w:gridSpan w:val="2"/>
          </w:tcPr>
          <w:p>
            <w:pPr>
              <w:jc w:val="right"/>
              <w:ind w:right="140"/>
              <w:spacing w:after="0"/>
              <w:rPr>
                <w:sz w:val="20"/>
                <w:szCs w:val="20"/>
                <w:color w:val="auto"/>
              </w:rPr>
            </w:pPr>
            <w:r>
              <w:rPr>
                <w:rFonts w:ascii="Arial" w:cs="Arial" w:eastAsia="Arial" w:hAnsi="Arial"/>
                <w:sz w:val="19"/>
                <w:szCs w:val="19"/>
                <w:color w:val="auto"/>
              </w:rPr>
              <w:t>0.1%</w:t>
            </w:r>
          </w:p>
        </w:tc>
        <w:tc>
          <w:tcPr>
            <w:tcW w:w="16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r>
      <w:tr>
        <w:trPr>
          <w:trHeight w:val="228"/>
        </w:trPr>
        <w:tc>
          <w:tcPr>
            <w:tcW w:w="5820" w:type="dxa"/>
            <w:vAlign w:val="bottom"/>
            <w:shd w:val="clear" w:color="auto" w:fill="CCEEFF"/>
          </w:tcPr>
          <w:p>
            <w:pPr>
              <w:spacing w:after="0"/>
              <w:rPr>
                <w:sz w:val="20"/>
                <w:szCs w:val="20"/>
                <w:color w:val="auto"/>
              </w:rPr>
            </w:pPr>
            <w:r>
              <w:rPr>
                <w:rFonts w:ascii="Arial" w:cs="Arial" w:eastAsia="Arial" w:hAnsi="Arial"/>
                <w:sz w:val="19"/>
                <w:szCs w:val="19"/>
                <w:color w:val="auto"/>
              </w:rPr>
              <w:t>Arrowhead Management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1.2%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1.3%</w:t>
            </w:r>
          </w:p>
        </w:tc>
      </w:tr>
      <w:tr>
        <w:trPr>
          <w:trHeight w:val="228"/>
        </w:trPr>
        <w:tc>
          <w:tcPr>
            <w:tcW w:w="5820" w:type="dxa"/>
            <w:vAlign w:val="bottom"/>
          </w:tcPr>
          <w:p>
            <w:pPr>
              <w:spacing w:after="0"/>
              <w:rPr>
                <w:sz w:val="20"/>
                <w:szCs w:val="20"/>
                <w:color w:val="auto"/>
              </w:rPr>
            </w:pPr>
            <w:r>
              <w:rPr>
                <w:rFonts w:ascii="Arial" w:cs="Arial" w:eastAsia="Arial" w:hAnsi="Arial"/>
                <w:sz w:val="19"/>
                <w:szCs w:val="19"/>
                <w:color w:val="auto"/>
              </w:rPr>
              <w:t>Capital Management</w:t>
            </w:r>
          </w:p>
        </w:tc>
        <w:tc>
          <w:tcPr>
            <w:tcW w:w="1740" w:type="dxa"/>
            <w:vAlign w:val="bottom"/>
            <w:gridSpan w:val="2"/>
          </w:tcPr>
          <w:p>
            <w:pPr>
              <w:jc w:val="right"/>
              <w:ind w:right="140"/>
              <w:spacing w:after="0"/>
              <w:rPr>
                <w:sz w:val="20"/>
                <w:szCs w:val="20"/>
                <w:color w:val="auto"/>
              </w:rPr>
            </w:pPr>
            <w:r>
              <w:rPr>
                <w:rFonts w:ascii="Arial" w:cs="Arial" w:eastAsia="Arial" w:hAnsi="Arial"/>
                <w:sz w:val="19"/>
                <w:szCs w:val="19"/>
                <w:color w:val="auto"/>
              </w:rPr>
              <w:t>6.1%</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7.4%</w:t>
            </w:r>
          </w:p>
        </w:tc>
      </w:tr>
      <w:tr>
        <w:trPr>
          <w:trHeight w:val="228"/>
        </w:trPr>
        <w:tc>
          <w:tcPr>
            <w:tcW w:w="5820" w:type="dxa"/>
            <w:vAlign w:val="bottom"/>
            <w:shd w:val="clear" w:color="auto" w:fill="CCEEFF"/>
          </w:tcPr>
          <w:p>
            <w:pPr>
              <w:spacing w:after="0"/>
              <w:rPr>
                <w:sz w:val="20"/>
                <w:szCs w:val="20"/>
                <w:color w:val="auto"/>
              </w:rPr>
            </w:pPr>
            <w:r>
              <w:rPr>
                <w:rFonts w:ascii="Arial" w:cs="Arial" w:eastAsia="Arial" w:hAnsi="Arial"/>
                <w:sz w:val="19"/>
                <w:szCs w:val="19"/>
                <w:color w:val="auto"/>
              </w:rPr>
              <w:t>Capital Management GP</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6.1%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7.4%</w:t>
            </w:r>
          </w:p>
        </w:tc>
      </w:tr>
      <w:tr>
        <w:trPr>
          <w:trHeight w:val="228"/>
        </w:trPr>
        <w:tc>
          <w:tcPr>
            <w:tcW w:w="5820" w:type="dxa"/>
            <w:vAlign w:val="bottom"/>
          </w:tcPr>
          <w:p>
            <w:pPr>
              <w:spacing w:after="0"/>
              <w:rPr>
                <w:sz w:val="20"/>
                <w:szCs w:val="20"/>
                <w:color w:val="auto"/>
              </w:rPr>
            </w:pPr>
            <w:r>
              <w:rPr>
                <w:rFonts w:ascii="Arial" w:cs="Arial" w:eastAsia="Arial" w:hAnsi="Arial"/>
                <w:sz w:val="19"/>
                <w:szCs w:val="19"/>
                <w:color w:val="auto"/>
              </w:rPr>
              <w:t>Management Holdings</w:t>
            </w:r>
          </w:p>
        </w:tc>
        <w:tc>
          <w:tcPr>
            <w:tcW w:w="1740" w:type="dxa"/>
            <w:vAlign w:val="bottom"/>
            <w:gridSpan w:val="2"/>
          </w:tcPr>
          <w:p>
            <w:pPr>
              <w:jc w:val="right"/>
              <w:ind w:right="140"/>
              <w:spacing w:after="0"/>
              <w:rPr>
                <w:sz w:val="20"/>
                <w:szCs w:val="20"/>
                <w:color w:val="auto"/>
              </w:rPr>
            </w:pPr>
            <w:r>
              <w:rPr>
                <w:rFonts w:ascii="Arial" w:cs="Arial" w:eastAsia="Arial" w:hAnsi="Arial"/>
                <w:sz w:val="19"/>
                <w:szCs w:val="19"/>
                <w:color w:val="auto"/>
              </w:rPr>
              <w:t>6.1%</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7.4%</w:t>
            </w:r>
          </w:p>
        </w:tc>
      </w:tr>
      <w:tr>
        <w:trPr>
          <w:trHeight w:val="228"/>
        </w:trPr>
        <w:tc>
          <w:tcPr>
            <w:tcW w:w="5820" w:type="dxa"/>
            <w:vAlign w:val="bottom"/>
            <w:shd w:val="clear" w:color="auto" w:fill="CCEEFF"/>
          </w:tcPr>
          <w:p>
            <w:pPr>
              <w:spacing w:after="0"/>
              <w:rPr>
                <w:sz w:val="20"/>
                <w:szCs w:val="20"/>
                <w:color w:val="auto"/>
              </w:rPr>
            </w:pPr>
            <w:r>
              <w:rPr>
                <w:rFonts w:ascii="Arial" w:cs="Arial" w:eastAsia="Arial" w:hAnsi="Arial"/>
                <w:sz w:val="19"/>
                <w:szCs w:val="19"/>
                <w:color w:val="auto"/>
              </w:rPr>
              <w:t>Management Holdings GP</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6.1%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217170</wp:posOffset>
            </wp:positionV>
            <wp:extent cx="19291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25"/>
        <w:spacing w:after="0"/>
        <w:rPr>
          <w:sz w:val="20"/>
          <w:szCs w:val="20"/>
          <w:color w:val="auto"/>
        </w:rPr>
      </w:pPr>
      <w:r>
        <w:rPr>
          <w:rFonts w:ascii="Arial" w:cs="Arial" w:eastAsia="Arial" w:hAnsi="Arial"/>
          <w:sz w:val="19"/>
          <w:szCs w:val="19"/>
          <w:color w:val="auto"/>
        </w:rPr>
        <w:t>* Percentage amounts to less than one-tenth of a percent of outstanding Class C Common Stock.</w:t>
      </w:r>
    </w:p>
    <w:p>
      <w:pPr>
        <w:spacing w:after="0" w:line="181" w:lineRule="exact"/>
        <w:rPr>
          <w:sz w:val="20"/>
          <w:szCs w:val="20"/>
          <w:color w:val="auto"/>
        </w:rPr>
      </w:pPr>
    </w:p>
    <w:p>
      <w:pPr>
        <w:ind w:left="525"/>
        <w:spacing w:after="0" w:line="263" w:lineRule="auto"/>
        <w:rPr>
          <w:sz w:val="20"/>
          <w:szCs w:val="20"/>
          <w:color w:val="auto"/>
        </w:rPr>
      </w:pPr>
      <w:r>
        <w:rPr>
          <w:rFonts w:ascii="Arial" w:cs="Arial" w:eastAsia="Arial" w:hAnsi="Arial"/>
          <w:sz w:val="19"/>
          <w:szCs w:val="19"/>
          <w:color w:val="auto"/>
        </w:rPr>
        <w:t>The percentages are based on 34,599,645 shares of Class A Common Stock and 73,323,463 shares of Class C Common Stock outstanding as of January 31, 2019, as reported in the Issuerâ€™s Form 10-K filed with the Securities and Exchange Commission on February 28, 2019.</w:t>
      </w:r>
    </w:p>
    <w:p>
      <w:pPr>
        <w:spacing w:after="0" w:line="194" w:lineRule="exact"/>
        <w:rPr>
          <w:sz w:val="20"/>
          <w:szCs w:val="20"/>
          <w:color w:val="auto"/>
        </w:rPr>
      </w:pPr>
    </w:p>
    <w:p>
      <w:pPr>
        <w:ind w:left="525" w:hanging="491"/>
        <w:spacing w:after="0"/>
        <w:tabs>
          <w:tab w:leader="none" w:pos="52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Number of shares as to which the person has:</w:t>
      </w:r>
    </w:p>
    <w:p>
      <w:pPr>
        <w:spacing w:after="0" w:line="200" w:lineRule="exact"/>
        <w:rPr>
          <w:rFonts w:ascii="Arial" w:cs="Arial" w:eastAsia="Arial" w:hAnsi="Arial"/>
          <w:sz w:val="19"/>
          <w:szCs w:val="19"/>
          <w:color w:val="auto"/>
        </w:rPr>
      </w:pPr>
    </w:p>
    <w:p>
      <w:pPr>
        <w:spacing w:after="0" w:line="323" w:lineRule="exact"/>
        <w:rPr>
          <w:rFonts w:ascii="Arial" w:cs="Arial" w:eastAsia="Arial" w:hAnsi="Arial"/>
          <w:sz w:val="19"/>
          <w:szCs w:val="19"/>
          <w:color w:val="auto"/>
        </w:rPr>
      </w:pPr>
    </w:p>
    <w:p>
      <w:pPr>
        <w:ind w:left="1185" w:right="6440" w:hanging="479"/>
        <w:spacing w:after="0" w:line="338" w:lineRule="auto"/>
        <w:tabs>
          <w:tab w:leader="none" w:pos="1185" w:val="left"/>
        </w:tabs>
        <w:numPr>
          <w:ilvl w:val="1"/>
          <w:numId w:val="156"/>
        </w:numPr>
        <w:rPr>
          <w:rFonts w:ascii="Arial" w:cs="Arial" w:eastAsia="Arial" w:hAnsi="Arial"/>
          <w:sz w:val="19"/>
          <w:szCs w:val="19"/>
          <w:color w:val="auto"/>
        </w:rPr>
      </w:pPr>
      <w:r>
        <w:rPr>
          <w:rFonts w:ascii="Arial" w:cs="Arial" w:eastAsia="Arial" w:hAnsi="Arial"/>
          <w:sz w:val="19"/>
          <w:szCs w:val="19"/>
          <w:color w:val="auto"/>
        </w:rPr>
        <w:t>Sole power to vote or to direct the vote: 0 for all Reporting Persons</w:t>
      </w:r>
    </w:p>
    <w:p>
      <w:pPr>
        <w:spacing w:after="0" w:line="240" w:lineRule="exact"/>
        <w:rPr>
          <w:sz w:val="20"/>
          <w:szCs w:val="20"/>
          <w:color w:val="auto"/>
        </w:rPr>
      </w:pPr>
    </w:p>
    <w:p>
      <w:pPr>
        <w:ind w:left="4705"/>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85725</wp:posOffset>
            </wp:positionV>
            <wp:extent cx="7646670" cy="311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45"/>
          </w:cols>
          <w:pgMar w:left="1315" w:top="270" w:right="280" w:bottom="1440" w:gutter="0" w:footer="0" w:header="0"/>
        </w:sectPr>
      </w:pPr>
    </w:p>
    <w:bookmarkStart w:id="26" w:name="page27"/>
    <w:bookmarkEnd w:id="26"/>
    <w:p>
      <w:pPr>
        <w:ind w:left="2400" w:hanging="504"/>
        <w:spacing w:after="0"/>
        <w:tabs>
          <w:tab w:leader="none" w:pos="24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385" w:lineRule="exact"/>
        <w:rPr>
          <w:sz w:val="20"/>
          <w:szCs w:val="20"/>
          <w:color w:val="auto"/>
        </w:rPr>
      </w:pPr>
    </w:p>
    <w:tbl>
      <w:tblPr>
        <w:tblLayout w:type="fixed"/>
        <w:tblInd w:w="2340"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5"/>
                <w:szCs w:val="15"/>
                <w:b w:val="1"/>
                <w:bCs w:val="1"/>
                <w:color w:val="auto"/>
              </w:rPr>
              <w:t>Class A</w:t>
            </w:r>
          </w:p>
        </w:tc>
        <w:tc>
          <w:tcPr>
            <w:tcW w:w="156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Class C</w:t>
            </w:r>
          </w:p>
        </w:tc>
      </w:tr>
      <w:tr>
        <w:trPr>
          <w:trHeight w:val="180"/>
        </w:trPr>
        <w:tc>
          <w:tcPr>
            <w:tcW w:w="518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Common Stock</w:t>
            </w:r>
          </w:p>
        </w:tc>
        <w:tc>
          <w:tcPr>
            <w:tcW w:w="15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Common Stock</w:t>
            </w:r>
          </w:p>
        </w:tc>
      </w:tr>
      <w:tr>
        <w:trPr>
          <w:trHeight w:val="222"/>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Credit Strategies</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836,530</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2,563,376</w:t>
            </w:r>
          </w:p>
        </w:tc>
        <w:tc>
          <w:tcPr>
            <w:tcW w:w="120" w:type="dxa"/>
            <w:vAlign w:val="bottom"/>
            <w:tcBorders>
              <w:top w:val="single" w:sz="8" w:color="CCEEFF"/>
            </w:tcBorders>
            <w:shd w:val="clear" w:color="auto" w:fill="CCEEFF"/>
          </w:tcPr>
          <w:p>
            <w:pPr>
              <w:spacing w:after="0"/>
              <w:rPr>
                <w:sz w:val="19"/>
                <w:szCs w:val="19"/>
                <w:color w:val="auto"/>
              </w:rPr>
            </w:pPr>
          </w:p>
        </w:tc>
      </w:tr>
      <w:tr>
        <w:trPr>
          <w:trHeight w:val="228"/>
        </w:trPr>
        <w:tc>
          <w:tcPr>
            <w:tcW w:w="5180" w:type="dxa"/>
            <w:vAlign w:val="bottom"/>
          </w:tcPr>
          <w:p>
            <w:pPr>
              <w:spacing w:after="0"/>
              <w:rPr>
                <w:sz w:val="20"/>
                <w:szCs w:val="20"/>
                <w:color w:val="auto"/>
              </w:rPr>
            </w:pPr>
            <w:r>
              <w:rPr>
                <w:rFonts w:ascii="Arial" w:cs="Arial" w:eastAsia="Arial" w:hAnsi="Arial"/>
                <w:sz w:val="19"/>
                <w:szCs w:val="19"/>
                <w:color w:val="auto"/>
              </w:rPr>
              <w:t>ST Management</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836,530</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2,563,376</w:t>
            </w:r>
          </w:p>
        </w:tc>
      </w:tr>
      <w:tr>
        <w:trPr>
          <w:trHeight w:val="228"/>
        </w:trPr>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ST Operating</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836,530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2,563,376</w:t>
            </w:r>
          </w:p>
        </w:tc>
      </w:tr>
      <w:tr>
        <w:trPr>
          <w:trHeight w:val="228"/>
        </w:trPr>
        <w:tc>
          <w:tcPr>
            <w:tcW w:w="5180" w:type="dxa"/>
            <w:vAlign w:val="bottom"/>
          </w:tcPr>
          <w:p>
            <w:pPr>
              <w:spacing w:after="0"/>
              <w:rPr>
                <w:sz w:val="20"/>
                <w:szCs w:val="20"/>
                <w:color w:val="auto"/>
              </w:rPr>
            </w:pPr>
            <w:r>
              <w:rPr>
                <w:rFonts w:ascii="Arial" w:cs="Arial" w:eastAsia="Arial" w:hAnsi="Arial"/>
                <w:sz w:val="19"/>
                <w:szCs w:val="19"/>
                <w:color w:val="auto"/>
              </w:rPr>
              <w:t>ST Capital</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836,530</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2,563,376</w:t>
            </w:r>
          </w:p>
        </w:tc>
      </w:tr>
      <w:tr>
        <w:trPr>
          <w:trHeight w:val="228"/>
        </w:trPr>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ST Management Holdings</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836,530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2,563,376</w:t>
            </w:r>
          </w:p>
        </w:tc>
      </w:tr>
      <w:tr>
        <w:trPr>
          <w:trHeight w:val="228"/>
        </w:trPr>
        <w:tc>
          <w:tcPr>
            <w:tcW w:w="5180" w:type="dxa"/>
            <w:vAlign w:val="bottom"/>
          </w:tcPr>
          <w:p>
            <w:pPr>
              <w:spacing w:after="0"/>
              <w:rPr>
                <w:sz w:val="20"/>
                <w:szCs w:val="20"/>
                <w:color w:val="auto"/>
              </w:rPr>
            </w:pPr>
            <w:r>
              <w:rPr>
                <w:rFonts w:ascii="Arial" w:cs="Arial" w:eastAsia="Arial" w:hAnsi="Arial"/>
                <w:sz w:val="19"/>
                <w:szCs w:val="19"/>
                <w:color w:val="auto"/>
              </w:rPr>
              <w:t>A-N Credit</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411,513</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1,141,846</w:t>
            </w:r>
          </w:p>
        </w:tc>
      </w:tr>
      <w:tr>
        <w:trPr>
          <w:trHeight w:val="228"/>
        </w:trPr>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A-N Credit Management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411,513</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1,141,846</w:t>
            </w:r>
          </w:p>
        </w:tc>
      </w:tr>
      <w:tr>
        <w:trPr>
          <w:trHeight w:val="228"/>
        </w:trPr>
        <w:tc>
          <w:tcPr>
            <w:tcW w:w="5180" w:type="dxa"/>
            <w:vAlign w:val="bottom"/>
          </w:tcPr>
          <w:p>
            <w:pPr>
              <w:spacing w:after="0"/>
              <w:rPr>
                <w:sz w:val="20"/>
                <w:szCs w:val="20"/>
                <w:color w:val="auto"/>
              </w:rPr>
            </w:pPr>
            <w:r>
              <w:rPr>
                <w:rFonts w:ascii="Arial" w:cs="Arial" w:eastAsia="Arial" w:hAnsi="Arial"/>
                <w:sz w:val="19"/>
                <w:szCs w:val="19"/>
                <w:color w:val="auto"/>
              </w:rPr>
              <w:t>TR Levered Yield</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46,640</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68,443</w:t>
            </w:r>
          </w:p>
        </w:tc>
      </w:tr>
      <w:tr>
        <w:trPr>
          <w:trHeight w:val="228"/>
        </w:trPr>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TR Opportunistic</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198,366</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506,459</w:t>
            </w:r>
          </w:p>
        </w:tc>
      </w:tr>
      <w:tr>
        <w:trPr>
          <w:trHeight w:val="228"/>
        </w:trPr>
        <w:tc>
          <w:tcPr>
            <w:tcW w:w="5180" w:type="dxa"/>
            <w:vAlign w:val="bottom"/>
          </w:tcPr>
          <w:p>
            <w:pPr>
              <w:spacing w:after="0"/>
              <w:rPr>
                <w:sz w:val="20"/>
                <w:szCs w:val="20"/>
                <w:color w:val="auto"/>
              </w:rPr>
            </w:pPr>
            <w:r>
              <w:rPr>
                <w:rFonts w:ascii="Arial" w:cs="Arial" w:eastAsia="Arial" w:hAnsi="Arial"/>
                <w:sz w:val="19"/>
                <w:szCs w:val="19"/>
                <w:color w:val="auto"/>
              </w:rPr>
              <w:t>TR Master Fund</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198,366</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506,459</w:t>
            </w:r>
          </w:p>
        </w:tc>
      </w:tr>
      <w:tr>
        <w:trPr>
          <w:trHeight w:val="228"/>
        </w:trPr>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TR Management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198,366</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506,459</w:t>
            </w:r>
          </w:p>
        </w:tc>
      </w:tr>
      <w:tr>
        <w:trPr>
          <w:trHeight w:val="228"/>
        </w:trPr>
        <w:tc>
          <w:tcPr>
            <w:tcW w:w="5180" w:type="dxa"/>
            <w:vAlign w:val="bottom"/>
          </w:tcPr>
          <w:p>
            <w:pPr>
              <w:spacing w:after="0"/>
              <w:rPr>
                <w:sz w:val="20"/>
                <w:szCs w:val="20"/>
                <w:color w:val="auto"/>
              </w:rPr>
            </w:pPr>
            <w:r>
              <w:rPr>
                <w:rFonts w:ascii="Arial" w:cs="Arial" w:eastAsia="Arial" w:hAnsi="Arial"/>
                <w:sz w:val="19"/>
                <w:szCs w:val="19"/>
                <w:color w:val="auto"/>
              </w:rPr>
              <w:t>TR Enhanced</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198,366</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506,459</w:t>
            </w:r>
          </w:p>
        </w:tc>
      </w:tr>
      <w:tr>
        <w:trPr>
          <w:trHeight w:val="228"/>
        </w:trPr>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TR Enhanced Management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245,006</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574,902</w:t>
            </w:r>
          </w:p>
        </w:tc>
      </w:tr>
      <w:tr>
        <w:trPr>
          <w:trHeight w:val="228"/>
        </w:trPr>
        <w:tc>
          <w:tcPr>
            <w:tcW w:w="5180" w:type="dxa"/>
            <w:vAlign w:val="bottom"/>
          </w:tcPr>
          <w:p>
            <w:pPr>
              <w:spacing w:after="0"/>
              <w:rPr>
                <w:sz w:val="20"/>
                <w:szCs w:val="20"/>
                <w:color w:val="auto"/>
              </w:rPr>
            </w:pPr>
            <w:r>
              <w:rPr>
                <w:rFonts w:ascii="Arial" w:cs="Arial" w:eastAsia="Arial" w:hAnsi="Arial"/>
                <w:sz w:val="19"/>
                <w:szCs w:val="19"/>
                <w:color w:val="auto"/>
              </w:rPr>
              <w:t>ACM LLC</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21,640</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28,547</w:t>
            </w:r>
          </w:p>
        </w:tc>
      </w:tr>
      <w:tr>
        <w:trPr>
          <w:trHeight w:val="228"/>
        </w:trPr>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ACCM LLC</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21,640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28,547</w:t>
            </w:r>
          </w:p>
        </w:tc>
      </w:tr>
      <w:tr>
        <w:trPr>
          <w:trHeight w:val="228"/>
        </w:trPr>
        <w:tc>
          <w:tcPr>
            <w:tcW w:w="5180" w:type="dxa"/>
            <w:vAlign w:val="bottom"/>
          </w:tcPr>
          <w:p>
            <w:pPr>
              <w:spacing w:after="0"/>
              <w:rPr>
                <w:sz w:val="20"/>
                <w:szCs w:val="20"/>
                <w:color w:val="auto"/>
              </w:rPr>
            </w:pPr>
            <w:r>
              <w:rPr>
                <w:rFonts w:ascii="Arial" w:cs="Arial" w:eastAsia="Arial" w:hAnsi="Arial"/>
                <w:sz w:val="19"/>
                <w:szCs w:val="19"/>
                <w:color w:val="auto"/>
              </w:rPr>
              <w:t>SA Management</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20,825</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17,325</w:t>
            </w:r>
          </w:p>
        </w:tc>
      </w:tr>
      <w:tr>
        <w:trPr>
          <w:trHeight w:val="228"/>
        </w:trPr>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Arrowhead Management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410,680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950,537</w:t>
            </w:r>
          </w:p>
        </w:tc>
      </w:tr>
      <w:tr>
        <w:trPr>
          <w:trHeight w:val="228"/>
        </w:trPr>
        <w:tc>
          <w:tcPr>
            <w:tcW w:w="5180" w:type="dxa"/>
            <w:vAlign w:val="bottom"/>
          </w:tcPr>
          <w:p>
            <w:pPr>
              <w:spacing w:after="0"/>
              <w:rPr>
                <w:sz w:val="20"/>
                <w:szCs w:val="20"/>
                <w:color w:val="auto"/>
              </w:rPr>
            </w:pPr>
            <w:r>
              <w:rPr>
                <w:rFonts w:ascii="Arial" w:cs="Arial" w:eastAsia="Arial" w:hAnsi="Arial"/>
                <w:sz w:val="19"/>
                <w:szCs w:val="19"/>
                <w:color w:val="auto"/>
              </w:rPr>
              <w:t>Capital Management</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2,099,361</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5,455,943</w:t>
            </w:r>
          </w:p>
        </w:tc>
      </w:tr>
      <w:tr>
        <w:trPr>
          <w:trHeight w:val="228"/>
        </w:trPr>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Capital Management GP</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2,099,361</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5,455,943</w:t>
            </w:r>
          </w:p>
        </w:tc>
      </w:tr>
      <w:tr>
        <w:trPr>
          <w:trHeight w:val="228"/>
        </w:trPr>
        <w:tc>
          <w:tcPr>
            <w:tcW w:w="5180" w:type="dxa"/>
            <w:vAlign w:val="bottom"/>
          </w:tcPr>
          <w:p>
            <w:pPr>
              <w:spacing w:after="0"/>
              <w:rPr>
                <w:sz w:val="20"/>
                <w:szCs w:val="20"/>
                <w:color w:val="auto"/>
              </w:rPr>
            </w:pPr>
            <w:r>
              <w:rPr>
                <w:rFonts w:ascii="Arial" w:cs="Arial" w:eastAsia="Arial" w:hAnsi="Arial"/>
                <w:sz w:val="19"/>
                <w:szCs w:val="19"/>
                <w:color w:val="auto"/>
              </w:rPr>
              <w:t>Management Holdings</w:t>
            </w:r>
          </w:p>
        </w:tc>
        <w:tc>
          <w:tcPr>
            <w:tcW w:w="1740" w:type="dxa"/>
            <w:vAlign w:val="bottom"/>
            <w:gridSpan w:val="2"/>
          </w:tcPr>
          <w:p>
            <w:pPr>
              <w:jc w:val="right"/>
              <w:ind w:right="300"/>
              <w:spacing w:after="0"/>
              <w:rPr>
                <w:sz w:val="20"/>
                <w:szCs w:val="20"/>
                <w:color w:val="auto"/>
              </w:rPr>
            </w:pPr>
            <w:r>
              <w:rPr>
                <w:rFonts w:ascii="Arial" w:cs="Arial" w:eastAsia="Arial" w:hAnsi="Arial"/>
                <w:sz w:val="19"/>
                <w:szCs w:val="19"/>
                <w:color w:val="auto"/>
              </w:rPr>
              <w:t>2,099,361</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5,455,943</w:t>
            </w:r>
          </w:p>
        </w:tc>
      </w:tr>
      <w:tr>
        <w:trPr>
          <w:trHeight w:val="228"/>
        </w:trPr>
        <w:tc>
          <w:tcPr>
            <w:tcW w:w="5180" w:type="dxa"/>
            <w:vAlign w:val="bottom"/>
            <w:shd w:val="clear" w:color="auto" w:fill="CCEEFF"/>
          </w:tcPr>
          <w:p>
            <w:pPr>
              <w:spacing w:after="0"/>
              <w:rPr>
                <w:sz w:val="20"/>
                <w:szCs w:val="20"/>
                <w:color w:val="auto"/>
              </w:rPr>
            </w:pPr>
            <w:r>
              <w:rPr>
                <w:rFonts w:ascii="Arial" w:cs="Arial" w:eastAsia="Arial" w:hAnsi="Arial"/>
                <w:sz w:val="19"/>
                <w:szCs w:val="19"/>
                <w:color w:val="auto"/>
              </w:rPr>
              <w:t>Management Holdings GP</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2,099,361</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5,455,943</w:t>
            </w:r>
          </w:p>
        </w:tc>
      </w:tr>
    </w:tbl>
    <w:p>
      <w:pPr>
        <w:spacing w:after="0" w:line="100" w:lineRule="exact"/>
        <w:rPr>
          <w:sz w:val="20"/>
          <w:szCs w:val="20"/>
          <w:color w:val="auto"/>
        </w:rPr>
      </w:pPr>
    </w:p>
    <w:p>
      <w:pPr>
        <w:ind w:left="2400" w:hanging="531"/>
        <w:spacing w:after="0"/>
        <w:tabs>
          <w:tab w:leader="none" w:pos="24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w:t>
      </w:r>
    </w:p>
    <w:p>
      <w:pPr>
        <w:spacing w:after="0" w:line="66" w:lineRule="exact"/>
        <w:rPr>
          <w:rFonts w:ascii="Arial" w:cs="Arial" w:eastAsia="Arial" w:hAnsi="Arial"/>
          <w:sz w:val="19"/>
          <w:szCs w:val="19"/>
          <w:color w:val="auto"/>
        </w:rPr>
      </w:pPr>
    </w:p>
    <w:p>
      <w:pPr>
        <w:ind w:left="2400"/>
        <w:spacing w:after="0"/>
        <w:rPr>
          <w:rFonts w:ascii="Arial" w:cs="Arial" w:eastAsia="Arial" w:hAnsi="Arial"/>
          <w:sz w:val="19"/>
          <w:szCs w:val="19"/>
          <w:color w:val="auto"/>
        </w:rPr>
      </w:pPr>
      <w:r>
        <w:rPr>
          <w:rFonts w:ascii="Arial" w:cs="Arial" w:eastAsia="Arial" w:hAnsi="Arial"/>
          <w:sz w:val="19"/>
          <w:szCs w:val="19"/>
          <w:color w:val="auto"/>
        </w:rPr>
        <w:t>0 for all Reporting Persons</w:t>
      </w:r>
    </w:p>
    <w:p>
      <w:pPr>
        <w:spacing w:after="0" w:line="237" w:lineRule="exact"/>
        <w:rPr>
          <w:rFonts w:ascii="Arial" w:cs="Arial" w:eastAsia="Arial" w:hAnsi="Arial"/>
          <w:sz w:val="19"/>
          <w:szCs w:val="19"/>
          <w:color w:val="auto"/>
        </w:rPr>
      </w:pPr>
    </w:p>
    <w:p>
      <w:pPr>
        <w:ind w:left="2400" w:hanging="525"/>
        <w:spacing w:after="0"/>
        <w:tabs>
          <w:tab w:leader="none" w:pos="24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5"/>
                <w:szCs w:val="15"/>
                <w:b w:val="1"/>
                <w:bCs w:val="1"/>
                <w:color w:val="auto"/>
              </w:rPr>
              <w:t>Class A</w:t>
            </w:r>
          </w:p>
        </w:tc>
        <w:tc>
          <w:tcPr>
            <w:tcW w:w="156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Class C</w:t>
            </w:r>
          </w:p>
        </w:tc>
        <w:tc>
          <w:tcPr>
            <w:tcW w:w="1220" w:type="dxa"/>
            <w:vAlign w:val="bottom"/>
          </w:tcPr>
          <w:p>
            <w:pPr>
              <w:spacing w:after="0"/>
              <w:rPr>
                <w:sz w:val="15"/>
                <w:szCs w:val="15"/>
                <w:color w:val="auto"/>
              </w:rPr>
            </w:pPr>
          </w:p>
        </w:tc>
      </w:tr>
      <w:tr>
        <w:trPr>
          <w:trHeight w:val="180"/>
        </w:trPr>
        <w:tc>
          <w:tcPr>
            <w:tcW w:w="2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Common Stock</w:t>
            </w:r>
          </w:p>
        </w:tc>
        <w:tc>
          <w:tcPr>
            <w:tcW w:w="15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Common Stock</w:t>
            </w:r>
          </w:p>
        </w:tc>
        <w:tc>
          <w:tcPr>
            <w:tcW w:w="1220" w:type="dxa"/>
            <w:vAlign w:val="bottom"/>
          </w:tcPr>
          <w:p>
            <w:pPr>
              <w:spacing w:after="0"/>
              <w:rPr>
                <w:sz w:val="15"/>
                <w:szCs w:val="15"/>
                <w:color w:val="auto"/>
              </w:rPr>
            </w:pPr>
          </w:p>
        </w:tc>
      </w:tr>
      <w:tr>
        <w:trPr>
          <w:trHeight w:val="222"/>
        </w:trPr>
        <w:tc>
          <w:tcPr>
            <w:tcW w:w="2340" w:type="dxa"/>
            <w:vAlign w:val="bottom"/>
          </w:tcPr>
          <w:p>
            <w:pPr>
              <w:spacing w:after="0"/>
              <w:rPr>
                <w:sz w:val="19"/>
                <w:szCs w:val="19"/>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Credit Strategies</w:t>
            </w:r>
          </w:p>
        </w:tc>
        <w:tc>
          <w:tcPr>
            <w:tcW w:w="23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836,530</w:t>
            </w:r>
          </w:p>
        </w:tc>
        <w:tc>
          <w:tcPr>
            <w:tcW w:w="3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2,563,376</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9"/>
                <w:szCs w:val="19"/>
                <w:color w:val="auto"/>
              </w:rPr>
              <w:t>ST Management</w:t>
            </w:r>
          </w:p>
        </w:tc>
        <w:tc>
          <w:tcPr>
            <w:tcW w:w="4100" w:type="dxa"/>
            <w:vAlign w:val="bottom"/>
            <w:gridSpan w:val="3"/>
          </w:tcPr>
          <w:p>
            <w:pPr>
              <w:jc w:val="right"/>
              <w:ind w:right="300"/>
              <w:spacing w:after="0"/>
              <w:rPr>
                <w:sz w:val="20"/>
                <w:szCs w:val="20"/>
                <w:color w:val="auto"/>
              </w:rPr>
            </w:pPr>
            <w:r>
              <w:rPr>
                <w:rFonts w:ascii="Arial" w:cs="Arial" w:eastAsia="Arial" w:hAnsi="Arial"/>
                <w:sz w:val="19"/>
                <w:szCs w:val="19"/>
                <w:color w:val="auto"/>
              </w:rPr>
              <w:t>836,530</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2,563,376</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9"/>
                <w:szCs w:val="19"/>
                <w:color w:val="auto"/>
              </w:rPr>
              <w:t>ST Operating</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9"/>
                <w:szCs w:val="19"/>
                <w:color w:val="auto"/>
              </w:rPr>
              <w:t>836,530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2,563,376</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9"/>
                <w:szCs w:val="19"/>
                <w:color w:val="auto"/>
              </w:rPr>
              <w:t>ST Capital</w:t>
            </w:r>
          </w:p>
        </w:tc>
        <w:tc>
          <w:tcPr>
            <w:tcW w:w="4100" w:type="dxa"/>
            <w:vAlign w:val="bottom"/>
            <w:gridSpan w:val="3"/>
          </w:tcPr>
          <w:p>
            <w:pPr>
              <w:jc w:val="right"/>
              <w:ind w:right="300"/>
              <w:spacing w:after="0"/>
              <w:rPr>
                <w:sz w:val="20"/>
                <w:szCs w:val="20"/>
                <w:color w:val="auto"/>
              </w:rPr>
            </w:pPr>
            <w:r>
              <w:rPr>
                <w:rFonts w:ascii="Arial" w:cs="Arial" w:eastAsia="Arial" w:hAnsi="Arial"/>
                <w:sz w:val="19"/>
                <w:szCs w:val="19"/>
                <w:color w:val="auto"/>
              </w:rPr>
              <w:t>836,530</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2,563,376</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9"/>
                <w:szCs w:val="19"/>
                <w:color w:val="auto"/>
              </w:rPr>
              <w:t>ST Management Holdings</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9"/>
                <w:szCs w:val="19"/>
                <w:color w:val="auto"/>
              </w:rPr>
              <w:t>836,530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2,563,376</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9"/>
                <w:szCs w:val="19"/>
                <w:color w:val="auto"/>
              </w:rPr>
              <w:t>A-N Credit</w:t>
            </w:r>
          </w:p>
        </w:tc>
        <w:tc>
          <w:tcPr>
            <w:tcW w:w="4100" w:type="dxa"/>
            <w:vAlign w:val="bottom"/>
            <w:gridSpan w:val="3"/>
          </w:tcPr>
          <w:p>
            <w:pPr>
              <w:jc w:val="right"/>
              <w:ind w:right="300"/>
              <w:spacing w:after="0"/>
              <w:rPr>
                <w:sz w:val="20"/>
                <w:szCs w:val="20"/>
                <w:color w:val="auto"/>
              </w:rPr>
            </w:pPr>
            <w:r>
              <w:rPr>
                <w:rFonts w:ascii="Arial" w:cs="Arial" w:eastAsia="Arial" w:hAnsi="Arial"/>
                <w:sz w:val="19"/>
                <w:szCs w:val="19"/>
                <w:color w:val="auto"/>
              </w:rPr>
              <w:t>411,513</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1,141,846</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9"/>
                <w:szCs w:val="19"/>
                <w:color w:val="auto"/>
              </w:rPr>
              <w:t>A-N Credit Management</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9"/>
                <w:szCs w:val="19"/>
                <w:color w:val="auto"/>
              </w:rPr>
              <w:t>411,513</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1,141,846</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9"/>
                <w:szCs w:val="19"/>
                <w:color w:val="auto"/>
              </w:rPr>
              <w:t>TR Levered Yield</w:t>
            </w:r>
          </w:p>
        </w:tc>
        <w:tc>
          <w:tcPr>
            <w:tcW w:w="4100" w:type="dxa"/>
            <w:vAlign w:val="bottom"/>
            <w:gridSpan w:val="3"/>
          </w:tcPr>
          <w:p>
            <w:pPr>
              <w:jc w:val="right"/>
              <w:ind w:right="300"/>
              <w:spacing w:after="0"/>
              <w:rPr>
                <w:sz w:val="20"/>
                <w:szCs w:val="20"/>
                <w:color w:val="auto"/>
              </w:rPr>
            </w:pPr>
            <w:r>
              <w:rPr>
                <w:rFonts w:ascii="Arial" w:cs="Arial" w:eastAsia="Arial" w:hAnsi="Arial"/>
                <w:sz w:val="19"/>
                <w:szCs w:val="19"/>
                <w:color w:val="auto"/>
              </w:rPr>
              <w:t>46,640</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68,443</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9"/>
                <w:szCs w:val="19"/>
                <w:color w:val="auto"/>
              </w:rPr>
              <w:t>TR Opportunistic</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9"/>
                <w:szCs w:val="19"/>
                <w:color w:val="auto"/>
              </w:rPr>
              <w:t>198,366</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506,459</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9"/>
                <w:szCs w:val="19"/>
                <w:color w:val="auto"/>
              </w:rPr>
              <w:t>TR Master Fund</w:t>
            </w:r>
          </w:p>
        </w:tc>
        <w:tc>
          <w:tcPr>
            <w:tcW w:w="4100" w:type="dxa"/>
            <w:vAlign w:val="bottom"/>
            <w:gridSpan w:val="3"/>
          </w:tcPr>
          <w:p>
            <w:pPr>
              <w:jc w:val="right"/>
              <w:ind w:right="300"/>
              <w:spacing w:after="0"/>
              <w:rPr>
                <w:sz w:val="20"/>
                <w:szCs w:val="20"/>
                <w:color w:val="auto"/>
              </w:rPr>
            </w:pPr>
            <w:r>
              <w:rPr>
                <w:rFonts w:ascii="Arial" w:cs="Arial" w:eastAsia="Arial" w:hAnsi="Arial"/>
                <w:sz w:val="19"/>
                <w:szCs w:val="19"/>
                <w:color w:val="auto"/>
              </w:rPr>
              <w:t>198,366</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506,459</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9"/>
                <w:szCs w:val="19"/>
                <w:color w:val="auto"/>
              </w:rPr>
              <w:t>TR Management</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9"/>
                <w:szCs w:val="19"/>
                <w:color w:val="auto"/>
              </w:rPr>
              <w:t>198,366</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506,459</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9"/>
                <w:szCs w:val="19"/>
                <w:color w:val="auto"/>
              </w:rPr>
              <w:t>TR Enhanced</w:t>
            </w:r>
          </w:p>
        </w:tc>
        <w:tc>
          <w:tcPr>
            <w:tcW w:w="4100" w:type="dxa"/>
            <w:vAlign w:val="bottom"/>
            <w:gridSpan w:val="3"/>
          </w:tcPr>
          <w:p>
            <w:pPr>
              <w:jc w:val="right"/>
              <w:ind w:right="300"/>
              <w:spacing w:after="0"/>
              <w:rPr>
                <w:sz w:val="20"/>
                <w:szCs w:val="20"/>
                <w:color w:val="auto"/>
              </w:rPr>
            </w:pPr>
            <w:r>
              <w:rPr>
                <w:rFonts w:ascii="Arial" w:cs="Arial" w:eastAsia="Arial" w:hAnsi="Arial"/>
                <w:sz w:val="19"/>
                <w:szCs w:val="19"/>
                <w:color w:val="auto"/>
              </w:rPr>
              <w:t>198,366</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506,459</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9"/>
                <w:szCs w:val="19"/>
                <w:color w:val="auto"/>
              </w:rPr>
              <w:t>TR Enhanced Management</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9"/>
                <w:szCs w:val="19"/>
                <w:color w:val="auto"/>
              </w:rPr>
              <w:t>245,006</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574,902</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9"/>
                <w:szCs w:val="19"/>
                <w:color w:val="auto"/>
              </w:rPr>
              <w:t>ACM LLC</w:t>
            </w:r>
          </w:p>
        </w:tc>
        <w:tc>
          <w:tcPr>
            <w:tcW w:w="4100" w:type="dxa"/>
            <w:vAlign w:val="bottom"/>
            <w:gridSpan w:val="3"/>
          </w:tcPr>
          <w:p>
            <w:pPr>
              <w:jc w:val="right"/>
              <w:ind w:right="300"/>
              <w:spacing w:after="0"/>
              <w:rPr>
                <w:sz w:val="20"/>
                <w:szCs w:val="20"/>
                <w:color w:val="auto"/>
              </w:rPr>
            </w:pPr>
            <w:r>
              <w:rPr>
                <w:rFonts w:ascii="Arial" w:cs="Arial" w:eastAsia="Arial" w:hAnsi="Arial"/>
                <w:sz w:val="19"/>
                <w:szCs w:val="19"/>
                <w:color w:val="auto"/>
              </w:rPr>
              <w:t>21,640</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28,547</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9"/>
                <w:szCs w:val="19"/>
                <w:color w:val="auto"/>
              </w:rPr>
              <w:t>ACCM LLC</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9"/>
                <w:szCs w:val="19"/>
                <w:color w:val="auto"/>
              </w:rPr>
              <w:t>21,640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28,547</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9"/>
                <w:szCs w:val="19"/>
                <w:color w:val="auto"/>
              </w:rPr>
              <w:t>SA Management</w:t>
            </w:r>
          </w:p>
        </w:tc>
        <w:tc>
          <w:tcPr>
            <w:tcW w:w="4100" w:type="dxa"/>
            <w:vAlign w:val="bottom"/>
            <w:gridSpan w:val="3"/>
          </w:tcPr>
          <w:p>
            <w:pPr>
              <w:jc w:val="right"/>
              <w:ind w:right="300"/>
              <w:spacing w:after="0"/>
              <w:rPr>
                <w:sz w:val="20"/>
                <w:szCs w:val="20"/>
                <w:color w:val="auto"/>
              </w:rPr>
            </w:pPr>
            <w:r>
              <w:rPr>
                <w:rFonts w:ascii="Arial" w:cs="Arial" w:eastAsia="Arial" w:hAnsi="Arial"/>
                <w:sz w:val="19"/>
                <w:szCs w:val="19"/>
                <w:color w:val="auto"/>
              </w:rPr>
              <w:t>20,825</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17,325</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9"/>
                <w:szCs w:val="19"/>
                <w:color w:val="auto"/>
              </w:rPr>
              <w:t>Arrowhead Management</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9"/>
                <w:szCs w:val="19"/>
                <w:color w:val="auto"/>
              </w:rPr>
              <w:t>410,680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950,537</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9"/>
                <w:szCs w:val="19"/>
                <w:color w:val="auto"/>
              </w:rPr>
              <w:t>Capital Management</w:t>
            </w:r>
          </w:p>
        </w:tc>
        <w:tc>
          <w:tcPr>
            <w:tcW w:w="4100" w:type="dxa"/>
            <w:vAlign w:val="bottom"/>
            <w:gridSpan w:val="3"/>
          </w:tcPr>
          <w:p>
            <w:pPr>
              <w:jc w:val="right"/>
              <w:ind w:right="300"/>
              <w:spacing w:after="0"/>
              <w:rPr>
                <w:sz w:val="20"/>
                <w:szCs w:val="20"/>
                <w:color w:val="auto"/>
              </w:rPr>
            </w:pPr>
            <w:r>
              <w:rPr>
                <w:rFonts w:ascii="Arial" w:cs="Arial" w:eastAsia="Arial" w:hAnsi="Arial"/>
                <w:sz w:val="19"/>
                <w:szCs w:val="19"/>
                <w:color w:val="auto"/>
              </w:rPr>
              <w:t>2,099,361</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5,455,943</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9"/>
                <w:szCs w:val="19"/>
                <w:color w:val="auto"/>
              </w:rPr>
              <w:t>Capital Management GP</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9"/>
                <w:szCs w:val="19"/>
                <w:color w:val="auto"/>
              </w:rPr>
              <w:t>2,099,361</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5,455,943</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9"/>
                <w:szCs w:val="19"/>
                <w:color w:val="auto"/>
              </w:rPr>
              <w:t>Management Holdings</w:t>
            </w:r>
          </w:p>
        </w:tc>
        <w:tc>
          <w:tcPr>
            <w:tcW w:w="4100" w:type="dxa"/>
            <w:vAlign w:val="bottom"/>
            <w:gridSpan w:val="3"/>
          </w:tcPr>
          <w:p>
            <w:pPr>
              <w:jc w:val="right"/>
              <w:ind w:right="300"/>
              <w:spacing w:after="0"/>
              <w:rPr>
                <w:sz w:val="20"/>
                <w:szCs w:val="20"/>
                <w:color w:val="auto"/>
              </w:rPr>
            </w:pPr>
            <w:r>
              <w:rPr>
                <w:rFonts w:ascii="Arial" w:cs="Arial" w:eastAsia="Arial" w:hAnsi="Arial"/>
                <w:sz w:val="19"/>
                <w:szCs w:val="19"/>
                <w:color w:val="auto"/>
              </w:rPr>
              <w:t>2,099,361</w:t>
            </w:r>
          </w:p>
        </w:tc>
        <w:tc>
          <w:tcPr>
            <w:tcW w:w="1560" w:type="dxa"/>
            <w:vAlign w:val="bottom"/>
            <w:gridSpan w:val="2"/>
          </w:tcPr>
          <w:p>
            <w:pPr>
              <w:jc w:val="right"/>
              <w:ind w:right="120"/>
              <w:spacing w:after="0"/>
              <w:rPr>
                <w:sz w:val="20"/>
                <w:szCs w:val="20"/>
                <w:color w:val="auto"/>
              </w:rPr>
            </w:pPr>
            <w:r>
              <w:rPr>
                <w:rFonts w:ascii="Arial" w:cs="Arial" w:eastAsia="Arial" w:hAnsi="Arial"/>
                <w:sz w:val="19"/>
                <w:szCs w:val="19"/>
                <w:color w:val="auto"/>
              </w:rPr>
              <w:t>5,455,943</w:t>
            </w:r>
          </w:p>
        </w:tc>
        <w:tc>
          <w:tcPr>
            <w:tcW w:w="1220" w:type="dxa"/>
            <w:vAlign w:val="bottom"/>
          </w:tcPr>
          <w:p>
            <w:pPr>
              <w:spacing w:after="0"/>
              <w:rPr>
                <w:sz w:val="19"/>
                <w:szCs w:val="19"/>
                <w:color w:val="auto"/>
              </w:rPr>
            </w:pPr>
          </w:p>
        </w:tc>
      </w:tr>
      <w:tr>
        <w:trPr>
          <w:trHeight w:val="228"/>
        </w:trPr>
        <w:tc>
          <w:tcPr>
            <w:tcW w:w="234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9"/>
                <w:szCs w:val="19"/>
                <w:color w:val="auto"/>
              </w:rPr>
              <w:t>Management Holdings GP</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9"/>
                <w:szCs w:val="19"/>
                <w:color w:val="auto"/>
              </w:rPr>
              <w:t>2,099,361</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5,455,943</w:t>
            </w:r>
          </w:p>
        </w:tc>
        <w:tc>
          <w:tcPr>
            <w:tcW w:w="1220" w:type="dxa"/>
            <w:vAlign w:val="bottom"/>
          </w:tcPr>
          <w:p>
            <w:pPr>
              <w:spacing w:after="0"/>
              <w:rPr>
                <w:sz w:val="19"/>
                <w:szCs w:val="19"/>
                <w:color w:val="auto"/>
              </w:rPr>
            </w:pPr>
          </w:p>
        </w:tc>
      </w:tr>
      <w:tr>
        <w:trPr>
          <w:trHeight w:val="455"/>
        </w:trPr>
        <w:tc>
          <w:tcPr>
            <w:tcW w:w="2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360" w:type="dxa"/>
            <w:vAlign w:val="bottom"/>
          </w:tcPr>
          <w:p>
            <w:pPr>
              <w:jc w:val="right"/>
              <w:ind w:right="1325"/>
              <w:spacing w:after="0"/>
              <w:rPr>
                <w:sz w:val="20"/>
                <w:szCs w:val="20"/>
                <w:color w:val="auto"/>
              </w:rPr>
            </w:pPr>
            <w:r>
              <w:rPr>
                <w:rFonts w:ascii="Arial" w:cs="Arial" w:eastAsia="Arial" w:hAnsi="Arial"/>
                <w:sz w:val="19"/>
                <w:szCs w:val="19"/>
                <w:color w:val="auto"/>
              </w:rPr>
              <w:t>27</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41"/>
        </w:trPr>
        <w:tc>
          <w:tcPr>
            <w:tcW w:w="2340" w:type="dxa"/>
            <w:vAlign w:val="bottom"/>
            <w:tcBorders>
              <w:bottom w:val="single" w:sz="8" w:color="808080"/>
            </w:tcBorders>
          </w:tcPr>
          <w:p>
            <w:pPr>
              <w:spacing w:after="0"/>
              <w:rPr>
                <w:sz w:val="12"/>
                <w:szCs w:val="12"/>
                <w:color w:val="auto"/>
              </w:rPr>
            </w:pPr>
          </w:p>
        </w:tc>
        <w:tc>
          <w:tcPr>
            <w:tcW w:w="2820" w:type="dxa"/>
            <w:vAlign w:val="bottom"/>
            <w:tcBorders>
              <w:bottom w:val="single" w:sz="8" w:color="808080"/>
            </w:tcBorders>
          </w:tcPr>
          <w:p>
            <w:pPr>
              <w:spacing w:after="0"/>
              <w:rPr>
                <w:sz w:val="12"/>
                <w:szCs w:val="12"/>
                <w:color w:val="auto"/>
              </w:rPr>
            </w:pPr>
          </w:p>
        </w:tc>
        <w:tc>
          <w:tcPr>
            <w:tcW w:w="236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328" w:right="80" w:bottom="1440" w:gutter="0" w:footer="0" w:header="0"/>
        </w:sectPr>
      </w:pPr>
    </w:p>
    <w:bookmarkStart w:id="27" w:name="page28"/>
    <w:bookmarkEnd w:id="27"/>
    <w:p>
      <w:pPr>
        <w:spacing w:after="0"/>
        <w:tabs>
          <w:tab w:leader="none" w:pos="98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0" w:lineRule="exact"/>
        <w:rPr>
          <w:sz w:val="20"/>
          <w:szCs w:val="20"/>
          <w:color w:val="auto"/>
        </w:rPr>
      </w:pPr>
    </w:p>
    <w:p>
      <w:pPr>
        <w:ind w:right="500"/>
        <w:spacing w:after="0" w:line="275"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o</w:t>
      </w:r>
    </w:p>
    <w:p>
      <w:pPr>
        <w:spacing w:after="0" w:line="200" w:lineRule="exact"/>
        <w:rPr>
          <w:sz w:val="20"/>
          <w:szCs w:val="20"/>
          <w:color w:val="auto"/>
        </w:rPr>
      </w:pPr>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130"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spacing w:after="0"/>
        <w:tabs>
          <w:tab w:leader="none" w:pos="98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7"/>
          <w:szCs w:val="17"/>
          <w:b w:val="1"/>
          <w:bCs w:val="1"/>
          <w:color w:val="auto"/>
        </w:rPr>
        <w:t>Identification and Classification of the Subsidiary Which Acquired the Security Being Reported on By the Parent Holding Company.</w:t>
      </w:r>
    </w:p>
    <w:p>
      <w:pPr>
        <w:spacing w:after="0" w:line="130"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spacing w:after="0"/>
        <w:tabs>
          <w:tab w:leader="none" w:pos="98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7"/>
          <w:szCs w:val="17"/>
          <w:b w:val="1"/>
          <w:bCs w:val="1"/>
          <w:color w:val="auto"/>
        </w:rPr>
        <w:t>Identification and Classification of Members of the Group.</w:t>
      </w:r>
    </w:p>
    <w:p>
      <w:pPr>
        <w:spacing w:after="0" w:line="130"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spacing w:after="0"/>
        <w:tabs>
          <w:tab w:leader="none" w:pos="98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130"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spacing w:after="0"/>
        <w:tabs>
          <w:tab w:leader="none" w:pos="98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30" w:lineRule="exact"/>
        <w:rPr>
          <w:sz w:val="20"/>
          <w:szCs w:val="20"/>
          <w:color w:val="auto"/>
        </w:rPr>
      </w:pPr>
    </w:p>
    <w:p>
      <w:pPr>
        <w:jc w:val="both"/>
        <w:ind w:left="1000"/>
        <w:spacing w:after="0" w:line="263"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[The remainder of this page intentionally left blank.]</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00"/>
          </w:cols>
          <w:pgMar w:left="180" w:top="264" w:right="260" w:bottom="1440" w:gutter="0" w:footer="0" w:header="0"/>
        </w:sectPr>
      </w:pPr>
    </w:p>
    <w:bookmarkStart w:id="28" w:name="page29"/>
    <w:bookmarkEnd w:id="28"/>
    <w:p>
      <w:pPr>
        <w:jc w:val="center"/>
        <w:ind w:right="40"/>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correct.</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Date: March 1, 2019</w:t>
      </w:r>
    </w:p>
    <w:p>
      <w:pPr>
        <w:spacing w:after="0" w:line="232"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APOLLO CREDIT STRATEGIES MASTER FUND LTD.</w:t>
      </w:r>
    </w:p>
    <w:p>
      <w:pPr>
        <w:spacing w:after="0" w:line="244" w:lineRule="exact"/>
        <w:rPr>
          <w:sz w:val="20"/>
          <w:szCs w:val="20"/>
          <w:color w:val="auto"/>
        </w:rPr>
      </w:pPr>
    </w:p>
    <w:tbl>
      <w:tblPr>
        <w:tblLayout w:type="fixed"/>
        <w:tblInd w:w="6020" w:type="dxa"/>
        <w:tblCellMar>
          <w:top w:w="0" w:type="dxa"/>
          <w:left w:w="0" w:type="dxa"/>
          <w:bottom w:w="0" w:type="dxa"/>
          <w:right w:w="0" w:type="dxa"/>
        </w:tblCellMar>
      </w:tblPr>
      <w:tr>
        <w:trPr>
          <w:trHeight w:val="228"/>
        </w:trPr>
        <w:tc>
          <w:tcPr>
            <w:tcW w:w="520" w:type="dxa"/>
            <w:vAlign w:val="bottom"/>
          </w:tcPr>
          <w:p>
            <w:pPr>
              <w:spacing w:after="0"/>
              <w:rPr>
                <w:sz w:val="20"/>
                <w:szCs w:val="20"/>
                <w:color w:val="auto"/>
              </w:rPr>
            </w:pPr>
            <w:r>
              <w:rPr>
                <w:rFonts w:ascii="Arial" w:cs="Arial" w:eastAsia="Arial" w:hAnsi="Arial"/>
                <w:sz w:val="19"/>
                <w:szCs w:val="19"/>
                <w:color w:val="auto"/>
              </w:rPr>
              <w:t>By:</w:t>
            </w:r>
          </w:p>
        </w:tc>
        <w:tc>
          <w:tcPr>
            <w:tcW w:w="5460" w:type="dxa"/>
            <w:vAlign w:val="bottom"/>
            <w:gridSpan w:val="2"/>
          </w:tcPr>
          <w:p>
            <w:pPr>
              <w:ind w:left="280"/>
              <w:spacing w:after="0"/>
              <w:rPr>
                <w:sz w:val="20"/>
                <w:szCs w:val="20"/>
                <w:color w:val="auto"/>
              </w:rPr>
            </w:pPr>
            <w:r>
              <w:rPr>
                <w:rFonts w:ascii="Arial" w:cs="Arial" w:eastAsia="Arial" w:hAnsi="Arial"/>
                <w:sz w:val="19"/>
                <w:szCs w:val="19"/>
                <w:color w:val="auto"/>
              </w:rPr>
              <w:t>Apollo ST Fund Management LLC</w:t>
            </w:r>
          </w:p>
        </w:tc>
      </w:tr>
      <w:tr>
        <w:trPr>
          <w:trHeight w:val="241"/>
        </w:trPr>
        <w:tc>
          <w:tcPr>
            <w:tcW w:w="520" w:type="dxa"/>
            <w:vAlign w:val="bottom"/>
          </w:tcPr>
          <w:p>
            <w:pPr>
              <w:spacing w:after="0"/>
              <w:rPr>
                <w:sz w:val="20"/>
                <w:szCs w:val="20"/>
                <w:color w:val="auto"/>
              </w:rPr>
            </w:pPr>
          </w:p>
        </w:tc>
        <w:tc>
          <w:tcPr>
            <w:tcW w:w="5460" w:type="dxa"/>
            <w:vAlign w:val="bottom"/>
            <w:gridSpan w:val="2"/>
          </w:tcPr>
          <w:p>
            <w:pPr>
              <w:ind w:left="280"/>
              <w:spacing w:after="0"/>
              <w:rPr>
                <w:sz w:val="20"/>
                <w:szCs w:val="20"/>
                <w:color w:val="auto"/>
              </w:rPr>
            </w:pPr>
            <w:r>
              <w:rPr>
                <w:rFonts w:ascii="Arial" w:cs="Arial" w:eastAsia="Arial" w:hAnsi="Arial"/>
                <w:sz w:val="19"/>
                <w:szCs w:val="19"/>
                <w:color w:val="auto"/>
              </w:rPr>
              <w:t>its investment manager</w:t>
            </w:r>
          </w:p>
        </w:tc>
      </w:tr>
      <w:tr>
        <w:trPr>
          <w:trHeight w:val="456"/>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520" w:type="dxa"/>
            <w:vAlign w:val="bottom"/>
          </w:tcPr>
          <w:p>
            <w:pPr>
              <w:spacing w:after="0"/>
              <w:rPr>
                <w:sz w:val="18"/>
                <w:szCs w:val="18"/>
                <w:color w:val="auto"/>
              </w:rPr>
            </w:pPr>
          </w:p>
        </w:tc>
        <w:tc>
          <w:tcPr>
            <w:tcW w:w="1060" w:type="dxa"/>
            <w:vAlign w:val="bottom"/>
          </w:tcPr>
          <w:p>
            <w:pPr>
              <w:ind w:left="280"/>
              <w:spacing w:after="0" w:line="209" w:lineRule="exact"/>
              <w:rPr>
                <w:sz w:val="20"/>
                <w:szCs w:val="20"/>
                <w:color w:val="auto"/>
              </w:rPr>
            </w:pPr>
            <w:r>
              <w:rPr>
                <w:rFonts w:ascii="Arial" w:cs="Arial" w:eastAsia="Arial" w:hAnsi="Arial"/>
                <w:sz w:val="19"/>
                <w:szCs w:val="19"/>
                <w:color w:val="auto"/>
              </w:rPr>
              <w:t>Name:</w:t>
            </w:r>
          </w:p>
        </w:tc>
        <w:tc>
          <w:tcPr>
            <w:tcW w:w="440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520" w:type="dxa"/>
            <w:vAlign w:val="bottom"/>
          </w:tcPr>
          <w:p>
            <w:pPr>
              <w:spacing w:after="0"/>
              <w:rPr>
                <w:sz w:val="20"/>
                <w:szCs w:val="20"/>
                <w:color w:val="auto"/>
              </w:rPr>
            </w:pPr>
          </w:p>
        </w:tc>
        <w:tc>
          <w:tcPr>
            <w:tcW w:w="1060" w:type="dxa"/>
            <w:vAlign w:val="bottom"/>
          </w:tcPr>
          <w:p>
            <w:pPr>
              <w:ind w:left="280"/>
              <w:spacing w:after="0"/>
              <w:rPr>
                <w:sz w:val="20"/>
                <w:szCs w:val="20"/>
                <w:color w:val="auto"/>
              </w:rPr>
            </w:pPr>
            <w:r>
              <w:rPr>
                <w:rFonts w:ascii="Arial" w:cs="Arial" w:eastAsia="Arial" w:hAnsi="Arial"/>
                <w:sz w:val="19"/>
                <w:szCs w:val="19"/>
                <w:color w:val="auto"/>
              </w:rPr>
              <w:t>Title:</w:t>
            </w:r>
          </w:p>
        </w:tc>
        <w:tc>
          <w:tcPr>
            <w:tcW w:w="440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37"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APOLLO ST FUND MANAGEMENT LLC</w:t>
      </w:r>
    </w:p>
    <w:p>
      <w:pPr>
        <w:spacing w:after="0" w:line="244" w:lineRule="exact"/>
        <w:rPr>
          <w:sz w:val="20"/>
          <w:szCs w:val="20"/>
          <w:color w:val="auto"/>
        </w:rPr>
      </w:pPr>
    </w:p>
    <w:tbl>
      <w:tblPr>
        <w:tblLayout w:type="fixed"/>
        <w:tblInd w:w="602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80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5180" w:type="dxa"/>
            <w:vAlign w:val="bottom"/>
            <w:gridSpan w:val="2"/>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Title:</w:t>
            </w:r>
          </w:p>
        </w:tc>
        <w:tc>
          <w:tcPr>
            <w:tcW w:w="5180" w:type="dxa"/>
            <w:vAlign w:val="bottom"/>
            <w:gridSpan w:val="2"/>
          </w:tcPr>
          <w:p>
            <w:pPr>
              <w:spacing w:after="0"/>
              <w:rPr>
                <w:sz w:val="20"/>
                <w:szCs w:val="20"/>
                <w:color w:val="auto"/>
              </w:rPr>
            </w:pPr>
            <w:r>
              <w:rPr>
                <w:rFonts w:ascii="Arial" w:cs="Arial" w:eastAsia="Arial" w:hAnsi="Arial"/>
                <w:sz w:val="19"/>
                <w:szCs w:val="19"/>
                <w:color w:val="auto"/>
              </w:rPr>
              <w:t>Vice President</w:t>
            </w:r>
          </w:p>
        </w:tc>
      </w:tr>
      <w:tr>
        <w:trPr>
          <w:trHeight w:val="685"/>
        </w:trPr>
        <w:tc>
          <w:tcPr>
            <w:tcW w:w="5980" w:type="dxa"/>
            <w:vAlign w:val="bottom"/>
            <w:gridSpan w:val="3"/>
          </w:tcPr>
          <w:p>
            <w:pPr>
              <w:spacing w:after="0"/>
              <w:rPr>
                <w:sz w:val="20"/>
                <w:szCs w:val="20"/>
                <w:color w:val="auto"/>
              </w:rPr>
            </w:pPr>
            <w:r>
              <w:rPr>
                <w:rFonts w:ascii="Arial" w:cs="Arial" w:eastAsia="Arial" w:hAnsi="Arial"/>
                <w:sz w:val="19"/>
                <w:szCs w:val="19"/>
                <w:b w:val="1"/>
                <w:bCs w:val="1"/>
                <w:color w:val="auto"/>
              </w:rPr>
              <w:t>APOLLO ST OPERATING LP</w:t>
            </w:r>
          </w:p>
        </w:tc>
      </w:tr>
      <w:tr>
        <w:trPr>
          <w:trHeight w:val="443"/>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5180" w:type="dxa"/>
            <w:vAlign w:val="bottom"/>
            <w:gridSpan w:val="2"/>
          </w:tcPr>
          <w:p>
            <w:pPr>
              <w:spacing w:after="0"/>
              <w:rPr>
                <w:sz w:val="20"/>
                <w:szCs w:val="20"/>
                <w:color w:val="auto"/>
              </w:rPr>
            </w:pPr>
            <w:r>
              <w:rPr>
                <w:rFonts w:ascii="Arial" w:cs="Arial" w:eastAsia="Arial" w:hAnsi="Arial"/>
                <w:sz w:val="19"/>
                <w:szCs w:val="19"/>
                <w:color w:val="auto"/>
              </w:rPr>
              <w:t>Apollo ST Capital LLC</w:t>
            </w:r>
          </w:p>
        </w:tc>
      </w:tr>
      <w:tr>
        <w:trPr>
          <w:trHeight w:val="241"/>
        </w:trPr>
        <w:tc>
          <w:tcPr>
            <w:tcW w:w="80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9"/>
                <w:szCs w:val="19"/>
                <w:color w:val="auto"/>
              </w:rPr>
              <w:t>its general partner</w:t>
            </w:r>
          </w:p>
        </w:tc>
      </w:tr>
      <w:tr>
        <w:trPr>
          <w:trHeight w:val="456"/>
        </w:trPr>
        <w:tc>
          <w:tcPr>
            <w:tcW w:w="8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800" w:type="dxa"/>
            <w:vAlign w:val="bottom"/>
          </w:tcPr>
          <w:p>
            <w:pPr>
              <w:spacing w:after="0"/>
              <w:rPr>
                <w:sz w:val="18"/>
                <w:szCs w:val="18"/>
                <w:color w:val="auto"/>
              </w:rPr>
            </w:pPr>
          </w:p>
        </w:tc>
        <w:tc>
          <w:tcPr>
            <w:tcW w:w="78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440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9"/>
                <w:szCs w:val="19"/>
                <w:color w:val="auto"/>
              </w:rPr>
              <w:t>Title:</w:t>
            </w:r>
          </w:p>
        </w:tc>
        <w:tc>
          <w:tcPr>
            <w:tcW w:w="4400" w:type="dxa"/>
            <w:vAlign w:val="bottom"/>
          </w:tcPr>
          <w:p>
            <w:pPr>
              <w:spacing w:after="0"/>
              <w:rPr>
                <w:sz w:val="20"/>
                <w:szCs w:val="20"/>
                <w:color w:val="auto"/>
              </w:rPr>
            </w:pPr>
            <w:r>
              <w:rPr>
                <w:rFonts w:ascii="Arial" w:cs="Arial" w:eastAsia="Arial" w:hAnsi="Arial"/>
                <w:sz w:val="19"/>
                <w:szCs w:val="19"/>
                <w:color w:val="auto"/>
              </w:rPr>
              <w:t>Vice President</w:t>
            </w:r>
          </w:p>
        </w:tc>
      </w:tr>
      <w:tr>
        <w:trPr>
          <w:trHeight w:val="685"/>
        </w:trPr>
        <w:tc>
          <w:tcPr>
            <w:tcW w:w="5980" w:type="dxa"/>
            <w:vAlign w:val="bottom"/>
            <w:gridSpan w:val="3"/>
          </w:tcPr>
          <w:p>
            <w:pPr>
              <w:spacing w:after="0"/>
              <w:rPr>
                <w:sz w:val="20"/>
                <w:szCs w:val="20"/>
                <w:color w:val="auto"/>
              </w:rPr>
            </w:pPr>
            <w:r>
              <w:rPr>
                <w:rFonts w:ascii="Arial" w:cs="Arial" w:eastAsia="Arial" w:hAnsi="Arial"/>
                <w:sz w:val="19"/>
                <w:szCs w:val="19"/>
                <w:b w:val="1"/>
                <w:bCs w:val="1"/>
                <w:color w:val="auto"/>
              </w:rPr>
              <w:t>APOLLO ST CAPITAL LLC</w:t>
            </w:r>
          </w:p>
        </w:tc>
      </w:tr>
      <w:tr>
        <w:trPr>
          <w:trHeight w:val="456"/>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80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5180" w:type="dxa"/>
            <w:vAlign w:val="bottom"/>
            <w:gridSpan w:val="2"/>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Title:</w:t>
            </w:r>
          </w:p>
        </w:tc>
        <w:tc>
          <w:tcPr>
            <w:tcW w:w="5180" w:type="dxa"/>
            <w:vAlign w:val="bottom"/>
            <w:gridSpan w:val="2"/>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37"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ST MANAGEMENT HOLDINGS, LLC</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20" w:type="dxa"/>
            <w:vAlign w:val="bottom"/>
          </w:tcPr>
          <w:p>
            <w:pPr>
              <w:ind w:left="6020"/>
              <w:spacing w:after="0"/>
              <w:rPr>
                <w:sz w:val="20"/>
                <w:szCs w:val="20"/>
                <w:color w:val="auto"/>
              </w:rPr>
            </w:pPr>
            <w:r>
              <w:rPr>
                <w:rFonts w:ascii="Arial" w:cs="Arial" w:eastAsia="Arial" w:hAnsi="Arial"/>
                <w:sz w:val="19"/>
                <w:szCs w:val="19"/>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c>
          <w:tcPr>
            <w:tcW w:w="40" w:type="dxa"/>
            <w:vAlign w:val="bottom"/>
          </w:tcPr>
          <w:p>
            <w:pPr>
              <w:spacing w:after="0"/>
              <w:rPr>
                <w:sz w:val="20"/>
                <w:szCs w:val="20"/>
                <w:color w:val="auto"/>
              </w:rPr>
            </w:pPr>
          </w:p>
        </w:tc>
      </w:tr>
      <w:tr>
        <w:trPr>
          <w:trHeight w:val="209"/>
        </w:trPr>
        <w:tc>
          <w:tcPr>
            <w:tcW w:w="6820" w:type="dxa"/>
            <w:vAlign w:val="bottom"/>
          </w:tcPr>
          <w:p>
            <w:pPr>
              <w:ind w:left="6020"/>
              <w:spacing w:after="0" w:line="209" w:lineRule="exact"/>
              <w:rPr>
                <w:sz w:val="20"/>
                <w:szCs w:val="20"/>
                <w:color w:val="auto"/>
              </w:rPr>
            </w:pPr>
            <w:r>
              <w:rPr>
                <w:rFonts w:ascii="Arial" w:cs="Arial" w:eastAsia="Arial" w:hAnsi="Arial"/>
                <w:sz w:val="19"/>
                <w:szCs w:val="19"/>
                <w:color w:val="auto"/>
              </w:rPr>
              <w:t>Name:</w:t>
            </w:r>
          </w:p>
        </w:tc>
        <w:tc>
          <w:tcPr>
            <w:tcW w:w="518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c>
          <w:tcPr>
            <w:tcW w:w="40" w:type="dxa"/>
            <w:vAlign w:val="bottom"/>
          </w:tcPr>
          <w:p>
            <w:pPr>
              <w:spacing w:after="0"/>
              <w:rPr>
                <w:sz w:val="18"/>
                <w:szCs w:val="18"/>
                <w:color w:val="auto"/>
              </w:rPr>
            </w:pPr>
          </w:p>
        </w:tc>
      </w:tr>
      <w:tr>
        <w:trPr>
          <w:trHeight w:val="241"/>
        </w:trPr>
        <w:tc>
          <w:tcPr>
            <w:tcW w:w="6820" w:type="dxa"/>
            <w:vAlign w:val="bottom"/>
          </w:tcPr>
          <w:p>
            <w:pPr>
              <w:ind w:left="6020"/>
              <w:spacing w:after="0"/>
              <w:rPr>
                <w:sz w:val="20"/>
                <w:szCs w:val="20"/>
                <w:color w:val="auto"/>
              </w:rPr>
            </w:pPr>
            <w:r>
              <w:rPr>
                <w:rFonts w:ascii="Arial" w:cs="Arial" w:eastAsia="Arial" w:hAnsi="Arial"/>
                <w:sz w:val="19"/>
                <w:szCs w:val="19"/>
                <w:color w:val="auto"/>
              </w:rPr>
              <w:t>Title:</w:t>
            </w:r>
          </w:p>
        </w:tc>
        <w:tc>
          <w:tcPr>
            <w:tcW w:w="5180" w:type="dxa"/>
            <w:vAlign w:val="bottom"/>
          </w:tcPr>
          <w:p>
            <w:pPr>
              <w:spacing w:after="0"/>
              <w:rPr>
                <w:sz w:val="20"/>
                <w:szCs w:val="20"/>
                <w:color w:val="auto"/>
              </w:rPr>
            </w:pPr>
            <w:r>
              <w:rPr>
                <w:rFonts w:ascii="Arial" w:cs="Arial" w:eastAsia="Arial" w:hAnsi="Arial"/>
                <w:sz w:val="19"/>
                <w:szCs w:val="19"/>
                <w:color w:val="auto"/>
              </w:rPr>
              <w:t>Vice President</w:t>
            </w:r>
          </w:p>
        </w:tc>
        <w:tc>
          <w:tcPr>
            <w:tcW w:w="40" w:type="dxa"/>
            <w:vAlign w:val="bottom"/>
          </w:tcPr>
          <w:p>
            <w:pPr>
              <w:spacing w:after="0"/>
              <w:rPr>
                <w:sz w:val="20"/>
                <w:szCs w:val="20"/>
                <w:color w:val="auto"/>
              </w:rPr>
            </w:pPr>
          </w:p>
        </w:tc>
      </w:tr>
      <w:tr>
        <w:trPr>
          <w:trHeight w:val="456"/>
        </w:trPr>
        <w:tc>
          <w:tcPr>
            <w:tcW w:w="6820" w:type="dxa"/>
            <w:vAlign w:val="bottom"/>
          </w:tcPr>
          <w:p>
            <w:pPr>
              <w:jc w:val="right"/>
              <w:ind w:right="625"/>
              <w:spacing w:after="0"/>
              <w:rPr>
                <w:sz w:val="20"/>
                <w:szCs w:val="20"/>
                <w:color w:val="auto"/>
              </w:rPr>
            </w:pPr>
            <w:r>
              <w:rPr>
                <w:rFonts w:ascii="Arial" w:cs="Arial" w:eastAsia="Arial" w:hAnsi="Arial"/>
                <w:sz w:val="19"/>
                <w:szCs w:val="19"/>
                <w:color w:val="auto"/>
              </w:rPr>
              <w:t>29</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1"/>
        </w:trPr>
        <w:tc>
          <w:tcPr>
            <w:tcW w:w="6820" w:type="dxa"/>
            <w:vAlign w:val="bottom"/>
            <w:tcBorders>
              <w:bottom w:val="single" w:sz="8" w:color="808080"/>
            </w:tcBorders>
          </w:tcPr>
          <w:p>
            <w:pPr>
              <w:spacing w:after="0"/>
              <w:rPr>
                <w:sz w:val="12"/>
                <w:szCs w:val="12"/>
                <w:color w:val="auto"/>
              </w:rPr>
            </w:pPr>
          </w:p>
        </w:tc>
        <w:tc>
          <w:tcPr>
            <w:tcW w:w="51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07" w:right="80" w:bottom="1440" w:gutter="0" w:footer="0" w:header="0"/>
        </w:sectPr>
      </w:pPr>
    </w:p>
    <w:bookmarkStart w:id="29" w:name="page30"/>
    <w:bookmarkEnd w:id="29"/>
    <w:p>
      <w:pPr>
        <w:ind w:left="4700"/>
        <w:spacing w:after="0"/>
        <w:rPr>
          <w:sz w:val="20"/>
          <w:szCs w:val="20"/>
          <w:color w:val="auto"/>
        </w:rPr>
      </w:pPr>
      <w:r>
        <w:rPr>
          <w:rFonts w:ascii="Arial" w:cs="Arial" w:eastAsia="Arial" w:hAnsi="Arial"/>
          <w:sz w:val="19"/>
          <w:szCs w:val="19"/>
          <w:b w:val="1"/>
          <w:bCs w:val="1"/>
          <w:color w:val="auto"/>
        </w:rPr>
        <w:t>APOLLO A-N CREDIT FUND (DELAWARE), L.P.</w:t>
      </w:r>
    </w:p>
    <w:p>
      <w:pPr>
        <w:spacing w:after="0" w:line="244" w:lineRule="exact"/>
        <w:rPr>
          <w:sz w:val="20"/>
          <w:szCs w:val="20"/>
          <w:color w:val="auto"/>
        </w:rPr>
      </w:pPr>
    </w:p>
    <w:p>
      <w:pPr>
        <w:ind w:left="4700"/>
        <w:spacing w:after="0"/>
        <w:tabs>
          <w:tab w:leader="none" w:pos="52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Apollo A-N Credit Advisors (APO FC Delaware), L.P.</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9"/>
          <w:szCs w:val="19"/>
          <w:color w:val="auto"/>
        </w:rPr>
        <w:t>its general partner</w:t>
      </w:r>
    </w:p>
    <w:p>
      <w:pPr>
        <w:spacing w:after="0" w:line="225" w:lineRule="exact"/>
        <w:rPr>
          <w:sz w:val="20"/>
          <w:szCs w:val="20"/>
          <w:color w:val="auto"/>
        </w:rPr>
      </w:pPr>
    </w:p>
    <w:p>
      <w:pPr>
        <w:ind w:left="5300"/>
        <w:spacing w:after="0"/>
        <w:tabs>
          <w:tab w:leader="none" w:pos="5780" w:val="left"/>
        </w:tabs>
        <w:rPr>
          <w:sz w:val="20"/>
          <w:szCs w:val="20"/>
          <w:color w:val="auto"/>
        </w:rPr>
      </w:pPr>
      <w:r>
        <w:rPr>
          <w:rFonts w:ascii="Arial" w:cs="Arial" w:eastAsia="Arial" w:hAnsi="Arial"/>
          <w:sz w:val="19"/>
          <w:szCs w:val="19"/>
          <w:color w:val="auto"/>
        </w:rPr>
        <w:t>By:</w:t>
        <w:tab/>
        <w:t>Apollo A-N Credit Advisors (APO FC-GP), LLC</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9"/>
          <w:szCs w:val="19"/>
          <w:color w:val="auto"/>
        </w:rPr>
        <w:t>its general partner</w:t>
      </w:r>
    </w:p>
    <w:p>
      <w:pPr>
        <w:spacing w:after="0" w:line="225" w:lineRule="exact"/>
        <w:rPr>
          <w:sz w:val="20"/>
          <w:szCs w:val="20"/>
          <w:color w:val="auto"/>
        </w:rPr>
      </w:pPr>
    </w:p>
    <w:tbl>
      <w:tblPr>
        <w:tblLayout w:type="fixed"/>
        <w:tblInd w:w="470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p>
        </w:tc>
        <w:tc>
          <w:tcPr>
            <w:tcW w:w="1580" w:type="dxa"/>
            <w:vAlign w:val="bottom"/>
          </w:tcPr>
          <w:p>
            <w:pPr>
              <w:ind w:left="300"/>
              <w:spacing w:after="0"/>
              <w:rPr>
                <w:sz w:val="20"/>
                <w:szCs w:val="20"/>
                <w:color w:val="auto"/>
              </w:rPr>
            </w:pPr>
            <w:r>
              <w:rPr>
                <w:rFonts w:ascii="Arial" w:cs="Arial" w:eastAsia="Arial" w:hAnsi="Arial"/>
                <w:sz w:val="19"/>
                <w:szCs w:val="19"/>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800" w:type="dxa"/>
            <w:vAlign w:val="bottom"/>
          </w:tcPr>
          <w:p>
            <w:pPr>
              <w:spacing w:after="0"/>
              <w:rPr>
                <w:sz w:val="18"/>
                <w:szCs w:val="18"/>
                <w:color w:val="auto"/>
              </w:rPr>
            </w:pPr>
          </w:p>
        </w:tc>
        <w:tc>
          <w:tcPr>
            <w:tcW w:w="1580" w:type="dxa"/>
            <w:vAlign w:val="bottom"/>
          </w:tcPr>
          <w:p>
            <w:pPr>
              <w:ind w:left="300"/>
              <w:spacing w:after="0" w:line="209" w:lineRule="exact"/>
              <w:rPr>
                <w:sz w:val="20"/>
                <w:szCs w:val="20"/>
                <w:color w:val="auto"/>
              </w:rPr>
            </w:pPr>
            <w:r>
              <w:rPr>
                <w:rFonts w:ascii="Arial" w:cs="Arial" w:eastAsia="Arial" w:hAnsi="Arial"/>
                <w:sz w:val="19"/>
                <w:szCs w:val="19"/>
                <w:color w:val="auto"/>
              </w:rPr>
              <w:t>Name:</w:t>
            </w:r>
          </w:p>
        </w:tc>
        <w:tc>
          <w:tcPr>
            <w:tcW w:w="360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800" w:type="dxa"/>
            <w:vAlign w:val="bottom"/>
          </w:tcPr>
          <w:p>
            <w:pPr>
              <w:spacing w:after="0"/>
              <w:rPr>
                <w:sz w:val="20"/>
                <w:szCs w:val="20"/>
                <w:color w:val="auto"/>
              </w:rPr>
            </w:pPr>
          </w:p>
        </w:tc>
        <w:tc>
          <w:tcPr>
            <w:tcW w:w="1580" w:type="dxa"/>
            <w:vAlign w:val="bottom"/>
          </w:tcPr>
          <w:p>
            <w:pPr>
              <w:ind w:left="300"/>
              <w:spacing w:after="0"/>
              <w:rPr>
                <w:sz w:val="20"/>
                <w:szCs w:val="20"/>
                <w:color w:val="auto"/>
              </w:rPr>
            </w:pPr>
            <w:r>
              <w:rPr>
                <w:rFonts w:ascii="Arial" w:cs="Arial" w:eastAsia="Arial" w:hAnsi="Arial"/>
                <w:sz w:val="19"/>
                <w:szCs w:val="19"/>
                <w:color w:val="auto"/>
              </w:rPr>
              <w:t>Title:</w:t>
            </w:r>
          </w:p>
        </w:tc>
        <w:tc>
          <w:tcPr>
            <w:tcW w:w="3600" w:type="dxa"/>
            <w:vAlign w:val="bottom"/>
          </w:tcPr>
          <w:p>
            <w:pPr>
              <w:spacing w:after="0"/>
              <w:rPr>
                <w:sz w:val="20"/>
                <w:szCs w:val="20"/>
                <w:color w:val="auto"/>
              </w:rPr>
            </w:pPr>
            <w:r>
              <w:rPr>
                <w:rFonts w:ascii="Arial" w:cs="Arial" w:eastAsia="Arial" w:hAnsi="Arial"/>
                <w:sz w:val="19"/>
                <w:szCs w:val="19"/>
                <w:color w:val="auto"/>
              </w:rPr>
              <w:t>Vice President</w:t>
            </w:r>
          </w:p>
        </w:tc>
      </w:tr>
      <w:tr>
        <w:trPr>
          <w:trHeight w:val="685"/>
        </w:trPr>
        <w:tc>
          <w:tcPr>
            <w:tcW w:w="5980" w:type="dxa"/>
            <w:vAlign w:val="bottom"/>
            <w:gridSpan w:val="3"/>
          </w:tcPr>
          <w:p>
            <w:pPr>
              <w:spacing w:after="0"/>
              <w:rPr>
                <w:sz w:val="20"/>
                <w:szCs w:val="20"/>
                <w:color w:val="auto"/>
              </w:rPr>
            </w:pPr>
            <w:r>
              <w:rPr>
                <w:rFonts w:ascii="Arial" w:cs="Arial" w:eastAsia="Arial" w:hAnsi="Arial"/>
                <w:sz w:val="19"/>
                <w:szCs w:val="19"/>
                <w:b w:val="1"/>
                <w:bCs w:val="1"/>
                <w:color w:val="auto"/>
              </w:rPr>
              <w:t>APOLLO A-N CREDIT MANAGEMENT, LLC</w:t>
            </w:r>
          </w:p>
        </w:tc>
      </w:tr>
      <w:tr>
        <w:trPr>
          <w:trHeight w:val="456"/>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158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9"/>
              </w:rPr>
              <w:t>/s/ Joseph D. Glatt</w:t>
            </w:r>
          </w:p>
        </w:tc>
        <w:tc>
          <w:tcPr>
            <w:tcW w:w="3600" w:type="dxa"/>
            <w:vAlign w:val="bottom"/>
            <w:tcBorders>
              <w:bottom w:val="single" w:sz="8" w:color="auto"/>
            </w:tcBorders>
          </w:tcPr>
          <w:p>
            <w:pPr>
              <w:spacing w:after="0"/>
              <w:rPr>
                <w:sz w:val="24"/>
                <w:szCs w:val="24"/>
                <w:color w:val="auto"/>
              </w:rPr>
            </w:pPr>
          </w:p>
        </w:tc>
      </w:tr>
      <w:tr>
        <w:trPr>
          <w:trHeight w:val="209"/>
        </w:trPr>
        <w:tc>
          <w:tcPr>
            <w:tcW w:w="80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158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c>
          <w:tcPr>
            <w:tcW w:w="3600" w:type="dxa"/>
            <w:vAlign w:val="bottom"/>
          </w:tcPr>
          <w:p>
            <w:pPr>
              <w:spacing w:after="0"/>
              <w:rPr>
                <w:sz w:val="18"/>
                <w:szCs w:val="18"/>
                <w:color w:val="auto"/>
              </w:rPr>
            </w:pPr>
          </w:p>
        </w:tc>
      </w:t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Title:</w:t>
            </w:r>
          </w:p>
        </w:tc>
        <w:tc>
          <w:tcPr>
            <w:tcW w:w="1580" w:type="dxa"/>
            <w:vAlign w:val="bottom"/>
          </w:tcPr>
          <w:p>
            <w:pPr>
              <w:spacing w:after="0"/>
              <w:rPr>
                <w:sz w:val="20"/>
                <w:szCs w:val="20"/>
                <w:color w:val="auto"/>
              </w:rPr>
            </w:pPr>
            <w:r>
              <w:rPr>
                <w:rFonts w:ascii="Arial" w:cs="Arial" w:eastAsia="Arial" w:hAnsi="Arial"/>
                <w:sz w:val="19"/>
                <w:szCs w:val="19"/>
                <w:color w:val="auto"/>
              </w:rPr>
              <w:t>Vice President</w:t>
            </w:r>
          </w:p>
        </w:tc>
        <w:tc>
          <w:tcPr>
            <w:tcW w:w="3600" w:type="dxa"/>
            <w:vAlign w:val="bottom"/>
          </w:tcPr>
          <w:p>
            <w:pPr>
              <w:spacing w:after="0"/>
              <w:rPr>
                <w:sz w:val="20"/>
                <w:szCs w:val="20"/>
                <w:color w:val="auto"/>
              </w:rPr>
            </w:pPr>
          </w:p>
        </w:tc>
      </w:tr>
    </w:tbl>
    <w:p>
      <w:pPr>
        <w:spacing w:after="0" w:line="200" w:lineRule="exact"/>
        <w:rPr>
          <w:sz w:val="20"/>
          <w:szCs w:val="20"/>
          <w:color w:val="auto"/>
        </w:rPr>
      </w:pPr>
    </w:p>
    <w:p>
      <w:pPr>
        <w:spacing w:after="0" w:line="237" w:lineRule="exact"/>
        <w:rPr>
          <w:sz w:val="20"/>
          <w:szCs w:val="20"/>
          <w:color w:val="auto"/>
        </w:rPr>
      </w:pPr>
    </w:p>
    <w:p>
      <w:pPr>
        <w:ind w:left="4700"/>
        <w:spacing w:after="0"/>
        <w:rPr>
          <w:sz w:val="20"/>
          <w:szCs w:val="20"/>
          <w:color w:val="auto"/>
        </w:rPr>
      </w:pPr>
      <w:r>
        <w:rPr>
          <w:rFonts w:ascii="Arial" w:cs="Arial" w:eastAsia="Arial" w:hAnsi="Arial"/>
          <w:sz w:val="19"/>
          <w:szCs w:val="19"/>
          <w:b w:val="1"/>
          <w:bCs w:val="1"/>
          <w:color w:val="auto"/>
        </w:rPr>
        <w:t>APOLLO TR ENHANCED LEVERED YIELD LLC</w:t>
      </w:r>
    </w:p>
    <w:p>
      <w:pPr>
        <w:spacing w:after="0" w:line="244" w:lineRule="exact"/>
        <w:rPr>
          <w:sz w:val="20"/>
          <w:szCs w:val="20"/>
          <w:color w:val="auto"/>
        </w:rPr>
      </w:pPr>
    </w:p>
    <w:p>
      <w:pPr>
        <w:ind w:left="4700"/>
        <w:spacing w:after="0"/>
        <w:tabs>
          <w:tab w:leader="none" w:pos="52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Apollo Total Return Enhanced Management LLC</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9"/>
          <w:szCs w:val="19"/>
          <w:color w:val="auto"/>
        </w:rPr>
        <w:t>its investment manager</w:t>
      </w:r>
    </w:p>
    <w:p>
      <w:pPr>
        <w:spacing w:after="0" w:line="225" w:lineRule="exact"/>
        <w:rPr>
          <w:sz w:val="20"/>
          <w:szCs w:val="20"/>
          <w:color w:val="auto"/>
        </w:rPr>
      </w:pPr>
    </w:p>
    <w:tbl>
      <w:tblPr>
        <w:tblLayout w:type="fixed"/>
        <w:tblInd w:w="5300" w:type="dxa"/>
        <w:tblCellMar>
          <w:top w:w="0" w:type="dxa"/>
          <w:left w:w="0" w:type="dxa"/>
          <w:bottom w:w="0" w:type="dxa"/>
          <w:right w:w="0" w:type="dxa"/>
        </w:tblCellMar>
      </w:tblPr>
      <w:tr>
        <w:trPr>
          <w:trHeight w:val="241"/>
        </w:trPr>
        <w:tc>
          <w:tcPr>
            <w:tcW w:w="1280" w:type="dxa"/>
            <w:vAlign w:val="bottom"/>
          </w:tcPr>
          <w:p>
            <w:pPr>
              <w:spacing w:after="0"/>
              <w:rPr>
                <w:sz w:val="20"/>
                <w:szCs w:val="20"/>
                <w:color w:val="auto"/>
              </w:rPr>
            </w:pPr>
            <w:r>
              <w:rPr>
                <w:rFonts w:ascii="Arial" w:cs="Arial" w:eastAsia="Arial" w:hAnsi="Arial"/>
                <w:sz w:val="19"/>
                <w:szCs w:val="19"/>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128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410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1280" w:type="dxa"/>
            <w:vAlign w:val="bottom"/>
          </w:tcPr>
          <w:p>
            <w:pPr>
              <w:spacing w:after="0"/>
              <w:rPr>
                <w:sz w:val="20"/>
                <w:szCs w:val="20"/>
                <w:color w:val="auto"/>
              </w:rPr>
            </w:pPr>
            <w:r>
              <w:rPr>
                <w:rFonts w:ascii="Arial" w:cs="Arial" w:eastAsia="Arial" w:hAnsi="Arial"/>
                <w:sz w:val="19"/>
                <w:szCs w:val="19"/>
                <w:color w:val="auto"/>
              </w:rPr>
              <w:t>Title:</w:t>
            </w:r>
          </w:p>
        </w:tc>
        <w:tc>
          <w:tcPr>
            <w:tcW w:w="4100" w:type="dxa"/>
            <w:vAlign w:val="bottom"/>
          </w:tcPr>
          <w:p>
            <w:pPr>
              <w:spacing w:after="0"/>
              <w:rPr>
                <w:sz w:val="20"/>
                <w:szCs w:val="20"/>
                <w:color w:val="auto"/>
              </w:rPr>
            </w:pPr>
            <w:r>
              <w:rPr>
                <w:rFonts w:ascii="Arial" w:cs="Arial" w:eastAsia="Arial" w:hAnsi="Arial"/>
                <w:sz w:val="19"/>
                <w:szCs w:val="19"/>
                <w:color w:val="auto"/>
              </w:rPr>
              <w:t>Vice President and Secretary</w:t>
            </w:r>
          </w:p>
        </w:tc>
      </w:tr>
    </w:tbl>
    <w:p>
      <w:pPr>
        <w:spacing w:after="0" w:line="215" w:lineRule="exact"/>
        <w:rPr>
          <w:sz w:val="20"/>
          <w:szCs w:val="20"/>
          <w:color w:val="auto"/>
        </w:rPr>
      </w:pPr>
    </w:p>
    <w:p>
      <w:pPr>
        <w:ind w:left="4580"/>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85725</wp:posOffset>
            </wp:positionV>
            <wp:extent cx="7646670" cy="311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440" w:top="207" w:right="120" w:bottom="1440" w:gutter="0" w:footer="0" w:header="0"/>
        </w:sectPr>
      </w:pPr>
    </w:p>
    <w:bookmarkStart w:id="30" w:name="page31"/>
    <w:bookmarkEnd w:id="30"/>
    <w:p>
      <w:pPr>
        <w:ind w:left="4700"/>
        <w:spacing w:after="0"/>
        <w:rPr>
          <w:sz w:val="20"/>
          <w:szCs w:val="20"/>
          <w:color w:val="auto"/>
        </w:rPr>
      </w:pPr>
      <w:r>
        <w:rPr>
          <w:rFonts w:ascii="Arial" w:cs="Arial" w:eastAsia="Arial" w:hAnsi="Arial"/>
          <w:sz w:val="19"/>
          <w:szCs w:val="19"/>
          <w:b w:val="1"/>
          <w:bCs w:val="1"/>
          <w:color w:val="auto"/>
        </w:rPr>
        <w:t>APOLLO TR OPPORTUNISTIC LTD.</w:t>
      </w:r>
    </w:p>
    <w:p>
      <w:pPr>
        <w:spacing w:after="0" w:line="244" w:lineRule="exact"/>
        <w:rPr>
          <w:sz w:val="20"/>
          <w:szCs w:val="20"/>
          <w:color w:val="auto"/>
        </w:rPr>
      </w:pPr>
    </w:p>
    <w:p>
      <w:pPr>
        <w:ind w:left="4700"/>
        <w:spacing w:after="0"/>
        <w:tabs>
          <w:tab w:leader="none" w:pos="5180" w:val="left"/>
        </w:tabs>
        <w:rPr>
          <w:sz w:val="20"/>
          <w:szCs w:val="20"/>
          <w:color w:val="auto"/>
        </w:rPr>
      </w:pPr>
      <w:r>
        <w:rPr>
          <w:rFonts w:ascii="Arial" w:cs="Arial" w:eastAsia="Arial" w:hAnsi="Arial"/>
          <w:sz w:val="17"/>
          <w:szCs w:val="17"/>
          <w:color w:val="auto"/>
        </w:rPr>
        <w:t>By:</w:t>
        <w:tab/>
        <w:t>Apollo Total Return Master Fund LP</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its shareholder</w:t>
      </w:r>
    </w:p>
    <w:p>
      <w:pPr>
        <w:sectPr>
          <w:pgSz w:w="12240" w:h="15840" w:orient="portrait"/>
          <w:cols w:equalWidth="0" w:num="1">
            <w:col w:w="10680"/>
          </w:cols>
          <w:pgMar w:left="1440" w:top="207" w:right="120" w:bottom="1440" w:gutter="0" w:footer="0" w:header="0"/>
        </w:sectPr>
      </w:pP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Apollo Total Return Advisors LP</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its general partner</w:t>
      </w:r>
    </w:p>
    <w:p>
      <w:pPr>
        <w:spacing w:after="0" w:line="200" w:lineRule="exact"/>
        <w:rPr>
          <w:sz w:val="20"/>
          <w:szCs w:val="20"/>
          <w:color w:val="auto"/>
        </w:rPr>
      </w:pPr>
    </w:p>
    <w:p>
      <w:pPr>
        <w:sectPr>
          <w:pgSz w:w="12240" w:h="15840" w:orient="portrait"/>
          <w:cols w:equalWidth="0" w:num="2">
            <w:col w:w="5460" w:space="620"/>
            <w:col w:w="4600"/>
          </w:cols>
          <w:pgMar w:left="1440" w:top="207" w:right="120" w:bottom="1440" w:gutter="0" w:footer="0" w:header="0"/>
          <w:type w:val="continuous"/>
        </w:sectPr>
      </w:pPr>
    </w:p>
    <w:p>
      <w:pPr>
        <w:spacing w:after="0" w:line="25" w:lineRule="exact"/>
        <w:rPr>
          <w:sz w:val="20"/>
          <w:szCs w:val="20"/>
          <w:color w:val="auto"/>
        </w:rPr>
      </w:pPr>
    </w:p>
    <w:p>
      <w:pPr>
        <w:ind w:left="60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Apollo Total Return Advisors GP LLC</w:t>
      </w:r>
    </w:p>
    <w:p>
      <w:pPr>
        <w:spacing w:after="0" w:line="46" w:lineRule="exact"/>
        <w:rPr>
          <w:sz w:val="20"/>
          <w:szCs w:val="20"/>
          <w:color w:val="auto"/>
        </w:rPr>
      </w:pPr>
    </w:p>
    <w:p>
      <w:pPr>
        <w:sectPr>
          <w:pgSz w:w="12240" w:h="15840" w:orient="portrait"/>
          <w:cols w:equalWidth="0" w:num="2">
            <w:col w:w="6360" w:space="320"/>
            <w:col w:w="4000"/>
          </w:cols>
          <w:pgMar w:left="1440" w:top="207" w:right="120" w:bottom="1440" w:gutter="0" w:footer="0" w:header="0"/>
          <w:type w:val="continuous"/>
        </w:sectPr>
      </w:pPr>
    </w:p>
    <w:tbl>
      <w:tblPr>
        <w:tblLayout w:type="fixed"/>
        <w:tblInd w:w="6680" w:type="dxa"/>
        <w:tblCellMar>
          <w:top w:w="0" w:type="dxa"/>
          <w:left w:w="0" w:type="dxa"/>
          <w:bottom w:w="0" w:type="dxa"/>
          <w:right w:w="0" w:type="dxa"/>
        </w:tblCellMar>
      </w:tblPr>
      <w:tr>
        <w:trPr>
          <w:trHeight w:val="241"/>
        </w:trPr>
        <w:tc>
          <w:tcPr>
            <w:tcW w:w="2360" w:type="dxa"/>
            <w:vAlign w:val="bottom"/>
            <w:gridSpan w:val="2"/>
          </w:tcPr>
          <w:p>
            <w:pPr>
              <w:spacing w:after="0"/>
              <w:rPr>
                <w:sz w:val="20"/>
                <w:szCs w:val="20"/>
                <w:color w:val="auto"/>
              </w:rPr>
            </w:pPr>
            <w:r>
              <w:rPr>
                <w:rFonts w:ascii="Arial" w:cs="Arial" w:eastAsia="Arial" w:hAnsi="Arial"/>
                <w:sz w:val="19"/>
                <w:szCs w:val="19"/>
                <w:color w:val="auto"/>
              </w:rPr>
              <w:t>its general partner</w:t>
            </w:r>
          </w:p>
        </w:tc>
        <w:tc>
          <w:tcPr>
            <w:tcW w:w="1640" w:type="dxa"/>
            <w:vAlign w:val="bottom"/>
          </w:tcPr>
          <w:p>
            <w:pPr>
              <w:spacing w:after="0"/>
              <w:rPr>
                <w:sz w:val="20"/>
                <w:szCs w:val="20"/>
                <w:color w:val="auto"/>
              </w:rPr>
            </w:pPr>
          </w:p>
        </w:tc>
      </w:tr>
      <w:tr>
        <w:trPr>
          <w:trHeight w:val="444"/>
        </w:trPr>
        <w:tc>
          <w:tcPr>
            <w:tcW w:w="900" w:type="dxa"/>
            <w:vAlign w:val="bottom"/>
          </w:tcPr>
          <w:p>
            <w:pPr>
              <w:spacing w:after="0"/>
              <w:rPr>
                <w:sz w:val="20"/>
                <w:szCs w:val="20"/>
                <w:color w:val="auto"/>
              </w:rPr>
            </w:pPr>
            <w:r>
              <w:rPr>
                <w:rFonts w:ascii="Arial" w:cs="Arial" w:eastAsia="Arial" w:hAnsi="Arial"/>
                <w:sz w:val="19"/>
                <w:szCs w:val="19"/>
                <w:color w:val="auto"/>
              </w:rPr>
              <w:t>By:</w:t>
            </w:r>
          </w:p>
        </w:tc>
        <w:tc>
          <w:tcPr>
            <w:tcW w:w="146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2"/>
              </w:rPr>
              <w:t>/s/ Joseph D. Glatt</w:t>
            </w:r>
          </w:p>
        </w:tc>
        <w:tc>
          <w:tcPr>
            <w:tcW w:w="1640" w:type="dxa"/>
            <w:vAlign w:val="bottom"/>
            <w:tcBorders>
              <w:bottom w:val="single" w:sz="8" w:color="auto"/>
            </w:tcBorders>
          </w:tcPr>
          <w:p>
            <w:pPr>
              <w:spacing w:after="0"/>
              <w:rPr>
                <w:sz w:val="24"/>
                <w:szCs w:val="24"/>
                <w:color w:val="auto"/>
              </w:rPr>
            </w:pPr>
          </w:p>
        </w:tc>
      </w:tr>
      <w:tr>
        <w:trPr>
          <w:trHeight w:val="209"/>
        </w:trPr>
        <w:tc>
          <w:tcPr>
            <w:tcW w:w="900" w:type="dxa"/>
            <w:vAlign w:val="bottom"/>
          </w:tcPr>
          <w:p>
            <w:pPr>
              <w:spacing w:after="0"/>
              <w:rPr>
                <w:sz w:val="18"/>
                <w:szCs w:val="18"/>
                <w:color w:val="auto"/>
              </w:rPr>
            </w:pPr>
          </w:p>
        </w:tc>
        <w:tc>
          <w:tcPr>
            <w:tcW w:w="146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1640" w:type="dxa"/>
            <w:vAlign w:val="bottom"/>
          </w:tcPr>
          <w:p>
            <w:pPr>
              <w:ind w:left="40"/>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90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9"/>
                <w:szCs w:val="19"/>
                <w:color w:val="auto"/>
              </w:rPr>
              <w:t>Title:</w:t>
            </w:r>
          </w:p>
        </w:tc>
        <w:tc>
          <w:tcPr>
            <w:tcW w:w="1640" w:type="dxa"/>
            <w:vAlign w:val="bottom"/>
          </w:tcPr>
          <w:p>
            <w:pPr>
              <w:ind w:left="40"/>
              <w:spacing w:after="0"/>
              <w:rPr>
                <w:sz w:val="20"/>
                <w:szCs w:val="20"/>
                <w:color w:val="auto"/>
              </w:rPr>
            </w:pPr>
            <w:r>
              <w:rPr>
                <w:rFonts w:ascii="Arial" w:cs="Arial" w:eastAsia="Arial" w:hAnsi="Arial"/>
                <w:sz w:val="19"/>
                <w:szCs w:val="19"/>
                <w:color w:val="auto"/>
              </w:rPr>
              <w:t>Vice President</w:t>
            </w:r>
          </w:p>
        </w:tc>
      </w:tr>
    </w:tbl>
    <w:p>
      <w:pPr>
        <w:spacing w:after="0" w:line="215" w:lineRule="exact"/>
        <w:rPr>
          <w:sz w:val="20"/>
          <w:szCs w:val="20"/>
          <w:color w:val="auto"/>
        </w:rPr>
      </w:pPr>
    </w:p>
    <w:p>
      <w:pPr>
        <w:ind w:left="4700"/>
        <w:spacing w:after="0"/>
        <w:tabs>
          <w:tab w:leader="none" w:pos="5180" w:val="left"/>
        </w:tabs>
        <w:rPr>
          <w:sz w:val="20"/>
          <w:szCs w:val="20"/>
          <w:color w:val="auto"/>
        </w:rPr>
      </w:pPr>
      <w:r>
        <w:rPr>
          <w:rFonts w:ascii="Arial" w:cs="Arial" w:eastAsia="Arial" w:hAnsi="Arial"/>
          <w:sz w:val="19"/>
          <w:szCs w:val="19"/>
          <w:color w:val="auto"/>
        </w:rPr>
        <w:t>By:</w:t>
        <w:tab/>
        <w:t>Apollo Total Return Master Fund Enhanced LP</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its shareholder</w:t>
      </w:r>
    </w:p>
    <w:p>
      <w:pPr>
        <w:sectPr>
          <w:pgSz w:w="12240" w:h="15840" w:orient="portrait"/>
          <w:cols w:equalWidth="0" w:num="1">
            <w:col w:w="10680"/>
          </w:cols>
          <w:pgMar w:left="1440" w:top="207" w:right="120" w:bottom="1440" w:gutter="0" w:footer="0" w:header="0"/>
          <w:type w:val="continuous"/>
        </w:sectPr>
      </w:pP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260"/>
        <w:spacing w:after="0" w:line="275" w:lineRule="auto"/>
        <w:rPr>
          <w:sz w:val="20"/>
          <w:szCs w:val="20"/>
          <w:color w:val="auto"/>
        </w:rPr>
      </w:pPr>
      <w:r>
        <w:rPr>
          <w:rFonts w:ascii="Arial" w:cs="Arial" w:eastAsia="Arial" w:hAnsi="Arial"/>
          <w:sz w:val="19"/>
          <w:szCs w:val="19"/>
          <w:color w:val="auto"/>
        </w:rPr>
        <w:t>Apollo Total Return Enhanced Advisors LP its general partner</w:t>
      </w:r>
    </w:p>
    <w:p>
      <w:pPr>
        <w:spacing w:after="0" w:line="200" w:lineRule="exact"/>
        <w:rPr>
          <w:sz w:val="20"/>
          <w:szCs w:val="20"/>
          <w:color w:val="auto"/>
        </w:rPr>
      </w:pPr>
    </w:p>
    <w:p>
      <w:pPr>
        <w:sectPr>
          <w:pgSz w:w="12240" w:h="15840" w:orient="portrait"/>
          <w:cols w:equalWidth="0" w:num="2">
            <w:col w:w="5460" w:space="620"/>
            <w:col w:w="4600"/>
          </w:cols>
          <w:pgMar w:left="1440" w:top="207" w:right="120" w:bottom="1440" w:gutter="0" w:footer="0" w:header="0"/>
          <w:type w:val="continuous"/>
        </w:sectPr>
      </w:pPr>
    </w:p>
    <w:p>
      <w:pPr>
        <w:spacing w:after="0" w:line="212" w:lineRule="exact"/>
        <w:rPr>
          <w:sz w:val="20"/>
          <w:szCs w:val="20"/>
          <w:color w:val="auto"/>
        </w:rPr>
      </w:pPr>
    </w:p>
    <w:p>
      <w:pPr>
        <w:ind w:left="60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Apollo Total Return Enhanced Advisors GP LLC</w:t>
      </w:r>
    </w:p>
    <w:p>
      <w:pPr>
        <w:spacing w:after="0" w:line="46" w:lineRule="exact"/>
        <w:rPr>
          <w:sz w:val="20"/>
          <w:szCs w:val="20"/>
          <w:color w:val="auto"/>
        </w:rPr>
      </w:pPr>
    </w:p>
    <w:p>
      <w:pPr>
        <w:sectPr>
          <w:pgSz w:w="12240" w:h="15840" w:orient="portrait"/>
          <w:cols w:equalWidth="0" w:num="2">
            <w:col w:w="6360" w:space="220"/>
            <w:col w:w="4100"/>
          </w:cols>
          <w:pgMar w:left="1440" w:top="207" w:right="120" w:bottom="1440" w:gutter="0" w:footer="0" w:header="0"/>
          <w:type w:val="continuous"/>
        </w:sectPr>
      </w:pPr>
    </w:p>
    <w:tbl>
      <w:tblPr>
        <w:tblLayout w:type="fixed"/>
        <w:tblInd w:w="6580" w:type="dxa"/>
        <w:tblCellMar>
          <w:top w:w="0" w:type="dxa"/>
          <w:left w:w="0" w:type="dxa"/>
          <w:bottom w:w="0" w:type="dxa"/>
          <w:right w:w="0" w:type="dxa"/>
        </w:tblCellMar>
      </w:tblPr>
      <w:tr>
        <w:trPr>
          <w:trHeight w:val="241"/>
        </w:trPr>
        <w:tc>
          <w:tcPr>
            <w:tcW w:w="2460" w:type="dxa"/>
            <w:vAlign w:val="bottom"/>
            <w:gridSpan w:val="2"/>
          </w:tcPr>
          <w:p>
            <w:pPr>
              <w:spacing w:after="0"/>
              <w:rPr>
                <w:sz w:val="20"/>
                <w:szCs w:val="20"/>
                <w:color w:val="auto"/>
              </w:rPr>
            </w:pPr>
            <w:r>
              <w:rPr>
                <w:rFonts w:ascii="Arial" w:cs="Arial" w:eastAsia="Arial" w:hAnsi="Arial"/>
                <w:sz w:val="19"/>
                <w:szCs w:val="19"/>
                <w:color w:val="auto"/>
              </w:rPr>
              <w:t>its general partner</w:t>
            </w:r>
          </w:p>
        </w:tc>
        <w:tc>
          <w:tcPr>
            <w:tcW w:w="1640" w:type="dxa"/>
            <w:vAlign w:val="bottom"/>
          </w:tcPr>
          <w:p>
            <w:pPr>
              <w:spacing w:after="0"/>
              <w:rPr>
                <w:sz w:val="20"/>
                <w:szCs w:val="20"/>
                <w:color w:val="auto"/>
              </w:rPr>
            </w:pPr>
          </w:p>
        </w:tc>
      </w:tr>
      <w:tr>
        <w:trPr>
          <w:trHeight w:val="444"/>
        </w:trPr>
        <w:tc>
          <w:tcPr>
            <w:tcW w:w="1000" w:type="dxa"/>
            <w:vAlign w:val="bottom"/>
          </w:tcPr>
          <w:p>
            <w:pPr>
              <w:spacing w:after="0"/>
              <w:rPr>
                <w:sz w:val="20"/>
                <w:szCs w:val="20"/>
                <w:color w:val="auto"/>
              </w:rPr>
            </w:pPr>
            <w:r>
              <w:rPr>
                <w:rFonts w:ascii="Arial" w:cs="Arial" w:eastAsia="Arial" w:hAnsi="Arial"/>
                <w:sz w:val="19"/>
                <w:szCs w:val="19"/>
                <w:color w:val="auto"/>
              </w:rPr>
              <w:t>By:</w:t>
            </w:r>
          </w:p>
        </w:tc>
        <w:tc>
          <w:tcPr>
            <w:tcW w:w="146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2"/>
              </w:rPr>
              <w:t>/s/ Joseph D. Glatt</w:t>
            </w:r>
          </w:p>
        </w:tc>
        <w:tc>
          <w:tcPr>
            <w:tcW w:w="1640" w:type="dxa"/>
            <w:vAlign w:val="bottom"/>
            <w:tcBorders>
              <w:bottom w:val="single" w:sz="8" w:color="auto"/>
            </w:tcBorders>
          </w:tcPr>
          <w:p>
            <w:pPr>
              <w:spacing w:after="0"/>
              <w:rPr>
                <w:sz w:val="24"/>
                <w:szCs w:val="24"/>
                <w:color w:val="auto"/>
              </w:rPr>
            </w:pPr>
          </w:p>
        </w:tc>
      </w:tr>
      <w:tr>
        <w:trPr>
          <w:trHeight w:val="209"/>
        </w:trPr>
        <w:tc>
          <w:tcPr>
            <w:tcW w:w="1000" w:type="dxa"/>
            <w:vAlign w:val="bottom"/>
          </w:tcPr>
          <w:p>
            <w:pPr>
              <w:spacing w:after="0"/>
              <w:rPr>
                <w:sz w:val="18"/>
                <w:szCs w:val="18"/>
                <w:color w:val="auto"/>
              </w:rPr>
            </w:pPr>
          </w:p>
        </w:tc>
        <w:tc>
          <w:tcPr>
            <w:tcW w:w="146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1640" w:type="dxa"/>
            <w:vAlign w:val="bottom"/>
          </w:tcPr>
          <w:p>
            <w:pPr>
              <w:ind w:left="40"/>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9"/>
                <w:szCs w:val="19"/>
                <w:color w:val="auto"/>
              </w:rPr>
              <w:t>Title:</w:t>
            </w:r>
          </w:p>
        </w:tc>
        <w:tc>
          <w:tcPr>
            <w:tcW w:w="1640" w:type="dxa"/>
            <w:vAlign w:val="bottom"/>
          </w:tcPr>
          <w:p>
            <w:pPr>
              <w:ind w:left="40"/>
              <w:spacing w:after="0"/>
              <w:rPr>
                <w:sz w:val="20"/>
                <w:szCs w:val="20"/>
                <w:color w:val="auto"/>
              </w:rPr>
            </w:pPr>
            <w:r>
              <w:rPr>
                <w:rFonts w:ascii="Arial" w:cs="Arial" w:eastAsia="Arial" w:hAnsi="Arial"/>
                <w:sz w:val="19"/>
                <w:szCs w:val="19"/>
                <w:color w:val="auto"/>
              </w:rPr>
              <w:t>Vice President</w:t>
            </w:r>
          </w:p>
        </w:tc>
      </w:tr>
    </w:tbl>
    <w:p>
      <w:pPr>
        <w:spacing w:after="0" w:line="209" w:lineRule="exact"/>
        <w:rPr>
          <w:sz w:val="20"/>
          <w:szCs w:val="20"/>
          <w:color w:val="auto"/>
        </w:rPr>
      </w:pPr>
    </w:p>
    <w:p>
      <w:pPr>
        <w:ind w:left="4700"/>
        <w:spacing w:after="0"/>
        <w:rPr>
          <w:sz w:val="20"/>
          <w:szCs w:val="20"/>
          <w:color w:val="auto"/>
        </w:rPr>
      </w:pPr>
      <w:r>
        <w:rPr>
          <w:rFonts w:ascii="Arial" w:cs="Arial" w:eastAsia="Arial" w:hAnsi="Arial"/>
          <w:sz w:val="19"/>
          <w:szCs w:val="19"/>
          <w:b w:val="1"/>
          <w:bCs w:val="1"/>
          <w:color w:val="auto"/>
        </w:rPr>
        <w:t>APOLLO TOTAL RETURN MASTER FUND LP</w:t>
      </w:r>
    </w:p>
    <w:p>
      <w:pPr>
        <w:spacing w:after="0" w:line="244" w:lineRule="exact"/>
        <w:rPr>
          <w:sz w:val="20"/>
          <w:szCs w:val="20"/>
          <w:color w:val="auto"/>
        </w:rPr>
      </w:pPr>
    </w:p>
    <w:p>
      <w:pPr>
        <w:ind w:left="4700"/>
        <w:spacing w:after="0"/>
        <w:tabs>
          <w:tab w:leader="none" w:pos="5180" w:val="left"/>
        </w:tabs>
        <w:rPr>
          <w:sz w:val="20"/>
          <w:szCs w:val="20"/>
          <w:color w:val="auto"/>
        </w:rPr>
      </w:pPr>
      <w:r>
        <w:rPr>
          <w:rFonts w:ascii="Arial" w:cs="Arial" w:eastAsia="Arial" w:hAnsi="Arial"/>
          <w:sz w:val="19"/>
          <w:szCs w:val="19"/>
          <w:color w:val="auto"/>
        </w:rPr>
        <w:t>By:</w:t>
        <w:tab/>
        <w:t>Apollo Total Return Advisors LP</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its general partner</w:t>
      </w:r>
    </w:p>
    <w:p>
      <w:pPr>
        <w:spacing w:after="0" w:line="225" w:lineRule="exact"/>
        <w:rPr>
          <w:sz w:val="20"/>
          <w:szCs w:val="20"/>
          <w:color w:val="auto"/>
        </w:rPr>
      </w:pPr>
    </w:p>
    <w:tbl>
      <w:tblPr>
        <w:tblLayout w:type="fixed"/>
        <w:tblInd w:w="4700" w:type="dxa"/>
        <w:tblCellMar>
          <w:top w:w="0" w:type="dxa"/>
          <w:left w:w="0" w:type="dxa"/>
          <w:bottom w:w="0" w:type="dxa"/>
          <w:right w:w="0" w:type="dxa"/>
        </w:tblCellMar>
      </w:tblPr>
      <w:tr>
        <w:trPr>
          <w:trHeight w:val="228"/>
        </w:trPr>
        <w:tc>
          <w:tcPr>
            <w:tcW w:w="1100" w:type="dxa"/>
            <w:vAlign w:val="bottom"/>
          </w:tcPr>
          <w:p>
            <w:pPr>
              <w:ind w:left="500"/>
              <w:spacing w:after="0"/>
              <w:rPr>
                <w:sz w:val="20"/>
                <w:szCs w:val="20"/>
                <w:color w:val="auto"/>
              </w:rPr>
            </w:pPr>
            <w:r>
              <w:rPr>
                <w:rFonts w:ascii="Arial" w:cs="Arial" w:eastAsia="Arial" w:hAnsi="Arial"/>
                <w:sz w:val="19"/>
                <w:szCs w:val="19"/>
                <w:color w:val="auto"/>
              </w:rPr>
              <w:t>By:</w:t>
            </w:r>
          </w:p>
        </w:tc>
        <w:tc>
          <w:tcPr>
            <w:tcW w:w="4880" w:type="dxa"/>
            <w:vAlign w:val="bottom"/>
            <w:gridSpan w:val="2"/>
          </w:tcPr>
          <w:p>
            <w:pPr>
              <w:ind w:left="280"/>
              <w:spacing w:after="0"/>
              <w:rPr>
                <w:sz w:val="20"/>
                <w:szCs w:val="20"/>
                <w:color w:val="auto"/>
              </w:rPr>
            </w:pPr>
            <w:r>
              <w:rPr>
                <w:rFonts w:ascii="Arial" w:cs="Arial" w:eastAsia="Arial" w:hAnsi="Arial"/>
                <w:sz w:val="19"/>
                <w:szCs w:val="19"/>
                <w:color w:val="auto"/>
              </w:rPr>
              <w:t>Apollo Total Return Advisors GP LLC</w:t>
            </w:r>
          </w:p>
        </w:tc>
      </w:tr>
      <w:tr>
        <w:trPr>
          <w:trHeight w:val="241"/>
        </w:trPr>
        <w:tc>
          <w:tcPr>
            <w:tcW w:w="1100" w:type="dxa"/>
            <w:vAlign w:val="bottom"/>
          </w:tcPr>
          <w:p>
            <w:pPr>
              <w:spacing w:after="0"/>
              <w:rPr>
                <w:sz w:val="20"/>
                <w:szCs w:val="20"/>
                <w:color w:val="auto"/>
              </w:rPr>
            </w:pPr>
          </w:p>
        </w:tc>
        <w:tc>
          <w:tcPr>
            <w:tcW w:w="4880" w:type="dxa"/>
            <w:vAlign w:val="bottom"/>
            <w:gridSpan w:val="2"/>
          </w:tcPr>
          <w:p>
            <w:pPr>
              <w:ind w:left="280"/>
              <w:spacing w:after="0"/>
              <w:rPr>
                <w:sz w:val="20"/>
                <w:szCs w:val="20"/>
                <w:color w:val="auto"/>
              </w:rPr>
            </w:pPr>
            <w:r>
              <w:rPr>
                <w:rFonts w:ascii="Arial" w:cs="Arial" w:eastAsia="Arial" w:hAnsi="Arial"/>
                <w:sz w:val="19"/>
                <w:szCs w:val="19"/>
                <w:color w:val="auto"/>
              </w:rPr>
              <w:t>its general partner</w:t>
            </w:r>
          </w:p>
        </w:tc>
      </w:tr>
      <w:tr>
        <w:trPr>
          <w:trHeight w:val="456"/>
        </w:trPr>
        <w:tc>
          <w:tcPr>
            <w:tcW w:w="1100" w:type="dxa"/>
            <w:vAlign w:val="bottom"/>
          </w:tcPr>
          <w:p>
            <w:pPr>
              <w:spacing w:after="0"/>
              <w:rPr>
                <w:sz w:val="24"/>
                <w:szCs w:val="24"/>
                <w:color w:val="auto"/>
              </w:rPr>
            </w:pPr>
          </w:p>
        </w:tc>
        <w:tc>
          <w:tcPr>
            <w:tcW w:w="1380" w:type="dxa"/>
            <w:vAlign w:val="bottom"/>
          </w:tcPr>
          <w:p>
            <w:pPr>
              <w:ind w:left="280"/>
              <w:spacing w:after="0"/>
              <w:rPr>
                <w:sz w:val="20"/>
                <w:szCs w:val="20"/>
                <w:color w:val="auto"/>
              </w:rPr>
            </w:pPr>
            <w:r>
              <w:rPr>
                <w:rFonts w:ascii="Arial" w:cs="Arial" w:eastAsia="Arial" w:hAnsi="Arial"/>
                <w:sz w:val="19"/>
                <w:szCs w:val="19"/>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1100" w:type="dxa"/>
            <w:vAlign w:val="bottom"/>
          </w:tcPr>
          <w:p>
            <w:pPr>
              <w:spacing w:after="0"/>
              <w:rPr>
                <w:sz w:val="18"/>
                <w:szCs w:val="18"/>
                <w:color w:val="auto"/>
              </w:rPr>
            </w:pPr>
          </w:p>
        </w:tc>
        <w:tc>
          <w:tcPr>
            <w:tcW w:w="1380" w:type="dxa"/>
            <w:vAlign w:val="bottom"/>
          </w:tcPr>
          <w:p>
            <w:pPr>
              <w:ind w:left="280"/>
              <w:spacing w:after="0" w:line="209" w:lineRule="exact"/>
              <w:rPr>
                <w:sz w:val="20"/>
                <w:szCs w:val="20"/>
                <w:color w:val="auto"/>
              </w:rPr>
            </w:pPr>
            <w:r>
              <w:rPr>
                <w:rFonts w:ascii="Arial" w:cs="Arial" w:eastAsia="Arial" w:hAnsi="Arial"/>
                <w:sz w:val="19"/>
                <w:szCs w:val="19"/>
                <w:color w:val="auto"/>
              </w:rPr>
              <w:t>Name:</w:t>
            </w:r>
          </w:p>
        </w:tc>
        <w:tc>
          <w:tcPr>
            <w:tcW w:w="350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1100" w:type="dxa"/>
            <w:vAlign w:val="bottom"/>
          </w:tcPr>
          <w:p>
            <w:pPr>
              <w:spacing w:after="0"/>
              <w:rPr>
                <w:sz w:val="20"/>
                <w:szCs w:val="20"/>
                <w:color w:val="auto"/>
              </w:rPr>
            </w:pPr>
          </w:p>
        </w:tc>
        <w:tc>
          <w:tcPr>
            <w:tcW w:w="1380" w:type="dxa"/>
            <w:vAlign w:val="bottom"/>
          </w:tcPr>
          <w:p>
            <w:pPr>
              <w:ind w:left="280"/>
              <w:spacing w:after="0"/>
              <w:rPr>
                <w:sz w:val="20"/>
                <w:szCs w:val="20"/>
                <w:color w:val="auto"/>
              </w:rPr>
            </w:pPr>
            <w:r>
              <w:rPr>
                <w:rFonts w:ascii="Arial" w:cs="Arial" w:eastAsia="Arial" w:hAnsi="Arial"/>
                <w:sz w:val="19"/>
                <w:szCs w:val="19"/>
                <w:color w:val="auto"/>
              </w:rPr>
              <w:t>Title:</w:t>
            </w:r>
          </w:p>
        </w:tc>
        <w:tc>
          <w:tcPr>
            <w:tcW w:w="3500" w:type="dxa"/>
            <w:vAlign w:val="bottom"/>
          </w:tcPr>
          <w:p>
            <w:pPr>
              <w:spacing w:after="0"/>
              <w:rPr>
                <w:sz w:val="20"/>
                <w:szCs w:val="20"/>
                <w:color w:val="auto"/>
              </w:rPr>
            </w:pPr>
            <w:r>
              <w:rPr>
                <w:rFonts w:ascii="Arial" w:cs="Arial" w:eastAsia="Arial" w:hAnsi="Arial"/>
                <w:sz w:val="19"/>
                <w:szCs w:val="19"/>
                <w:color w:val="auto"/>
              </w:rPr>
              <w:t>Vice President</w:t>
            </w:r>
          </w:p>
        </w:tc>
      </w:tr>
      <w:tr>
        <w:trPr>
          <w:trHeight w:val="456"/>
        </w:trPr>
        <w:tc>
          <w:tcPr>
            <w:tcW w:w="5980" w:type="dxa"/>
            <w:vAlign w:val="bottom"/>
            <w:gridSpan w:val="3"/>
          </w:tcPr>
          <w:p>
            <w:pPr>
              <w:spacing w:after="0"/>
              <w:rPr>
                <w:sz w:val="20"/>
                <w:szCs w:val="20"/>
                <w:color w:val="auto"/>
              </w:rPr>
            </w:pPr>
            <w:r>
              <w:rPr>
                <w:rFonts w:ascii="Arial" w:cs="Arial" w:eastAsia="Arial" w:hAnsi="Arial"/>
                <w:sz w:val="19"/>
                <w:szCs w:val="19"/>
                <w:b w:val="1"/>
                <w:bCs w:val="1"/>
                <w:color w:val="auto"/>
              </w:rPr>
              <w:t>APOLLO TOTAL RETURN MANAGEMENT LLC</w:t>
            </w:r>
          </w:p>
        </w:tc>
      </w:tr>
      <w:tr>
        <w:trPr>
          <w:trHeight w:val="456"/>
        </w:trPr>
        <w:tc>
          <w:tcPr>
            <w:tcW w:w="1100" w:type="dxa"/>
            <w:vAlign w:val="bottom"/>
          </w:tcPr>
          <w:p>
            <w:pPr>
              <w:spacing w:after="0"/>
              <w:rPr>
                <w:sz w:val="20"/>
                <w:szCs w:val="20"/>
                <w:color w:val="auto"/>
              </w:rPr>
            </w:pPr>
            <w:r>
              <w:rPr>
                <w:rFonts w:ascii="Arial" w:cs="Arial" w:eastAsia="Arial" w:hAnsi="Arial"/>
                <w:sz w:val="19"/>
                <w:szCs w:val="19"/>
                <w:color w:val="auto"/>
              </w:rPr>
              <w:t>By:</w:t>
            </w: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110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138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c>
          <w:tcPr>
            <w:tcW w:w="3500" w:type="dxa"/>
            <w:vAlign w:val="bottom"/>
          </w:tcPr>
          <w:p>
            <w:pPr>
              <w:spacing w:after="0"/>
              <w:rPr>
                <w:sz w:val="18"/>
                <w:szCs w:val="18"/>
                <w:color w:val="auto"/>
              </w:rPr>
            </w:pPr>
          </w:p>
        </w:tc>
      </w:tr>
      <w:tr>
        <w:trPr>
          <w:trHeight w:val="241"/>
        </w:trPr>
        <w:tc>
          <w:tcPr>
            <w:tcW w:w="1100" w:type="dxa"/>
            <w:vAlign w:val="bottom"/>
          </w:tcPr>
          <w:p>
            <w:pPr>
              <w:spacing w:after="0"/>
              <w:rPr>
                <w:sz w:val="20"/>
                <w:szCs w:val="20"/>
                <w:color w:val="auto"/>
              </w:rPr>
            </w:pPr>
            <w:r>
              <w:rPr>
                <w:rFonts w:ascii="Arial" w:cs="Arial" w:eastAsia="Arial" w:hAnsi="Arial"/>
                <w:sz w:val="19"/>
                <w:szCs w:val="19"/>
                <w:color w:val="auto"/>
              </w:rPr>
              <w:t>Title:</w:t>
            </w:r>
          </w:p>
        </w:tc>
        <w:tc>
          <w:tcPr>
            <w:tcW w:w="1380" w:type="dxa"/>
            <w:vAlign w:val="bottom"/>
          </w:tcPr>
          <w:p>
            <w:pPr>
              <w:spacing w:after="0"/>
              <w:rPr>
                <w:sz w:val="20"/>
                <w:szCs w:val="20"/>
                <w:color w:val="auto"/>
              </w:rPr>
            </w:pPr>
            <w:r>
              <w:rPr>
                <w:rFonts w:ascii="Arial" w:cs="Arial" w:eastAsia="Arial" w:hAnsi="Arial"/>
                <w:sz w:val="19"/>
                <w:szCs w:val="19"/>
                <w:color w:val="auto"/>
              </w:rPr>
              <w:t>Vice President</w:t>
            </w:r>
          </w:p>
        </w:tc>
        <w:tc>
          <w:tcPr>
            <w:tcW w:w="3500" w:type="dxa"/>
            <w:vAlign w:val="bottom"/>
          </w:tcPr>
          <w:p>
            <w:pPr>
              <w:spacing w:after="0"/>
              <w:rPr>
                <w:sz w:val="20"/>
                <w:szCs w:val="20"/>
                <w:color w:val="auto"/>
              </w:rPr>
            </w:pPr>
          </w:p>
        </w:tc>
      </w:tr>
    </w:tbl>
    <w:p>
      <w:pPr>
        <w:spacing w:after="0" w:line="215" w:lineRule="exact"/>
        <w:rPr>
          <w:sz w:val="20"/>
          <w:szCs w:val="20"/>
          <w:color w:val="auto"/>
        </w:rPr>
      </w:pPr>
    </w:p>
    <w:p>
      <w:pPr>
        <w:ind w:left="4580"/>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85725</wp:posOffset>
            </wp:positionV>
            <wp:extent cx="7646670" cy="311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440" w:top="207" w:right="120" w:bottom="1440" w:gutter="0" w:footer="0" w:header="0"/>
          <w:type w:val="continuous"/>
        </w:sectPr>
      </w:pPr>
    </w:p>
    <w:bookmarkStart w:id="31" w:name="page32"/>
    <w:bookmarkEnd w:id="31"/>
    <w:p>
      <w:pPr>
        <w:ind w:left="6020"/>
        <w:spacing w:after="0"/>
        <w:rPr>
          <w:sz w:val="20"/>
          <w:szCs w:val="20"/>
          <w:color w:val="auto"/>
        </w:rPr>
      </w:pPr>
      <w:r>
        <w:rPr>
          <w:rFonts w:ascii="Arial" w:cs="Arial" w:eastAsia="Arial" w:hAnsi="Arial"/>
          <w:sz w:val="19"/>
          <w:szCs w:val="19"/>
          <w:b w:val="1"/>
          <w:bCs w:val="1"/>
          <w:color w:val="auto"/>
        </w:rPr>
        <w:t>APOLLO TOTAL RETURN MASTER FUND ENHANCED LP</w:t>
      </w:r>
    </w:p>
    <w:p>
      <w:pPr>
        <w:spacing w:after="0" w:line="244" w:lineRule="exact"/>
        <w:rPr>
          <w:sz w:val="20"/>
          <w:szCs w:val="20"/>
          <w:color w:val="auto"/>
        </w:rPr>
      </w:pPr>
    </w:p>
    <w:p>
      <w:pPr>
        <w:ind w:left="6020"/>
        <w:spacing w:after="0"/>
        <w:tabs>
          <w:tab w:leader="none" w:pos="6500" w:val="left"/>
        </w:tabs>
        <w:rPr>
          <w:sz w:val="20"/>
          <w:szCs w:val="20"/>
          <w:color w:val="auto"/>
        </w:rPr>
      </w:pPr>
      <w:r>
        <w:rPr>
          <w:rFonts w:ascii="Arial" w:cs="Arial" w:eastAsia="Arial" w:hAnsi="Arial"/>
          <w:sz w:val="19"/>
          <w:szCs w:val="19"/>
          <w:color w:val="auto"/>
        </w:rPr>
        <w:t>By:</w:t>
        <w:tab/>
        <w:t>Apollo Total Return Enhanced Advisors LP</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9"/>
          <w:szCs w:val="19"/>
          <w:color w:val="auto"/>
        </w:rPr>
        <w:t>its general partner</w:t>
      </w:r>
    </w:p>
    <w:p>
      <w:pPr>
        <w:spacing w:after="0" w:line="225" w:lineRule="exact"/>
        <w:rPr>
          <w:sz w:val="20"/>
          <w:szCs w:val="20"/>
          <w:color w:val="auto"/>
        </w:rPr>
      </w:pPr>
    </w:p>
    <w:tbl>
      <w:tblPr>
        <w:tblLayout w:type="fixed"/>
        <w:tblInd w:w="6520" w:type="dxa"/>
        <w:tblCellMar>
          <w:top w:w="0" w:type="dxa"/>
          <w:left w:w="0" w:type="dxa"/>
          <w:bottom w:w="0" w:type="dxa"/>
          <w:right w:w="0" w:type="dxa"/>
        </w:tblCellMar>
      </w:tblPr>
      <w:tr>
        <w:trPr>
          <w:trHeight w:val="228"/>
        </w:trPr>
        <w:tc>
          <w:tcPr>
            <w:tcW w:w="420" w:type="dxa"/>
            <w:vAlign w:val="bottom"/>
          </w:tcPr>
          <w:p>
            <w:pPr>
              <w:spacing w:after="0"/>
              <w:rPr>
                <w:sz w:val="20"/>
                <w:szCs w:val="20"/>
                <w:color w:val="auto"/>
              </w:rPr>
            </w:pPr>
            <w:r>
              <w:rPr>
                <w:rFonts w:ascii="Arial" w:cs="Arial" w:eastAsia="Arial" w:hAnsi="Arial"/>
                <w:sz w:val="19"/>
                <w:szCs w:val="19"/>
                <w:color w:val="auto"/>
              </w:rPr>
              <w:t>By:</w:t>
            </w:r>
          </w:p>
        </w:tc>
        <w:tc>
          <w:tcPr>
            <w:tcW w:w="5060" w:type="dxa"/>
            <w:vAlign w:val="bottom"/>
            <w:gridSpan w:val="2"/>
          </w:tcPr>
          <w:p>
            <w:pPr>
              <w:ind w:left="180"/>
              <w:spacing w:after="0"/>
              <w:rPr>
                <w:sz w:val="20"/>
                <w:szCs w:val="20"/>
                <w:color w:val="auto"/>
              </w:rPr>
            </w:pPr>
            <w:r>
              <w:rPr>
                <w:rFonts w:ascii="Arial" w:cs="Arial" w:eastAsia="Arial" w:hAnsi="Arial"/>
                <w:sz w:val="19"/>
                <w:szCs w:val="19"/>
                <w:color w:val="auto"/>
              </w:rPr>
              <w:t>Apollo Total Return Enhanced Advisors GP LLC</w:t>
            </w:r>
          </w:p>
        </w:tc>
      </w:tr>
      <w:tr>
        <w:trPr>
          <w:trHeight w:val="241"/>
        </w:trPr>
        <w:tc>
          <w:tcPr>
            <w:tcW w:w="420" w:type="dxa"/>
            <w:vAlign w:val="bottom"/>
          </w:tcPr>
          <w:p>
            <w:pPr>
              <w:spacing w:after="0"/>
              <w:rPr>
                <w:sz w:val="20"/>
                <w:szCs w:val="20"/>
                <w:color w:val="auto"/>
              </w:rPr>
            </w:pPr>
          </w:p>
        </w:tc>
        <w:tc>
          <w:tcPr>
            <w:tcW w:w="5060" w:type="dxa"/>
            <w:vAlign w:val="bottom"/>
            <w:gridSpan w:val="2"/>
          </w:tcPr>
          <w:p>
            <w:pPr>
              <w:ind w:left="180"/>
              <w:spacing w:after="0"/>
              <w:rPr>
                <w:sz w:val="20"/>
                <w:szCs w:val="20"/>
                <w:color w:val="auto"/>
              </w:rPr>
            </w:pPr>
            <w:r>
              <w:rPr>
                <w:rFonts w:ascii="Arial" w:cs="Arial" w:eastAsia="Arial" w:hAnsi="Arial"/>
                <w:sz w:val="19"/>
                <w:szCs w:val="19"/>
                <w:color w:val="auto"/>
              </w:rPr>
              <w:t>its general partner</w:t>
            </w:r>
          </w:p>
        </w:tc>
      </w:tr>
      <w:tr>
        <w:trPr>
          <w:trHeight w:val="456"/>
        </w:trPr>
        <w:tc>
          <w:tcPr>
            <w:tcW w:w="420" w:type="dxa"/>
            <w:vAlign w:val="bottom"/>
          </w:tcPr>
          <w:p>
            <w:pPr>
              <w:spacing w:after="0"/>
              <w:rPr>
                <w:sz w:val="24"/>
                <w:szCs w:val="24"/>
                <w:color w:val="auto"/>
              </w:rPr>
            </w:pPr>
          </w:p>
        </w:tc>
        <w:tc>
          <w:tcPr>
            <w:tcW w:w="960" w:type="dxa"/>
            <w:vAlign w:val="bottom"/>
          </w:tcPr>
          <w:p>
            <w:pPr>
              <w:ind w:left="180"/>
              <w:spacing w:after="0"/>
              <w:rPr>
                <w:sz w:val="20"/>
                <w:szCs w:val="20"/>
                <w:color w:val="auto"/>
              </w:rPr>
            </w:pPr>
            <w:r>
              <w:rPr>
                <w:rFonts w:ascii="Arial" w:cs="Arial" w:eastAsia="Arial" w:hAnsi="Arial"/>
                <w:sz w:val="19"/>
                <w:szCs w:val="19"/>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420" w:type="dxa"/>
            <w:vAlign w:val="bottom"/>
          </w:tcPr>
          <w:p>
            <w:pPr>
              <w:spacing w:after="0"/>
              <w:rPr>
                <w:sz w:val="18"/>
                <w:szCs w:val="18"/>
                <w:color w:val="auto"/>
              </w:rPr>
            </w:pPr>
          </w:p>
        </w:tc>
        <w:tc>
          <w:tcPr>
            <w:tcW w:w="960" w:type="dxa"/>
            <w:vAlign w:val="bottom"/>
          </w:tcPr>
          <w:p>
            <w:pPr>
              <w:ind w:left="180"/>
              <w:spacing w:after="0" w:line="209" w:lineRule="exact"/>
              <w:rPr>
                <w:sz w:val="20"/>
                <w:szCs w:val="20"/>
                <w:color w:val="auto"/>
              </w:rPr>
            </w:pPr>
            <w:r>
              <w:rPr>
                <w:rFonts w:ascii="Arial" w:cs="Arial" w:eastAsia="Arial" w:hAnsi="Arial"/>
                <w:sz w:val="19"/>
                <w:szCs w:val="19"/>
                <w:color w:val="auto"/>
              </w:rPr>
              <w:t>Name:</w:t>
            </w:r>
          </w:p>
        </w:tc>
        <w:tc>
          <w:tcPr>
            <w:tcW w:w="410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42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Arial" w:cs="Arial" w:eastAsia="Arial" w:hAnsi="Arial"/>
                <w:sz w:val="19"/>
                <w:szCs w:val="19"/>
                <w:color w:val="auto"/>
              </w:rPr>
              <w:t>Title:</w:t>
            </w:r>
          </w:p>
        </w:tc>
        <w:tc>
          <w:tcPr>
            <w:tcW w:w="410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37"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APOLLO TOTAL RETURN ENHANCED MANAGEMENT LLC</w:t>
      </w:r>
    </w:p>
    <w:p>
      <w:pPr>
        <w:spacing w:after="0" w:line="244" w:lineRule="exact"/>
        <w:rPr>
          <w:sz w:val="20"/>
          <w:szCs w:val="20"/>
          <w:color w:val="auto"/>
        </w:rPr>
      </w:pPr>
    </w:p>
    <w:tbl>
      <w:tblPr>
        <w:tblLayout w:type="fixed"/>
        <w:tblInd w:w="602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80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518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Title:</w:t>
            </w:r>
          </w:p>
        </w:tc>
        <w:tc>
          <w:tcPr>
            <w:tcW w:w="518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37"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APOLLO CREDIT MANAGEMENT, LLC</w:t>
      </w:r>
    </w:p>
    <w:p>
      <w:pPr>
        <w:spacing w:after="0" w:line="244" w:lineRule="exact"/>
        <w:rPr>
          <w:sz w:val="20"/>
          <w:szCs w:val="20"/>
          <w:color w:val="auto"/>
        </w:rPr>
      </w:pPr>
    </w:p>
    <w:tbl>
      <w:tblPr>
        <w:tblLayout w:type="fixed"/>
        <w:tblInd w:w="602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80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518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Title:</w:t>
            </w:r>
          </w:p>
        </w:tc>
        <w:tc>
          <w:tcPr>
            <w:tcW w:w="518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37"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APOLLO CAPITAL CREDIT MANAGEMENT, LLC</w:t>
      </w:r>
    </w:p>
    <w:p>
      <w:pPr>
        <w:spacing w:after="0" w:line="244" w:lineRule="exact"/>
        <w:rPr>
          <w:sz w:val="20"/>
          <w:szCs w:val="20"/>
          <w:color w:val="auto"/>
        </w:rPr>
      </w:pPr>
    </w:p>
    <w:tbl>
      <w:tblPr>
        <w:tblLayout w:type="fixed"/>
        <w:tblInd w:w="602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80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518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Title:</w:t>
            </w:r>
          </w:p>
        </w:tc>
        <w:tc>
          <w:tcPr>
            <w:tcW w:w="518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37"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APOLLO SA MANAGEMENT, LLC</w:t>
      </w:r>
    </w:p>
    <w:p>
      <w:pPr>
        <w:spacing w:after="0" w:line="244" w:lineRule="exact"/>
        <w:rPr>
          <w:sz w:val="20"/>
          <w:szCs w:val="20"/>
          <w:color w:val="auto"/>
        </w:rPr>
      </w:pPr>
    </w:p>
    <w:tbl>
      <w:tblPr>
        <w:tblLayout w:type="fixed"/>
        <w:tblInd w:w="602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80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518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Title:</w:t>
            </w:r>
          </w:p>
        </w:tc>
        <w:tc>
          <w:tcPr>
            <w:tcW w:w="518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37"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APOLLO ARROWHEAD MANAGEMENT, LLC</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20" w:type="dxa"/>
            <w:vAlign w:val="bottom"/>
          </w:tcPr>
          <w:p>
            <w:pPr>
              <w:ind w:left="6020"/>
              <w:spacing w:after="0"/>
              <w:rPr>
                <w:sz w:val="20"/>
                <w:szCs w:val="20"/>
                <w:color w:val="auto"/>
              </w:rPr>
            </w:pPr>
            <w:r>
              <w:rPr>
                <w:rFonts w:ascii="Arial" w:cs="Arial" w:eastAsia="Arial" w:hAnsi="Arial"/>
                <w:sz w:val="19"/>
                <w:szCs w:val="19"/>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c>
          <w:tcPr>
            <w:tcW w:w="40" w:type="dxa"/>
            <w:vAlign w:val="bottom"/>
          </w:tcPr>
          <w:p>
            <w:pPr>
              <w:spacing w:after="0"/>
              <w:rPr>
                <w:sz w:val="20"/>
                <w:szCs w:val="20"/>
                <w:color w:val="auto"/>
              </w:rPr>
            </w:pPr>
          </w:p>
        </w:tc>
      </w:tr>
      <w:tr>
        <w:trPr>
          <w:trHeight w:val="209"/>
        </w:trPr>
        <w:tc>
          <w:tcPr>
            <w:tcW w:w="6820" w:type="dxa"/>
            <w:vAlign w:val="bottom"/>
          </w:tcPr>
          <w:p>
            <w:pPr>
              <w:ind w:left="6020"/>
              <w:spacing w:after="0" w:line="209" w:lineRule="exact"/>
              <w:rPr>
                <w:sz w:val="20"/>
                <w:szCs w:val="20"/>
                <w:color w:val="auto"/>
              </w:rPr>
            </w:pPr>
            <w:r>
              <w:rPr>
                <w:rFonts w:ascii="Arial" w:cs="Arial" w:eastAsia="Arial" w:hAnsi="Arial"/>
                <w:sz w:val="19"/>
                <w:szCs w:val="19"/>
                <w:color w:val="auto"/>
              </w:rPr>
              <w:t>Name:</w:t>
            </w:r>
          </w:p>
        </w:tc>
        <w:tc>
          <w:tcPr>
            <w:tcW w:w="518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c>
          <w:tcPr>
            <w:tcW w:w="40" w:type="dxa"/>
            <w:vAlign w:val="bottom"/>
          </w:tcPr>
          <w:p>
            <w:pPr>
              <w:spacing w:after="0"/>
              <w:rPr>
                <w:sz w:val="18"/>
                <w:szCs w:val="18"/>
                <w:color w:val="auto"/>
              </w:rPr>
            </w:pPr>
          </w:p>
        </w:tc>
      </w:tr>
      <w:tr>
        <w:trPr>
          <w:trHeight w:val="241"/>
        </w:trPr>
        <w:tc>
          <w:tcPr>
            <w:tcW w:w="6820" w:type="dxa"/>
            <w:vAlign w:val="bottom"/>
          </w:tcPr>
          <w:p>
            <w:pPr>
              <w:ind w:left="6020"/>
              <w:spacing w:after="0"/>
              <w:rPr>
                <w:sz w:val="20"/>
                <w:szCs w:val="20"/>
                <w:color w:val="auto"/>
              </w:rPr>
            </w:pPr>
            <w:r>
              <w:rPr>
                <w:rFonts w:ascii="Arial" w:cs="Arial" w:eastAsia="Arial" w:hAnsi="Arial"/>
                <w:sz w:val="19"/>
                <w:szCs w:val="19"/>
                <w:color w:val="auto"/>
              </w:rPr>
              <w:t>Title:</w:t>
            </w:r>
          </w:p>
        </w:tc>
        <w:tc>
          <w:tcPr>
            <w:tcW w:w="5180" w:type="dxa"/>
            <w:vAlign w:val="bottom"/>
          </w:tcPr>
          <w:p>
            <w:pPr>
              <w:spacing w:after="0"/>
              <w:rPr>
                <w:sz w:val="20"/>
                <w:szCs w:val="20"/>
                <w:color w:val="auto"/>
              </w:rPr>
            </w:pPr>
            <w:r>
              <w:rPr>
                <w:rFonts w:ascii="Arial" w:cs="Arial" w:eastAsia="Arial" w:hAnsi="Arial"/>
                <w:sz w:val="19"/>
                <w:szCs w:val="19"/>
                <w:color w:val="auto"/>
              </w:rPr>
              <w:t>Vice President</w:t>
            </w:r>
          </w:p>
        </w:tc>
        <w:tc>
          <w:tcPr>
            <w:tcW w:w="40" w:type="dxa"/>
            <w:vAlign w:val="bottom"/>
          </w:tcPr>
          <w:p>
            <w:pPr>
              <w:spacing w:after="0"/>
              <w:rPr>
                <w:sz w:val="20"/>
                <w:szCs w:val="20"/>
                <w:color w:val="auto"/>
              </w:rPr>
            </w:pPr>
          </w:p>
        </w:tc>
      </w:tr>
      <w:tr>
        <w:trPr>
          <w:trHeight w:val="456"/>
        </w:trPr>
        <w:tc>
          <w:tcPr>
            <w:tcW w:w="6820" w:type="dxa"/>
            <w:vAlign w:val="bottom"/>
          </w:tcPr>
          <w:p>
            <w:pPr>
              <w:jc w:val="right"/>
              <w:ind w:right="625"/>
              <w:spacing w:after="0"/>
              <w:rPr>
                <w:sz w:val="20"/>
                <w:szCs w:val="20"/>
                <w:color w:val="auto"/>
              </w:rPr>
            </w:pPr>
            <w:r>
              <w:rPr>
                <w:rFonts w:ascii="Arial" w:cs="Arial" w:eastAsia="Arial" w:hAnsi="Arial"/>
                <w:sz w:val="19"/>
                <w:szCs w:val="19"/>
                <w:color w:val="auto"/>
              </w:rPr>
              <w:t>32</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1"/>
        </w:trPr>
        <w:tc>
          <w:tcPr>
            <w:tcW w:w="6820" w:type="dxa"/>
            <w:vAlign w:val="bottom"/>
            <w:tcBorders>
              <w:bottom w:val="single" w:sz="8" w:color="808080"/>
            </w:tcBorders>
          </w:tcPr>
          <w:p>
            <w:pPr>
              <w:spacing w:after="0"/>
              <w:rPr>
                <w:sz w:val="12"/>
                <w:szCs w:val="12"/>
                <w:color w:val="auto"/>
              </w:rPr>
            </w:pPr>
          </w:p>
        </w:tc>
        <w:tc>
          <w:tcPr>
            <w:tcW w:w="51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07" w:right="80" w:bottom="1440" w:gutter="0" w:footer="0" w:header="0"/>
        </w:sectPr>
      </w:pPr>
    </w:p>
    <w:bookmarkStart w:id="32" w:name="page33"/>
    <w:bookmarkEnd w:id="32"/>
    <w:p>
      <w:pPr>
        <w:ind w:left="6020"/>
        <w:spacing w:after="0"/>
        <w:rPr>
          <w:sz w:val="20"/>
          <w:szCs w:val="20"/>
          <w:color w:val="auto"/>
        </w:rPr>
      </w:pPr>
      <w:r>
        <w:rPr>
          <w:rFonts w:ascii="Arial" w:cs="Arial" w:eastAsia="Arial" w:hAnsi="Arial"/>
          <w:sz w:val="19"/>
          <w:szCs w:val="19"/>
          <w:b w:val="1"/>
          <w:bCs w:val="1"/>
          <w:color w:val="auto"/>
        </w:rPr>
        <w:t>APOLLO CAPITAL MANAGEMENT, L.P.</w:t>
      </w:r>
    </w:p>
    <w:p>
      <w:pPr>
        <w:spacing w:after="0" w:line="244" w:lineRule="exact"/>
        <w:rPr>
          <w:sz w:val="20"/>
          <w:szCs w:val="20"/>
          <w:color w:val="auto"/>
        </w:rPr>
      </w:pPr>
    </w:p>
    <w:tbl>
      <w:tblPr>
        <w:tblLayout w:type="fixed"/>
        <w:tblInd w:w="6020" w:type="dxa"/>
        <w:tblCellMar>
          <w:top w:w="0" w:type="dxa"/>
          <w:left w:w="0" w:type="dxa"/>
          <w:bottom w:w="0" w:type="dxa"/>
          <w:right w:w="0" w:type="dxa"/>
        </w:tblCellMar>
      </w:tblPr>
      <w:tr>
        <w:trPr>
          <w:trHeight w:val="228"/>
        </w:trPr>
        <w:tc>
          <w:tcPr>
            <w:tcW w:w="420" w:type="dxa"/>
            <w:vAlign w:val="bottom"/>
          </w:tcPr>
          <w:p>
            <w:pPr>
              <w:spacing w:after="0"/>
              <w:rPr>
                <w:sz w:val="20"/>
                <w:szCs w:val="20"/>
                <w:color w:val="auto"/>
              </w:rPr>
            </w:pPr>
            <w:r>
              <w:rPr>
                <w:rFonts w:ascii="Arial" w:cs="Arial" w:eastAsia="Arial" w:hAnsi="Arial"/>
                <w:sz w:val="19"/>
                <w:szCs w:val="19"/>
                <w:color w:val="auto"/>
              </w:rPr>
              <w:t>By:</w:t>
            </w:r>
          </w:p>
        </w:tc>
        <w:tc>
          <w:tcPr>
            <w:tcW w:w="5560" w:type="dxa"/>
            <w:vAlign w:val="bottom"/>
            <w:gridSpan w:val="2"/>
          </w:tcPr>
          <w:p>
            <w:pPr>
              <w:ind w:left="180"/>
              <w:spacing w:after="0"/>
              <w:rPr>
                <w:sz w:val="20"/>
                <w:szCs w:val="20"/>
                <w:color w:val="auto"/>
              </w:rPr>
            </w:pPr>
            <w:r>
              <w:rPr>
                <w:rFonts w:ascii="Arial" w:cs="Arial" w:eastAsia="Arial" w:hAnsi="Arial"/>
                <w:sz w:val="19"/>
                <w:szCs w:val="19"/>
                <w:color w:val="auto"/>
              </w:rPr>
              <w:t>Apollo Capital Management GP, LLC</w:t>
            </w:r>
          </w:p>
        </w:tc>
      </w:tr>
      <w:tr>
        <w:trPr>
          <w:trHeight w:val="241"/>
        </w:trPr>
        <w:tc>
          <w:tcPr>
            <w:tcW w:w="420" w:type="dxa"/>
            <w:vAlign w:val="bottom"/>
          </w:tcPr>
          <w:p>
            <w:pPr>
              <w:spacing w:after="0"/>
              <w:rPr>
                <w:sz w:val="20"/>
                <w:szCs w:val="20"/>
                <w:color w:val="auto"/>
              </w:rPr>
            </w:pPr>
          </w:p>
        </w:tc>
        <w:tc>
          <w:tcPr>
            <w:tcW w:w="5560" w:type="dxa"/>
            <w:vAlign w:val="bottom"/>
            <w:gridSpan w:val="2"/>
          </w:tcPr>
          <w:p>
            <w:pPr>
              <w:ind w:left="180"/>
              <w:spacing w:after="0"/>
              <w:rPr>
                <w:sz w:val="20"/>
                <w:szCs w:val="20"/>
                <w:color w:val="auto"/>
              </w:rPr>
            </w:pPr>
            <w:r>
              <w:rPr>
                <w:rFonts w:ascii="Arial" w:cs="Arial" w:eastAsia="Arial" w:hAnsi="Arial"/>
                <w:sz w:val="19"/>
                <w:szCs w:val="19"/>
                <w:color w:val="auto"/>
              </w:rPr>
              <w:t>its general partner</w:t>
            </w:r>
          </w:p>
        </w:tc>
      </w:tr>
      <w:tr>
        <w:trPr>
          <w:trHeight w:val="456"/>
        </w:trPr>
        <w:tc>
          <w:tcPr>
            <w:tcW w:w="420" w:type="dxa"/>
            <w:vAlign w:val="bottom"/>
          </w:tcPr>
          <w:p>
            <w:pPr>
              <w:spacing w:after="0"/>
              <w:rPr>
                <w:sz w:val="24"/>
                <w:szCs w:val="24"/>
                <w:color w:val="auto"/>
              </w:rPr>
            </w:pPr>
          </w:p>
        </w:tc>
        <w:tc>
          <w:tcPr>
            <w:tcW w:w="1460" w:type="dxa"/>
            <w:vAlign w:val="bottom"/>
          </w:tcPr>
          <w:p>
            <w:pPr>
              <w:ind w:left="180"/>
              <w:spacing w:after="0"/>
              <w:rPr>
                <w:sz w:val="20"/>
                <w:szCs w:val="20"/>
                <w:color w:val="auto"/>
              </w:rPr>
            </w:pPr>
            <w:r>
              <w:rPr>
                <w:rFonts w:ascii="Arial" w:cs="Arial" w:eastAsia="Arial" w:hAnsi="Arial"/>
                <w:sz w:val="19"/>
                <w:szCs w:val="19"/>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420" w:type="dxa"/>
            <w:vAlign w:val="bottom"/>
          </w:tcPr>
          <w:p>
            <w:pPr>
              <w:spacing w:after="0"/>
              <w:rPr>
                <w:sz w:val="18"/>
                <w:szCs w:val="18"/>
                <w:color w:val="auto"/>
              </w:rPr>
            </w:pPr>
          </w:p>
        </w:tc>
        <w:tc>
          <w:tcPr>
            <w:tcW w:w="1460" w:type="dxa"/>
            <w:vAlign w:val="bottom"/>
          </w:tcPr>
          <w:p>
            <w:pPr>
              <w:ind w:left="180"/>
              <w:spacing w:after="0" w:line="209" w:lineRule="exact"/>
              <w:rPr>
                <w:sz w:val="20"/>
                <w:szCs w:val="20"/>
                <w:color w:val="auto"/>
              </w:rPr>
            </w:pPr>
            <w:r>
              <w:rPr>
                <w:rFonts w:ascii="Arial" w:cs="Arial" w:eastAsia="Arial" w:hAnsi="Arial"/>
                <w:sz w:val="19"/>
                <w:szCs w:val="19"/>
                <w:color w:val="auto"/>
              </w:rPr>
              <w:t>Name:</w:t>
            </w:r>
          </w:p>
        </w:tc>
        <w:tc>
          <w:tcPr>
            <w:tcW w:w="410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420" w:type="dxa"/>
            <w:vAlign w:val="bottom"/>
          </w:tcPr>
          <w:p>
            <w:pPr>
              <w:spacing w:after="0"/>
              <w:rPr>
                <w:sz w:val="20"/>
                <w:szCs w:val="20"/>
                <w:color w:val="auto"/>
              </w:rPr>
            </w:pPr>
          </w:p>
        </w:tc>
        <w:tc>
          <w:tcPr>
            <w:tcW w:w="1460" w:type="dxa"/>
            <w:vAlign w:val="bottom"/>
          </w:tcPr>
          <w:p>
            <w:pPr>
              <w:ind w:left="180"/>
              <w:spacing w:after="0"/>
              <w:rPr>
                <w:sz w:val="20"/>
                <w:szCs w:val="20"/>
                <w:color w:val="auto"/>
              </w:rPr>
            </w:pPr>
            <w:r>
              <w:rPr>
                <w:rFonts w:ascii="Arial" w:cs="Arial" w:eastAsia="Arial" w:hAnsi="Arial"/>
                <w:sz w:val="19"/>
                <w:szCs w:val="19"/>
                <w:color w:val="auto"/>
              </w:rPr>
              <w:t>Title:</w:t>
            </w:r>
          </w:p>
        </w:tc>
        <w:tc>
          <w:tcPr>
            <w:tcW w:w="410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37"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APOLLO CAPITAL MANAGEMENT GP, LLC</w:t>
      </w:r>
    </w:p>
    <w:p>
      <w:pPr>
        <w:spacing w:after="0" w:line="244" w:lineRule="exact"/>
        <w:rPr>
          <w:sz w:val="20"/>
          <w:szCs w:val="20"/>
          <w:color w:val="auto"/>
        </w:rPr>
      </w:pPr>
    </w:p>
    <w:tbl>
      <w:tblPr>
        <w:tblLayout w:type="fixed"/>
        <w:tblInd w:w="602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r>
      <w:tr>
        <w:trPr>
          <w:trHeight w:val="209"/>
        </w:trPr>
        <w:tc>
          <w:tcPr>
            <w:tcW w:w="80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518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Title:</w:t>
            </w:r>
          </w:p>
        </w:tc>
        <w:tc>
          <w:tcPr>
            <w:tcW w:w="518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37"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APOLLO MANAGEMENT HOLDINGS, L.P.</w:t>
      </w:r>
    </w:p>
    <w:p>
      <w:pPr>
        <w:spacing w:after="0" w:line="244" w:lineRule="exact"/>
        <w:rPr>
          <w:sz w:val="20"/>
          <w:szCs w:val="20"/>
          <w:color w:val="auto"/>
        </w:rPr>
      </w:pPr>
    </w:p>
    <w:tbl>
      <w:tblPr>
        <w:tblLayout w:type="fixed"/>
        <w:tblInd w:w="6020" w:type="dxa"/>
        <w:tblCellMar>
          <w:top w:w="0" w:type="dxa"/>
          <w:left w:w="0" w:type="dxa"/>
          <w:bottom w:w="0" w:type="dxa"/>
          <w:right w:w="0" w:type="dxa"/>
        </w:tblCellMar>
      </w:tblPr>
      <w:tr>
        <w:trPr>
          <w:trHeight w:val="228"/>
        </w:trPr>
        <w:tc>
          <w:tcPr>
            <w:tcW w:w="420" w:type="dxa"/>
            <w:vAlign w:val="bottom"/>
          </w:tcPr>
          <w:p>
            <w:pPr>
              <w:spacing w:after="0"/>
              <w:rPr>
                <w:sz w:val="20"/>
                <w:szCs w:val="20"/>
                <w:color w:val="auto"/>
              </w:rPr>
            </w:pPr>
            <w:r>
              <w:rPr>
                <w:rFonts w:ascii="Arial" w:cs="Arial" w:eastAsia="Arial" w:hAnsi="Arial"/>
                <w:sz w:val="19"/>
                <w:szCs w:val="19"/>
                <w:color w:val="auto"/>
              </w:rPr>
              <w:t>By:</w:t>
            </w:r>
          </w:p>
        </w:tc>
        <w:tc>
          <w:tcPr>
            <w:tcW w:w="5560" w:type="dxa"/>
            <w:vAlign w:val="bottom"/>
            <w:gridSpan w:val="3"/>
          </w:tcPr>
          <w:p>
            <w:pPr>
              <w:ind w:left="180"/>
              <w:spacing w:after="0"/>
              <w:rPr>
                <w:sz w:val="20"/>
                <w:szCs w:val="20"/>
                <w:color w:val="auto"/>
              </w:rPr>
            </w:pPr>
            <w:r>
              <w:rPr>
                <w:rFonts w:ascii="Arial" w:cs="Arial" w:eastAsia="Arial" w:hAnsi="Arial"/>
                <w:sz w:val="19"/>
                <w:szCs w:val="19"/>
                <w:color w:val="auto"/>
              </w:rPr>
              <w:t>Apollo Management Holdings GP, LLC</w:t>
            </w:r>
          </w:p>
        </w:tc>
      </w:tr>
      <w:tr>
        <w:trPr>
          <w:trHeight w:val="241"/>
        </w:trPr>
        <w:tc>
          <w:tcPr>
            <w:tcW w:w="42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Arial" w:cs="Arial" w:eastAsia="Arial" w:hAnsi="Arial"/>
                <w:sz w:val="19"/>
                <w:szCs w:val="19"/>
                <w:color w:val="auto"/>
              </w:rPr>
              <w:t>its general partner</w:t>
            </w:r>
          </w:p>
        </w:tc>
        <w:tc>
          <w:tcPr>
            <w:tcW w:w="3800" w:type="dxa"/>
            <w:vAlign w:val="bottom"/>
          </w:tcPr>
          <w:p>
            <w:pPr>
              <w:spacing w:after="0"/>
              <w:rPr>
                <w:sz w:val="20"/>
                <w:szCs w:val="20"/>
                <w:color w:val="auto"/>
              </w:rPr>
            </w:pPr>
          </w:p>
        </w:tc>
      </w:tr>
      <w:tr>
        <w:trPr>
          <w:trHeight w:val="457"/>
        </w:trPr>
        <w:tc>
          <w:tcPr>
            <w:tcW w:w="420" w:type="dxa"/>
            <w:vAlign w:val="bottom"/>
          </w:tcPr>
          <w:p>
            <w:pPr>
              <w:spacing w:after="0"/>
              <w:rPr>
                <w:sz w:val="24"/>
                <w:szCs w:val="24"/>
                <w:color w:val="auto"/>
              </w:rPr>
            </w:pPr>
          </w:p>
        </w:tc>
        <w:tc>
          <w:tcPr>
            <w:tcW w:w="5560" w:type="dxa"/>
            <w:vAlign w:val="bottom"/>
            <w:gridSpan w:val="3"/>
          </w:tcPr>
          <w:p>
            <w:pPr>
              <w:ind w:left="180"/>
              <w:spacing w:after="0"/>
              <w:rPr>
                <w:sz w:val="20"/>
                <w:szCs w:val="20"/>
                <w:color w:val="auto"/>
              </w:rPr>
            </w:pPr>
            <w:r>
              <w:rPr>
                <w:rFonts w:ascii="Arial" w:cs="Arial" w:eastAsia="Arial" w:hAnsi="Arial"/>
                <w:sz w:val="19"/>
                <w:szCs w:val="19"/>
                <w:color w:val="auto"/>
              </w:rPr>
              <w:t>By:   /s/ Joseph D. Glatt</w:t>
            </w:r>
          </w:p>
        </w:tc>
      </w:tr>
      <w:tr>
        <w:trPr>
          <w:trHeight w:val="209"/>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3800" w:type="dxa"/>
            <w:vAlign w:val="bottom"/>
            <w:tcBorders>
              <w:top w:val="single" w:sz="8" w:color="auto"/>
            </w:tcBorders>
          </w:tcPr>
          <w:p>
            <w:pPr>
              <w:ind w:left="200"/>
              <w:spacing w:after="0" w:line="209" w:lineRule="exact"/>
              <w:rPr>
                <w:sz w:val="20"/>
                <w:szCs w:val="20"/>
                <w:color w:val="auto"/>
              </w:rPr>
            </w:pPr>
            <w:r>
              <w:rPr>
                <w:rFonts w:ascii="Arial" w:cs="Arial" w:eastAsia="Arial" w:hAnsi="Arial"/>
                <w:sz w:val="19"/>
                <w:szCs w:val="19"/>
                <w:color w:val="auto"/>
              </w:rPr>
              <w:t>Joseph D. Glatt</w:t>
            </w:r>
          </w:p>
        </w:tc>
      </w:tr>
      <w:tr>
        <w:trPr>
          <w:trHeight w:val="241"/>
        </w:trPr>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9"/>
                <w:szCs w:val="19"/>
                <w:color w:val="auto"/>
              </w:rPr>
              <w:t>Title:</w:t>
            </w:r>
          </w:p>
        </w:tc>
        <w:tc>
          <w:tcPr>
            <w:tcW w:w="3800" w:type="dxa"/>
            <w:vAlign w:val="bottom"/>
          </w:tcPr>
          <w:p>
            <w:pPr>
              <w:ind w:left="200"/>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37"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APOLLO MANAGEMENT HOLDINGS GP, LLC</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20" w:type="dxa"/>
            <w:vAlign w:val="bottom"/>
          </w:tcPr>
          <w:p>
            <w:pPr>
              <w:ind w:left="6020"/>
              <w:spacing w:after="0"/>
              <w:rPr>
                <w:sz w:val="20"/>
                <w:szCs w:val="20"/>
                <w:color w:val="auto"/>
              </w:rPr>
            </w:pPr>
            <w:r>
              <w:rPr>
                <w:rFonts w:ascii="Arial" w:cs="Arial" w:eastAsia="Arial" w:hAnsi="Arial"/>
                <w:sz w:val="19"/>
                <w:szCs w:val="19"/>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D. Glatt</w:t>
            </w:r>
          </w:p>
        </w:tc>
        <w:tc>
          <w:tcPr>
            <w:tcW w:w="40" w:type="dxa"/>
            <w:vAlign w:val="bottom"/>
          </w:tcPr>
          <w:p>
            <w:pPr>
              <w:spacing w:after="0"/>
              <w:rPr>
                <w:sz w:val="20"/>
                <w:szCs w:val="20"/>
                <w:color w:val="auto"/>
              </w:rPr>
            </w:pPr>
          </w:p>
        </w:tc>
      </w:tr>
      <w:tr>
        <w:trPr>
          <w:trHeight w:val="209"/>
        </w:trPr>
        <w:tc>
          <w:tcPr>
            <w:tcW w:w="6820" w:type="dxa"/>
            <w:vAlign w:val="bottom"/>
          </w:tcPr>
          <w:p>
            <w:pPr>
              <w:ind w:left="6020"/>
              <w:spacing w:after="0" w:line="209" w:lineRule="exact"/>
              <w:rPr>
                <w:sz w:val="20"/>
                <w:szCs w:val="20"/>
                <w:color w:val="auto"/>
              </w:rPr>
            </w:pPr>
            <w:r>
              <w:rPr>
                <w:rFonts w:ascii="Arial" w:cs="Arial" w:eastAsia="Arial" w:hAnsi="Arial"/>
                <w:sz w:val="19"/>
                <w:szCs w:val="19"/>
                <w:color w:val="auto"/>
              </w:rPr>
              <w:t>Name:</w:t>
            </w:r>
          </w:p>
        </w:tc>
        <w:tc>
          <w:tcPr>
            <w:tcW w:w="5180" w:type="dxa"/>
            <w:vAlign w:val="bottom"/>
          </w:tcPr>
          <w:p>
            <w:pPr>
              <w:spacing w:after="0" w:line="209" w:lineRule="exact"/>
              <w:rPr>
                <w:sz w:val="20"/>
                <w:szCs w:val="20"/>
                <w:color w:val="auto"/>
              </w:rPr>
            </w:pPr>
            <w:r>
              <w:rPr>
                <w:rFonts w:ascii="Arial" w:cs="Arial" w:eastAsia="Arial" w:hAnsi="Arial"/>
                <w:sz w:val="19"/>
                <w:szCs w:val="19"/>
                <w:color w:val="auto"/>
              </w:rPr>
              <w:t>Joseph D. Glatt</w:t>
            </w:r>
          </w:p>
        </w:tc>
        <w:tc>
          <w:tcPr>
            <w:tcW w:w="40" w:type="dxa"/>
            <w:vAlign w:val="bottom"/>
          </w:tcPr>
          <w:p>
            <w:pPr>
              <w:spacing w:after="0"/>
              <w:rPr>
                <w:sz w:val="18"/>
                <w:szCs w:val="18"/>
                <w:color w:val="auto"/>
              </w:rPr>
            </w:pPr>
          </w:p>
        </w:tc>
      </w:tr>
      <w:tr>
        <w:trPr>
          <w:trHeight w:val="241"/>
        </w:trPr>
        <w:tc>
          <w:tcPr>
            <w:tcW w:w="6820" w:type="dxa"/>
            <w:vAlign w:val="bottom"/>
          </w:tcPr>
          <w:p>
            <w:pPr>
              <w:ind w:left="6020"/>
              <w:spacing w:after="0"/>
              <w:rPr>
                <w:sz w:val="20"/>
                <w:szCs w:val="20"/>
                <w:color w:val="auto"/>
              </w:rPr>
            </w:pPr>
            <w:r>
              <w:rPr>
                <w:rFonts w:ascii="Arial" w:cs="Arial" w:eastAsia="Arial" w:hAnsi="Arial"/>
                <w:sz w:val="19"/>
                <w:szCs w:val="19"/>
                <w:color w:val="auto"/>
              </w:rPr>
              <w:t>Title:</w:t>
            </w:r>
          </w:p>
        </w:tc>
        <w:tc>
          <w:tcPr>
            <w:tcW w:w="5180" w:type="dxa"/>
            <w:vAlign w:val="bottom"/>
          </w:tcPr>
          <w:p>
            <w:pPr>
              <w:spacing w:after="0"/>
              <w:rPr>
                <w:sz w:val="20"/>
                <w:szCs w:val="20"/>
                <w:color w:val="auto"/>
              </w:rPr>
            </w:pPr>
            <w:r>
              <w:rPr>
                <w:rFonts w:ascii="Arial" w:cs="Arial" w:eastAsia="Arial" w:hAnsi="Arial"/>
                <w:sz w:val="19"/>
                <w:szCs w:val="19"/>
                <w:color w:val="auto"/>
              </w:rPr>
              <w:t>Vice President</w:t>
            </w:r>
          </w:p>
        </w:tc>
        <w:tc>
          <w:tcPr>
            <w:tcW w:w="40" w:type="dxa"/>
            <w:vAlign w:val="bottom"/>
          </w:tcPr>
          <w:p>
            <w:pPr>
              <w:spacing w:after="0"/>
              <w:rPr>
                <w:sz w:val="20"/>
                <w:szCs w:val="20"/>
                <w:color w:val="auto"/>
              </w:rPr>
            </w:pPr>
          </w:p>
        </w:tc>
      </w:tr>
      <w:tr>
        <w:trPr>
          <w:trHeight w:val="456"/>
        </w:trPr>
        <w:tc>
          <w:tcPr>
            <w:tcW w:w="6820" w:type="dxa"/>
            <w:vAlign w:val="bottom"/>
          </w:tcPr>
          <w:p>
            <w:pPr>
              <w:jc w:val="right"/>
              <w:ind w:right="625"/>
              <w:spacing w:after="0"/>
              <w:rPr>
                <w:sz w:val="20"/>
                <w:szCs w:val="20"/>
                <w:color w:val="auto"/>
              </w:rPr>
            </w:pPr>
            <w:r>
              <w:rPr>
                <w:rFonts w:ascii="Arial" w:cs="Arial" w:eastAsia="Arial" w:hAnsi="Arial"/>
                <w:sz w:val="19"/>
                <w:szCs w:val="19"/>
                <w:color w:val="auto"/>
              </w:rPr>
              <w:t>33</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1"/>
        </w:trPr>
        <w:tc>
          <w:tcPr>
            <w:tcW w:w="6820" w:type="dxa"/>
            <w:vAlign w:val="bottom"/>
            <w:tcBorders>
              <w:bottom w:val="single" w:sz="8" w:color="808080"/>
            </w:tcBorders>
          </w:tcPr>
          <w:p>
            <w:pPr>
              <w:spacing w:after="0"/>
              <w:rPr>
                <w:sz w:val="12"/>
                <w:szCs w:val="12"/>
                <w:color w:val="auto"/>
              </w:rPr>
            </w:pPr>
          </w:p>
        </w:tc>
        <w:tc>
          <w:tcPr>
            <w:tcW w:w="51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sectPr>
      <w:pgSz w:w="12240" w:h="15840" w:orient="portrait"/>
      <w:cols w:equalWidth="0" w:num="1">
        <w:col w:w="12040"/>
      </w:cols>
      <w:pgMar w:left="120" w:top="207" w:right="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B0FD379"/>
    <w:multiLevelType w:val="hybridMultilevel"/>
    <w:lvl w:ilvl="0">
      <w:lvlJc w:val="left"/>
      <w:lvlText w:val="o"/>
      <w:numFmt w:val="bullet"/>
      <w:start w:val="1"/>
    </w:lvl>
  </w:abstractNum>
  <w:abstractNum w:abstractNumId="1">
    <w:nsid w:val="68EB2F63"/>
    <w:multiLevelType w:val="hybridMultilevel"/>
    <w:lvl w:ilvl="0">
      <w:lvlJc w:val="left"/>
      <w:lvlText w:val="1"/>
      <w:numFmt w:val="bullet"/>
      <w:start w:val="1"/>
    </w:lvl>
  </w:abstractNum>
  <w:abstractNum w:abstractNumId="2">
    <w:nsid w:val="4962813B"/>
    <w:multiLevelType w:val="hybridMultilevel"/>
    <w:lvl w:ilvl="0">
      <w:lvlJc w:val="left"/>
      <w:lvlText w:val="2"/>
      <w:numFmt w:val="bullet"/>
      <w:start w:val="1"/>
    </w:lvl>
    <w:lvl w:ilvl="1">
      <w:lvlJc w:val="left"/>
      <w:lvlText w:val="(%2)"/>
      <w:numFmt w:val="lowerLetter"/>
      <w:start w:val="1"/>
    </w:lvl>
  </w:abstractNum>
  <w:abstractNum w:abstractNumId="3">
    <w:nsid w:val="60B6DF70"/>
    <w:multiLevelType w:val="hybridMultilevel"/>
    <w:lvl w:ilvl="0">
      <w:lvlJc w:val="left"/>
      <w:lvlText w:val="3"/>
      <w:numFmt w:val="bullet"/>
      <w:start w:val="1"/>
    </w:lvl>
  </w:abstractNum>
  <w:abstractNum w:abstractNumId="4">
    <w:nsid w:val="6A5EE64"/>
    <w:multiLevelType w:val="hybridMultilevel"/>
    <w:lvl w:ilvl="0">
      <w:lvlJc w:val="left"/>
      <w:lvlText w:val="4"/>
      <w:numFmt w:val="bullet"/>
      <w:start w:val="1"/>
    </w:lvl>
  </w:abstractNum>
  <w:abstractNum w:abstractNumId="5">
    <w:nsid w:val="14330624"/>
    <w:multiLevelType w:val="hybridMultilevel"/>
    <w:lvl w:ilvl="0">
      <w:lvlJc w:val="left"/>
      <w:lvlText w:val="5"/>
      <w:numFmt w:val="bullet"/>
      <w:start w:val="1"/>
    </w:lvl>
  </w:abstractNum>
  <w:abstractNum w:abstractNumId="6">
    <w:nsid w:val="7FFFCA11"/>
    <w:multiLevelType w:val="hybridMultilevel"/>
    <w:lvl w:ilvl="0">
      <w:lvlJc w:val="left"/>
      <w:lvlText w:val="9"/>
      <w:numFmt w:val="bullet"/>
      <w:start w:val="1"/>
    </w:lvl>
  </w:abstractNum>
  <w:abstractNum w:abstractNumId="7">
    <w:nsid w:val="1A27709E"/>
    <w:multiLevelType w:val="hybridMultilevel"/>
    <w:lvl w:ilvl="0">
      <w:lvlJc w:val="left"/>
      <w:lvlText w:val="%1"/>
      <w:numFmt w:val="decimal"/>
      <w:start w:val="10"/>
    </w:lvl>
  </w:abstractNum>
  <w:abstractNum w:abstractNumId="8">
    <w:nsid w:val="71EA1109"/>
    <w:multiLevelType w:val="hybridMultilevel"/>
    <w:lvl w:ilvl="0">
      <w:lvlJc w:val="left"/>
      <w:lvlText w:val="1"/>
      <w:numFmt w:val="bullet"/>
      <w:start w:val="1"/>
    </w:lvl>
  </w:abstractNum>
  <w:abstractNum w:abstractNumId="9">
    <w:nsid w:val="100F59DC"/>
    <w:multiLevelType w:val="hybridMultilevel"/>
    <w:lvl w:ilvl="0">
      <w:lvlJc w:val="left"/>
      <w:lvlText w:val="2"/>
      <w:numFmt w:val="bullet"/>
      <w:start w:val="1"/>
    </w:lvl>
    <w:lvl w:ilvl="1">
      <w:lvlJc w:val="left"/>
      <w:lvlText w:val="(%2)"/>
      <w:numFmt w:val="lowerLetter"/>
      <w:start w:val="1"/>
    </w:lvl>
  </w:abstractNum>
  <w:abstractNum w:abstractNumId="10">
    <w:nsid w:val="7FB7E0AA"/>
    <w:multiLevelType w:val="hybridMultilevel"/>
    <w:lvl w:ilvl="0">
      <w:lvlJc w:val="left"/>
      <w:lvlText w:val="3"/>
      <w:numFmt w:val="bullet"/>
      <w:start w:val="1"/>
    </w:lvl>
  </w:abstractNum>
  <w:abstractNum w:abstractNumId="11">
    <w:nsid w:val="6EB5BD4"/>
    <w:multiLevelType w:val="hybridMultilevel"/>
    <w:lvl w:ilvl="0">
      <w:lvlJc w:val="left"/>
      <w:lvlText w:val="4"/>
      <w:numFmt w:val="bullet"/>
      <w:start w:val="1"/>
    </w:lvl>
  </w:abstractNum>
  <w:abstractNum w:abstractNumId="12">
    <w:nsid w:val="6F6DD9AC"/>
    <w:multiLevelType w:val="hybridMultilevel"/>
    <w:lvl w:ilvl="0">
      <w:lvlJc w:val="left"/>
      <w:lvlText w:val="5"/>
      <w:numFmt w:val="bullet"/>
      <w:start w:val="1"/>
    </w:lvl>
  </w:abstractNum>
  <w:abstractNum w:abstractNumId="13">
    <w:nsid w:val="94211F2"/>
    <w:multiLevelType w:val="hybridMultilevel"/>
    <w:lvl w:ilvl="0">
      <w:lvlJc w:val="left"/>
      <w:lvlText w:val="9"/>
      <w:numFmt w:val="bullet"/>
      <w:start w:val="1"/>
    </w:lvl>
  </w:abstractNum>
  <w:abstractNum w:abstractNumId="14">
    <w:nsid w:val="885E1B"/>
    <w:multiLevelType w:val="hybridMultilevel"/>
    <w:lvl w:ilvl="0">
      <w:lvlJc w:val="left"/>
      <w:lvlText w:val="%1"/>
      <w:numFmt w:val="decimal"/>
      <w:start w:val="10"/>
    </w:lvl>
  </w:abstractNum>
  <w:abstractNum w:abstractNumId="15">
    <w:nsid w:val="76272110"/>
    <w:multiLevelType w:val="hybridMultilevel"/>
    <w:lvl w:ilvl="0">
      <w:lvlJc w:val="left"/>
      <w:lvlText w:val="1"/>
      <w:numFmt w:val="bullet"/>
      <w:start w:val="1"/>
    </w:lvl>
  </w:abstractNum>
  <w:abstractNum w:abstractNumId="16">
    <w:nsid w:val="4C04A8AF"/>
    <w:multiLevelType w:val="hybridMultilevel"/>
    <w:lvl w:ilvl="0">
      <w:lvlJc w:val="left"/>
      <w:lvlText w:val="2"/>
      <w:numFmt w:val="bullet"/>
      <w:start w:val="1"/>
    </w:lvl>
    <w:lvl w:ilvl="1">
      <w:lvlJc w:val="left"/>
      <w:lvlText w:val="(%2)"/>
      <w:numFmt w:val="lowerLetter"/>
      <w:start w:val="1"/>
    </w:lvl>
  </w:abstractNum>
  <w:abstractNum w:abstractNumId="17">
    <w:nsid w:val="1716703B"/>
    <w:multiLevelType w:val="hybridMultilevel"/>
    <w:lvl w:ilvl="0">
      <w:lvlJc w:val="left"/>
      <w:lvlText w:val="3"/>
      <w:numFmt w:val="bullet"/>
      <w:start w:val="1"/>
    </w:lvl>
  </w:abstractNum>
  <w:abstractNum w:abstractNumId="18">
    <w:nsid w:val="14E17E33"/>
    <w:multiLevelType w:val="hybridMultilevel"/>
    <w:lvl w:ilvl="0">
      <w:lvlJc w:val="left"/>
      <w:lvlText w:val="4"/>
      <w:numFmt w:val="bullet"/>
      <w:start w:val="1"/>
    </w:lvl>
  </w:abstractNum>
  <w:abstractNum w:abstractNumId="19">
    <w:nsid w:val="3222E7CD"/>
    <w:multiLevelType w:val="hybridMultilevel"/>
    <w:lvl w:ilvl="0">
      <w:lvlJc w:val="left"/>
      <w:lvlText w:val="5"/>
      <w:numFmt w:val="bullet"/>
      <w:start w:val="1"/>
    </w:lvl>
  </w:abstractNum>
  <w:abstractNum w:abstractNumId="20">
    <w:nsid w:val="74DE0EE3"/>
    <w:multiLevelType w:val="hybridMultilevel"/>
    <w:lvl w:ilvl="0">
      <w:lvlJc w:val="left"/>
      <w:lvlText w:val="9"/>
      <w:numFmt w:val="bullet"/>
      <w:start w:val="1"/>
    </w:lvl>
  </w:abstractNum>
  <w:abstractNum w:abstractNumId="21">
    <w:nsid w:val="68EBC550"/>
    <w:multiLevelType w:val="hybridMultilevel"/>
    <w:lvl w:ilvl="0">
      <w:lvlJc w:val="left"/>
      <w:lvlText w:val="%1"/>
      <w:numFmt w:val="decimal"/>
      <w:start w:val="10"/>
    </w:lvl>
  </w:abstractNum>
  <w:abstractNum w:abstractNumId="22">
    <w:nsid w:val="2DF6D648"/>
    <w:multiLevelType w:val="hybridMultilevel"/>
    <w:lvl w:ilvl="0">
      <w:lvlJc w:val="left"/>
      <w:lvlText w:val="1"/>
      <w:numFmt w:val="bullet"/>
      <w:start w:val="1"/>
    </w:lvl>
  </w:abstractNum>
  <w:abstractNum w:abstractNumId="23">
    <w:nsid w:val="46B7D447"/>
    <w:multiLevelType w:val="hybridMultilevel"/>
    <w:lvl w:ilvl="0">
      <w:lvlJc w:val="left"/>
      <w:lvlText w:val="2"/>
      <w:numFmt w:val="bullet"/>
      <w:start w:val="1"/>
    </w:lvl>
    <w:lvl w:ilvl="1">
      <w:lvlJc w:val="left"/>
      <w:lvlText w:val="(%2)"/>
      <w:numFmt w:val="lowerLetter"/>
      <w:start w:val="1"/>
    </w:lvl>
  </w:abstractNum>
  <w:abstractNum w:abstractNumId="24">
    <w:nsid w:val="4A2AC315"/>
    <w:multiLevelType w:val="hybridMultilevel"/>
    <w:lvl w:ilvl="0">
      <w:lvlJc w:val="left"/>
      <w:lvlText w:val="3"/>
      <w:numFmt w:val="bullet"/>
      <w:start w:val="1"/>
    </w:lvl>
  </w:abstractNum>
  <w:abstractNum w:abstractNumId="25">
    <w:nsid w:val="39EE015C"/>
    <w:multiLevelType w:val="hybridMultilevel"/>
    <w:lvl w:ilvl="0">
      <w:lvlJc w:val="left"/>
      <w:lvlText w:val="4"/>
      <w:numFmt w:val="bullet"/>
      <w:start w:val="1"/>
    </w:lvl>
  </w:abstractNum>
  <w:abstractNum w:abstractNumId="26">
    <w:nsid w:val="57FC4FBB"/>
    <w:multiLevelType w:val="hybridMultilevel"/>
    <w:lvl w:ilvl="0">
      <w:lvlJc w:val="left"/>
      <w:lvlText w:val="5"/>
      <w:numFmt w:val="bullet"/>
      <w:start w:val="1"/>
    </w:lvl>
  </w:abstractNum>
  <w:abstractNum w:abstractNumId="27">
    <w:nsid w:val="CC1016F"/>
    <w:multiLevelType w:val="hybridMultilevel"/>
    <w:lvl w:ilvl="0">
      <w:lvlJc w:val="left"/>
      <w:lvlText w:val="9"/>
      <w:numFmt w:val="bullet"/>
      <w:start w:val="1"/>
    </w:lvl>
  </w:abstractNum>
  <w:abstractNum w:abstractNumId="28">
    <w:nsid w:val="43F18422"/>
    <w:multiLevelType w:val="hybridMultilevel"/>
    <w:lvl w:ilvl="0">
      <w:lvlJc w:val="left"/>
      <w:lvlText w:val="%1"/>
      <w:numFmt w:val="decimal"/>
      <w:start w:val="10"/>
    </w:lvl>
  </w:abstractNum>
  <w:abstractNum w:abstractNumId="29">
    <w:nsid w:val="60EF0119"/>
    <w:multiLevelType w:val="hybridMultilevel"/>
    <w:lvl w:ilvl="0">
      <w:lvlJc w:val="left"/>
      <w:lvlText w:val="1"/>
      <w:numFmt w:val="bullet"/>
      <w:start w:val="1"/>
    </w:lvl>
  </w:abstractNum>
  <w:abstractNum w:abstractNumId="30">
    <w:nsid w:val="26F324BA"/>
    <w:multiLevelType w:val="hybridMultilevel"/>
    <w:lvl w:ilvl="0">
      <w:lvlJc w:val="left"/>
      <w:lvlText w:val="2"/>
      <w:numFmt w:val="bullet"/>
      <w:start w:val="1"/>
    </w:lvl>
    <w:lvl w:ilvl="1">
      <w:lvlJc w:val="left"/>
      <w:lvlText w:val="(%2)"/>
      <w:numFmt w:val="lowerLetter"/>
      <w:start w:val="1"/>
    </w:lvl>
  </w:abstractNum>
  <w:abstractNum w:abstractNumId="31">
    <w:nsid w:val="7F01579B"/>
    <w:multiLevelType w:val="hybridMultilevel"/>
    <w:lvl w:ilvl="0">
      <w:lvlJc w:val="left"/>
      <w:lvlText w:val="3"/>
      <w:numFmt w:val="bullet"/>
      <w:start w:val="1"/>
    </w:lvl>
  </w:abstractNum>
  <w:abstractNum w:abstractNumId="32">
    <w:nsid w:val="49DA307D"/>
    <w:multiLevelType w:val="hybridMultilevel"/>
    <w:lvl w:ilvl="0">
      <w:lvlJc w:val="left"/>
      <w:lvlText w:val="4"/>
      <w:numFmt w:val="bullet"/>
      <w:start w:val="1"/>
    </w:lvl>
  </w:abstractNum>
  <w:abstractNum w:abstractNumId="33">
    <w:nsid w:val="7055A5F5"/>
    <w:multiLevelType w:val="hybridMultilevel"/>
    <w:lvl w:ilvl="0">
      <w:lvlJc w:val="left"/>
      <w:lvlText w:val="5"/>
      <w:numFmt w:val="bullet"/>
      <w:start w:val="1"/>
    </w:lvl>
  </w:abstractNum>
  <w:abstractNum w:abstractNumId="34">
    <w:nsid w:val="5FB8370B"/>
    <w:multiLevelType w:val="hybridMultilevel"/>
    <w:lvl w:ilvl="0">
      <w:lvlJc w:val="left"/>
      <w:lvlText w:val="9"/>
      <w:numFmt w:val="bullet"/>
      <w:start w:val="1"/>
    </w:lvl>
  </w:abstractNum>
  <w:abstractNum w:abstractNumId="35">
    <w:nsid w:val="50801EE1"/>
    <w:multiLevelType w:val="hybridMultilevel"/>
    <w:lvl w:ilvl="0">
      <w:lvlJc w:val="left"/>
      <w:lvlText w:val="%1"/>
      <w:numFmt w:val="decimal"/>
      <w:start w:val="10"/>
    </w:lvl>
  </w:abstractNum>
  <w:abstractNum w:abstractNumId="36">
    <w:nsid w:val="488AC1A"/>
    <w:multiLevelType w:val="hybridMultilevel"/>
    <w:lvl w:ilvl="0">
      <w:lvlJc w:val="left"/>
      <w:lvlText w:val="1"/>
      <w:numFmt w:val="bullet"/>
      <w:start w:val="1"/>
    </w:lvl>
  </w:abstractNum>
  <w:abstractNum w:abstractNumId="37">
    <w:nsid w:val="5FB8011C"/>
    <w:multiLevelType w:val="hybridMultilevel"/>
    <w:lvl w:ilvl="0">
      <w:lvlJc w:val="left"/>
      <w:lvlText w:val="2"/>
      <w:numFmt w:val="bullet"/>
      <w:start w:val="1"/>
    </w:lvl>
    <w:lvl w:ilvl="1">
      <w:lvlJc w:val="left"/>
      <w:lvlText w:val="(%2)"/>
      <w:numFmt w:val="lowerLetter"/>
      <w:start w:val="1"/>
    </w:lvl>
  </w:abstractNum>
  <w:abstractNum w:abstractNumId="38">
    <w:nsid w:val="6AA78F7F"/>
    <w:multiLevelType w:val="hybridMultilevel"/>
    <w:lvl w:ilvl="0">
      <w:lvlJc w:val="left"/>
      <w:lvlText w:val="3"/>
      <w:numFmt w:val="bullet"/>
      <w:start w:val="1"/>
    </w:lvl>
  </w:abstractNum>
  <w:abstractNum w:abstractNumId="39">
    <w:nsid w:val="7672BD23"/>
    <w:multiLevelType w:val="hybridMultilevel"/>
    <w:lvl w:ilvl="0">
      <w:lvlJc w:val="left"/>
      <w:lvlText w:val="4"/>
      <w:numFmt w:val="bullet"/>
      <w:start w:val="1"/>
    </w:lvl>
  </w:abstractNum>
  <w:abstractNum w:abstractNumId="40">
    <w:nsid w:val="6FC75AF8"/>
    <w:multiLevelType w:val="hybridMultilevel"/>
    <w:lvl w:ilvl="0">
      <w:lvlJc w:val="left"/>
      <w:lvlText w:val="5"/>
      <w:numFmt w:val="bullet"/>
      <w:start w:val="1"/>
    </w:lvl>
  </w:abstractNum>
  <w:abstractNum w:abstractNumId="41">
    <w:nsid w:val="6A5F7029"/>
    <w:multiLevelType w:val="hybridMultilevel"/>
    <w:lvl w:ilvl="0">
      <w:lvlJc w:val="left"/>
      <w:lvlText w:val="9"/>
      <w:numFmt w:val="bullet"/>
      <w:start w:val="1"/>
    </w:lvl>
  </w:abstractNum>
  <w:abstractNum w:abstractNumId="42">
    <w:nsid w:val="7D5E18F8"/>
    <w:multiLevelType w:val="hybridMultilevel"/>
    <w:lvl w:ilvl="0">
      <w:lvlJc w:val="left"/>
      <w:lvlText w:val="%1"/>
      <w:numFmt w:val="decimal"/>
      <w:start w:val="10"/>
    </w:lvl>
  </w:abstractNum>
  <w:abstractNum w:abstractNumId="43">
    <w:nsid w:val="5F3534A4"/>
    <w:multiLevelType w:val="hybridMultilevel"/>
    <w:lvl w:ilvl="0">
      <w:lvlJc w:val="left"/>
      <w:lvlText w:val="1"/>
      <w:numFmt w:val="bullet"/>
      <w:start w:val="1"/>
    </w:lvl>
  </w:abstractNum>
  <w:abstractNum w:abstractNumId="44">
    <w:nsid w:val="73A1821B"/>
    <w:multiLevelType w:val="hybridMultilevel"/>
    <w:lvl w:ilvl="0">
      <w:lvlJc w:val="left"/>
      <w:lvlText w:val="2"/>
      <w:numFmt w:val="bullet"/>
      <w:start w:val="1"/>
    </w:lvl>
    <w:lvl w:ilvl="1">
      <w:lvlJc w:val="left"/>
      <w:lvlText w:val="(%2)"/>
      <w:numFmt w:val="lowerLetter"/>
      <w:start w:val="1"/>
    </w:lvl>
  </w:abstractNum>
  <w:abstractNum w:abstractNumId="45">
    <w:nsid w:val="7DE67713"/>
    <w:multiLevelType w:val="hybridMultilevel"/>
    <w:lvl w:ilvl="0">
      <w:lvlJc w:val="left"/>
      <w:lvlText w:val="3"/>
      <w:numFmt w:val="bullet"/>
      <w:start w:val="1"/>
    </w:lvl>
  </w:abstractNum>
  <w:abstractNum w:abstractNumId="46">
    <w:nsid w:val="555C55B5"/>
    <w:multiLevelType w:val="hybridMultilevel"/>
    <w:lvl w:ilvl="0">
      <w:lvlJc w:val="left"/>
      <w:lvlText w:val="4"/>
      <w:numFmt w:val="bullet"/>
      <w:start w:val="1"/>
    </w:lvl>
  </w:abstractNum>
  <w:abstractNum w:abstractNumId="47">
    <w:nsid w:val="3FA62ACA"/>
    <w:multiLevelType w:val="hybridMultilevel"/>
    <w:lvl w:ilvl="0">
      <w:lvlJc w:val="left"/>
      <w:lvlText w:val="5"/>
      <w:numFmt w:val="bullet"/>
      <w:start w:val="1"/>
    </w:lvl>
  </w:abstractNum>
  <w:abstractNum w:abstractNumId="48">
    <w:nsid w:val="14FCE74E"/>
    <w:multiLevelType w:val="hybridMultilevel"/>
    <w:lvl w:ilvl="0">
      <w:lvlJc w:val="left"/>
      <w:lvlText w:val="9"/>
      <w:numFmt w:val="bullet"/>
      <w:start w:val="1"/>
    </w:lvl>
  </w:abstractNum>
  <w:abstractNum w:abstractNumId="49">
    <w:nsid w:val="6A3DD3E8"/>
    <w:multiLevelType w:val="hybridMultilevel"/>
    <w:lvl w:ilvl="0">
      <w:lvlJc w:val="left"/>
      <w:lvlText w:val="%1"/>
      <w:numFmt w:val="decimal"/>
      <w:start w:val="10"/>
    </w:lvl>
  </w:abstractNum>
  <w:abstractNum w:abstractNumId="50">
    <w:nsid w:val="71C91298"/>
    <w:multiLevelType w:val="hybridMultilevel"/>
    <w:lvl w:ilvl="0">
      <w:lvlJc w:val="left"/>
      <w:lvlText w:val="1"/>
      <w:numFmt w:val="bullet"/>
      <w:start w:val="1"/>
    </w:lvl>
  </w:abstractNum>
  <w:abstractNum w:abstractNumId="51">
    <w:nsid w:val="9DAF632"/>
    <w:multiLevelType w:val="hybridMultilevel"/>
    <w:lvl w:ilvl="0">
      <w:lvlJc w:val="left"/>
      <w:lvlText w:val="2"/>
      <w:numFmt w:val="bullet"/>
      <w:start w:val="1"/>
    </w:lvl>
    <w:lvl w:ilvl="1">
      <w:lvlJc w:val="left"/>
      <w:lvlText w:val="(%2)"/>
      <w:numFmt w:val="lowerLetter"/>
      <w:start w:val="1"/>
    </w:lvl>
  </w:abstractNum>
  <w:abstractNum w:abstractNumId="52">
    <w:nsid w:val="53299938"/>
    <w:multiLevelType w:val="hybridMultilevel"/>
    <w:lvl w:ilvl="0">
      <w:lvlJc w:val="left"/>
      <w:lvlText w:val="3"/>
      <w:numFmt w:val="bullet"/>
      <w:start w:val="1"/>
    </w:lvl>
  </w:abstractNum>
  <w:abstractNum w:abstractNumId="53">
    <w:nsid w:val="1FBFE8E0"/>
    <w:multiLevelType w:val="hybridMultilevel"/>
    <w:lvl w:ilvl="0">
      <w:lvlJc w:val="left"/>
      <w:lvlText w:val="4"/>
      <w:numFmt w:val="bullet"/>
      <w:start w:val="1"/>
    </w:lvl>
  </w:abstractNum>
  <w:abstractNum w:abstractNumId="54">
    <w:nsid w:val="5092CA79"/>
    <w:multiLevelType w:val="hybridMultilevel"/>
    <w:lvl w:ilvl="0">
      <w:lvlJc w:val="left"/>
      <w:lvlText w:val="5"/>
      <w:numFmt w:val="bullet"/>
      <w:start w:val="1"/>
    </w:lvl>
  </w:abstractNum>
  <w:abstractNum w:abstractNumId="55">
    <w:nsid w:val="1D545C4D"/>
    <w:multiLevelType w:val="hybridMultilevel"/>
    <w:lvl w:ilvl="0">
      <w:lvlJc w:val="left"/>
      <w:lvlText w:val="9"/>
      <w:numFmt w:val="bullet"/>
      <w:start w:val="1"/>
    </w:lvl>
  </w:abstractNum>
  <w:abstractNum w:abstractNumId="56">
    <w:nsid w:val="59ADEA3D"/>
    <w:multiLevelType w:val="hybridMultilevel"/>
    <w:lvl w:ilvl="0">
      <w:lvlJc w:val="left"/>
      <w:lvlText w:val="%1"/>
      <w:numFmt w:val="decimal"/>
      <w:start w:val="10"/>
    </w:lvl>
  </w:abstractNum>
  <w:abstractNum w:abstractNumId="57">
    <w:nsid w:val="288F1A34"/>
    <w:multiLevelType w:val="hybridMultilevel"/>
    <w:lvl w:ilvl="0">
      <w:lvlJc w:val="left"/>
      <w:lvlText w:val="1"/>
      <w:numFmt w:val="bullet"/>
      <w:start w:val="1"/>
    </w:lvl>
  </w:abstractNum>
  <w:abstractNum w:abstractNumId="58">
    <w:nsid w:val="2A155DBC"/>
    <w:multiLevelType w:val="hybridMultilevel"/>
    <w:lvl w:ilvl="0">
      <w:lvlJc w:val="left"/>
      <w:lvlText w:val="2"/>
      <w:numFmt w:val="bullet"/>
      <w:start w:val="1"/>
    </w:lvl>
    <w:lvl w:ilvl="1">
      <w:lvlJc w:val="left"/>
      <w:lvlText w:val="(%2)"/>
      <w:numFmt w:val="lowerLetter"/>
      <w:start w:val="1"/>
    </w:lvl>
  </w:abstractNum>
  <w:abstractNum w:abstractNumId="59">
    <w:nsid w:val="1D9F6E5F"/>
    <w:multiLevelType w:val="hybridMultilevel"/>
    <w:lvl w:ilvl="0">
      <w:lvlJc w:val="left"/>
      <w:lvlText w:val="3"/>
      <w:numFmt w:val="bullet"/>
      <w:start w:val="1"/>
    </w:lvl>
  </w:abstractNum>
  <w:abstractNum w:abstractNumId="60">
    <w:nsid w:val="97E1B4E"/>
    <w:multiLevelType w:val="hybridMultilevel"/>
    <w:lvl w:ilvl="0">
      <w:lvlJc w:val="left"/>
      <w:lvlText w:val="4"/>
      <w:numFmt w:val="bullet"/>
      <w:start w:val="1"/>
    </w:lvl>
  </w:abstractNum>
  <w:abstractNum w:abstractNumId="61">
    <w:nsid w:val="51088277"/>
    <w:multiLevelType w:val="hybridMultilevel"/>
    <w:lvl w:ilvl="0">
      <w:lvlJc w:val="left"/>
      <w:lvlText w:val="5"/>
      <w:numFmt w:val="bullet"/>
      <w:start w:val="1"/>
    </w:lvl>
  </w:abstractNum>
  <w:abstractNum w:abstractNumId="62">
    <w:nsid w:val="1CA0C5FA"/>
    <w:multiLevelType w:val="hybridMultilevel"/>
    <w:lvl w:ilvl="0">
      <w:lvlJc w:val="left"/>
      <w:lvlText w:val="9"/>
      <w:numFmt w:val="bullet"/>
      <w:start w:val="1"/>
    </w:lvl>
  </w:abstractNum>
  <w:abstractNum w:abstractNumId="63">
    <w:nsid w:val="53584BCB"/>
    <w:multiLevelType w:val="hybridMultilevel"/>
    <w:lvl w:ilvl="0">
      <w:lvlJc w:val="left"/>
      <w:lvlText w:val="%1"/>
      <w:numFmt w:val="decimal"/>
      <w:start w:val="10"/>
    </w:lvl>
  </w:abstractNum>
  <w:abstractNum w:abstractNumId="64">
    <w:nsid w:val="415E286C"/>
    <w:multiLevelType w:val="hybridMultilevel"/>
    <w:lvl w:ilvl="0">
      <w:lvlJc w:val="left"/>
      <w:lvlText w:val="1"/>
      <w:numFmt w:val="bullet"/>
      <w:start w:val="1"/>
    </w:lvl>
  </w:abstractNum>
  <w:abstractNum w:abstractNumId="65">
    <w:nsid w:val="7C58FD05"/>
    <w:multiLevelType w:val="hybridMultilevel"/>
    <w:lvl w:ilvl="0">
      <w:lvlJc w:val="left"/>
      <w:lvlText w:val="2"/>
      <w:numFmt w:val="bullet"/>
      <w:start w:val="1"/>
    </w:lvl>
    <w:lvl w:ilvl="1">
      <w:lvlJc w:val="left"/>
      <w:lvlText w:val="(%2)"/>
      <w:numFmt w:val="lowerLetter"/>
      <w:start w:val="1"/>
    </w:lvl>
  </w:abstractNum>
  <w:abstractNum w:abstractNumId="66">
    <w:nsid w:val="23D86AAC"/>
    <w:multiLevelType w:val="hybridMultilevel"/>
    <w:lvl w:ilvl="0">
      <w:lvlJc w:val="left"/>
      <w:lvlText w:val="3"/>
      <w:numFmt w:val="bullet"/>
      <w:start w:val="1"/>
    </w:lvl>
  </w:abstractNum>
  <w:abstractNum w:abstractNumId="67">
    <w:nsid w:val="45E6D486"/>
    <w:multiLevelType w:val="hybridMultilevel"/>
    <w:lvl w:ilvl="0">
      <w:lvlJc w:val="left"/>
      <w:lvlText w:val="4"/>
      <w:numFmt w:val="bullet"/>
      <w:start w:val="1"/>
    </w:lvl>
  </w:abstractNum>
  <w:abstractNum w:abstractNumId="68">
    <w:nsid w:val="5C10FE21"/>
    <w:multiLevelType w:val="hybridMultilevel"/>
    <w:lvl w:ilvl="0">
      <w:lvlJc w:val="left"/>
      <w:lvlText w:val="5"/>
      <w:numFmt w:val="bullet"/>
      <w:start w:val="1"/>
    </w:lvl>
  </w:abstractNum>
  <w:abstractNum w:abstractNumId="69">
    <w:nsid w:val="E7FFA2B"/>
    <w:multiLevelType w:val="hybridMultilevel"/>
    <w:lvl w:ilvl="0">
      <w:lvlJc w:val="left"/>
      <w:lvlText w:val="9"/>
      <w:numFmt w:val="bullet"/>
      <w:start w:val="1"/>
    </w:lvl>
  </w:abstractNum>
  <w:abstractNum w:abstractNumId="70">
    <w:nsid w:val="3C5991AA"/>
    <w:multiLevelType w:val="hybridMultilevel"/>
    <w:lvl w:ilvl="0">
      <w:lvlJc w:val="left"/>
      <w:lvlText w:val="%1"/>
      <w:numFmt w:val="decimal"/>
      <w:start w:val="10"/>
    </w:lvl>
  </w:abstractNum>
  <w:abstractNum w:abstractNumId="71">
    <w:nsid w:val="4BD8591A"/>
    <w:multiLevelType w:val="hybridMultilevel"/>
    <w:lvl w:ilvl="0">
      <w:lvlJc w:val="left"/>
      <w:lvlText w:val="1"/>
      <w:numFmt w:val="bullet"/>
      <w:start w:val="1"/>
    </w:lvl>
  </w:abstractNum>
  <w:abstractNum w:abstractNumId="72">
    <w:nsid w:val="78DF6A55"/>
    <w:multiLevelType w:val="hybridMultilevel"/>
    <w:lvl w:ilvl="0">
      <w:lvlJc w:val="left"/>
      <w:lvlText w:val="2"/>
      <w:numFmt w:val="bullet"/>
      <w:start w:val="1"/>
    </w:lvl>
    <w:lvl w:ilvl="1">
      <w:lvlJc w:val="left"/>
      <w:lvlText w:val="(%2)"/>
      <w:numFmt w:val="lowerLetter"/>
      <w:start w:val="1"/>
    </w:lvl>
  </w:abstractNum>
  <w:abstractNum w:abstractNumId="73">
    <w:nsid w:val="39B7AAA2"/>
    <w:multiLevelType w:val="hybridMultilevel"/>
    <w:lvl w:ilvl="0">
      <w:lvlJc w:val="left"/>
      <w:lvlText w:val="3"/>
      <w:numFmt w:val="bullet"/>
      <w:start w:val="1"/>
    </w:lvl>
  </w:abstractNum>
  <w:abstractNum w:abstractNumId="74">
    <w:nsid w:val="2B0D8DBE"/>
    <w:multiLevelType w:val="hybridMultilevel"/>
    <w:lvl w:ilvl="0">
      <w:lvlJc w:val="left"/>
      <w:lvlText w:val="4"/>
      <w:numFmt w:val="bullet"/>
      <w:start w:val="1"/>
    </w:lvl>
  </w:abstractNum>
  <w:abstractNum w:abstractNumId="75">
    <w:nsid w:val="6C80EC70"/>
    <w:multiLevelType w:val="hybridMultilevel"/>
    <w:lvl w:ilvl="0">
      <w:lvlJc w:val="left"/>
      <w:lvlText w:val="5"/>
      <w:numFmt w:val="bullet"/>
      <w:start w:val="1"/>
    </w:lvl>
  </w:abstractNum>
  <w:abstractNum w:abstractNumId="76">
    <w:nsid w:val="379E21B5"/>
    <w:multiLevelType w:val="hybridMultilevel"/>
    <w:lvl w:ilvl="0">
      <w:lvlJc w:val="left"/>
      <w:lvlText w:val="9"/>
      <w:numFmt w:val="bullet"/>
      <w:start w:val="1"/>
    </w:lvl>
  </w:abstractNum>
  <w:abstractNum w:abstractNumId="77">
    <w:nsid w:val="69E373"/>
    <w:multiLevelType w:val="hybridMultilevel"/>
    <w:lvl w:ilvl="0">
      <w:lvlJc w:val="left"/>
      <w:lvlText w:val="%1"/>
      <w:numFmt w:val="decimal"/>
      <w:start w:val="10"/>
    </w:lvl>
  </w:abstractNum>
  <w:abstractNum w:abstractNumId="78">
    <w:nsid w:val="2C27173B"/>
    <w:multiLevelType w:val="hybridMultilevel"/>
    <w:lvl w:ilvl="0">
      <w:lvlJc w:val="left"/>
      <w:lvlText w:val="1"/>
      <w:numFmt w:val="bullet"/>
      <w:start w:val="1"/>
    </w:lvl>
  </w:abstractNum>
  <w:abstractNum w:abstractNumId="79">
    <w:nsid w:val="4C9B0904"/>
    <w:multiLevelType w:val="hybridMultilevel"/>
    <w:lvl w:ilvl="0">
      <w:lvlJc w:val="left"/>
      <w:lvlText w:val="2"/>
      <w:numFmt w:val="bullet"/>
      <w:start w:val="1"/>
    </w:lvl>
    <w:lvl w:ilvl="1">
      <w:lvlJc w:val="left"/>
      <w:lvlText w:val="(%2)"/>
      <w:numFmt w:val="lowerLetter"/>
      <w:start w:val="1"/>
    </w:lvl>
  </w:abstractNum>
  <w:abstractNum w:abstractNumId="80">
    <w:nsid w:val="6AA7B75C"/>
    <w:multiLevelType w:val="hybridMultilevel"/>
    <w:lvl w:ilvl="0">
      <w:lvlJc w:val="left"/>
      <w:lvlText w:val="3"/>
      <w:numFmt w:val="bullet"/>
      <w:start w:val="1"/>
    </w:lvl>
  </w:abstractNum>
  <w:abstractNum w:abstractNumId="81">
    <w:nsid w:val="1DF029D3"/>
    <w:multiLevelType w:val="hybridMultilevel"/>
    <w:lvl w:ilvl="0">
      <w:lvlJc w:val="left"/>
      <w:lvlText w:val="4"/>
      <w:numFmt w:val="bullet"/>
      <w:start w:val="1"/>
    </w:lvl>
  </w:abstractNum>
  <w:abstractNum w:abstractNumId="82">
    <w:nsid w:val="5675FF36"/>
    <w:multiLevelType w:val="hybridMultilevel"/>
    <w:lvl w:ilvl="0">
      <w:lvlJc w:val="left"/>
      <w:lvlText w:val="5"/>
      <w:numFmt w:val="bullet"/>
      <w:start w:val="1"/>
    </w:lvl>
  </w:abstractNum>
  <w:abstractNum w:abstractNumId="83">
    <w:nsid w:val="3DD15094"/>
    <w:multiLevelType w:val="hybridMultilevel"/>
    <w:lvl w:ilvl="0">
      <w:lvlJc w:val="left"/>
      <w:lvlText w:val="9"/>
      <w:numFmt w:val="bullet"/>
      <w:start w:val="1"/>
    </w:lvl>
  </w:abstractNum>
  <w:abstractNum w:abstractNumId="84">
    <w:nsid w:val="3DB012B3"/>
    <w:multiLevelType w:val="hybridMultilevel"/>
    <w:lvl w:ilvl="0">
      <w:lvlJc w:val="left"/>
      <w:lvlText w:val="%1"/>
      <w:numFmt w:val="decimal"/>
      <w:start w:val="10"/>
    </w:lvl>
  </w:abstractNum>
  <w:abstractNum w:abstractNumId="85">
    <w:nsid w:val="2708C9AF"/>
    <w:multiLevelType w:val="hybridMultilevel"/>
    <w:lvl w:ilvl="0">
      <w:lvlJc w:val="left"/>
      <w:lvlText w:val="1"/>
      <w:numFmt w:val="bullet"/>
      <w:start w:val="1"/>
    </w:lvl>
  </w:abstractNum>
  <w:abstractNum w:abstractNumId="86">
    <w:nsid w:val="5B25ACE2"/>
    <w:multiLevelType w:val="hybridMultilevel"/>
    <w:lvl w:ilvl="0">
      <w:lvlJc w:val="left"/>
      <w:lvlText w:val="2"/>
      <w:numFmt w:val="bullet"/>
      <w:start w:val="1"/>
    </w:lvl>
    <w:lvl w:ilvl="1">
      <w:lvlJc w:val="left"/>
      <w:lvlText w:val="(%2)"/>
      <w:numFmt w:val="lowerLetter"/>
      <w:start w:val="1"/>
    </w:lvl>
  </w:abstractNum>
  <w:abstractNum w:abstractNumId="87">
    <w:nsid w:val="175DFCF0"/>
    <w:multiLevelType w:val="hybridMultilevel"/>
    <w:lvl w:ilvl="0">
      <w:lvlJc w:val="left"/>
      <w:lvlText w:val="3"/>
      <w:numFmt w:val="bullet"/>
      <w:start w:val="1"/>
    </w:lvl>
  </w:abstractNum>
  <w:abstractNum w:abstractNumId="88">
    <w:nsid w:val="4F97E3E4"/>
    <w:multiLevelType w:val="hybridMultilevel"/>
    <w:lvl w:ilvl="0">
      <w:lvlJc w:val="left"/>
      <w:lvlText w:val="4"/>
      <w:numFmt w:val="bullet"/>
      <w:start w:val="1"/>
    </w:lvl>
  </w:abstractNum>
  <w:abstractNum w:abstractNumId="89">
    <w:nsid w:val="53B0A9E"/>
    <w:multiLevelType w:val="hybridMultilevel"/>
    <w:lvl w:ilvl="0">
      <w:lvlJc w:val="left"/>
      <w:lvlText w:val="5"/>
      <w:numFmt w:val="bullet"/>
      <w:start w:val="1"/>
    </w:lvl>
  </w:abstractNum>
  <w:abstractNum w:abstractNumId="90">
    <w:nsid w:val="34FD6B4F"/>
    <w:multiLevelType w:val="hybridMultilevel"/>
    <w:lvl w:ilvl="0">
      <w:lvlJc w:val="left"/>
      <w:lvlText w:val="9"/>
      <w:numFmt w:val="bullet"/>
      <w:start w:val="1"/>
    </w:lvl>
  </w:abstractNum>
  <w:abstractNum w:abstractNumId="91">
    <w:nsid w:val="5915FF32"/>
    <w:multiLevelType w:val="hybridMultilevel"/>
    <w:lvl w:ilvl="0">
      <w:lvlJc w:val="left"/>
      <w:lvlText w:val="%1"/>
      <w:numFmt w:val="decimal"/>
      <w:start w:val="10"/>
    </w:lvl>
  </w:abstractNum>
  <w:abstractNum w:abstractNumId="92">
    <w:nsid w:val="56438D15"/>
    <w:multiLevelType w:val="hybridMultilevel"/>
    <w:lvl w:ilvl="0">
      <w:lvlJc w:val="left"/>
      <w:lvlText w:val="1"/>
      <w:numFmt w:val="bullet"/>
      <w:start w:val="1"/>
    </w:lvl>
  </w:abstractNum>
  <w:abstractNum w:abstractNumId="93">
    <w:nsid w:val="519E3149"/>
    <w:multiLevelType w:val="hybridMultilevel"/>
    <w:lvl w:ilvl="0">
      <w:lvlJc w:val="left"/>
      <w:lvlText w:val="2"/>
      <w:numFmt w:val="bullet"/>
      <w:start w:val="1"/>
    </w:lvl>
    <w:lvl w:ilvl="1">
      <w:lvlJc w:val="left"/>
      <w:lvlText w:val="(%2)"/>
      <w:numFmt w:val="lowerLetter"/>
      <w:start w:val="1"/>
    </w:lvl>
  </w:abstractNum>
  <w:abstractNum w:abstractNumId="94">
    <w:nsid w:val="2C6E4AFD"/>
    <w:multiLevelType w:val="hybridMultilevel"/>
    <w:lvl w:ilvl="0">
      <w:lvlJc w:val="left"/>
      <w:lvlText w:val="3"/>
      <w:numFmt w:val="bullet"/>
      <w:start w:val="1"/>
    </w:lvl>
  </w:abstractNum>
  <w:abstractNum w:abstractNumId="95">
    <w:nsid w:val="17A1B582"/>
    <w:multiLevelType w:val="hybridMultilevel"/>
    <w:lvl w:ilvl="0">
      <w:lvlJc w:val="left"/>
      <w:lvlText w:val="4"/>
      <w:numFmt w:val="bullet"/>
      <w:start w:val="1"/>
    </w:lvl>
  </w:abstractNum>
  <w:abstractNum w:abstractNumId="96">
    <w:nsid w:val="4DF72E4E"/>
    <w:multiLevelType w:val="hybridMultilevel"/>
    <w:lvl w:ilvl="0">
      <w:lvlJc w:val="left"/>
      <w:lvlText w:val="5"/>
      <w:numFmt w:val="bullet"/>
      <w:start w:val="1"/>
    </w:lvl>
  </w:abstractNum>
  <w:abstractNum w:abstractNumId="97">
    <w:nsid w:val="5046B5A9"/>
    <w:multiLevelType w:val="hybridMultilevel"/>
    <w:lvl w:ilvl="0">
      <w:lvlJc w:val="left"/>
      <w:lvlText w:val="9"/>
      <w:numFmt w:val="bullet"/>
      <w:start w:val="1"/>
    </w:lvl>
  </w:abstractNum>
  <w:abstractNum w:abstractNumId="98">
    <w:nsid w:val="5D888A08"/>
    <w:multiLevelType w:val="hybridMultilevel"/>
    <w:lvl w:ilvl="0">
      <w:lvlJc w:val="left"/>
      <w:lvlText w:val="%1"/>
      <w:numFmt w:val="decimal"/>
      <w:start w:val="10"/>
    </w:lvl>
  </w:abstractNum>
  <w:abstractNum w:abstractNumId="99">
    <w:nsid w:val="2A082C70"/>
    <w:multiLevelType w:val="hybridMultilevel"/>
    <w:lvl w:ilvl="0">
      <w:lvlJc w:val="left"/>
      <w:lvlText w:val="1"/>
      <w:numFmt w:val="bullet"/>
      <w:start w:val="1"/>
    </w:lvl>
  </w:abstractNum>
  <w:abstractNum w:abstractNumId="100">
    <w:nsid w:val="5EC6AFD4"/>
    <w:multiLevelType w:val="hybridMultilevel"/>
    <w:lvl w:ilvl="0">
      <w:lvlJc w:val="left"/>
      <w:lvlText w:val="2"/>
      <w:numFmt w:val="bullet"/>
      <w:start w:val="1"/>
    </w:lvl>
    <w:lvl w:ilvl="1">
      <w:lvlJc w:val="left"/>
      <w:lvlText w:val="(%2)"/>
      <w:numFmt w:val="lowerLetter"/>
      <w:start w:val="1"/>
    </w:lvl>
  </w:abstractNum>
  <w:abstractNum w:abstractNumId="101">
    <w:nsid w:val="19E21BB2"/>
    <w:multiLevelType w:val="hybridMultilevel"/>
    <w:lvl w:ilvl="0">
      <w:lvlJc w:val="left"/>
      <w:lvlText w:val="3"/>
      <w:numFmt w:val="bullet"/>
      <w:start w:val="1"/>
    </w:lvl>
  </w:abstractNum>
  <w:abstractNum w:abstractNumId="102">
    <w:nsid w:val="75E0858A"/>
    <w:multiLevelType w:val="hybridMultilevel"/>
    <w:lvl w:ilvl="0">
      <w:lvlJc w:val="left"/>
      <w:lvlText w:val="4"/>
      <w:numFmt w:val="bullet"/>
      <w:start w:val="1"/>
    </w:lvl>
  </w:abstractNum>
  <w:abstractNum w:abstractNumId="103">
    <w:nsid w:val="57A61A29"/>
    <w:multiLevelType w:val="hybridMultilevel"/>
    <w:lvl w:ilvl="0">
      <w:lvlJc w:val="left"/>
      <w:lvlText w:val="5"/>
      <w:numFmt w:val="bullet"/>
      <w:start w:val="1"/>
    </w:lvl>
  </w:abstractNum>
  <w:abstractNum w:abstractNumId="104">
    <w:nsid w:val="5399C654"/>
    <w:multiLevelType w:val="hybridMultilevel"/>
    <w:lvl w:ilvl="0">
      <w:lvlJc w:val="left"/>
      <w:lvlText w:val="9"/>
      <w:numFmt w:val="bullet"/>
      <w:start w:val="1"/>
    </w:lvl>
  </w:abstractNum>
  <w:abstractNum w:abstractNumId="105">
    <w:nsid w:val="20EE1348"/>
    <w:multiLevelType w:val="hybridMultilevel"/>
    <w:lvl w:ilvl="0">
      <w:lvlJc w:val="left"/>
      <w:lvlText w:val="%1"/>
      <w:numFmt w:val="decimal"/>
      <w:start w:val="10"/>
    </w:lvl>
  </w:abstractNum>
  <w:abstractNum w:abstractNumId="106">
    <w:nsid w:val="4427069A"/>
    <w:multiLevelType w:val="hybridMultilevel"/>
    <w:lvl w:ilvl="0">
      <w:lvlJc w:val="left"/>
      <w:lvlText w:val="1"/>
      <w:numFmt w:val="bullet"/>
      <w:start w:val="1"/>
    </w:lvl>
  </w:abstractNum>
  <w:abstractNum w:abstractNumId="107">
    <w:nsid w:val="B37E80A"/>
    <w:multiLevelType w:val="hybridMultilevel"/>
    <w:lvl w:ilvl="0">
      <w:lvlJc w:val="left"/>
      <w:lvlText w:val="2"/>
      <w:numFmt w:val="bullet"/>
      <w:start w:val="1"/>
    </w:lvl>
    <w:lvl w:ilvl="1">
      <w:lvlJc w:val="left"/>
      <w:lvlText w:val="(%2)"/>
      <w:numFmt w:val="lowerLetter"/>
      <w:start w:val="1"/>
    </w:lvl>
  </w:abstractNum>
  <w:abstractNum w:abstractNumId="108">
    <w:nsid w:val="2157F6BC"/>
    <w:multiLevelType w:val="hybridMultilevel"/>
    <w:lvl w:ilvl="0">
      <w:lvlJc w:val="left"/>
      <w:lvlText w:val="3"/>
      <w:numFmt w:val="bullet"/>
      <w:start w:val="1"/>
    </w:lvl>
  </w:abstractNum>
  <w:abstractNum w:abstractNumId="109">
    <w:nsid w:val="704E1DD5"/>
    <w:multiLevelType w:val="hybridMultilevel"/>
    <w:lvl w:ilvl="0">
      <w:lvlJc w:val="left"/>
      <w:lvlText w:val="4"/>
      <w:numFmt w:val="bullet"/>
      <w:start w:val="1"/>
    </w:lvl>
  </w:abstractNum>
  <w:abstractNum w:abstractNumId="110">
    <w:nsid w:val="57D2F10E"/>
    <w:multiLevelType w:val="hybridMultilevel"/>
    <w:lvl w:ilvl="0">
      <w:lvlJc w:val="left"/>
      <w:lvlText w:val="5"/>
      <w:numFmt w:val="bullet"/>
      <w:start w:val="1"/>
    </w:lvl>
  </w:abstractNum>
  <w:abstractNum w:abstractNumId="111">
    <w:nsid w:val="BFFAE18"/>
    <w:multiLevelType w:val="hybridMultilevel"/>
    <w:lvl w:ilvl="0">
      <w:lvlJc w:val="left"/>
      <w:lvlText w:val="9"/>
      <w:numFmt w:val="bullet"/>
      <w:start w:val="1"/>
    </w:lvl>
  </w:abstractNum>
  <w:abstractNum w:abstractNumId="112">
    <w:nsid w:val="E3E47A8"/>
    <w:multiLevelType w:val="hybridMultilevel"/>
    <w:lvl w:ilvl="0">
      <w:lvlJc w:val="left"/>
      <w:lvlText w:val="%1"/>
      <w:numFmt w:val="decimal"/>
      <w:start w:val="10"/>
    </w:lvl>
  </w:abstractNum>
  <w:abstractNum w:abstractNumId="113">
    <w:nsid w:val="2E48F044"/>
    <w:multiLevelType w:val="hybridMultilevel"/>
    <w:lvl w:ilvl="0">
      <w:lvlJc w:val="left"/>
      <w:lvlText w:val="1"/>
      <w:numFmt w:val="bullet"/>
      <w:start w:val="1"/>
    </w:lvl>
  </w:abstractNum>
  <w:abstractNum w:abstractNumId="114">
    <w:nsid w:val="49D0FEAC"/>
    <w:multiLevelType w:val="hybridMultilevel"/>
    <w:lvl w:ilvl="0">
      <w:lvlJc w:val="left"/>
      <w:lvlText w:val="2"/>
      <w:numFmt w:val="bullet"/>
      <w:start w:val="1"/>
    </w:lvl>
    <w:lvl w:ilvl="1">
      <w:lvlJc w:val="left"/>
      <w:lvlText w:val="(%2)"/>
      <w:numFmt w:val="lowerLetter"/>
      <w:start w:val="1"/>
    </w:lvl>
  </w:abstractNum>
  <w:abstractNum w:abstractNumId="115">
    <w:nsid w:val="4BEE5A5B"/>
    <w:multiLevelType w:val="hybridMultilevel"/>
    <w:lvl w:ilvl="0">
      <w:lvlJc w:val="left"/>
      <w:lvlText w:val="3"/>
      <w:numFmt w:val="bullet"/>
      <w:start w:val="1"/>
    </w:lvl>
  </w:abstractNum>
  <w:abstractNum w:abstractNumId="116">
    <w:nsid w:val="5551B9F3"/>
    <w:multiLevelType w:val="hybridMultilevel"/>
    <w:lvl w:ilvl="0">
      <w:lvlJc w:val="left"/>
      <w:lvlText w:val="4"/>
      <w:numFmt w:val="bullet"/>
      <w:start w:val="1"/>
    </w:lvl>
  </w:abstractNum>
  <w:abstractNum w:abstractNumId="117">
    <w:nsid w:val="24F6AB8E"/>
    <w:multiLevelType w:val="hybridMultilevel"/>
    <w:lvl w:ilvl="0">
      <w:lvlJc w:val="left"/>
      <w:lvlText w:val="5"/>
      <w:numFmt w:val="bullet"/>
      <w:start w:val="1"/>
    </w:lvl>
  </w:abstractNum>
  <w:abstractNum w:abstractNumId="118">
    <w:nsid w:val="634C574C"/>
    <w:multiLevelType w:val="hybridMultilevel"/>
    <w:lvl w:ilvl="0">
      <w:lvlJc w:val="left"/>
      <w:lvlText w:val="9"/>
      <w:numFmt w:val="bullet"/>
      <w:start w:val="1"/>
    </w:lvl>
  </w:abstractNum>
  <w:abstractNum w:abstractNumId="119">
    <w:nsid w:val="24E99DD7"/>
    <w:multiLevelType w:val="hybridMultilevel"/>
    <w:lvl w:ilvl="0">
      <w:lvlJc w:val="left"/>
      <w:lvlText w:val="%1"/>
      <w:numFmt w:val="decimal"/>
      <w:start w:val="10"/>
    </w:lvl>
  </w:abstractNum>
  <w:abstractNum w:abstractNumId="120">
    <w:nsid w:val="2A31B62D"/>
    <w:multiLevelType w:val="hybridMultilevel"/>
    <w:lvl w:ilvl="0">
      <w:lvlJc w:val="left"/>
      <w:lvlText w:val="1"/>
      <w:numFmt w:val="bullet"/>
      <w:start w:val="1"/>
    </w:lvl>
  </w:abstractNum>
  <w:abstractNum w:abstractNumId="121">
    <w:nsid w:val="1849C29B"/>
    <w:multiLevelType w:val="hybridMultilevel"/>
    <w:lvl w:ilvl="0">
      <w:lvlJc w:val="left"/>
      <w:lvlText w:val="2"/>
      <w:numFmt w:val="bullet"/>
      <w:start w:val="1"/>
    </w:lvl>
    <w:lvl w:ilvl="1">
      <w:lvlJc w:val="left"/>
      <w:lvlText w:val="(%2)"/>
      <w:numFmt w:val="lowerLetter"/>
      <w:start w:val="1"/>
    </w:lvl>
  </w:abstractNum>
  <w:abstractNum w:abstractNumId="122">
    <w:nsid w:val="7DFF9D09"/>
    <w:multiLevelType w:val="hybridMultilevel"/>
    <w:lvl w:ilvl="0">
      <w:lvlJc w:val="left"/>
      <w:lvlText w:val="3"/>
      <w:numFmt w:val="bullet"/>
      <w:start w:val="1"/>
    </w:lvl>
  </w:abstractNum>
  <w:abstractNum w:abstractNumId="123">
    <w:nsid w:val="754342"/>
    <w:multiLevelType w:val="hybridMultilevel"/>
    <w:lvl w:ilvl="0">
      <w:lvlJc w:val="left"/>
      <w:lvlText w:val="4"/>
      <w:numFmt w:val="bullet"/>
      <w:start w:val="1"/>
    </w:lvl>
  </w:abstractNum>
  <w:abstractNum w:abstractNumId="124">
    <w:nsid w:val="69E7F3E5"/>
    <w:multiLevelType w:val="hybridMultilevel"/>
    <w:lvl w:ilvl="0">
      <w:lvlJc w:val="left"/>
      <w:lvlText w:val="5"/>
      <w:numFmt w:val="bullet"/>
      <w:start w:val="1"/>
    </w:lvl>
  </w:abstractNum>
  <w:abstractNum w:abstractNumId="125">
    <w:nsid w:val="2A6DE806"/>
    <w:multiLevelType w:val="hybridMultilevel"/>
    <w:lvl w:ilvl="0">
      <w:lvlJc w:val="left"/>
      <w:lvlText w:val="9"/>
      <w:numFmt w:val="bullet"/>
      <w:start w:val="1"/>
    </w:lvl>
  </w:abstractNum>
  <w:abstractNum w:abstractNumId="126">
    <w:nsid w:val="1816F8C4"/>
    <w:multiLevelType w:val="hybridMultilevel"/>
    <w:lvl w:ilvl="0">
      <w:lvlJc w:val="left"/>
      <w:lvlText w:val="%1"/>
      <w:numFmt w:val="decimal"/>
      <w:start w:val="10"/>
    </w:lvl>
  </w:abstractNum>
  <w:abstractNum w:abstractNumId="127">
    <w:nsid w:val="37DF2233"/>
    <w:multiLevelType w:val="hybridMultilevel"/>
    <w:lvl w:ilvl="0">
      <w:lvlJc w:val="left"/>
      <w:lvlText w:val="1"/>
      <w:numFmt w:val="bullet"/>
      <w:start w:val="1"/>
    </w:lvl>
  </w:abstractNum>
  <w:abstractNum w:abstractNumId="128">
    <w:nsid w:val="7AB49DAF"/>
    <w:multiLevelType w:val="hybridMultilevel"/>
    <w:lvl w:ilvl="0">
      <w:lvlJc w:val="left"/>
      <w:lvlText w:val="2"/>
      <w:numFmt w:val="bullet"/>
      <w:start w:val="1"/>
    </w:lvl>
    <w:lvl w:ilvl="1">
      <w:lvlJc w:val="left"/>
      <w:lvlText w:val="(%2)"/>
      <w:numFmt w:val="lowerLetter"/>
      <w:start w:val="1"/>
    </w:lvl>
  </w:abstractNum>
  <w:abstractNum w:abstractNumId="129">
    <w:nsid w:val="759F82CD"/>
    <w:multiLevelType w:val="hybridMultilevel"/>
    <w:lvl w:ilvl="0">
      <w:lvlJc w:val="left"/>
      <w:lvlText w:val="3"/>
      <w:numFmt w:val="bullet"/>
      <w:start w:val="1"/>
    </w:lvl>
  </w:abstractNum>
  <w:abstractNum w:abstractNumId="130">
    <w:nsid w:val="61E74EA3"/>
    <w:multiLevelType w:val="hybridMultilevel"/>
    <w:lvl w:ilvl="0">
      <w:lvlJc w:val="left"/>
      <w:lvlText w:val="4"/>
      <w:numFmt w:val="bullet"/>
      <w:start w:val="1"/>
    </w:lvl>
  </w:abstractNum>
  <w:abstractNum w:abstractNumId="131">
    <w:nsid w:val="597B4D84"/>
    <w:multiLevelType w:val="hybridMultilevel"/>
    <w:lvl w:ilvl="0">
      <w:lvlJc w:val="left"/>
      <w:lvlText w:val="5"/>
      <w:numFmt w:val="bullet"/>
      <w:start w:val="1"/>
    </w:lvl>
  </w:abstractNum>
  <w:abstractNum w:abstractNumId="132">
    <w:nsid w:val="F819E7F"/>
    <w:multiLevelType w:val="hybridMultilevel"/>
    <w:lvl w:ilvl="0">
      <w:lvlJc w:val="left"/>
      <w:lvlText w:val="9"/>
      <w:numFmt w:val="bullet"/>
      <w:start w:val="1"/>
    </w:lvl>
  </w:abstractNum>
  <w:abstractNum w:abstractNumId="133">
    <w:nsid w:val="57C7D42D"/>
    <w:multiLevelType w:val="hybridMultilevel"/>
    <w:lvl w:ilvl="0">
      <w:lvlJc w:val="left"/>
      <w:lvlText w:val="%1"/>
      <w:numFmt w:val="decimal"/>
      <w:start w:val="10"/>
    </w:lvl>
  </w:abstractNum>
  <w:abstractNum w:abstractNumId="134">
    <w:nsid w:val="312167AD"/>
    <w:multiLevelType w:val="hybridMultilevel"/>
    <w:lvl w:ilvl="0">
      <w:lvlJc w:val="left"/>
      <w:lvlText w:val="1"/>
      <w:numFmt w:val="bullet"/>
      <w:start w:val="1"/>
    </w:lvl>
  </w:abstractNum>
  <w:abstractNum w:abstractNumId="135">
    <w:nsid w:val="631B64D4"/>
    <w:multiLevelType w:val="hybridMultilevel"/>
    <w:lvl w:ilvl="0">
      <w:lvlJc w:val="left"/>
      <w:lvlText w:val="2"/>
      <w:numFmt w:val="bullet"/>
      <w:start w:val="1"/>
    </w:lvl>
    <w:lvl w:ilvl="1">
      <w:lvlJc w:val="left"/>
      <w:lvlText w:val="(%2)"/>
      <w:numFmt w:val="lowerLetter"/>
      <w:start w:val="1"/>
    </w:lvl>
  </w:abstractNum>
  <w:abstractNum w:abstractNumId="136">
    <w:nsid w:val="78B5E776"/>
    <w:multiLevelType w:val="hybridMultilevel"/>
    <w:lvl w:ilvl="0">
      <w:lvlJc w:val="left"/>
      <w:lvlText w:val="3"/>
      <w:numFmt w:val="bullet"/>
      <w:start w:val="1"/>
    </w:lvl>
  </w:abstractNum>
  <w:abstractNum w:abstractNumId="137">
    <w:nsid w:val="75486E47"/>
    <w:multiLevelType w:val="hybridMultilevel"/>
    <w:lvl w:ilvl="0">
      <w:lvlJc w:val="left"/>
      <w:lvlText w:val="4"/>
      <w:numFmt w:val="bullet"/>
      <w:start w:val="1"/>
    </w:lvl>
  </w:abstractNum>
  <w:abstractNum w:abstractNumId="138">
    <w:nsid w:val="6E534CDE"/>
    <w:multiLevelType w:val="hybridMultilevel"/>
    <w:lvl w:ilvl="0">
      <w:lvlJc w:val="left"/>
      <w:lvlText w:val="5"/>
      <w:numFmt w:val="bullet"/>
      <w:start w:val="1"/>
    </w:lvl>
  </w:abstractNum>
  <w:abstractNum w:abstractNumId="139">
    <w:nsid w:val="1A0DDE32"/>
    <w:multiLevelType w:val="hybridMultilevel"/>
    <w:lvl w:ilvl="0">
      <w:lvlJc w:val="left"/>
      <w:lvlText w:val="9"/>
      <w:numFmt w:val="bullet"/>
      <w:start w:val="1"/>
    </w:lvl>
  </w:abstractNum>
  <w:abstractNum w:abstractNumId="140">
    <w:nsid w:val="65968C1C"/>
    <w:multiLevelType w:val="hybridMultilevel"/>
    <w:lvl w:ilvl="0">
      <w:lvlJc w:val="left"/>
      <w:lvlText w:val="%1"/>
      <w:numFmt w:val="decimal"/>
      <w:start w:val="10"/>
    </w:lvl>
  </w:abstractNum>
  <w:abstractNum w:abstractNumId="141">
    <w:nsid w:val="46263DEC"/>
    <w:multiLevelType w:val="hybridMultilevel"/>
    <w:lvl w:ilvl="0">
      <w:lvlJc w:val="left"/>
      <w:lvlText w:val="1"/>
      <w:numFmt w:val="bullet"/>
      <w:start w:val="1"/>
    </w:lvl>
  </w:abstractNum>
  <w:abstractNum w:abstractNumId="142">
    <w:nsid w:val="260D8C4A"/>
    <w:multiLevelType w:val="hybridMultilevel"/>
    <w:lvl w:ilvl="0">
      <w:lvlJc w:val="left"/>
      <w:lvlText w:val="2"/>
      <w:numFmt w:val="bullet"/>
      <w:start w:val="1"/>
    </w:lvl>
    <w:lvl w:ilvl="1">
      <w:lvlJc w:val="left"/>
      <w:lvlText w:val="(%2)"/>
      <w:numFmt w:val="lowerLetter"/>
      <w:start w:val="1"/>
    </w:lvl>
  </w:abstractNum>
  <w:abstractNum w:abstractNumId="143">
    <w:nsid w:val="73D4D3C4"/>
    <w:multiLevelType w:val="hybridMultilevel"/>
    <w:lvl w:ilvl="0">
      <w:lvlJc w:val="left"/>
      <w:lvlText w:val="3"/>
      <w:numFmt w:val="bullet"/>
      <w:start w:val="1"/>
    </w:lvl>
  </w:abstractNum>
  <w:abstractNum w:abstractNumId="144">
    <w:nsid w:val="746F2E30"/>
    <w:multiLevelType w:val="hybridMultilevel"/>
    <w:lvl w:ilvl="0">
      <w:lvlJc w:val="left"/>
      <w:lvlText w:val="4"/>
      <w:numFmt w:val="bullet"/>
      <w:start w:val="1"/>
    </w:lvl>
  </w:abstractNum>
  <w:abstractNum w:abstractNumId="145">
    <w:nsid w:val="6FDE8AF6"/>
    <w:multiLevelType w:val="hybridMultilevel"/>
    <w:lvl w:ilvl="0">
      <w:lvlJc w:val="left"/>
      <w:lvlText w:val="5"/>
      <w:numFmt w:val="bullet"/>
      <w:start w:val="1"/>
    </w:lvl>
  </w:abstractNum>
  <w:abstractNum w:abstractNumId="146">
    <w:nsid w:val="3FC32E20"/>
    <w:multiLevelType w:val="hybridMultilevel"/>
    <w:lvl w:ilvl="0">
      <w:lvlJc w:val="left"/>
      <w:lvlText w:val="9"/>
      <w:numFmt w:val="bullet"/>
      <w:start w:val="1"/>
    </w:lvl>
  </w:abstractNum>
  <w:abstractNum w:abstractNumId="147">
    <w:nsid w:val="49C0E823"/>
    <w:multiLevelType w:val="hybridMultilevel"/>
    <w:lvl w:ilvl="0">
      <w:lvlJc w:val="left"/>
      <w:lvlText w:val="%1"/>
      <w:numFmt w:val="decimal"/>
      <w:start w:val="10"/>
    </w:lvl>
  </w:abstractNum>
  <w:abstractNum w:abstractNumId="148">
    <w:nsid w:val="14D53685"/>
    <w:multiLevelType w:val="hybridMultilevel"/>
    <w:lvl w:ilvl="0">
      <w:lvlJc w:val="left"/>
      <w:lvlText w:val="(%1)"/>
      <w:numFmt w:val="lowerLetter"/>
      <w:start w:val="1"/>
    </w:lvl>
  </w:abstractNum>
  <w:abstractNum w:abstractNumId="149">
    <w:nsid w:val="230F856C"/>
    <w:multiLevelType w:val="hybridMultilevel"/>
    <w:lvl w:ilvl="0">
      <w:lvlJc w:val="left"/>
      <w:lvlText w:val="(%1)"/>
      <w:numFmt w:val="lowerLetter"/>
      <w:start w:val="1"/>
    </w:lvl>
  </w:abstractNum>
  <w:abstractNum w:abstractNumId="150">
    <w:nsid w:val="6EAA85FB"/>
    <w:multiLevelType w:val="hybridMultilevel"/>
    <w:lvl w:ilvl="0">
      <w:lvlJc w:val="left"/>
      <w:lvlText w:val="-"/>
      <w:numFmt w:val="bullet"/>
      <w:start w:val="1"/>
    </w:lvl>
  </w:abstractNum>
  <w:abstractNum w:abstractNumId="151">
    <w:nsid w:val="3F06ECB2"/>
    <w:multiLevelType w:val="hybridMultilevel"/>
    <w:lvl w:ilvl="0">
      <w:lvlJc w:val="left"/>
      <w:lvlText w:val="(%1)"/>
      <w:numFmt w:val="lowerLetter"/>
      <w:start w:val="2"/>
    </w:lvl>
  </w:abstractNum>
  <w:abstractNum w:abstractNumId="152">
    <w:nsid w:val="3B594807"/>
    <w:multiLevelType w:val="hybridMultilevel"/>
    <w:lvl w:ilvl="0">
      <w:lvlJc w:val="left"/>
      <w:lvlText w:val="(%1)"/>
      <w:numFmt w:val="lowerLetter"/>
      <w:start w:val="5"/>
    </w:lvl>
  </w:abstractNum>
  <w:abstractNum w:abstractNumId="153">
    <w:nsid w:val="6CAA2304"/>
    <w:multiLevelType w:val="hybridMultilevel"/>
    <w:lvl w:ilvl="0">
      <w:lvlJc w:val="left"/>
      <w:lvlText w:val="(%1)"/>
      <w:numFmt w:val="lowerLetter"/>
      <w:start w:val="1"/>
    </w:lvl>
  </w:abstractNum>
  <w:abstractNum w:abstractNumId="154">
    <w:nsid w:val="3F7C2FF4"/>
    <w:multiLevelType w:val="hybridMultilevel"/>
    <w:lvl w:ilvl="0">
      <w:lvlJc w:val="left"/>
      <w:lvlText w:val="(%1)"/>
      <w:numFmt w:val="lowerLetter"/>
      <w:start w:val="2"/>
    </w:lvl>
  </w:abstractNum>
  <w:abstractNum w:abstractNumId="155">
    <w:nsid w:val="25413BEC"/>
    <w:multiLevelType w:val="hybridMultilevel"/>
    <w:lvl w:ilvl="0">
      <w:lvlJc w:val="left"/>
      <w:lvlText w:val="(%1)"/>
      <w:numFmt w:val="lowerLetter"/>
      <w:start w:val="3"/>
    </w:lvl>
    <w:lvl w:ilvl="1">
      <w:lvlJc w:val="left"/>
      <w:lvlText w:val="(%2)"/>
      <w:numFmt w:val="lowerRoman"/>
      <w:start w:val="1"/>
    </w:lvl>
  </w:abstractNum>
  <w:abstractNum w:abstractNumId="156">
    <w:nsid w:val="17180B0B"/>
    <w:multiLevelType w:val="hybridMultilevel"/>
    <w:lvl w:ilvl="0">
      <w:lvlJc w:val="left"/>
      <w:lvlText w:val="(%1)"/>
      <w:numFmt w:val="lowerRoman"/>
      <w:start w:val="2"/>
    </w:lvl>
  </w:abstractNum>
  <w:abstractNum w:abstractNumId="157">
    <w:nsid w:val="579328B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2019-12-15T18:18:19Z</dcterms:created>
  <dcterms:modified xsi:type="dcterms:W3CDTF">2019-12-15T18:18:19Z</dcterms:modified>
</cp:coreProperties>
</file>