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12, 2018</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NRG Yield LLC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804 Carnegie Center, Princeton, New Jersey 08540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(609) 524-4500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544" w:right="299" w:bottom="0" w:gutter="0" w:footer="0" w:header="0"/>
          <w:type w:val="continuous"/>
        </w:sectPr>
      </w:pPr>
    </w:p>
    <w:p>
      <w:pPr>
        <w:spacing w:after="0" w:line="23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8160"/>
        <w:spacing w:after="0"/>
        <w:tabs>
          <w:tab w:leader="none" w:pos="104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7"/>
          <w:szCs w:val="17"/>
          <w:color w:val="auto"/>
        </w:rPr>
        <w:t>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Sixth Supplemental Indenture</w:t>
      </w:r>
    </w:p>
    <w:p>
      <w:pPr>
        <w:spacing w:after="0" w:line="225" w:lineRule="exact"/>
        <w:rPr>
          <w:sz w:val="24"/>
          <w:szCs w:val="24"/>
          <w:color w:val="auto"/>
        </w:rPr>
      </w:pPr>
    </w:p>
    <w:p>
      <w:pPr>
        <w:ind w:firstLine="495"/>
        <w:spacing w:after="0" w:line="272" w:lineRule="auto"/>
        <w:rPr>
          <w:sz w:val="20"/>
          <w:szCs w:val="20"/>
          <w:color w:val="auto"/>
        </w:rPr>
      </w:pPr>
      <w:r>
        <w:rPr>
          <w:rFonts w:ascii="Arial" w:cs="Arial" w:eastAsia="Arial" w:hAnsi="Arial"/>
          <w:sz w:val="17"/>
          <w:szCs w:val="17"/>
          <w:color w:val="auto"/>
        </w:rPr>
        <w:t>On June 12, 2018, NRG Yield Operating LLC (“Yield Operating”), a subsidiary of NRG Yield LLC, the guarantors currently party to the 2024 Notes Indenture (defined below), Thermal Infrastructure Development Holdings LLC (the “Guaranteeing Subsidiary”) and Delaware Trust Company (as successor in interest to Law Debenture Trust Company of New York), as trustee (the “Trustee”), entered into the sixth supplemental indenture (the “Sixth Supplemental Indenture”), supplementing the indenture, dated as of August 5, 2014 (as amended or supplemented to the date hereof, the “2024 Notes Indenture”), by and among Yield Operating, the guarantors party thereto and the Trustee, pursuant to which Yield Operating issued $500,000,000 in aggregate principal amount of its 5.375% Senior Notes due 2024 (the “2024 Notes”). Pursuant to the Sixth Supplemental Indenture, the Guaranteeing Subsidiary became a guarantor of Yield Operating’s obligations under the 2024 Notes.</w:t>
      </w:r>
    </w:p>
    <w:p>
      <w:pPr>
        <w:spacing w:after="0" w:line="178" w:lineRule="exact"/>
        <w:rPr>
          <w:sz w:val="24"/>
          <w:szCs w:val="24"/>
          <w:color w:val="auto"/>
        </w:rPr>
      </w:pPr>
    </w:p>
    <w:p>
      <w:pPr>
        <w:ind w:right="40" w:firstLine="495"/>
        <w:spacing w:after="0" w:line="308" w:lineRule="auto"/>
        <w:rPr>
          <w:sz w:val="20"/>
          <w:szCs w:val="20"/>
          <w:color w:val="auto"/>
        </w:rPr>
      </w:pPr>
      <w:r>
        <w:rPr>
          <w:rFonts w:ascii="Arial" w:cs="Arial" w:eastAsia="Arial" w:hAnsi="Arial"/>
          <w:sz w:val="17"/>
          <w:szCs w:val="17"/>
          <w:color w:val="auto"/>
        </w:rPr>
        <w:t>The foregoing description of the Sixth Supplemental Indenture does not purport to be complete and is qualified in its entirety by reference to the Sixth Supplemental Indenture, which is attached as Exhibit 4.1 to this Current Report on Form 8-K and is incorporated by reference herein.</w:t>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Second Supplemental Indenture</w:t>
      </w:r>
    </w:p>
    <w:p>
      <w:pPr>
        <w:spacing w:after="0" w:line="225" w:lineRule="exact"/>
        <w:rPr>
          <w:sz w:val="24"/>
          <w:szCs w:val="24"/>
          <w:color w:val="auto"/>
        </w:rPr>
      </w:pPr>
    </w:p>
    <w:p>
      <w:pPr>
        <w:ind w:right="160" w:firstLine="495"/>
        <w:spacing w:after="0" w:line="312" w:lineRule="auto"/>
        <w:rPr>
          <w:sz w:val="20"/>
          <w:szCs w:val="20"/>
          <w:color w:val="auto"/>
        </w:rPr>
      </w:pPr>
      <w:r>
        <w:rPr>
          <w:rFonts w:ascii="Arial" w:cs="Arial" w:eastAsia="Arial" w:hAnsi="Arial"/>
          <w:sz w:val="16"/>
          <w:szCs w:val="16"/>
          <w:color w:val="auto"/>
        </w:rPr>
        <w:t>On June 12, 2018, Yield Operating, the guarantors currently party to the 2026 Notes Indenture (defined below), the Guaranteeing Subsidiary and the Trustee also entered into the second supplemental indenture (the “Second Supplemental Indenture”), supplementing the indenture, dated as of August 18, 2016 (the “2026 Notes Indenture”), by and among Yield Operating, the guarantors party thereto and the Trustee, pursuant to which Yield Operating issued</w:t>
      </w:r>
    </w:p>
    <w:p>
      <w:pPr>
        <w:sectPr>
          <w:pgSz w:w="11900" w:h="16838" w:orient="portrait"/>
          <w:cols w:equalWidth="0" w:num="1">
            <w:col w:w="11360"/>
          </w:cols>
          <w:pgMar w:left="240" w:top="544" w:right="299" w:bottom="0" w:gutter="0" w:footer="0" w:header="0"/>
          <w:type w:val="continuous"/>
        </w:sectPr>
      </w:pPr>
    </w:p>
    <w:bookmarkStart w:id="1" w:name="page2"/>
    <w:bookmarkEnd w:id="1"/>
    <w:p>
      <w:pPr>
        <w:ind w:right="280"/>
        <w:spacing w:after="0" w:line="277" w:lineRule="auto"/>
        <w:rPr>
          <w:sz w:val="20"/>
          <w:szCs w:val="20"/>
          <w:color w:val="auto"/>
        </w:rPr>
      </w:pPr>
      <w:r>
        <w:rPr>
          <w:rFonts w:ascii="Arial" w:cs="Arial" w:eastAsia="Arial" w:hAnsi="Arial"/>
          <w:sz w:val="18"/>
          <w:szCs w:val="18"/>
          <w:color w:val="auto"/>
        </w:rPr>
        <w:t>$350,000,000 in aggregate principal amount of its 5.000% Senior Notes due 2026 (the “2026 Notes”). Pursuant to the Second Supplemental Indenture, the Guaranteeing Subsidiary became a guarantor of Yield Operating’s obligations under the 2026 Notes.</w:t>
      </w:r>
    </w:p>
    <w:p>
      <w:pPr>
        <w:spacing w:after="0" w:line="170" w:lineRule="exact"/>
        <w:rPr>
          <w:sz w:val="20"/>
          <w:szCs w:val="20"/>
          <w:color w:val="auto"/>
        </w:rPr>
      </w:pPr>
    </w:p>
    <w:p>
      <w:pPr>
        <w:ind w:right="420" w:firstLine="495"/>
        <w:spacing w:after="0" w:line="342" w:lineRule="auto"/>
        <w:rPr>
          <w:sz w:val="20"/>
          <w:szCs w:val="20"/>
          <w:color w:val="auto"/>
        </w:rPr>
      </w:pPr>
      <w:r>
        <w:rPr>
          <w:rFonts w:ascii="Arial" w:cs="Arial" w:eastAsia="Arial" w:hAnsi="Arial"/>
          <w:sz w:val="16"/>
          <w:szCs w:val="16"/>
          <w:color w:val="auto"/>
        </w:rPr>
        <w:t>The foregoing description of the Second Supplemental Indenture does not purport to be complete and is qualified in its entirety by reference to the Second Supplemental Indenture, which is attached as Exhibit 4.2 to this Current Report on Form 8-K and is incorporated by reference herein.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5"/>
              </w:rPr>
              <w:t>Exhibit No.</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bottom w:val="single" w:sz="8" w:color="auto"/>
            </w:tcBorders>
            <w:gridSpan w:val="5"/>
          </w:tcPr>
          <w:p>
            <w:pPr>
              <w:ind w:left="462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14"/>
                <w:szCs w:val="14"/>
                <w:color w:val="auto"/>
              </w:rPr>
            </w:pPr>
          </w:p>
        </w:tc>
      </w:tr>
      <w:tr>
        <w:trPr>
          <w:trHeight w:val="385"/>
        </w:trPr>
        <w:tc>
          <w:tcPr>
            <w:tcW w:w="1160" w:type="dxa"/>
            <w:vAlign w:val="bottom"/>
          </w:tcPr>
          <w:p>
            <w:pPr>
              <w:jc w:val="right"/>
              <w:ind w:right="376"/>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988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Sixth Supplemental Indenture, dated as of June 12, 2018, among NRG Yield Operating LLC, the guarantors named therein and Delaware</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Trust Company (as successor in interest to Law Debenture Trust Company of New York).</w:t>
              </w:r>
            </w:hyperlink>
          </w:p>
        </w:tc>
        <w:tc>
          <w:tcPr>
            <w:tcW w:w="346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160" w:type="dxa"/>
            <w:vAlign w:val="bottom"/>
          </w:tcPr>
          <w:p>
            <w:pPr>
              <w:jc w:val="right"/>
              <w:ind w:right="376"/>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93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Second Supplemental Indenture, dated as of June 12, 2018, among NRG Yield Operating LLC, the guarantors named therein and</w:t>
              </w:r>
            </w:hyperlink>
          </w:p>
        </w:tc>
        <w:tc>
          <w:tcPr>
            <w:tcW w:w="6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gridSpan w:val="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Delaware Trust Company (as successor in interest to Law Debenture Trust Company of New York).</w:t>
              </w:r>
            </w:hyperlink>
          </w:p>
        </w:tc>
        <w:tc>
          <w:tcPr>
            <w:tcW w:w="40" w:type="dxa"/>
            <w:vAlign w:val="bottom"/>
          </w:tcPr>
          <w:p>
            <w:pPr>
              <w:spacing w:after="0"/>
              <w:rPr>
                <w:sz w:val="17"/>
                <w:szCs w:val="17"/>
                <w:color w:val="auto"/>
              </w:rPr>
            </w:pPr>
          </w:p>
        </w:tc>
      </w:tr>
      <w:tr>
        <w:trPr>
          <w:trHeight w:val="453"/>
        </w:trPr>
        <w:tc>
          <w:tcPr>
            <w:tcW w:w="11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6440" w:type="dxa"/>
            <w:vAlign w:val="bottom"/>
            <w:tcBorders>
              <w:top w:val="single" w:sz="8" w:color="0000EE"/>
            </w:tcBorders>
          </w:tcPr>
          <w:p>
            <w:pPr>
              <w:jc w:val="right"/>
              <w:ind w:right="2119"/>
              <w:spacing w:after="0"/>
              <w:rPr>
                <w:sz w:val="20"/>
                <w:szCs w:val="20"/>
                <w:color w:val="auto"/>
              </w:rPr>
            </w:pPr>
            <w:r>
              <w:rPr>
                <w:rFonts w:ascii="Arial" w:cs="Arial" w:eastAsia="Arial" w:hAnsi="Arial"/>
                <w:sz w:val="18"/>
                <w:szCs w:val="18"/>
                <w:color w:val="auto"/>
              </w:rPr>
              <w:t>2</w:t>
            </w:r>
          </w:p>
        </w:tc>
        <w:tc>
          <w:tcPr>
            <w:tcW w:w="720" w:type="dxa"/>
            <w:vAlign w:val="bottom"/>
            <w:tcBorders>
              <w:top w:val="single" w:sz="8" w:color="0000EE"/>
            </w:tcBorders>
          </w:tcPr>
          <w:p>
            <w:pPr>
              <w:spacing w:after="0"/>
              <w:rPr>
                <w:sz w:val="24"/>
                <w:szCs w:val="24"/>
                <w:color w:val="auto"/>
              </w:rPr>
            </w:pPr>
          </w:p>
        </w:tc>
        <w:tc>
          <w:tcPr>
            <w:tcW w:w="2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4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NRG Yield LLC</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Kevin P. Malcarney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12, 2018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line="7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SIXTH SUPPLEMENTAL INDENTURE</w:t>
      </w:r>
    </w:p>
    <w:p>
      <w:pPr>
        <w:spacing w:after="0" w:line="200" w:lineRule="exact"/>
        <w:rPr>
          <w:sz w:val="20"/>
          <w:szCs w:val="20"/>
          <w:color w:val="auto"/>
        </w:rPr>
      </w:pPr>
    </w:p>
    <w:p>
      <w:pPr>
        <w:spacing w:after="0" w:line="241" w:lineRule="exact"/>
        <w:rPr>
          <w:sz w:val="20"/>
          <w:szCs w:val="20"/>
          <w:color w:val="auto"/>
        </w:rPr>
      </w:pPr>
    </w:p>
    <w:p>
      <w:pPr>
        <w:ind w:right="320" w:firstLine="1297"/>
        <w:spacing w:after="0" w:line="302" w:lineRule="auto"/>
        <w:rPr>
          <w:sz w:val="20"/>
          <w:szCs w:val="20"/>
          <w:color w:val="auto"/>
        </w:rPr>
      </w:pPr>
      <w:r>
        <w:rPr>
          <w:rFonts w:ascii="Arial" w:cs="Arial" w:eastAsia="Arial" w:hAnsi="Arial"/>
          <w:sz w:val="16"/>
          <w:szCs w:val="16"/>
          <w:color w:val="auto"/>
        </w:rPr>
        <w:t>SIXTH SUPPLEMENTAL INDENTURE (this “</w:t>
      </w:r>
      <w:r>
        <w:rPr>
          <w:rFonts w:ascii="Arial" w:cs="Arial" w:eastAsia="Arial" w:hAnsi="Arial"/>
          <w:sz w:val="16"/>
          <w:szCs w:val="16"/>
          <w:i w:val="1"/>
          <w:iCs w:val="1"/>
          <w:color w:val="auto"/>
        </w:rPr>
        <w:t>Supplemental Indenture</w:t>
      </w:r>
      <w:r>
        <w:rPr>
          <w:rFonts w:ascii="Arial" w:cs="Arial" w:eastAsia="Arial" w:hAnsi="Arial"/>
          <w:sz w:val="16"/>
          <w:szCs w:val="16"/>
          <w:color w:val="auto"/>
        </w:rPr>
        <w:t>”), dated as of June 12, 2018, among Thermal Infrastructure Development Holdings LLC (the “</w:t>
      </w:r>
      <w:r>
        <w:rPr>
          <w:rFonts w:ascii="Arial" w:cs="Arial" w:eastAsia="Arial" w:hAnsi="Arial"/>
          <w:sz w:val="16"/>
          <w:szCs w:val="16"/>
          <w:i w:val="1"/>
          <w:iCs w:val="1"/>
          <w:color w:val="auto"/>
        </w:rPr>
        <w:t>Guaranteeing Subsidiary</w:t>
      </w:r>
      <w:r>
        <w:rPr>
          <w:rFonts w:ascii="Arial" w:cs="Arial" w:eastAsia="Arial" w:hAnsi="Arial"/>
          <w:sz w:val="16"/>
          <w:szCs w:val="16"/>
          <w:color w:val="auto"/>
        </w:rPr>
        <w:t>”), a subsidiary of NRG Yield Operating LLC (or its permitted successor), a Delaware limited liability company (the “</w:t>
      </w:r>
      <w:r>
        <w:rPr>
          <w:rFonts w:ascii="Arial" w:cs="Arial" w:eastAsia="Arial" w:hAnsi="Arial"/>
          <w:sz w:val="16"/>
          <w:szCs w:val="16"/>
          <w:i w:val="1"/>
          <w:iCs w:val="1"/>
          <w:color w:val="auto"/>
        </w:rPr>
        <w:t>Company</w:t>
      </w:r>
      <w:r>
        <w:rPr>
          <w:rFonts w:ascii="Arial" w:cs="Arial" w:eastAsia="Arial" w:hAnsi="Arial"/>
          <w:sz w:val="16"/>
          <w:szCs w:val="16"/>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6"/>
          <w:szCs w:val="16"/>
          <w:i w:val="1"/>
          <w:iCs w:val="1"/>
          <w:color w:val="auto"/>
        </w:rPr>
        <w:t>Trustee</w:t>
      </w:r>
      <w:r>
        <w:rPr>
          <w:rFonts w:ascii="Arial" w:cs="Arial" w:eastAsia="Arial" w:hAnsi="Arial"/>
          <w:sz w:val="16"/>
          <w:szCs w:val="16"/>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5, 2014 providing for the issuance of 5.375% Senior Notes due 2024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ind w:right="440"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1"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100" w:firstLine="656"/>
        <w:spacing w:after="0" w:line="259" w:lineRule="auto"/>
        <w:tabs>
          <w:tab w:leader="none" w:pos="1296" w:val="left"/>
        </w:tabs>
        <w:numPr>
          <w:ilvl w:val="0"/>
          <w:numId w:val="3"/>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ind w:firstLine="656"/>
        <w:spacing w:after="0" w:line="312" w:lineRule="auto"/>
        <w:tabs>
          <w:tab w:leader="none" w:pos="1296" w:val="left"/>
        </w:tabs>
        <w:numPr>
          <w:ilvl w:val="0"/>
          <w:numId w:val="3"/>
        </w:numPr>
        <w:rPr>
          <w:rFonts w:ascii="Arial" w:cs="Arial" w:eastAsia="Arial" w:hAnsi="Arial"/>
          <w:sz w:val="16"/>
          <w:szCs w:val="16"/>
          <w:color w:val="auto"/>
        </w:rPr>
      </w:pPr>
      <w:r>
        <w:rPr>
          <w:rFonts w:ascii="Arial" w:cs="Arial" w:eastAsia="Arial" w:hAnsi="Arial"/>
          <w:sz w:val="16"/>
          <w:szCs w:val="16"/>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waiver and release are part of the consideration for issuance of the Notes. The waiver may not be effective to waive liabilities under the federal securities laws.</w:t>
      </w:r>
    </w:p>
    <w:p>
      <w:pPr>
        <w:spacing w:after="0" w:line="170" w:lineRule="exact"/>
        <w:rPr>
          <w:sz w:val="20"/>
          <w:szCs w:val="20"/>
          <w:color w:val="auto"/>
        </w:rPr>
      </w:pPr>
    </w:p>
    <w:p>
      <w:pPr>
        <w:ind w:right="80" w:firstLine="656"/>
        <w:spacing w:after="0" w:line="264"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auto"/>
        </w:rPr>
      </w:pPr>
    </w:p>
    <w:p>
      <w:pPr>
        <w:ind w:right="120" w:firstLine="656"/>
        <w:spacing w:after="0" w:line="277"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right="460" w:firstLine="656"/>
        <w:spacing w:after="0" w:line="264"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auto"/>
        </w:rPr>
      </w:pPr>
    </w:p>
    <w:p>
      <w:pPr>
        <w:ind w:right="20" w:firstLine="656"/>
        <w:spacing w:after="0" w:line="259"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THERMAL INFRASTRUCTURE DEVELOPMENT HOLDINGS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ectPr>
          <w:pgSz w:w="11900" w:h="16911" w:orient="portrait"/>
          <w:cols w:equalWidth="0" w:num="1">
            <w:col w:w="11420"/>
          </w:cols>
          <w:pgMar w:left="240" w:top="121" w:right="239" w:bottom="0" w:gutter="0" w:footer="0" w:header="0"/>
        </w:sectPr>
      </w:pPr>
    </w:p>
    <w:bookmarkStart w:id="3" w:name="page4"/>
    <w:bookmarkEnd w:id="3"/>
    <w:p>
      <w:pPr>
        <w:ind w:left="4520"/>
        <w:spacing w:after="0"/>
        <w:rPr>
          <w:sz w:val="20"/>
          <w:szCs w:val="20"/>
          <w:color w:val="auto"/>
        </w:rPr>
      </w:pPr>
      <w:r>
        <w:rPr>
          <w:rFonts w:ascii="Arial" w:cs="Arial" w:eastAsia="Arial" w:hAnsi="Arial"/>
          <w:sz w:val="18"/>
          <w:szCs w:val="18"/>
          <w:color w:val="auto"/>
        </w:rPr>
        <w:t>NRG YIELD OPERATING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YIELD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YIELD DGPV HOLDING LLC</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bl>
    <w:p>
      <w:pPr>
        <w:spacing w:after="0" w:line="20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NRG YIELD 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NYLD FUEL CELL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Sixth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Musarra</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-130810</wp:posOffset>
            </wp:positionV>
            <wp:extent cx="33445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4"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Sixth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4" w:name="page5"/>
    <w:bookmarkEnd w:id="4"/>
    <w:p>
      <w:pPr>
        <w:spacing w:after="0" w:line="4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SUPPLEMENTAL INDENTURE</w:t>
      </w:r>
    </w:p>
    <w:p>
      <w:pPr>
        <w:spacing w:after="0" w:line="225" w:lineRule="exact"/>
        <w:rPr>
          <w:sz w:val="20"/>
          <w:szCs w:val="20"/>
          <w:color w:val="auto"/>
        </w:rPr>
      </w:pPr>
    </w:p>
    <w:p>
      <w:pPr>
        <w:jc w:val="both"/>
        <w:ind w:right="320" w:firstLine="1297"/>
        <w:spacing w:after="0" w:line="302" w:lineRule="auto"/>
        <w:rPr>
          <w:sz w:val="20"/>
          <w:szCs w:val="20"/>
          <w:color w:val="auto"/>
        </w:rPr>
      </w:pPr>
      <w:r>
        <w:rPr>
          <w:rFonts w:ascii="Arial" w:cs="Arial" w:eastAsia="Arial" w:hAnsi="Arial"/>
          <w:sz w:val="16"/>
          <w:szCs w:val="16"/>
          <w:color w:val="auto"/>
        </w:rPr>
        <w:t>SECOND SUPPLEMENTAL INDENTURE (this “</w:t>
      </w:r>
      <w:r>
        <w:rPr>
          <w:rFonts w:ascii="Arial" w:cs="Arial" w:eastAsia="Arial" w:hAnsi="Arial"/>
          <w:sz w:val="16"/>
          <w:szCs w:val="16"/>
          <w:i w:val="1"/>
          <w:iCs w:val="1"/>
          <w:color w:val="auto"/>
        </w:rPr>
        <w:t>Supplemental Indenture</w:t>
      </w:r>
      <w:r>
        <w:rPr>
          <w:rFonts w:ascii="Arial" w:cs="Arial" w:eastAsia="Arial" w:hAnsi="Arial"/>
          <w:sz w:val="16"/>
          <w:szCs w:val="16"/>
          <w:color w:val="auto"/>
        </w:rPr>
        <w:t>”), dated as of June 12, 2018, among Thermal Infrastructure Development Holdings LLC (the “</w:t>
      </w:r>
      <w:r>
        <w:rPr>
          <w:rFonts w:ascii="Arial" w:cs="Arial" w:eastAsia="Arial" w:hAnsi="Arial"/>
          <w:sz w:val="16"/>
          <w:szCs w:val="16"/>
          <w:i w:val="1"/>
          <w:iCs w:val="1"/>
          <w:color w:val="auto"/>
        </w:rPr>
        <w:t>Guaranteeing Subsidiary</w:t>
      </w:r>
      <w:r>
        <w:rPr>
          <w:rFonts w:ascii="Arial" w:cs="Arial" w:eastAsia="Arial" w:hAnsi="Arial"/>
          <w:sz w:val="16"/>
          <w:szCs w:val="16"/>
          <w:color w:val="auto"/>
        </w:rPr>
        <w:t>”), a subsidiary of NRG Yield Operating LLC (or its permitted successor), a Delaware limited liability company (the “</w:t>
      </w:r>
      <w:r>
        <w:rPr>
          <w:rFonts w:ascii="Arial" w:cs="Arial" w:eastAsia="Arial" w:hAnsi="Arial"/>
          <w:sz w:val="16"/>
          <w:szCs w:val="16"/>
          <w:i w:val="1"/>
          <w:iCs w:val="1"/>
          <w:color w:val="auto"/>
        </w:rPr>
        <w:t>Company</w:t>
      </w:r>
      <w:r>
        <w:rPr>
          <w:rFonts w:ascii="Arial" w:cs="Arial" w:eastAsia="Arial" w:hAnsi="Arial"/>
          <w:sz w:val="16"/>
          <w:szCs w:val="16"/>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6"/>
          <w:szCs w:val="16"/>
          <w:i w:val="1"/>
          <w:iCs w:val="1"/>
          <w:color w:val="auto"/>
        </w:rPr>
        <w:t>Trustee</w:t>
      </w:r>
      <w:r>
        <w:rPr>
          <w:rFonts w:ascii="Arial" w:cs="Arial" w:eastAsia="Arial" w:hAnsi="Arial"/>
          <w:sz w:val="16"/>
          <w:szCs w:val="16"/>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18, 2016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ind w:right="440"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1"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100" w:firstLine="656"/>
        <w:spacing w:after="0" w:line="259" w:lineRule="auto"/>
        <w:tabs>
          <w:tab w:leader="none" w:pos="1296" w:val="left"/>
        </w:tabs>
        <w:numPr>
          <w:ilvl w:val="0"/>
          <w:numId w:val="5"/>
        </w:numPr>
        <w:rPr>
          <w:rFonts w:ascii="Arial" w:cs="Arial" w:eastAsia="Arial" w:hAnsi="Arial"/>
          <w:sz w:val="18"/>
          <w:szCs w:val="18"/>
          <w:color w:val="auto"/>
        </w:rPr>
      </w:pPr>
      <w:r>
        <w:rPr>
          <w:rFonts w:ascii="Arial" w:cs="Arial" w:eastAsia="Arial" w:hAnsi="Arial"/>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ind w:firstLine="656"/>
        <w:spacing w:after="0" w:line="312" w:lineRule="auto"/>
        <w:tabs>
          <w:tab w:leader="none" w:pos="1296" w:val="left"/>
        </w:tabs>
        <w:numPr>
          <w:ilvl w:val="0"/>
          <w:numId w:val="5"/>
        </w:numPr>
        <w:rPr>
          <w:rFonts w:ascii="Arial" w:cs="Arial" w:eastAsia="Arial" w:hAnsi="Arial"/>
          <w:sz w:val="16"/>
          <w:szCs w:val="16"/>
          <w:color w:val="auto"/>
        </w:rPr>
      </w:pPr>
      <w:r>
        <w:rPr>
          <w:rFonts w:ascii="Arial" w:cs="Arial" w:eastAsia="Arial" w:hAnsi="Arial"/>
          <w:sz w:val="16"/>
          <w:szCs w:val="16"/>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waiver and release are part of the consideration for issuance of the Notes. The waiver may not be effective to waive liabilities under the federal securities laws.</w:t>
      </w:r>
    </w:p>
    <w:p>
      <w:pPr>
        <w:spacing w:after="0" w:line="170" w:lineRule="exact"/>
        <w:rPr>
          <w:sz w:val="20"/>
          <w:szCs w:val="20"/>
          <w:color w:val="auto"/>
        </w:rPr>
      </w:pPr>
    </w:p>
    <w:p>
      <w:pPr>
        <w:ind w:right="80" w:firstLine="656"/>
        <w:spacing w:after="0" w:line="264" w:lineRule="auto"/>
        <w:tabs>
          <w:tab w:leader="none" w:pos="1296"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auto"/>
        </w:rPr>
      </w:pPr>
    </w:p>
    <w:p>
      <w:pPr>
        <w:ind w:right="120" w:firstLine="656"/>
        <w:spacing w:after="0" w:line="277" w:lineRule="auto"/>
        <w:tabs>
          <w:tab w:leader="none" w:pos="1296" w:val="left"/>
        </w:tabs>
        <w:numPr>
          <w:ilvl w:val="0"/>
          <w:numId w:val="6"/>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right="460" w:firstLine="656"/>
        <w:spacing w:after="0" w:line="264" w:lineRule="auto"/>
        <w:tabs>
          <w:tab w:leader="none" w:pos="129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1" w:lineRule="exact"/>
        <w:rPr>
          <w:rFonts w:ascii="Arial" w:cs="Arial" w:eastAsia="Arial" w:hAnsi="Arial"/>
          <w:sz w:val="18"/>
          <w:szCs w:val="18"/>
          <w:color w:val="auto"/>
        </w:rPr>
      </w:pPr>
    </w:p>
    <w:p>
      <w:pPr>
        <w:ind w:right="20" w:firstLine="656"/>
        <w:spacing w:after="0" w:line="259" w:lineRule="auto"/>
        <w:tabs>
          <w:tab w:leader="none" w:pos="1296"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THERMAL INFRASTRUCTURE DEVELOPMENT HOLDINGS LLC</w:t>
      </w:r>
    </w:p>
    <w:p>
      <w:pPr>
        <w:spacing w:after="0" w:line="225"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NRG YIELD OPERATING LLC</w:t>
      </w:r>
    </w:p>
    <w:p>
      <w:pPr>
        <w:sectPr>
          <w:pgSz w:w="11900" w:h="16887" w:orient="portrait"/>
          <w:cols w:equalWidth="0" w:num="1">
            <w:col w:w="11420"/>
          </w:cols>
          <w:pgMar w:left="240" w:top="121" w:right="239" w:bottom="0" w:gutter="0" w:footer="0" w:header="0"/>
        </w:sectPr>
      </w:pPr>
    </w:p>
    <w:bookmarkStart w:id="5" w:name="page6"/>
    <w:bookmarkEnd w:id="5"/>
    <w:p>
      <w:pPr>
        <w:ind w:left="4580"/>
        <w:spacing w:after="0"/>
        <w:rPr>
          <w:sz w:val="20"/>
          <w:szCs w:val="20"/>
          <w:color w:val="auto"/>
        </w:rPr>
      </w:pPr>
      <w:r>
        <w:rPr>
          <w:rFonts w:ascii="Arial" w:cs="Arial" w:eastAsia="Arial" w:hAnsi="Arial"/>
          <w:sz w:val="18"/>
          <w:szCs w:val="18"/>
          <w:color w:val="auto"/>
        </w:rPr>
        <w:t>NRG YIELD LLC</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NRG YIELD DGPV HOLDING LLC</w:t>
      </w:r>
    </w:p>
    <w:p>
      <w:pPr>
        <w:spacing w:after="0" w:line="211"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bl>
    <w:p>
      <w:pPr>
        <w:spacing w:after="0" w:line="20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NRG SOLAR IGUANA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NRG SOLAR LAS VEGAS MB 1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NRG SOLAR STAR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NRG SOLAR TABERNACLE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NRG SOUTH TRENT HOLDINGS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NRG YIELD RPV HOLDING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NYLD FUEL CELL HOLDINGS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UB FUEL CELL, LLC</w:t>
      </w:r>
    </w:p>
    <w:p>
      <w:pPr>
        <w:spacing w:after="0" w:line="211"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Musarra</w:t>
            </w:r>
          </w:p>
        </w:tc>
      </w:tr>
      <w:tr>
        <w:trPr>
          <w:trHeight w:val="224"/>
        </w:trPr>
        <w:tc>
          <w:tcPr>
            <w:tcW w:w="70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87"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20"/>
      </w:cols>
      <w:pgMar w:left="14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2019-12-28T21:51:04Z</dcterms:created>
  <dcterms:modified xsi:type="dcterms:W3CDTF">2019-12-28T21:51:04Z</dcterms:modified>
</cp:coreProperties>
</file>