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36" w:lineRule="exact"/>
        <w:rPr>
          <w:sz w:val="24"/>
          <w:szCs w:val="24"/>
          <w:color w:val="auto"/>
        </w:rPr>
      </w:pPr>
    </w:p>
    <w:p>
      <w:pPr>
        <w:ind w:left="540" w:hanging="350"/>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001-36002</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13"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46-1777204</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413" w:right="339" w:bottom="1440" w:gutter="0" w:footer="0" w:header="0"/>
          <w:type w:val="continuous"/>
        </w:sectPr>
      </w:pPr>
    </w:p>
    <w:p>
      <w:pPr>
        <w:ind w:left="2160" w:right="100" w:hanging="1477"/>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93" w:lineRule="exact"/>
        <w:rPr>
          <w:sz w:val="24"/>
          <w:szCs w:val="24"/>
          <w:color w:val="auto"/>
        </w:rPr>
      </w:pPr>
    </w:p>
    <w:p>
      <w:pPr>
        <w:sectPr>
          <w:pgSz w:w="11900" w:h="16838" w:orient="portrait"/>
          <w:cols w:equalWidth="0" w:num="3">
            <w:col w:w="5120" w:space="720"/>
            <w:col w:w="2180" w:space="720"/>
            <w:col w:w="2500"/>
          </w:cols>
          <w:pgMar w:left="320" w:top="1413" w:right="3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Title of each class</w:t>
            </w:r>
          </w:p>
        </w:tc>
        <w:tc>
          <w:tcPr>
            <w:tcW w:w="26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9"/>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0"/>
              </w:rPr>
              <w:t>Class A Common Stock, par value $0.01</w:t>
            </w:r>
          </w:p>
        </w:tc>
        <w:tc>
          <w:tcPr>
            <w:tcW w:w="2660" w:type="dxa"/>
            <w:vAlign w:val="bottom"/>
          </w:tcPr>
          <w:p>
            <w:pPr>
              <w:jc w:val="center"/>
              <w:spacing w:after="0"/>
              <w:rPr>
                <w:sz w:val="20"/>
                <w:szCs w:val="20"/>
                <w:color w:val="auto"/>
              </w:rPr>
            </w:pPr>
            <w:r>
              <w:rPr>
                <w:rFonts w:ascii="Arial" w:cs="Arial" w:eastAsia="Arial" w:hAnsi="Arial"/>
                <w:sz w:val="18"/>
                <w:szCs w:val="18"/>
                <w:color w:val="auto"/>
                <w:w w:val="97"/>
              </w:rPr>
              <w:t>CWEN.A</w:t>
            </w: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89"/>
              </w:rPr>
              <w:t>Class C Common Stock, par value $0.01</w:t>
            </w:r>
          </w:p>
        </w:tc>
        <w:tc>
          <w:tcPr>
            <w:tcW w:w="2660" w:type="dxa"/>
            <w:vAlign w:val="bottom"/>
          </w:tcPr>
          <w:p>
            <w:pPr>
              <w:jc w:val="center"/>
              <w:ind w:left="10"/>
              <w:spacing w:after="0"/>
              <w:rPr>
                <w:sz w:val="20"/>
                <w:szCs w:val="20"/>
                <w:color w:val="auto"/>
              </w:rPr>
            </w:pPr>
            <w:r>
              <w:rPr>
                <w:rFonts w:ascii="Arial" w:cs="Arial" w:eastAsia="Arial" w:hAnsi="Arial"/>
                <w:sz w:val="18"/>
                <w:szCs w:val="18"/>
                <w:color w:val="auto"/>
                <w:w w:val="94"/>
              </w:rPr>
              <w:t>CWEN</w:t>
            </w: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1"/>
              </w:rPr>
              <w:t>New York Stock Exchange</w:t>
            </w:r>
          </w:p>
        </w:tc>
      </w:tr>
    </w:tbl>
    <w:p>
      <w:pPr>
        <w:spacing w:after="0" w:line="166" w:lineRule="exact"/>
        <w:rPr>
          <w:sz w:val="24"/>
          <w:szCs w:val="24"/>
          <w:color w:val="auto"/>
        </w:rPr>
      </w:pPr>
    </w:p>
    <w:p>
      <w:pPr>
        <w:jc w:val="both"/>
        <w:ind w:firstLine="283"/>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16" w:lineRule="exact"/>
        <w:rPr>
          <w:sz w:val="24"/>
          <w:szCs w:val="24"/>
          <w:color w:val="auto"/>
        </w:rPr>
      </w:pPr>
    </w:p>
    <w:p>
      <w:pPr>
        <w:jc w:val="both"/>
        <w:ind w:firstLine="283"/>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4"/>
          <w:szCs w:val="24"/>
          <w:color w:val="auto"/>
        </w:rPr>
      </w:pPr>
    </w:p>
    <w:p>
      <w:pPr>
        <w:jc w:val="center"/>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480" w:type="dxa"/>
            <w:vAlign w:val="bottom"/>
          </w:tcPr>
          <w:p>
            <w:pPr>
              <w:spacing w:after="0"/>
              <w:rPr>
                <w:sz w:val="20"/>
                <w:szCs w:val="20"/>
                <w:color w:val="auto"/>
              </w:rPr>
            </w:pPr>
            <w:r>
              <w:rPr>
                <w:rFonts w:ascii="Arial" w:cs="Arial" w:eastAsia="Arial" w:hAnsi="Arial"/>
                <w:sz w:val="16"/>
                <w:szCs w:val="16"/>
                <w:color w:val="auto"/>
              </w:rPr>
              <w:t>Exchange Act.</w:t>
            </w:r>
          </w:p>
        </w:tc>
        <w:tc>
          <w:tcPr>
            <w:tcW w:w="1440" w:type="dxa"/>
            <w:vAlign w:val="bottom"/>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17"/>
                <w:szCs w:val="17"/>
                <w:color w:val="auto"/>
              </w:rPr>
            </w:pPr>
          </w:p>
        </w:tc>
        <w:tc>
          <w:tcPr>
            <w:tcW w:w="920" w:type="dxa"/>
            <w:vAlign w:val="bottom"/>
            <w:vMerge w:val="restart"/>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3480" w:type="dxa"/>
            <w:vAlign w:val="bottom"/>
          </w:tcPr>
          <w:p>
            <w:pPr>
              <w:jc w:val="center"/>
              <w:ind w:left="433"/>
              <w:spacing w:after="0"/>
              <w:rPr>
                <w:sz w:val="20"/>
                <w:szCs w:val="20"/>
                <w:color w:val="auto"/>
              </w:rPr>
            </w:pPr>
            <w:r>
              <w:rPr>
                <w:rFonts w:ascii="Arial" w:cs="Arial" w:eastAsia="Arial" w:hAnsi="Arial"/>
                <w:sz w:val="18"/>
                <w:szCs w:val="18"/>
                <w:color w:val="auto"/>
                <w:w w:val="89"/>
              </w:rPr>
              <w:t>Large accelerated filer</w:t>
            </w:r>
          </w:p>
        </w:tc>
        <w:tc>
          <w:tcPr>
            <w:tcW w:w="1440" w:type="dxa"/>
            <w:vAlign w:val="bottom"/>
            <w:vMerge w:val="continue"/>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jc w:val="center"/>
              <w:ind w:left="433"/>
              <w:spacing w:after="0"/>
              <w:rPr>
                <w:sz w:val="20"/>
                <w:szCs w:val="20"/>
                <w:color w:val="auto"/>
              </w:rPr>
            </w:pPr>
            <w:r>
              <w:rPr>
                <w:rFonts w:ascii="Arial" w:cs="Arial" w:eastAsia="Arial" w:hAnsi="Arial"/>
                <w:sz w:val="18"/>
                <w:szCs w:val="18"/>
                <w:color w:val="auto"/>
                <w:w w:val="91"/>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4"/>
          <w:szCs w:val="24"/>
          <w:color w:val="auto"/>
        </w:rPr>
      </w:pPr>
    </w:p>
    <w:p>
      <w:pPr>
        <w:ind w:left="508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70" w:lineRule="exact"/>
        <w:rPr>
          <w:sz w:val="24"/>
          <w:szCs w:val="24"/>
          <w:color w:val="auto"/>
        </w:rPr>
      </w:pPr>
    </w:p>
    <w:p>
      <w:pPr>
        <w:jc w:val="both"/>
        <w:ind w:firstLine="283"/>
        <w:spacing w:after="0" w:line="228" w:lineRule="auto"/>
        <w:rPr>
          <w:sz w:val="20"/>
          <w:szCs w:val="20"/>
          <w:color w:val="auto"/>
        </w:rPr>
      </w:pPr>
      <w:r>
        <w:rPr>
          <w:rFonts w:ascii="Arial" w:cs="Arial" w:eastAsia="Arial" w:hAnsi="Arial"/>
          <w:sz w:val="16"/>
          <w:szCs w:val="16"/>
          <w:color w:val="auto"/>
        </w:rPr>
        <w:t xml:space="preserve">As of </w:t>
      </w:r>
      <w:r>
        <w:rPr>
          <w:rFonts w:ascii="Arial" w:cs="Arial" w:eastAsia="Arial" w:hAnsi="Arial"/>
          <w:sz w:val="17"/>
          <w:szCs w:val="17"/>
          <w:color w:val="auto"/>
        </w:rPr>
        <w:t>October 31, 2021</w:t>
      </w:r>
      <w:r>
        <w:rPr>
          <w:rFonts w:ascii="Arial" w:cs="Arial" w:eastAsia="Arial" w:hAnsi="Arial"/>
          <w:sz w:val="16"/>
          <w:szCs w:val="16"/>
          <w:color w:val="auto"/>
        </w:rPr>
        <w:t>, there were 34,599,645 shares of Class A common stock outstanding, par value $0.01 per share, 42,738,750 shares of Class B common stock outstanding, par value $0.01 per share, 81,777,798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20" w:type="dxa"/>
            <w:vAlign w:val="bottom"/>
            <w:gridSpan w:val="14"/>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660" w:type="dxa"/>
            <w:vAlign w:val="bottom"/>
            <w:gridSpan w:val="4"/>
          </w:tcPr>
          <w:p>
            <w:pPr>
              <w:spacing w:after="0"/>
              <w:rPr>
                <w:sz w:val="17"/>
                <w:szCs w:val="17"/>
                <w:color w:val="auto"/>
              </w:rPr>
            </w:pPr>
          </w:p>
        </w:tc>
        <w:tc>
          <w:tcPr>
            <w:tcW w:w="72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820" w:type="dxa"/>
            <w:vAlign w:val="bottom"/>
            <w:gridSpan w:val="14"/>
          </w:tcPr>
          <w:p>
            <w:pPr>
              <w:spacing w:after="0"/>
              <w:rPr>
                <w:sz w:val="20"/>
                <w:szCs w:val="20"/>
                <w:color w:val="auto"/>
              </w:rPr>
            </w:pPr>
            <w:r>
              <w:rPr>
                <w:rFonts w:ascii="Arial" w:cs="Arial" w:eastAsia="Arial" w:hAnsi="Arial"/>
                <w:sz w:val="18"/>
                <w:szCs w:val="18"/>
                <w:b w:val="1"/>
                <w:bCs w:val="1"/>
                <w:color w:val="0000FF"/>
              </w:rPr>
              <w:t>GLOSSARY OF TERMS</w:t>
            </w:r>
          </w:p>
        </w:tc>
        <w:tc>
          <w:tcPr>
            <w:tcW w:w="3660" w:type="dxa"/>
            <w:vAlign w:val="bottom"/>
            <w:gridSpan w:val="4"/>
          </w:tcPr>
          <w:p>
            <w:pPr>
              <w:spacing w:after="0"/>
              <w:rPr>
                <w:sz w:val="18"/>
                <w:szCs w:val="18"/>
                <w:color w:val="auto"/>
              </w:rPr>
            </w:pPr>
          </w:p>
        </w:tc>
        <w:tc>
          <w:tcPr>
            <w:tcW w:w="7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20" w:type="dxa"/>
            <w:vAlign w:val="bottom"/>
            <w:gridSpan w:val="8"/>
          </w:tcPr>
          <w:p>
            <w:pPr>
              <w:spacing w:after="0"/>
              <w:rPr>
                <w:sz w:val="18"/>
                <w:szCs w:val="18"/>
                <w:color w:val="auto"/>
              </w:rPr>
            </w:pPr>
          </w:p>
        </w:tc>
        <w:tc>
          <w:tcPr>
            <w:tcW w:w="72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FINANCIAL STATEMENTS AND NOTES</w:t>
            </w:r>
          </w:p>
        </w:tc>
        <w:tc>
          <w:tcPr>
            <w:tcW w:w="72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 OPERATIONS</w:t>
            </w:r>
          </w:p>
        </w:tc>
        <w:tc>
          <w:tcPr>
            <w:tcW w:w="68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LEGAL PROCEEDINGS</w:t>
            </w:r>
          </w:p>
        </w:tc>
        <w:tc>
          <w:tcPr>
            <w:tcW w:w="68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68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6"/>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61</w:t>
              </w:r>
            </w:hyperlink>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68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c>
          <w:tcPr>
            <w:tcW w:w="40" w:type="dxa"/>
            <w:vAlign w:val="bottom"/>
          </w:tcPr>
          <w:p>
            <w:pPr>
              <w:spacing w:after="0"/>
              <w:rPr>
                <w:sz w:val="18"/>
                <w:szCs w:val="18"/>
                <w:color w:val="auto"/>
              </w:rPr>
            </w:pPr>
          </w:p>
        </w:tc>
      </w:tr>
      <w:tr>
        <w:trPr>
          <w:trHeight w:val="979"/>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60" w:type="dxa"/>
            <w:vAlign w:val="bottom"/>
            <w:gridSpan w:val="11"/>
          </w:tcPr>
          <w:p>
            <w:pPr>
              <w:jc w:val="right"/>
              <w:ind w:right="1200"/>
              <w:spacing w:after="0"/>
              <w:rPr>
                <w:sz w:val="20"/>
                <w:szCs w:val="20"/>
                <w:color w:val="auto"/>
              </w:rPr>
            </w:pPr>
            <w:r>
              <w:rPr>
                <w:rFonts w:ascii="Arial" w:cs="Arial" w:eastAsia="Arial" w:hAnsi="Arial"/>
                <w:sz w:val="18"/>
                <w:szCs w:val="18"/>
                <w:color w:val="231F20"/>
              </w:rPr>
              <w:t>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2020, as well as the following:</w:t>
      </w:r>
    </w:p>
    <w:p>
      <w:pPr>
        <w:spacing w:after="0" w:line="1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COVID-19 (including any variant of the virus) or any other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2025 Senior Notes</w:t>
            </w:r>
          </w:p>
        </w:tc>
        <w:tc>
          <w:tcPr>
            <w:tcW w:w="8580" w:type="dxa"/>
            <w:vAlign w:val="bottom"/>
          </w:tcPr>
          <w:p>
            <w:pPr>
              <w:ind w:left="240"/>
              <w:spacing w:after="0" w:line="202" w:lineRule="exact"/>
              <w:rPr>
                <w:sz w:val="20"/>
                <w:szCs w:val="20"/>
                <w:color w:val="auto"/>
              </w:rPr>
            </w:pPr>
            <w:r>
              <w:rPr>
                <w:rFonts w:ascii="Arial" w:cs="Arial" w:eastAsia="Arial" w:hAnsi="Arial"/>
                <w:sz w:val="18"/>
                <w:szCs w:val="18"/>
                <w:color w:val="auto"/>
                <w:w w:val="91"/>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 which were repaid in March 2021</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2026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 which were repaid in October 2021</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2028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2031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$925 million aggregate principal amount of 3.750% unsecured senior notes due 2031,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2032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$350 million aggregate principal amount of 3.750% unsecured senior notes due 2032, issued by Clearway Energy</w:t>
            </w: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4"/>
        </w:trPr>
        <w:tc>
          <w:tcPr>
            <w:tcW w:w="2660" w:type="dxa"/>
            <w:vAlign w:val="bottom"/>
            <w:vMerge w:val="continue"/>
          </w:tcPr>
          <w:p>
            <w:pPr>
              <w:spacing w:after="0"/>
              <w:rPr>
                <w:sz w:val="18"/>
                <w:szCs w:val="18"/>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w w:val="94"/>
              </w:rPr>
              <w:t>A  non-GAAP  measure,  represents  earnings  before  interest  (including  loss  on  debt  extinguishment),  tax,</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8580" w:type="dxa"/>
            <w:vAlign w:val="bottom"/>
          </w:tcPr>
          <w:p>
            <w:pPr>
              <w:ind w:left="240"/>
              <w:spacing w:after="0" w:line="202" w:lineRule="exact"/>
              <w:rPr>
                <w:sz w:val="20"/>
                <w:szCs w:val="20"/>
                <w:color w:val="auto"/>
              </w:rPr>
            </w:pPr>
            <w:r>
              <w:rPr>
                <w:rFonts w:ascii="Arial" w:cs="Arial" w:eastAsia="Arial" w:hAnsi="Arial"/>
                <w:sz w:val="18"/>
                <w:szCs w:val="18"/>
                <w:color w:val="auto"/>
                <w:w w:val="92"/>
              </w:rPr>
              <w:t>depreciation and amortization adjusted for mark-to-market gains or losses, asset write offs and impairments;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AOCL</w:t>
            </w:r>
          </w:p>
        </w:tc>
        <w:tc>
          <w:tcPr>
            <w:tcW w:w="85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351"/>
        </w:trPr>
        <w:tc>
          <w:tcPr>
            <w:tcW w:w="2660" w:type="dxa"/>
            <w:vAlign w:val="bottom"/>
          </w:tcPr>
          <w:p>
            <w:pPr>
              <w:ind w:left="20"/>
              <w:spacing w:after="0"/>
              <w:rPr>
                <w:sz w:val="20"/>
                <w:szCs w:val="20"/>
                <w:color w:val="auto"/>
              </w:rPr>
            </w:pPr>
            <w:r>
              <w:rPr>
                <w:rFonts w:ascii="Arial" w:cs="Arial" w:eastAsia="Arial" w:hAnsi="Arial"/>
                <w:sz w:val="18"/>
                <w:szCs w:val="18"/>
                <w:color w:val="auto"/>
              </w:rPr>
              <w:t>ASC</w:t>
            </w:r>
          </w:p>
        </w:tc>
        <w:tc>
          <w:tcPr>
            <w:tcW w:w="8580" w:type="dxa"/>
            <w:vAlign w:val="bottom"/>
          </w:tcPr>
          <w:p>
            <w:pPr>
              <w:ind w:left="24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ASU</w:t>
            </w:r>
          </w:p>
        </w:tc>
        <w:tc>
          <w:tcPr>
            <w:tcW w:w="8580" w:type="dxa"/>
            <w:vAlign w:val="bottom"/>
          </w:tcPr>
          <w:p>
            <w:pPr>
              <w:ind w:left="24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ATM Programs</w:t>
            </w:r>
          </w:p>
        </w:tc>
        <w:tc>
          <w:tcPr>
            <w:tcW w:w="8580" w:type="dxa"/>
            <w:vAlign w:val="bottom"/>
          </w:tcPr>
          <w:p>
            <w:pPr>
              <w:ind w:left="240"/>
              <w:spacing w:after="0"/>
              <w:rPr>
                <w:sz w:val="20"/>
                <w:szCs w:val="20"/>
                <w:color w:val="auto"/>
              </w:rPr>
            </w:pPr>
            <w:r>
              <w:rPr>
                <w:rFonts w:ascii="Arial" w:cs="Arial" w:eastAsia="Arial" w:hAnsi="Arial"/>
                <w:sz w:val="18"/>
                <w:szCs w:val="18"/>
                <w:color w:val="auto"/>
              </w:rPr>
              <w:t>At-The-Market Equity Offering Programs</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A non-GAAP measure, Cash Available for Distribution is defined as of September 30, 2021 as Adjusted EBITDA</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plus cash distributions/return of investment from unconsolidated affiliates, adjustments to reflect CAFD generated</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by unconsolidated investments that were not able to distribute project dividends prior to PG&amp;E's emergence from</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bankruptcy on July 1, 2020 and subsequent release post-bankruptcy, cash receipts from notes receivable, cash</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7"/>
              </w:rPr>
              <w:t>distributions from noncontrolling interests, adjustments to reflect sales-type lease cash payments, less cash</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8"/>
              </w:rPr>
              <w:t>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unconsolidated affiliates, cash interest paid, income taxes paid, principal amortization of indebtedness, changes in</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prepaid and accrued capacity payments, and adjusted for development expenses</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CEG</w:t>
            </w:r>
          </w:p>
        </w:tc>
        <w:tc>
          <w:tcPr>
            <w:tcW w:w="8580" w:type="dxa"/>
            <w:vAlign w:val="bottom"/>
          </w:tcPr>
          <w:p>
            <w:pPr>
              <w:ind w:left="24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w w:val="98"/>
              </w:rPr>
              <w:t>CEG Master Services Agreement</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Clearway Energy Operating LLC and CEG</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CEG ROFO Agreement</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4"/>
              </w:rPr>
              <w:t>and Clearway Energy, Inc., and solely for purposes of Section 2.4, GIP III Zephyr Acquisition Partners, L.P., as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amended by the First Amendment dated February 14, 2019, the Second Amendment dated August 1, 2019, the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8"/>
              </w:rPr>
              <w:t>Third Amendment dated December 6, 2019, the Fourth Amendment dated November 2, 2020 and the Fifth</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Amendment dated August 2, 2021</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tcPr>
          <w:p>
            <w:pPr>
              <w:ind w:left="240"/>
              <w:spacing w:after="0"/>
              <w:rPr>
                <w:sz w:val="20"/>
                <w:szCs w:val="20"/>
                <w:color w:val="auto"/>
              </w:rPr>
            </w:pPr>
            <w:r>
              <w:rPr>
                <w:rFonts w:ascii="Arial" w:cs="Arial" w:eastAsia="Arial" w:hAnsi="Arial"/>
                <w:sz w:val="18"/>
                <w:szCs w:val="18"/>
                <w:color w:val="auto"/>
              </w:rPr>
              <w:t>The Coronavirus Aid, Relief, and Economic Security Act</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LLC</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B and Class D units of Clearway Energy LLC, and Clearway Energy, Inc., the holder of the Class A and Class C</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units</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The holder of all of Clearway Energy, Inc.'s Class B and Class D common stock, Clearway Energy LLC’s Class B</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6"/>
              </w:rPr>
              <w:t>and Class D units and, from time to time, possibly shares of Clearway Energy, Inc.’s Class A and/or Class C</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80" w:type="dxa"/>
            <w:vAlign w:val="bottom"/>
          </w:tcPr>
          <w:p>
            <w:pPr>
              <w:ind w:left="24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COD</w:t>
            </w:r>
          </w:p>
        </w:tc>
        <w:tc>
          <w:tcPr>
            <w:tcW w:w="8580" w:type="dxa"/>
            <w:vAlign w:val="bottom"/>
          </w:tcPr>
          <w:p>
            <w:pPr>
              <w:ind w:left="24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tcPr>
          <w:p>
            <w:pPr>
              <w:ind w:left="240"/>
              <w:spacing w:after="0"/>
              <w:rPr>
                <w:sz w:val="20"/>
                <w:szCs w:val="20"/>
                <w:color w:val="auto"/>
              </w:rPr>
            </w:pPr>
            <w:r>
              <w:rPr>
                <w:rFonts w:ascii="Arial" w:cs="Arial" w:eastAsia="Arial" w:hAnsi="Arial"/>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CVSR</w:t>
            </w:r>
          </w:p>
        </w:tc>
        <w:tc>
          <w:tcPr>
            <w:tcW w:w="8580" w:type="dxa"/>
            <w:vAlign w:val="bottom"/>
          </w:tcPr>
          <w:p>
            <w:pPr>
              <w:ind w:left="24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80" w:type="dxa"/>
            <w:vAlign w:val="bottom"/>
          </w:tcPr>
          <w:p>
            <w:pPr>
              <w:ind w:left="24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Solar power projects, typically less than 20 MW in size (on an alternating current, or AC, basis), that primarily sell</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w w:val="93"/>
              </w:rPr>
              <w:t>power produced to customers for usage on site, or are interconnected to sell power into the local distribution grid</w:t>
            </w:r>
          </w:p>
        </w:tc>
        <w:tc>
          <w:tcPr>
            <w:tcW w:w="0" w:type="dxa"/>
            <w:vAlign w:val="bottom"/>
          </w:tcPr>
          <w:p>
            <w:pPr>
              <w:spacing w:after="0"/>
              <w:rPr>
                <w:sz w:val="1"/>
                <w:szCs w:val="1"/>
                <w:color w:val="auto"/>
              </w:rPr>
            </w:pPr>
          </w:p>
        </w:tc>
      </w:tr>
      <w:tr>
        <w:trPr>
          <w:trHeight w:val="620"/>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358"/>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20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9040" w:type="dxa"/>
            <w:vAlign w:val="bottom"/>
          </w:tcPr>
          <w:p>
            <w:pPr>
              <w:ind w:left="700"/>
              <w:spacing w:after="0"/>
              <w:rPr>
                <w:sz w:val="20"/>
                <w:szCs w:val="20"/>
                <w:color w:val="auto"/>
              </w:rPr>
            </w:pPr>
            <w:r>
              <w:rPr>
                <w:rFonts w:ascii="Arial" w:cs="Arial" w:eastAsia="Arial" w:hAnsi="Arial"/>
                <w:sz w:val="18"/>
                <w:szCs w:val="18"/>
                <w:color w:val="auto"/>
                <w:w w:val="91"/>
              </w:rPr>
              <w:t>Collectively, assets under common control acquired by the Company from NRG from January 1, 2014 through the</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w w:val="91"/>
              </w:rPr>
              <w:t>period ended August 31, 2018 and from CEG from August 31, 2018 through the period ended September 30, 2021</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040" w:type="dxa"/>
            <w:vAlign w:val="bottom"/>
          </w:tcPr>
          <w:p>
            <w:pPr>
              <w:ind w:left="70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FASB</w:t>
            </w:r>
          </w:p>
        </w:tc>
        <w:tc>
          <w:tcPr>
            <w:tcW w:w="9040" w:type="dxa"/>
            <w:vAlign w:val="bottom"/>
          </w:tcPr>
          <w:p>
            <w:pPr>
              <w:ind w:left="70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GAAP</w:t>
            </w:r>
          </w:p>
        </w:tc>
        <w:tc>
          <w:tcPr>
            <w:tcW w:w="9040" w:type="dxa"/>
            <w:vAlign w:val="bottom"/>
          </w:tcPr>
          <w:p>
            <w:pPr>
              <w:ind w:left="70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GenConn</w:t>
            </w:r>
          </w:p>
        </w:tc>
        <w:tc>
          <w:tcPr>
            <w:tcW w:w="9040" w:type="dxa"/>
            <w:vAlign w:val="bottom"/>
          </w:tcPr>
          <w:p>
            <w:pPr>
              <w:ind w:left="70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GIP</w:t>
            </w:r>
          </w:p>
        </w:tc>
        <w:tc>
          <w:tcPr>
            <w:tcW w:w="9040" w:type="dxa"/>
            <w:vAlign w:val="bottom"/>
            <w:vMerge w:val="restart"/>
          </w:tcPr>
          <w:p>
            <w:pPr>
              <w:ind w:left="70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200" w:type="dxa"/>
            <w:vAlign w:val="bottom"/>
          </w:tcPr>
          <w:p>
            <w:pPr>
              <w:ind w:left="20"/>
              <w:spacing w:after="0"/>
              <w:rPr>
                <w:sz w:val="20"/>
                <w:szCs w:val="20"/>
                <w:color w:val="auto"/>
              </w:rPr>
            </w:pPr>
            <w:r>
              <w:rPr>
                <w:rFonts w:ascii="Arial" w:cs="Arial" w:eastAsia="Arial" w:hAnsi="Arial"/>
                <w:sz w:val="18"/>
                <w:szCs w:val="18"/>
                <w:color w:val="auto"/>
              </w:rPr>
              <w:t>HLBV</w:t>
            </w:r>
          </w:p>
        </w:tc>
        <w:tc>
          <w:tcPr>
            <w:tcW w:w="9040" w:type="dxa"/>
            <w:vAlign w:val="bottom"/>
          </w:tcPr>
          <w:p>
            <w:pPr>
              <w:ind w:left="70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LIBOR</w:t>
            </w:r>
          </w:p>
        </w:tc>
        <w:tc>
          <w:tcPr>
            <w:tcW w:w="9040" w:type="dxa"/>
            <w:vAlign w:val="bottom"/>
          </w:tcPr>
          <w:p>
            <w:pPr>
              <w:ind w:left="70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MBTA</w:t>
            </w:r>
          </w:p>
        </w:tc>
        <w:tc>
          <w:tcPr>
            <w:tcW w:w="9040" w:type="dxa"/>
            <w:vAlign w:val="bottom"/>
          </w:tcPr>
          <w:p>
            <w:pPr>
              <w:ind w:left="70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Mesquite Star</w:t>
            </w:r>
          </w:p>
        </w:tc>
        <w:tc>
          <w:tcPr>
            <w:tcW w:w="9040" w:type="dxa"/>
            <w:vAlign w:val="bottom"/>
          </w:tcPr>
          <w:p>
            <w:pPr>
              <w:ind w:left="700"/>
              <w:spacing w:after="0"/>
              <w:rPr>
                <w:sz w:val="20"/>
                <w:szCs w:val="20"/>
                <w:color w:val="auto"/>
              </w:rPr>
            </w:pPr>
            <w:r>
              <w:rPr>
                <w:rFonts w:ascii="Arial" w:cs="Arial" w:eastAsia="Arial" w:hAnsi="Arial"/>
                <w:sz w:val="18"/>
                <w:szCs w:val="18"/>
                <w:color w:val="auto"/>
              </w:rPr>
              <w:t>Mesquite Star Special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MMBtu</w:t>
            </w:r>
          </w:p>
        </w:tc>
        <w:tc>
          <w:tcPr>
            <w:tcW w:w="9040" w:type="dxa"/>
            <w:vAlign w:val="bottom"/>
          </w:tcPr>
          <w:p>
            <w:pPr>
              <w:ind w:left="70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Mt. Storm</w:t>
            </w:r>
          </w:p>
        </w:tc>
        <w:tc>
          <w:tcPr>
            <w:tcW w:w="9040" w:type="dxa"/>
            <w:vAlign w:val="bottom"/>
          </w:tcPr>
          <w:p>
            <w:pPr>
              <w:ind w:left="700"/>
              <w:spacing w:after="0"/>
              <w:rPr>
                <w:sz w:val="20"/>
                <w:szCs w:val="20"/>
                <w:color w:val="auto"/>
              </w:rPr>
            </w:pPr>
            <w:r>
              <w:rPr>
                <w:rFonts w:ascii="Arial" w:cs="Arial" w:eastAsia="Arial" w:hAnsi="Arial"/>
                <w:sz w:val="18"/>
                <w:szCs w:val="18"/>
                <w:color w:val="auto"/>
              </w:rPr>
              <w:t>NedPower Mount Storm LLC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MW</w:t>
            </w:r>
          </w:p>
        </w:tc>
        <w:tc>
          <w:tcPr>
            <w:tcW w:w="9040" w:type="dxa"/>
            <w:vAlign w:val="bottom"/>
          </w:tcPr>
          <w:p>
            <w:pPr>
              <w:ind w:left="70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MWh</w:t>
            </w:r>
          </w:p>
        </w:tc>
        <w:tc>
          <w:tcPr>
            <w:tcW w:w="9040" w:type="dxa"/>
            <w:vAlign w:val="bottom"/>
          </w:tcPr>
          <w:p>
            <w:pPr>
              <w:ind w:left="70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MWt</w:t>
            </w:r>
          </w:p>
        </w:tc>
        <w:tc>
          <w:tcPr>
            <w:tcW w:w="9040" w:type="dxa"/>
            <w:vAlign w:val="bottom"/>
          </w:tcPr>
          <w:p>
            <w:pPr>
              <w:ind w:left="70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9040" w:type="dxa"/>
            <w:vAlign w:val="bottom"/>
          </w:tcPr>
          <w:p>
            <w:pPr>
              <w:ind w:left="70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NOLs</w:t>
            </w:r>
          </w:p>
        </w:tc>
        <w:tc>
          <w:tcPr>
            <w:tcW w:w="9040" w:type="dxa"/>
            <w:vAlign w:val="bottom"/>
          </w:tcPr>
          <w:p>
            <w:pPr>
              <w:ind w:left="70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NPPD</w:t>
            </w:r>
          </w:p>
        </w:tc>
        <w:tc>
          <w:tcPr>
            <w:tcW w:w="9040" w:type="dxa"/>
            <w:vAlign w:val="bottom"/>
          </w:tcPr>
          <w:p>
            <w:pPr>
              <w:ind w:left="70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NRG</w:t>
            </w:r>
          </w:p>
        </w:tc>
        <w:tc>
          <w:tcPr>
            <w:tcW w:w="9040" w:type="dxa"/>
            <w:vAlign w:val="bottom"/>
          </w:tcPr>
          <w:p>
            <w:pPr>
              <w:ind w:left="70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OCL</w:t>
            </w:r>
          </w:p>
        </w:tc>
        <w:tc>
          <w:tcPr>
            <w:tcW w:w="904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O&amp;M</w:t>
            </w:r>
          </w:p>
        </w:tc>
        <w:tc>
          <w:tcPr>
            <w:tcW w:w="9040" w:type="dxa"/>
            <w:vAlign w:val="bottom"/>
          </w:tcPr>
          <w:p>
            <w:pPr>
              <w:ind w:left="70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PG&amp;E</w:t>
            </w:r>
          </w:p>
        </w:tc>
        <w:tc>
          <w:tcPr>
            <w:tcW w:w="9040" w:type="dxa"/>
            <w:vAlign w:val="bottom"/>
          </w:tcPr>
          <w:p>
            <w:pPr>
              <w:ind w:left="70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PPA</w:t>
            </w:r>
          </w:p>
        </w:tc>
        <w:tc>
          <w:tcPr>
            <w:tcW w:w="9040" w:type="dxa"/>
            <w:vAlign w:val="bottom"/>
          </w:tcPr>
          <w:p>
            <w:pPr>
              <w:ind w:left="7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RENOM</w:t>
            </w:r>
          </w:p>
        </w:tc>
        <w:tc>
          <w:tcPr>
            <w:tcW w:w="9040" w:type="dxa"/>
            <w:vAlign w:val="bottom"/>
          </w:tcPr>
          <w:p>
            <w:pPr>
              <w:ind w:left="70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9040" w:type="dxa"/>
            <w:vAlign w:val="bottom"/>
          </w:tcPr>
          <w:p>
            <w:pPr>
              <w:ind w:left="70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SCE</w:t>
            </w:r>
          </w:p>
        </w:tc>
        <w:tc>
          <w:tcPr>
            <w:tcW w:w="9040" w:type="dxa"/>
            <w:vAlign w:val="bottom"/>
          </w:tcPr>
          <w:p>
            <w:pPr>
              <w:ind w:left="70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SEC</w:t>
            </w:r>
          </w:p>
        </w:tc>
        <w:tc>
          <w:tcPr>
            <w:tcW w:w="9040" w:type="dxa"/>
            <w:vAlign w:val="bottom"/>
          </w:tcPr>
          <w:p>
            <w:pPr>
              <w:ind w:left="70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040" w:type="dxa"/>
            <w:vAlign w:val="bottom"/>
          </w:tcPr>
          <w:p>
            <w:pPr>
              <w:ind w:left="700"/>
              <w:spacing w:after="0"/>
              <w:rPr>
                <w:sz w:val="20"/>
                <w:szCs w:val="20"/>
                <w:color w:val="auto"/>
              </w:rPr>
            </w:pPr>
            <w:r>
              <w:rPr>
                <w:rFonts w:ascii="Arial" w:cs="Arial" w:eastAsia="Arial" w:hAnsi="Arial"/>
                <w:sz w:val="18"/>
                <w:szCs w:val="18"/>
                <w:color w:val="auto"/>
                <w:w w:val="94"/>
              </w:rPr>
              <w:t>Collectively, the 2026 Senior Notes, the 2028 Senior Notes, the 2031 Senior Notes and the 2032 Senior Notes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SPP</w:t>
            </w:r>
          </w:p>
        </w:tc>
        <w:tc>
          <w:tcPr>
            <w:tcW w:w="9040" w:type="dxa"/>
            <w:vAlign w:val="bottom"/>
          </w:tcPr>
          <w:p>
            <w:pPr>
              <w:ind w:left="70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SREC</w:t>
            </w:r>
          </w:p>
        </w:tc>
        <w:tc>
          <w:tcPr>
            <w:tcW w:w="9040" w:type="dxa"/>
            <w:vAlign w:val="bottom"/>
          </w:tcPr>
          <w:p>
            <w:pPr>
              <w:ind w:left="70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Tax Act</w:t>
            </w:r>
          </w:p>
        </w:tc>
        <w:tc>
          <w:tcPr>
            <w:tcW w:w="9040" w:type="dxa"/>
            <w:vAlign w:val="bottom"/>
          </w:tcPr>
          <w:p>
            <w:pPr>
              <w:ind w:left="70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Thermal Business</w:t>
            </w: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w w:val="94"/>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w w:val="96"/>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U.S.</w:t>
            </w:r>
          </w:p>
        </w:tc>
        <w:tc>
          <w:tcPr>
            <w:tcW w:w="9040" w:type="dxa"/>
            <w:vAlign w:val="bottom"/>
          </w:tcPr>
          <w:p>
            <w:pPr>
              <w:ind w:left="7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Utah Solar Portfolio</w:t>
            </w: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w w:val="96"/>
              </w:rPr>
              <w:t>Collection consists of Four Brothers Solar, LLC, Granite Mountain Holdings, LLC, and Iron Springs Holdings,</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w w:val="95"/>
              </w:rPr>
              <w:t>LLC, which are equity investments owned by Four Brothers Capital, LLC, Granite Mountain Capital, LLC, and</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Iron Springs Capital, LLC, respectively</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Utility Scale Solar</w:t>
            </w: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VaR</w:t>
            </w:r>
          </w:p>
        </w:tc>
        <w:tc>
          <w:tcPr>
            <w:tcW w:w="9040" w:type="dxa"/>
            <w:vAlign w:val="bottom"/>
          </w:tcPr>
          <w:p>
            <w:pPr>
              <w:ind w:left="70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VIE</w:t>
            </w:r>
          </w:p>
        </w:tc>
        <w:tc>
          <w:tcPr>
            <w:tcW w:w="9040" w:type="dxa"/>
            <w:vAlign w:val="bottom"/>
          </w:tcPr>
          <w:p>
            <w:pPr>
              <w:ind w:left="70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864"/>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358"/>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6"/>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Cost of operations, exclusive of depreciation, amortization and accretion shown</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separately below</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5900" w:type="dxa"/>
            <w:vAlign w:val="bottom"/>
          </w:tcPr>
          <w:p>
            <w:pPr>
              <w:ind w:left="140"/>
              <w:spacing w:after="0" w:line="176" w:lineRule="exact"/>
              <w:rPr>
                <w:sz w:val="20"/>
                <w:szCs w:val="20"/>
                <w:color w:val="auto"/>
              </w:rPr>
            </w:pPr>
            <w:r>
              <w:rPr>
                <w:rFonts w:ascii="Arial" w:cs="Arial" w:eastAsia="Arial" w:hAnsi="Arial"/>
                <w:sz w:val="18"/>
                <w:szCs w:val="18"/>
                <w:color w:val="auto"/>
                <w:w w:val="96"/>
              </w:rPr>
              <w:t>Less: Income (loss) attributable to noncontrolling interests and redeemable</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8"/>
              </w:rPr>
              <w:t>Earnings Per Share Attributable to Clearway Energy, Inc. Class A and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Class C Common Stockholders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 average number of Class A common shares outstanding - basic and diluted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4"/>
                <w:szCs w:val="14"/>
                <w:color w:val="auto"/>
              </w:rPr>
              <w:t>Weighted average number of Class C common shares outstanding - basic and diluted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6"/>
        </w:trPr>
        <w:tc>
          <w:tcPr>
            <w:tcW w:w="5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7"/>
              </w:rPr>
              <w:t>Earnings per Weighted Average Class A and Class C Common Share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Basic and Diluted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A Common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0.3345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0.3125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0.9875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0.7325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C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0.7325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8"/>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BFE4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BFE4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BFE4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FE4FF"/>
          </w:tcPr>
          <w:p>
            <w:pPr>
              <w:jc w:val="center"/>
              <w:ind w:left="513"/>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20" w:type="dxa"/>
            <w:vAlign w:val="bottom"/>
            <w:shd w:val="clear" w:color="auto" w:fill="BFE4FF"/>
          </w:tcPr>
          <w:p>
            <w:pPr>
              <w:ind w:left="180"/>
              <w:spacing w:after="0" w:line="176" w:lineRule="exact"/>
              <w:rPr>
                <w:sz w:val="20"/>
                <w:szCs w:val="20"/>
                <w:color w:val="auto"/>
              </w:rPr>
            </w:pPr>
            <w:r>
              <w:rPr>
                <w:rFonts w:ascii="Arial" w:cs="Arial" w:eastAsia="Arial" w:hAnsi="Arial"/>
                <w:sz w:val="18"/>
                <w:szCs w:val="18"/>
                <w:color w:val="auto"/>
                <w:w w:val="91"/>
              </w:rPr>
              <w:t>Unrealized gain on derivatives, net of income tax benefit of $(2), $(1), $(3) and</w:t>
            </w:r>
          </w:p>
        </w:tc>
        <w:tc>
          <w:tcPr>
            <w:tcW w:w="160" w:type="dxa"/>
            <w:vAlign w:val="bottom"/>
            <w:shd w:val="clear" w:color="auto" w:fill="BFE4FF"/>
          </w:tcPr>
          <w:p>
            <w:pPr>
              <w:spacing w:after="0"/>
              <w:rPr>
                <w:sz w:val="15"/>
                <w:szCs w:val="15"/>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10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40" w:type="dxa"/>
            <w:vAlign w:val="bottom"/>
            <w:vMerge w:val="restart"/>
            <w:shd w:val="clear" w:color="auto" w:fill="BFE4FF"/>
          </w:tcPr>
          <w:p>
            <w:pPr>
              <w:jc w:val="center"/>
              <w:ind w:left="5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920" w:type="dxa"/>
            <w:vAlign w:val="bottom"/>
            <w:shd w:val="clear" w:color="auto" w:fill="BFE4FF"/>
          </w:tcPr>
          <w:p>
            <w:pPr>
              <w:ind w:left="180"/>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BFE4FF"/>
            </w:tcBorders>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BFE4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BFE4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9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40" w:type="dxa"/>
            <w:vAlign w:val="bottom"/>
            <w:shd w:val="clear" w:color="auto" w:fill="BFE4FF"/>
          </w:tcPr>
          <w:p>
            <w:pPr>
              <w:jc w:val="center"/>
              <w:ind w:left="513"/>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5920" w:type="dxa"/>
            <w:vAlign w:val="bottom"/>
          </w:tcPr>
          <w:p>
            <w:pPr>
              <w:ind w:left="180"/>
              <w:spacing w:after="0" w:line="176" w:lineRule="exact"/>
              <w:rPr>
                <w:sz w:val="20"/>
                <w:szCs w:val="20"/>
                <w:color w:val="auto"/>
              </w:rPr>
            </w:pPr>
            <w:r>
              <w:rPr>
                <w:rFonts w:ascii="Arial" w:cs="Arial" w:eastAsia="Arial" w:hAnsi="Arial"/>
                <w:sz w:val="18"/>
                <w:szCs w:val="18"/>
                <w:color w:val="auto"/>
                <w:w w:val="91"/>
              </w:rPr>
              <w:t>Less: Comprehensive income (loss) attributable to noncontrolling interests and</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center"/>
              <w:ind w:left="473"/>
              <w:spacing w:after="0"/>
              <w:rPr>
                <w:sz w:val="20"/>
                <w:szCs w:val="20"/>
                <w:color w:val="auto"/>
              </w:rPr>
            </w:pPr>
            <w:r>
              <w:rPr>
                <w:rFonts w:ascii="Arial" w:cs="Arial" w:eastAsia="Arial" w:hAnsi="Arial"/>
                <w:sz w:val="18"/>
                <w:szCs w:val="18"/>
                <w:color w:val="auto"/>
                <w:w w:val="93"/>
              </w:rPr>
              <w:t>(39)</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BFE4FF"/>
            </w:tcBorders>
          </w:tcPr>
          <w:p>
            <w:pPr>
              <w:ind w:left="180"/>
              <w:spacing w:after="0"/>
              <w:rPr>
                <w:sz w:val="20"/>
                <w:szCs w:val="20"/>
                <w:color w:val="auto"/>
              </w:rPr>
            </w:pPr>
            <w:r>
              <w:rPr>
                <w:rFonts w:ascii="Arial" w:cs="Arial" w:eastAsia="Arial" w:hAnsi="Arial"/>
                <w:sz w:val="18"/>
                <w:szCs w:val="18"/>
                <w:color w:val="auto"/>
              </w:rPr>
              <w:t>redeemable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Comprehensive Income Attributable to Clearway Energy, Inc.</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BFE4FF"/>
          </w:tcPr>
          <w:p>
            <w:pPr>
              <w:jc w:val="center"/>
              <w:ind w:left="513"/>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
        </w:trPr>
        <w:tc>
          <w:tcPr>
            <w:tcW w:w="59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97"/>
        </w:trPr>
        <w:tc>
          <w:tcPr>
            <w:tcW w:w="7680" w:type="dxa"/>
            <w:vAlign w:val="bottom"/>
          </w:tcPr>
          <w:p>
            <w:pPr>
              <w:ind w:left="35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7,438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 of use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CEEFF"/>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affiliates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0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7,877</w:t>
            </w:r>
          </w:p>
        </w:tc>
        <w:tc>
          <w:tcPr>
            <w:tcW w:w="0" w:type="dxa"/>
            <w:vAlign w:val="bottom"/>
          </w:tcPr>
          <w:p>
            <w:pPr>
              <w:spacing w:after="0"/>
              <w:rPr>
                <w:sz w:val="1"/>
                <w:szCs w:val="1"/>
                <w:color w:val="auto"/>
              </w:rPr>
            </w:pPr>
          </w:p>
        </w:tc>
      </w:tr>
      <w:tr>
        <w:trPr>
          <w:trHeight w:val="19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680" w:type="dxa"/>
            <w:vAlign w:val="bottom"/>
          </w:tcPr>
          <w:p>
            <w:pPr>
              <w:ind w:left="140"/>
              <w:spacing w:after="0" w:line="166" w:lineRule="exact"/>
              <w:rPr>
                <w:sz w:val="20"/>
                <w:szCs w:val="20"/>
                <w:color w:val="auto"/>
              </w:rPr>
            </w:pPr>
            <w:r>
              <w:rPr>
                <w:rFonts w:ascii="Arial" w:cs="Arial" w:eastAsia="Arial" w:hAnsi="Arial"/>
                <w:sz w:val="16"/>
                <w:szCs w:val="16"/>
                <w:color w:val="auto"/>
                <w:w w:val="92"/>
              </w:rPr>
              <w:t>Class A, Class B, Class C and Class D common stock, $0.01 par value; 3,000,000,000 shares authorized (Class A</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Arial" w:cs="Arial" w:eastAsia="Arial" w:hAnsi="Arial"/>
                <w:sz w:val="16"/>
                <w:szCs w:val="16"/>
                <w:color w:val="auto"/>
                <w:w w:val="90"/>
              </w:rPr>
              <w:t>500,000,000, Class B 500,000,000, Class C 1,000,000,000, Class D 1,000,000,000); 201,846,253 shares issued and</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Arial" w:cs="Arial" w:eastAsia="Arial" w:hAnsi="Arial"/>
                <w:sz w:val="16"/>
                <w:szCs w:val="16"/>
                <w:color w:val="auto"/>
                <w:w w:val="92"/>
              </w:rPr>
              <w:t>outstanding (Class A 34,599,645, Class B 42,738,750, Class C 81,769,108, Class D 42,738,750) at September 30,</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Arial" w:cs="Arial" w:eastAsia="Arial" w:hAnsi="Arial"/>
                <w:sz w:val="16"/>
                <w:szCs w:val="16"/>
                <w:color w:val="auto"/>
                <w:w w:val="90"/>
              </w:rPr>
              <w:t>2021 and 201,635,990 shares issued and outstanding (Class A 34,599,645, Class B 42,738,750, Class C 81,558,845,</w:t>
            </w: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7680" w:type="dxa"/>
            <w:vAlign w:val="bottom"/>
          </w:tcPr>
          <w:p>
            <w:pPr>
              <w:ind w:left="140"/>
              <w:spacing w:after="0"/>
              <w:rPr>
                <w:sz w:val="20"/>
                <w:szCs w:val="20"/>
                <w:color w:val="auto"/>
              </w:rPr>
            </w:pPr>
            <w:r>
              <w:rPr>
                <w:rFonts w:ascii="Arial" w:cs="Arial" w:eastAsia="Arial" w:hAnsi="Arial"/>
                <w:sz w:val="16"/>
                <w:szCs w:val="16"/>
                <w:color w:val="auto"/>
              </w:rPr>
              <w:t>Class D 42,738,750) at December 31, 2020</w:t>
            </w: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8"/>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r>
      <w:tr>
        <w:trPr>
          <w:trHeight w:val="211"/>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Reduction in carrying amount of right-of-use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unconsolidated affiliate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Changes in deferred income taxes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derivative instruments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Gain on disposal of asset components</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provided by (used in) changes in other working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working capital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1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Drop Down Asset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Consolidation of DGPV Holdco 3 LLC</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Asset purchase from affiliate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receipts from notes receivable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proceeds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contributions from noncontrolling interests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Buyout of Repowering Partnership II LLC noncontrolling interest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the issuance of common stock</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580" w:type="dxa"/>
            <w:vAlign w:val="bottom"/>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long-term debt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1"/>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43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3"/>
        </w:trPr>
        <w:tc>
          <w:tcPr>
            <w:tcW w:w="438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6"/>
        </w:trPr>
        <w:tc>
          <w:tcPr>
            <w:tcW w:w="4380" w:type="dxa"/>
            <w:vAlign w:val="bottom"/>
          </w:tcPr>
          <w:p>
            <w:pPr>
              <w:ind w:left="20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tcPr>
          <w:p>
            <w:pPr>
              <w:spacing w:after="0"/>
              <w:rPr>
                <w:sz w:val="14"/>
                <w:szCs w:val="14"/>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Agua Caliente acquisition</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Rattlesnake Drop Down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7"/>
              </w:rPr>
              <w:t>Dividends to common stockholders and distributions to CEG</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13"/>
        </w:trPr>
        <w:tc>
          <w:tcPr>
            <w:tcW w:w="438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(loss) on derivatives, net of tax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4380" w:type="dxa"/>
            <w:vAlign w:val="bottom"/>
          </w:tcPr>
          <w:p>
            <w:pPr>
              <w:ind w:left="20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tcPr>
          <w:p>
            <w:pPr>
              <w:spacing w:after="0"/>
              <w:rPr>
                <w:sz w:val="14"/>
                <w:szCs w:val="14"/>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Rattlesnake Drop Down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7"/>
              </w:rPr>
              <w:t>Dividends to common stockholders and distributions to CEG</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8"/>
              </w:rPr>
              <w:t>Distributions to noncontrolling interests, net of contributions,</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Dividends to common stockholders and distributions to CEG</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2021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43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13"/>
        </w:trPr>
        <w:tc>
          <w:tcPr>
            <w:tcW w:w="43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380" w:type="dxa"/>
            <w:vAlign w:val="bottom"/>
          </w:tcPr>
          <w:p>
            <w:pPr>
              <w:ind w:left="200"/>
              <w:spacing w:after="0" w:line="166" w:lineRule="exact"/>
              <w:rPr>
                <w:sz w:val="20"/>
                <w:szCs w:val="20"/>
                <w:color w:val="auto"/>
              </w:rPr>
            </w:pPr>
            <w:r>
              <w:rPr>
                <w:rFonts w:ascii="Arial" w:cs="Arial" w:eastAsia="Arial" w:hAnsi="Arial"/>
                <w:sz w:val="16"/>
                <w:szCs w:val="16"/>
                <w:color w:val="auto"/>
                <w:w w:val="98"/>
              </w:rPr>
              <w:t>Net proceeds from the issuance of common stock under the</w:t>
            </w:r>
          </w:p>
        </w:tc>
        <w:tc>
          <w:tcPr>
            <w:tcW w:w="100" w:type="dxa"/>
            <w:vAlign w:val="bottom"/>
          </w:tcPr>
          <w:p>
            <w:pPr>
              <w:spacing w:after="0"/>
              <w:rPr>
                <w:sz w:val="14"/>
                <w:szCs w:val="14"/>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Arial" w:cs="Arial" w:eastAsia="Arial" w:hAnsi="Arial"/>
                <w:sz w:val="16"/>
                <w:szCs w:val="16"/>
                <w:color w:val="auto"/>
              </w:rPr>
              <w:t>ATM Program</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interests, non-cash</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7"/>
              </w:rPr>
              <w:t>Dividends to common stockholders and distributions to CEG</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3"/>
        </w:trPr>
        <w:tc>
          <w:tcPr>
            <w:tcW w:w="43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4380" w:type="dxa"/>
            <w:vAlign w:val="bottom"/>
          </w:tcPr>
          <w:p>
            <w:pPr>
              <w:ind w:left="200"/>
              <w:spacing w:after="0" w:line="166" w:lineRule="exact"/>
              <w:rPr>
                <w:sz w:val="20"/>
                <w:szCs w:val="20"/>
                <w:color w:val="auto"/>
              </w:rPr>
            </w:pPr>
            <w:r>
              <w:rPr>
                <w:rFonts w:ascii="Arial" w:cs="Arial" w:eastAsia="Arial" w:hAnsi="Arial"/>
                <w:sz w:val="16"/>
                <w:szCs w:val="16"/>
                <w:color w:val="auto"/>
                <w:w w:val="95"/>
              </w:rPr>
              <w:t>Distributions from noncontrolling interests, net of contribution,</w:t>
            </w:r>
          </w:p>
        </w:tc>
        <w:tc>
          <w:tcPr>
            <w:tcW w:w="100" w:type="dxa"/>
            <w:vAlign w:val="bottom"/>
          </w:tcPr>
          <w:p>
            <w:pPr>
              <w:spacing w:after="0"/>
              <w:rPr>
                <w:sz w:val="14"/>
                <w:szCs w:val="14"/>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Arial" w:cs="Arial" w:eastAsia="Arial" w:hAnsi="Arial"/>
                <w:sz w:val="16"/>
                <w:szCs w:val="16"/>
                <w:color w:val="auto"/>
              </w:rPr>
              <w:t>cash</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Consolidation of DGPV Holdco 3</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6"/>
        </w:trPr>
        <w:tc>
          <w:tcPr>
            <w:tcW w:w="4380" w:type="dxa"/>
            <w:vAlign w:val="bottom"/>
          </w:tcPr>
          <w:p>
            <w:pPr>
              <w:ind w:left="200"/>
              <w:spacing w:after="0" w:line="166" w:lineRule="exact"/>
              <w:rPr>
                <w:sz w:val="20"/>
                <w:szCs w:val="20"/>
                <w:color w:val="auto"/>
              </w:rPr>
            </w:pPr>
            <w:r>
              <w:rPr>
                <w:rFonts w:ascii="Arial" w:cs="Arial" w:eastAsia="Arial" w:hAnsi="Arial"/>
                <w:sz w:val="16"/>
                <w:szCs w:val="16"/>
                <w:color w:val="auto"/>
              </w:rPr>
              <w:t>Buyout of Repowering Partnership II LLC noncontrolling</w:t>
            </w:r>
          </w:p>
        </w:tc>
        <w:tc>
          <w:tcPr>
            <w:tcW w:w="100" w:type="dxa"/>
            <w:vAlign w:val="bottom"/>
          </w:tcPr>
          <w:p>
            <w:pPr>
              <w:spacing w:after="0"/>
              <w:rPr>
                <w:sz w:val="14"/>
                <w:szCs w:val="14"/>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Arial" w:cs="Arial" w:eastAsia="Arial" w:hAnsi="Arial"/>
                <w:sz w:val="16"/>
                <w:szCs w:val="16"/>
                <w:color w:val="auto"/>
              </w:rPr>
              <w:t>interest</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Non-cash adjustment for change in tax basis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8"/>
              </w:rPr>
              <w:t>Net proceeds from the issuance of common stock under the</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ATM Program</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7"/>
              </w:rPr>
              <w:t>Dividends to common stockholders and distributions to CEG</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1,934</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06"/>
        </w:trPr>
        <w:tc>
          <w:tcPr>
            <w:tcW w:w="43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Distributions to CEG, non-cash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Distributions to tax equity interests, net of contributions, cash</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Arial" w:cs="Arial" w:eastAsia="Arial" w:hAnsi="Arial"/>
                <w:sz w:val="16"/>
                <w:szCs w:val="16"/>
                <w:color w:val="auto"/>
              </w:rPr>
              <w:t>Consolidation of DGPV Holdco 3</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Mesquite Star Drop Down</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4380" w:type="dxa"/>
            <w:vAlign w:val="bottom"/>
          </w:tcPr>
          <w:p>
            <w:pPr>
              <w:ind w:left="200"/>
              <w:spacing w:after="0" w:line="166" w:lineRule="exact"/>
              <w:rPr>
                <w:sz w:val="20"/>
                <w:szCs w:val="20"/>
                <w:color w:val="auto"/>
              </w:rPr>
            </w:pPr>
            <w:r>
              <w:rPr>
                <w:rFonts w:ascii="Arial" w:cs="Arial" w:eastAsia="Arial" w:hAnsi="Arial"/>
                <w:sz w:val="16"/>
                <w:szCs w:val="16"/>
                <w:color w:val="auto"/>
                <w:w w:val="98"/>
              </w:rPr>
              <w:t>Net proceeds from the issuance of common stock under the</w:t>
            </w:r>
          </w:p>
        </w:tc>
        <w:tc>
          <w:tcPr>
            <w:tcW w:w="100" w:type="dxa"/>
            <w:vAlign w:val="bottom"/>
          </w:tcPr>
          <w:p>
            <w:pPr>
              <w:spacing w:after="0"/>
              <w:rPr>
                <w:sz w:val="14"/>
                <w:szCs w:val="14"/>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Arial" w:cs="Arial" w:eastAsia="Arial" w:hAnsi="Arial"/>
                <w:sz w:val="16"/>
                <w:szCs w:val="16"/>
                <w:color w:val="auto"/>
              </w:rPr>
              <w:t>ATM Program</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dividends and distributions to CEG</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6"/>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2020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4"/>
        </w:trPr>
        <w:tc>
          <w:tcPr>
            <w:tcW w:w="43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CEG.</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Arial" w:cs="Arial" w:eastAsia="Arial" w:hAnsi="Arial"/>
          <w:sz w:val="18"/>
          <w:szCs w:val="18"/>
          <w:color w:val="000000"/>
        </w:rPr>
        <w:t>From time to time,</w:t>
      </w:r>
      <w:r>
        <w:rPr>
          <w:rFonts w:ascii="Arial" w:cs="Arial" w:eastAsia="Arial" w:hAnsi="Arial"/>
          <w:sz w:val="18"/>
          <w:szCs w:val="18"/>
          <w:color w:val="231F20"/>
        </w:rPr>
        <w:t xml:space="preserve"> </w:t>
      </w:r>
      <w:r>
        <w:rPr>
          <w:rFonts w:ascii="Arial" w:cs="Arial" w:eastAsia="Arial" w:hAnsi="Arial"/>
          <w:sz w:val="18"/>
          <w:szCs w:val="18"/>
          <w:color w:val="000000"/>
        </w:rPr>
        <w:t>CEG may also hold shares of the Company's Class A and/or Class C common stock.</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owns 57.65% of the economic interests of Clearway Energy LLC, with CEG owning 42.35% of the economic interests of Clearway Energy LLC as of September 30,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97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2020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2021, and results of operations, comprehensive income and cash flows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$152 million and $149 million as of September 30, 2021 and December 31, 2020, respectively.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4"/>
          </w:tcPr>
          <w:p>
            <w:pPr>
              <w:jc w:val="right"/>
              <w:ind w:right="141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September 30, 2021, these restricted funds were comprised of $121 million designated to fund operating expenses, approximately $68 million designated for current debt service payments and $133 million restricted for reserves including debt service, performance obligations and other reserves, as well as capital expenditures. The remaining $44 million is held in distribution reserve accounts.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September 30, 2021, $13 million has been utilized to offset invoiced amounts under the projects' PPAs.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and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5"/>
              </w:rPr>
              <w:t>September 30, 2021</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2020</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0"/>
                <w:szCs w:val="20"/>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2021</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 2021</w:t>
            </w:r>
          </w:p>
        </w:tc>
        <w:tc>
          <w:tcPr>
            <w:tcW w:w="140" w:type="dxa"/>
            <w:vAlign w:val="bottom"/>
          </w:tcPr>
          <w:p>
            <w:pPr>
              <w:spacing w:after="0"/>
              <w:rPr>
                <w:sz w:val="16"/>
                <w:szCs w:val="16"/>
                <w:color w:val="auto"/>
              </w:rPr>
            </w:pPr>
          </w:p>
        </w:tc>
        <w:tc>
          <w:tcPr>
            <w:tcW w:w="130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First Quarter 2021</w:t>
            </w:r>
          </w:p>
        </w:tc>
      </w:tr>
      <w:tr>
        <w:trPr>
          <w:trHeight w:val="22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3, 2021, the Company declared quarterly dividends on its Class A common stock and Class C common stock of $0.34 per share payable on December 15, 2021 to stockholders of record as of December 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to CEG during the nine months ended September 30, 2021 on Clearway Energy LLC's Class B and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 2021</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 2021</w:t>
            </w:r>
          </w:p>
        </w:tc>
        <w:tc>
          <w:tcPr>
            <w:tcW w:w="12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First Quarter 2021</w:t>
            </w:r>
          </w:p>
        </w:tc>
      </w:tr>
      <w:tr>
        <w:trPr>
          <w:trHeight w:val="229"/>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4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November 3, 2021, Clearway Energy LLC declared a distribution on its Class B and Class D units of $0.34 per unit payable on December 15, 2021 to unit holders of record as of December 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 the Company retained its historical lease assessments and classification upon adoption of ASC 842.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nine months ended September 30, 2021 and 2020,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1"/>
                <w:szCs w:val="11"/>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Renewables</w:t>
            </w:r>
          </w:p>
        </w:tc>
        <w:tc>
          <w:tcPr>
            <w:tcW w:w="12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231</w:t>
            </w:r>
          </w:p>
        </w:tc>
        <w:tc>
          <w:tcPr>
            <w:tcW w:w="120" w:type="dxa"/>
            <w:vAlign w:val="bottom"/>
            <w:tcBorders>
              <w:top w:val="single" w:sz="8" w:color="CCEEFF"/>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333333"/>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w w:val="79"/>
              </w:rPr>
              <w:t>33</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333333"/>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267</w:t>
            </w:r>
          </w:p>
        </w:tc>
        <w:tc>
          <w:tcPr>
            <w:tcW w:w="0" w:type="dxa"/>
            <w:vAlign w:val="bottom"/>
          </w:tcPr>
          <w:p>
            <w:pPr>
              <w:spacing w:after="0"/>
              <w:rPr>
                <w:sz w:val="1"/>
                <w:szCs w:val="1"/>
                <w:color w:val="auto"/>
              </w:rPr>
            </w:pPr>
          </w:p>
        </w:tc>
      </w:tr>
      <w:tr>
        <w:trPr>
          <w:trHeight w:val="297"/>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333333"/>
              </w:rPr>
              <w:t>133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333333"/>
                <w:w w:val="90"/>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(38)</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333333"/>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14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333333"/>
                <w:w w:val="79"/>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333333"/>
              </w:rPr>
              <w:t>24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(35)</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118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179</w:t>
            </w: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w w:val="79"/>
              </w:rPr>
              <w:t>54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351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520" w:type="dxa"/>
            <w:vAlign w:val="bottom"/>
          </w:tcPr>
          <w:p>
            <w:pPr>
              <w:jc w:val="center"/>
              <w:ind w:left="1828"/>
              <w:spacing w:after="0"/>
              <w:rPr>
                <w:sz w:val="20"/>
                <w:szCs w:val="20"/>
                <w:color w:val="auto"/>
              </w:rPr>
            </w:pPr>
            <w:r>
              <w:rPr>
                <w:rFonts w:ascii="Arial" w:cs="Arial" w:eastAsia="Arial" w:hAnsi="Arial"/>
                <w:sz w:val="14"/>
                <w:szCs w:val="14"/>
                <w:b w:val="1"/>
                <w:bCs w:val="1"/>
                <w:color w:val="auto"/>
                <w:w w:val="92"/>
              </w:rPr>
              <w:t>Conventional</w:t>
            </w:r>
          </w:p>
        </w:tc>
        <w:tc>
          <w:tcPr>
            <w:tcW w:w="1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Thermal</w:t>
            </w:r>
          </w:p>
        </w:tc>
        <w:tc>
          <w:tcPr>
            <w:tcW w:w="88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352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Generation</w:t>
            </w:r>
          </w:p>
        </w:tc>
        <w:tc>
          <w:tcPr>
            <w:tcW w:w="16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97"/>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16"/>
              <w:spacing w:after="0"/>
              <w:rPr>
                <w:sz w:val="20"/>
                <w:szCs w:val="20"/>
                <w:color w:val="auto"/>
              </w:rPr>
            </w:pPr>
            <w:r>
              <w:rPr>
                <w:rFonts w:ascii="Arial" w:cs="Arial" w:eastAsia="Arial" w:hAnsi="Arial"/>
                <w:sz w:val="18"/>
                <w:szCs w:val="18"/>
                <w:color w:val="231F20"/>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tbl>
      <w:tblPr>
        <w:tblLayout w:type="fixed"/>
        <w:tblInd w:w="12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Generation</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97"/>
        </w:trPr>
        <w:tc>
          <w:tcPr>
            <w:tcW w:w="49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333333"/>
              </w:rPr>
              <w:t>119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333333"/>
              </w:rPr>
              <w:t>—</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333333"/>
              </w:rPr>
              <w:t>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96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520" w:type="dxa"/>
            <w:vAlign w:val="bottom"/>
          </w:tcPr>
          <w:p>
            <w:pPr>
              <w:jc w:val="center"/>
              <w:ind w:left="1828"/>
              <w:spacing w:after="0"/>
              <w:rPr>
                <w:sz w:val="20"/>
                <w:szCs w:val="20"/>
                <w:color w:val="auto"/>
              </w:rPr>
            </w:pPr>
            <w:r>
              <w:rPr>
                <w:rFonts w:ascii="Arial" w:cs="Arial" w:eastAsia="Arial" w:hAnsi="Arial"/>
                <w:sz w:val="14"/>
                <w:szCs w:val="14"/>
                <w:b w:val="1"/>
                <w:bCs w:val="1"/>
                <w:color w:val="auto"/>
                <w:w w:val="92"/>
              </w:rPr>
              <w:t>Conventional</w:t>
            </w:r>
          </w:p>
        </w:tc>
        <w:tc>
          <w:tcPr>
            <w:tcW w:w="1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Thermal</w:t>
            </w:r>
          </w:p>
        </w:tc>
        <w:tc>
          <w:tcPr>
            <w:tcW w:w="88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352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Generation</w:t>
            </w:r>
          </w:p>
        </w:tc>
        <w:tc>
          <w:tcPr>
            <w:tcW w:w="16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Capacity revenue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Nine months ended September 30,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Conventional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Renewables</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9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Generation</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Generation</w:t>
            </w:r>
          </w:p>
        </w:tc>
        <w:tc>
          <w:tcPr>
            <w:tcW w:w="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36"/>
              <w:spacing w:after="0"/>
              <w:rPr>
                <w:sz w:val="20"/>
                <w:szCs w:val="20"/>
                <w:color w:val="auto"/>
              </w:rPr>
            </w:pPr>
            <w:r>
              <w:rPr>
                <w:rFonts w:ascii="Arial" w:cs="Arial" w:eastAsia="Arial" w:hAnsi="Arial"/>
                <w:sz w:val="18"/>
                <w:szCs w:val="18"/>
                <w:color w:val="231F20"/>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contract assets and liabilities included on the Company’s consolidated balance sheets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0"/>
              </w:rPr>
              <w:t>December 31, 2020</w:t>
            </w:r>
          </w:p>
        </w:tc>
      </w:tr>
      <w:tr>
        <w:trPr>
          <w:trHeight w:val="226"/>
        </w:trPr>
        <w:tc>
          <w:tcPr>
            <w:tcW w:w="6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540" w:type="dxa"/>
            <w:vAlign w:val="bottom"/>
          </w:tcPr>
          <w:p>
            <w:pPr>
              <w:spacing w:after="0"/>
              <w:rPr>
                <w:sz w:val="19"/>
                <w:szCs w:val="19"/>
                <w:color w:val="auto"/>
              </w:rPr>
            </w:pPr>
          </w:p>
        </w:tc>
      </w:tr>
      <w:tr>
        <w:trPr>
          <w:trHeight w:val="229"/>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 Contracts with customers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Accounts receivable, net - Leases</w:t>
            </w: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Company adopted the guidance as of January 1, 2021, with no material impact to the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b w:val="1"/>
          <w:bCs w:val="1"/>
          <w:i w:val="1"/>
          <w:iCs w:val="1"/>
          <w:color w:val="auto"/>
        </w:rPr>
        <w:t xml:space="preserve">Rattlesnake Drop Down — </w:t>
      </w:r>
      <w:r>
        <w:rPr>
          <w:rFonts w:ascii="Arial" w:cs="Arial" w:eastAsia="Arial" w:hAnsi="Arial"/>
          <w:sz w:val="18"/>
          <w:szCs w:val="18"/>
          <w:color w:val="auto"/>
        </w:rPr>
        <w:t>On January 12, 2021, the Company acquired CEG's equity interest and a third party investor's minority interest in CWSP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Rattlesnake Holding LLC for $132 million. CWSP Rattlesnake Holding LLC indirectly consolidates the Rattlesnake wind project, a 160 MW wind facility with 144 MW of deliverable capacity in Adams County, Washington, as further described in Note 4, </w:t>
      </w:r>
      <w:r>
        <w:rPr>
          <w:rFonts w:ascii="Arial" w:cs="Arial" w:eastAsia="Arial" w:hAnsi="Arial"/>
          <w:sz w:val="18"/>
          <w:szCs w:val="18"/>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The project has a 20-year PPA with Avista Corporation, which began when the facility reached commercial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membership interests acquired by the Company relate to interests under common control by GIP and were recorded at historical cost. The difference between the cash paid of $132 million and the historical cost of the Company's acquired interests of $14 million was recorded as an adjustment to CEG's noncontrolling interest balance.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11"/>
              <w:spacing w:after="0"/>
              <w:rPr>
                <w:sz w:val="20"/>
                <w:szCs w:val="20"/>
                <w:color w:val="auto"/>
              </w:rPr>
            </w:pPr>
            <w:r>
              <w:rPr>
                <w:rFonts w:ascii="Arial" w:cs="Arial" w:eastAsia="Arial" w:hAnsi="Arial"/>
                <w:sz w:val="16"/>
                <w:szCs w:val="16"/>
                <w:b w:val="1"/>
                <w:bCs w:val="1"/>
                <w:color w:val="auto"/>
              </w:rPr>
              <w:t>Rattlesnake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83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30"/>
        </w:trPr>
        <w:tc>
          <w:tcPr>
            <w:tcW w:w="8380" w:type="dxa"/>
            <w:vAlign w:val="bottom"/>
          </w:tcPr>
          <w:p>
            <w:pPr>
              <w:ind w:left="14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(a)</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8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13"/>
        <w:spacing w:after="0" w:line="278" w:lineRule="auto"/>
        <w:tabs>
          <w:tab w:leader="none" w:pos="551"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Agua Caliente Acquisition — </w:t>
      </w:r>
      <w:r>
        <w:rPr>
          <w:rFonts w:ascii="Arial" w:cs="Arial" w:eastAsia="Arial" w:hAnsi="Arial"/>
          <w:sz w:val="16"/>
          <w:szCs w:val="16"/>
          <w:color w:val="auto"/>
        </w:rPr>
        <w:t>On February 3, 2021, the Company acquired Agua Caliente Borrower 1 LLC from NRG Energy, Inc. for $202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Agua Caliente Borrower 1 LLC indirectly owns a 35% equity interest in Agua Caliente, a 290 MW solar project located in Dateland, Arizona in which the Company previously owned a 16% equity interest. The project has a 25-year PPA with PG&amp;E, with approximately 18 years remaining under the agreement. Following the close of the transaction, the Company owns a 51% equity interest in Agua Caliente and consolidates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and liabilities acquired on the acquisition date. A third party investor holds the remaining 49% equity interest in Agua Caliente, which is reflected in noncontrolling interest and was valued at historical carrying amount increased for the incremental fair value determined at the acquisition date.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acquired in connection with the acquisition as of February 3,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Agua Caliente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currents assets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50"/>
        </w:trPr>
        <w:tc>
          <w:tcPr>
            <w:tcW w:w="8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1"/>
        </w:trPr>
        <w:tc>
          <w:tcPr>
            <w:tcW w:w="8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values of the property, plant and equipment, intangible assets and long-term debt at the acquisition date were measured primarily based on significant inputs that are not observable in the market and thus represent a Level 3 measurement as defined in ASC 820, Fair Value Measurement. Significant inputs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estimated fair values were determined primarily based on an income method using discounted cash flows and</w:t>
      </w:r>
      <w:r>
        <w:rPr>
          <w:rFonts w:ascii="Arial" w:cs="Arial" w:eastAsia="Arial" w:hAnsi="Arial"/>
          <w:sz w:val="17"/>
          <w:szCs w:val="17"/>
          <w:i w:val="1"/>
          <w:iCs w:val="1"/>
          <w:color w:val="auto"/>
        </w:rPr>
        <w:t xml:space="preserve"> </w:t>
      </w:r>
      <w:r>
        <w:rPr>
          <w:rFonts w:ascii="Arial" w:cs="Arial" w:eastAsia="Arial" w:hAnsi="Arial"/>
          <w:sz w:val="17"/>
          <w:szCs w:val="17"/>
          <w:color w:val="auto"/>
        </w:rPr>
        <w:t>validated 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 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the regulatory environment as of the acquisition date.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PPA acquired was determined utilizing a variation of the income approach where the incremental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resulting from the acquired PPA compared to the cash flows based on current market prices were discounted to present value at the weighted average cost of debt of the utility off-taker, as the PPA was determined to be a debt-like instrument for the off-taker. The values were corroborated with available market data. The PPA value will be amortized over a period of 18 years.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long-term debt was determined by discounting future cash flows at current interest rates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equivalent credit quality.</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recorded the noncontrolling interest utilizing the cost accumulation model, as the acquisition was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maintained the carrying value for the pre-existing equity, with the value increased incrementally based on the value of the Company's newly acquired interest.</w:t>
      </w:r>
    </w:p>
    <w:p>
      <w:pPr>
        <w:spacing w:after="0" w:line="13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b w:val="1"/>
          <w:bCs w:val="1"/>
          <w:i w:val="1"/>
          <w:iCs w:val="1"/>
          <w:color w:val="auto"/>
        </w:rPr>
        <w:t xml:space="preserve">Mt. Storm Wind Acquisition — </w:t>
      </w:r>
      <w:r>
        <w:rPr>
          <w:rFonts w:ascii="Arial" w:cs="Arial" w:eastAsia="Arial" w:hAnsi="Arial"/>
          <w:sz w:val="17"/>
          <w:szCs w:val="17"/>
          <w:color w:val="auto"/>
        </w:rPr>
        <w:t>On April 23, 2021, the Company acquired 100% of the equity interests in NedPower Mount Storm LLC, or Mt.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Storm, from Castleton Commodities International for approximately $96 million before working capital and purchase price adjustments in the net amount of $4 million, representing a total cash outflow of $100 million. Mt. Storm is a 264 MW wind project located in Grant County, West Virginia. Mt. Storm has a 10 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71"/>
              <w:spacing w:after="0"/>
              <w:rPr>
                <w:sz w:val="20"/>
                <w:szCs w:val="20"/>
                <w:color w:val="auto"/>
              </w:rPr>
            </w:pPr>
            <w:r>
              <w:rPr>
                <w:rFonts w:ascii="Arial" w:cs="Arial" w:eastAsia="Arial" w:hAnsi="Arial"/>
                <w:sz w:val="16"/>
                <w:szCs w:val="16"/>
                <w:b w:val="1"/>
                <w:bCs w:val="1"/>
                <w:color w:val="auto"/>
              </w:rPr>
              <w:t>Mt. Storm</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50"/>
        </w:trPr>
        <w:tc>
          <w:tcPr>
            <w:tcW w:w="8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Accounts payable and other liabilities</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fair values of the property, plant and equipment, derivative instrument and intangible asset at the acquisition date were measured primarily based on significant inputs that are not observable in the market and thus represent a Level 3 measurement as defined in ASC 820, Fair Value Measurement.</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of property, plant and equipment were determined primarily based on an income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using discounted cash flows.</w:t>
      </w:r>
    </w:p>
    <w:p>
      <w:pPr>
        <w:spacing w:after="0" w:line="11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intangible asset was determined using a market approach based on quoted prices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credits in the applicable market.</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derivative instruments was determined based on the discounted cash flows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acquired commodity contract.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jc w:val="both"/>
        <w:ind w:firstLine="405"/>
        <w:spacing w:after="0" w:line="268" w:lineRule="auto"/>
        <w:rPr>
          <w:sz w:val="20"/>
          <w:szCs w:val="20"/>
          <w:color w:val="auto"/>
        </w:rPr>
      </w:pPr>
      <w:r>
        <w:rPr>
          <w:rFonts w:ascii="Arial" w:cs="Arial" w:eastAsia="Arial" w:hAnsi="Arial"/>
          <w:sz w:val="17"/>
          <w:szCs w:val="17"/>
          <w:b w:val="1"/>
          <w:bCs w:val="1"/>
          <w:i w:val="1"/>
          <w:iCs w:val="1"/>
          <w:color w:val="auto"/>
        </w:rPr>
        <w:t xml:space="preserve">Mesquite Star Drop Down — </w:t>
      </w:r>
      <w:r>
        <w:rPr>
          <w:rFonts w:ascii="Arial" w:cs="Arial" w:eastAsia="Arial" w:hAnsi="Arial"/>
          <w:sz w:val="17"/>
          <w:szCs w:val="17"/>
          <w:color w:val="auto"/>
        </w:rPr>
        <w:t>On September 1, 2020, the Company, through its indirect subsidiary Lighthouse Renewable Class A LLC, acquired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membership interests in Lighthouse Renewable Holdco LLC (formerly Mesquite Star Pledgor LLC) from Clearway Renew LLC, a subsidiary of CEG, for $79 million in cash consideration. Lighthouse Renewable Holdco LLC indirectly owns 100% of the Class B membership interests in Mesquite Star Tax Equity Holdco LLC, a tax equity partnership that it consolidates as the primary beneficiary, and owns the Mesquite Star wind project, a 419 MW utility scale wind project located in Fisher County, Texas. A majority of the project’s output is backed by contracts with investment grade counterparties with a 12-year weighted average contract life. The Mesquite Star operations are reflected in the Company's Renewables segment and the acquisition was funded with cash on hand. The Company recorded its interest in Lighthouse Renewable Class A LLC as an equity method investment from September 1, 2020 to December 21, 2020. On December 21, 2020, CEG sold its Class B membership interest in Lighthouse Renewable Holdco LLC to a third-party investor which resulted in a reconsideration event for consolidation of the entity. Upon the reconsideration event, the Company determined it was the primary beneficiary of Lighthouse Renewable Holdco LLC and effective on December 21, 2020, the Company consolidates Lighthouse Renewable Holdco LLC. The membership interests acquired by the Company relate to interests under common control by GIP and were recorded at historical cost. The difference between the $79 million cash paid and the historical value of the Company's acquired interests of $83 million was recorded as an adjustment to noncontrolling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Sale of Thermal Business </w:t>
      </w:r>
      <w:r>
        <w:rPr>
          <w:rFonts w:ascii="Arial" w:cs="Arial" w:eastAsia="Arial" w:hAnsi="Arial"/>
          <w:sz w:val="18"/>
          <w:szCs w:val="18"/>
          <w:color w:val="auto"/>
        </w:rPr>
        <w:t>— On October 22, 2021, Clearway Energy Operating LLC entered into a binding agreement to sell the Thermal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affiliate of KKR &amp; Co. Inc. for total consideration of $1.9 billion, subject to customary closing adjustments. The closing of the transaction is subject to various customary closing conditions, approvals and consents and is expected to close in the first half of 2022. Effective with the signing of the agreement to sell the Thermal Business, the Company concluded that all entities that are included within the Thermal Business will be treated as held for sale on a prospective basis, resulting in the assets and liabilities being treated as separate held for sale line items on the Company’s consolidated balance sheet as of December 31, 2021.</w:t>
      </w:r>
    </w:p>
    <w:p>
      <w:pPr>
        <w:spacing w:after="0" w:line="1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Spruce Power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100% of its interests in Energy Center Dover LLC and Energy Center Smyrna LLC to DB Energy Assets, LLC for cash proceeds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These arrangements are primarily related to tax equity arrangements entered into with third parties in order to monetize certain tax attributes associated with wind and solar facilities,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2020 Form 10-K.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Alta TE Holdco</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Buckthorn</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DGPV Funds</w:t>
            </w:r>
            <w:r>
              <w:rPr>
                <w:rFonts w:ascii="Arial" w:cs="Arial" w:eastAsia="Arial" w:hAnsi="Arial"/>
                <w:sz w:val="16"/>
                <w:szCs w:val="16"/>
                <w:b w:val="1"/>
                <w:bCs w:val="1"/>
                <w:color w:val="auto"/>
                <w:vertAlign w:val="superscript"/>
              </w:rPr>
              <w:t>(a)</w:t>
            </w:r>
          </w:p>
        </w:tc>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Kawailoa Partnership</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Langford TE</w:t>
            </w: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Lighthouse Renewable</w:t>
            </w: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Renewables, LLC</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Partnership LLC</w:t>
            </w:r>
          </w:p>
        </w:tc>
        <w:tc>
          <w:tcPr>
            <w:tcW w:w="180" w:type="dxa"/>
            <w:vAlign w:val="bottom"/>
          </w:tcPr>
          <w:p>
            <w:pPr>
              <w:spacing w:after="0"/>
              <w:rPr>
                <w:sz w:val="15"/>
                <w:szCs w:val="15"/>
                <w:color w:val="auto"/>
              </w:rPr>
            </w:pPr>
          </w:p>
        </w:tc>
        <w:tc>
          <w:tcPr>
            <w:tcW w:w="1120" w:type="dxa"/>
            <w:vAlign w:val="bottom"/>
          </w:tcPr>
          <w:p>
            <w:pPr>
              <w:jc w:val="right"/>
              <w:ind w:right="173"/>
              <w:spacing w:after="0" w:line="175" w:lineRule="exact"/>
              <w:rPr>
                <w:sz w:val="20"/>
                <w:szCs w:val="20"/>
                <w:color w:val="auto"/>
              </w:rPr>
            </w:pPr>
            <w:r>
              <w:rPr>
                <w:rFonts w:ascii="Arial" w:cs="Arial" w:eastAsia="Arial" w:hAnsi="Arial"/>
                <w:sz w:val="13"/>
                <w:szCs w:val="13"/>
                <w:b w:val="1"/>
                <w:bCs w:val="1"/>
                <w:color w:val="auto"/>
                <w:w w:val="96"/>
              </w:rPr>
              <w:t>Holdco LLC</w:t>
            </w:r>
            <w:r>
              <w:rPr>
                <w:rFonts w:ascii="Arial" w:cs="Arial" w:eastAsia="Arial" w:hAnsi="Arial"/>
                <w:sz w:val="16"/>
                <w:szCs w:val="16"/>
                <w:b w:val="1"/>
                <w:bCs w:val="1"/>
                <w:color w:val="auto"/>
                <w:w w:val="96"/>
                <w:vertAlign w:val="superscript"/>
              </w:rPr>
              <w:t>(b)</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w w:val="93"/>
              </w:rPr>
              <w:t>Net assets less noncontrolling interests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20" w:firstLine="8"/>
        <w:spacing w:after="0" w:line="226" w:lineRule="auto"/>
        <w:tabs>
          <w:tab w:leader="none" w:pos="174"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82"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Lighthouse Renewable Holdco LLC consolidates Mesquite Star Tax Equity Holdco LLC, which is also a consolidated VIE.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Oahu</w:t>
            </w:r>
          </w:p>
        </w:tc>
        <w:tc>
          <w:tcPr>
            <w:tcW w:w="13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Pinnacle Repowering</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Rattlesnake TE</w:t>
            </w:r>
          </w:p>
        </w:tc>
        <w:tc>
          <w:tcPr>
            <w:tcW w:w="13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Rosie TargetCo LLC</w:t>
            </w: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Wildorado</w:t>
            </w:r>
          </w:p>
        </w:tc>
        <w:tc>
          <w:tcPr>
            <w:tcW w:w="260" w:type="dxa"/>
            <w:vAlign w:val="bottom"/>
          </w:tcPr>
          <w:p>
            <w:pPr>
              <w:spacing w:after="0"/>
              <w:rPr>
                <w:sz w:val="13"/>
                <w:szCs w:val="13"/>
                <w:color w:val="auto"/>
              </w:rPr>
            </w:pPr>
          </w:p>
        </w:tc>
        <w:tc>
          <w:tcPr>
            <w:tcW w:w="10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Solar Partnership</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Partnership LLC</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Holdco LLC</w:t>
            </w:r>
          </w:p>
        </w:tc>
        <w:tc>
          <w:tcPr>
            <w:tcW w:w="13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TE Holdco</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w w:val="93"/>
              </w:rPr>
              <w:t>Net assets less 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 Transmission, LLC, Hardin Hilltop Wind LLC, Elbow Creek TE Holdco and Spring Canyon TE Holdco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color w:val="auto"/>
        </w:rPr>
        <w:t>The discussion below describes material changes to VIEs during the nine months ended September 30, 2021.</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Rattlesnake TE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January 12, 2021, the Company acquired CEG's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a third 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 party tax equity investor contributed $107 million into Rattlesnake TE Holdco LLC in exchange for the Class A membership interests. The proceeds from the tax equity contribution along with cash contributed by CEG were used to repay a portion of the $176 million of the outstanding principal under the Rattlesnake Class B LLC credit facility.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Pinnacle Repowering Partnership LL</w:t>
      </w:r>
      <w:r>
        <w:rPr>
          <w:rFonts w:ascii="Arial" w:cs="Arial" w:eastAsia="Arial" w:hAnsi="Arial"/>
          <w:sz w:val="16"/>
          <w:szCs w:val="16"/>
          <w:color w:val="auto"/>
        </w:rPr>
        <w:t>C</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On February 26, 2021, the Company entered into an amended agreement with CWSP Pinnacle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an indirect subsidiary of CEG, with respect to Pinnacle Repowering Partnership LLC in order to facilitate the repowering of the Pinnacle wind project, a 55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to the consolidated financial statements included in the Company's 2020 Form 10-K.</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2021 is limited to its equity investment in the unconsolidated entities, as further summarized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4480" w:type="dxa"/>
            <w:vAlign w:val="bottom"/>
            <w:tcBorders>
              <w:bottom w:val="single" w:sz="8" w:color="auto"/>
            </w:tcBorders>
          </w:tcPr>
          <w:p>
            <w:pPr>
              <w:jc w:val="center"/>
              <w:ind w:left="2931"/>
              <w:spacing w:after="0"/>
              <w:rPr>
                <w:sz w:val="20"/>
                <w:szCs w:val="20"/>
                <w:color w:val="auto"/>
              </w:rPr>
            </w:pPr>
            <w:r>
              <w:rPr>
                <w:rFonts w:ascii="Arial" w:cs="Arial" w:eastAsia="Arial" w:hAnsi="Arial"/>
                <w:sz w:val="16"/>
                <w:szCs w:val="16"/>
                <w:b w:val="1"/>
                <w:bCs w:val="1"/>
                <w:color w:val="auto"/>
                <w:w w:val="90"/>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Investment Balance</w:t>
            </w:r>
          </w:p>
        </w:tc>
      </w:tr>
      <w:tr>
        <w:trPr>
          <w:trHeight w:val="210"/>
        </w:trPr>
        <w:tc>
          <w:tcPr>
            <w:tcW w:w="4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4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4480" w:type="dxa"/>
            <w:vAlign w:val="bottom"/>
            <w:shd w:val="clear" w:color="auto" w:fill="CCEEFF"/>
          </w:tcPr>
          <w:p>
            <w:pPr>
              <w:jc w:val="center"/>
              <w:ind w:left="293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4480" w:type="dxa"/>
            <w:vAlign w:val="bottom"/>
          </w:tcPr>
          <w:p>
            <w:pPr>
              <w:jc w:val="center"/>
              <w:ind w:left="293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480" w:type="dxa"/>
            <w:vAlign w:val="bottom"/>
            <w:shd w:val="clear" w:color="auto" w:fill="CCEEFF"/>
          </w:tcPr>
          <w:p>
            <w:pPr>
              <w:jc w:val="center"/>
              <w:ind w:left="2931"/>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GenConn</w:t>
            </w:r>
            <w:r>
              <w:rPr>
                <w:rFonts w:ascii="Arial" w:cs="Arial" w:eastAsia="Arial" w:hAnsi="Arial"/>
                <w:sz w:val="23"/>
                <w:szCs w:val="23"/>
                <w:color w:val="auto"/>
                <w:vertAlign w:val="superscript"/>
              </w:rPr>
              <w:t>(a)</w:t>
            </w:r>
          </w:p>
        </w:tc>
        <w:tc>
          <w:tcPr>
            <w:tcW w:w="4480" w:type="dxa"/>
            <w:vAlign w:val="bottom"/>
          </w:tcPr>
          <w:p>
            <w:pPr>
              <w:jc w:val="center"/>
              <w:ind w:left="293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480" w:type="dxa"/>
            <w:vAlign w:val="bottom"/>
            <w:shd w:val="clear" w:color="auto" w:fill="CCEEFF"/>
          </w:tcPr>
          <w:p>
            <w:pPr>
              <w:jc w:val="center"/>
              <w:ind w:left="2931"/>
              <w:spacing w:after="0"/>
              <w:rPr>
                <w:sz w:val="20"/>
                <w:szCs w:val="20"/>
                <w:color w:val="auto"/>
              </w:rPr>
            </w:pPr>
            <w:r>
              <w:rPr>
                <w:rFonts w:ascii="Arial" w:cs="Arial" w:eastAsia="Arial" w:hAnsi="Arial"/>
                <w:sz w:val="18"/>
                <w:szCs w:val="18"/>
                <w:color w:val="auto"/>
                <w:w w:val="94"/>
              </w:rPr>
              <w:t>75%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7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Utah Solar Portfolio</w:t>
            </w:r>
            <w:r>
              <w:rPr>
                <w:rFonts w:ascii="Arial" w:cs="Arial" w:eastAsia="Arial" w:hAnsi="Arial"/>
                <w:sz w:val="23"/>
                <w:szCs w:val="23"/>
                <w:color w:val="auto"/>
                <w:vertAlign w:val="superscript"/>
              </w:rPr>
              <w:t>(b)</w:t>
            </w:r>
          </w:p>
        </w:tc>
        <w:tc>
          <w:tcPr>
            <w:tcW w:w="4480" w:type="dxa"/>
            <w:vAlign w:val="bottom"/>
            <w:tcBorders>
              <w:bottom w:val="single" w:sz="8" w:color="CCEEFF"/>
            </w:tcBorders>
          </w:tcPr>
          <w:p>
            <w:pPr>
              <w:jc w:val="center"/>
              <w:ind w:left="2931"/>
              <w:spacing w:after="0"/>
              <w:rPr>
                <w:sz w:val="20"/>
                <w:szCs w:val="20"/>
                <w:color w:val="auto"/>
              </w:rPr>
            </w:pPr>
            <w:r>
              <w:rPr>
                <w:rFonts w:ascii="Arial" w:cs="Arial" w:eastAsia="Arial" w:hAnsi="Arial"/>
                <w:sz w:val="18"/>
                <w:szCs w:val="18"/>
                <w:color w:val="auto"/>
                <w:w w:val="94"/>
              </w:rPr>
              <w:t>50%</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GenConn is a variable interest entity.</w:t>
      </w:r>
    </w:p>
    <w:p>
      <w:pPr>
        <w:spacing w:after="0" w:line="3" w:lineRule="exact"/>
        <w:rPr>
          <w:sz w:val="20"/>
          <w:szCs w:val="20"/>
          <w:color w:val="auto"/>
        </w:rPr>
      </w:pPr>
    </w:p>
    <w:p>
      <w:pPr>
        <w:ind w:right="140" w:firstLine="8"/>
        <w:spacing w:after="0" w:line="242" w:lineRule="auto"/>
        <w:tabs>
          <w:tab w:leader="none" w:pos="149"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Economic interest based on cash to be distributed. Four Brothers Solar, LLC, Granite Mountain Holdings, LLC and Iron Springs Holdings, LLC are tax equity structures and VIEs.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 trade, accounts payable — trade, current portion of accounts payable — affiliates,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 2021</w:t>
            </w:r>
          </w:p>
        </w:tc>
        <w:tc>
          <w:tcPr>
            <w:tcW w:w="300" w:type="dxa"/>
            <w:vAlign w:val="bottom"/>
          </w:tcPr>
          <w:p>
            <w:pPr>
              <w:spacing w:after="0"/>
              <w:rPr>
                <w:sz w:val="16"/>
                <w:szCs w:val="16"/>
                <w:color w:val="auto"/>
              </w:rPr>
            </w:pPr>
          </w:p>
        </w:tc>
        <w:tc>
          <w:tcPr>
            <w:tcW w:w="22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2020</w:t>
            </w:r>
          </w:p>
        </w:tc>
      </w:tr>
      <w:tr>
        <w:trPr>
          <w:trHeight w:val="186"/>
        </w:trPr>
        <w:tc>
          <w:tcPr>
            <w:tcW w:w="6020" w:type="dxa"/>
            <w:vAlign w:val="bottom"/>
          </w:tcPr>
          <w:p>
            <w:pPr>
              <w:spacing w:after="0"/>
              <w:rPr>
                <w:sz w:val="16"/>
                <w:szCs w:val="16"/>
                <w:color w:val="auto"/>
              </w:rPr>
            </w:pPr>
          </w:p>
        </w:tc>
        <w:tc>
          <w:tcPr>
            <w:tcW w:w="12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69"/>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2"/>
        </w:trPr>
        <w:tc>
          <w:tcPr>
            <w:tcW w:w="6020" w:type="dxa"/>
            <w:vAlign w:val="bottom"/>
            <w:shd w:val="clear" w:color="auto" w:fill="CCEEFF"/>
          </w:tcPr>
          <w:p>
            <w:pPr>
              <w:ind w:left="140"/>
              <w:spacing w:after="0" w:line="232"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7,048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1"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2021 and December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September 30, 2021</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9"/>
              </w:rPr>
              <w:t>As of December 31, 2020</w:t>
            </w:r>
          </w:p>
        </w:tc>
      </w:tr>
      <w:tr>
        <w:trPr>
          <w:trHeight w:val="187"/>
        </w:trPr>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2"/>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2,172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1,905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r>
      <w:tr>
        <w:trPr>
          <w:trHeight w:val="161"/>
        </w:trPr>
        <w:tc>
          <w:tcPr>
            <w:tcW w:w="6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September 30, 2021</w:t>
            </w: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Commodity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financial instruments </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480" w:hanging="148"/>
        <w:spacing w:after="0"/>
        <w:tabs>
          <w:tab w:leader="none" w:pos="4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or Level 3 and no liabilities classified as Level 1 as of September 30, 2021 and December 31, 2020.</w:t>
      </w:r>
    </w:p>
    <w:p>
      <w:pPr>
        <w:spacing w:after="0" w:line="23" w:lineRule="exact"/>
        <w:rPr>
          <w:rFonts w:ascii="Arial" w:cs="Arial" w:eastAsia="Arial" w:hAnsi="Arial"/>
          <w:sz w:val="18"/>
          <w:szCs w:val="18"/>
          <w:color w:val="auto"/>
          <w:vertAlign w:val="superscript"/>
        </w:rPr>
      </w:pPr>
    </w:p>
    <w:p>
      <w:pPr>
        <w:ind w:left="460" w:hanging="128"/>
        <w:spacing w:after="0"/>
        <w:tabs>
          <w:tab w:leader="none" w:pos="460" w:val="left"/>
        </w:tabs>
        <w:numPr>
          <w:ilvl w:val="0"/>
          <w:numId w:val="14"/>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149" w:lineRule="exact"/>
        <w:rPr>
          <w:sz w:val="20"/>
          <w:szCs w:val="20"/>
          <w:color w:val="auto"/>
        </w:rPr>
      </w:pPr>
    </w:p>
    <w:p>
      <w:pPr>
        <w:ind w:right="440" w:firstLine="405"/>
        <w:spacing w:after="0" w:line="269"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w:t>
            </w:r>
          </w:p>
        </w:tc>
        <w:tc>
          <w:tcPr>
            <w:tcW w:w="540" w:type="dxa"/>
            <w:vAlign w:val="bottom"/>
          </w:tcPr>
          <w:p>
            <w:pPr>
              <w:spacing w:after="0"/>
              <w:rPr>
                <w:sz w:val="16"/>
                <w:szCs w:val="16"/>
                <w:color w:val="auto"/>
              </w:rPr>
            </w:pPr>
          </w:p>
        </w:tc>
        <w:tc>
          <w:tcPr>
            <w:tcW w:w="28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0"/>
        </w:trPr>
        <w:tc>
          <w:tcPr>
            <w:tcW w:w="42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1"/>
                <w:szCs w:val="11"/>
                <w:color w:val="auto"/>
              </w:rPr>
            </w:pPr>
          </w:p>
        </w:tc>
        <w:tc>
          <w:tcPr>
            <w:tcW w:w="2840" w:type="dxa"/>
            <w:vAlign w:val="bottom"/>
            <w:gridSpan w:val="4"/>
          </w:tcPr>
          <w:p>
            <w:pPr>
              <w:jc w:val="center"/>
              <w:ind w:right="53"/>
              <w:spacing w:after="0" w:line="130"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gridSpan w:val="4"/>
          </w:tcPr>
          <w:p>
            <w:pPr>
              <w:jc w:val="right"/>
              <w:ind w:right="73"/>
              <w:spacing w:after="0" w:line="130"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Unobservable Inputs (Level 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Unobservable Inputs (Level 3)</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Beginning balance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Total losses for the period included in earnings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Ending balance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6"/>
              </w:rPr>
              <w:t>Change in unrealized losses included in earnings for</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rPr>
              <w:t>derivatives and other financial instruments held as of</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5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September 30, 2021, contracts valued with prices provided by models and other valuation techniques make up 64% of derivative liabilities and 100% of other financial instruments.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power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ind w:left="420"/>
        <w:spacing w:after="0"/>
        <w:rPr>
          <w:sz w:val="20"/>
          <w:szCs w:val="20"/>
          <w:color w:val="auto"/>
        </w:rPr>
      </w:pPr>
      <w:r>
        <w:rPr>
          <w:rFonts w:ascii="Arial" w:cs="Arial" w:eastAsia="Arial" w:hAnsi="Arial"/>
          <w:sz w:val="17"/>
          <w:szCs w:val="17"/>
          <w:color w:val="auto"/>
        </w:rPr>
        <w:t>The following table quantifies the significant unobservable inputs used in developing the fair value of the Company's Level 3 positions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2021</w:t>
            </w: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8"/>
                <w:szCs w:val="18"/>
                <w:b w:val="1"/>
                <w:bCs w:val="1"/>
                <w:color w:val="auto"/>
              </w:rPr>
              <w:t>Input/Range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vMerge w:val="restart"/>
          </w:tcPr>
          <w:p>
            <w:pPr>
              <w:ind w:left="360"/>
              <w:spacing w:after="0"/>
              <w:rPr>
                <w:sz w:val="20"/>
                <w:szCs w:val="20"/>
                <w:color w:val="auto"/>
              </w:rPr>
            </w:pPr>
            <w:r>
              <w:rPr>
                <w:rFonts w:ascii="Arial" w:cs="Arial" w:eastAsia="Arial" w:hAnsi="Arial"/>
                <w:sz w:val="18"/>
                <w:szCs w:val="18"/>
                <w:b w:val="1"/>
                <w:bCs w:val="1"/>
                <w:color w:val="auto"/>
                <w:w w:val="93"/>
              </w:rPr>
              <w:t>Valuation</w:t>
            </w:r>
          </w:p>
        </w:tc>
        <w:tc>
          <w:tcPr>
            <w:tcW w:w="1580" w:type="dxa"/>
            <w:vAlign w:val="bottom"/>
          </w:tcPr>
          <w:p>
            <w:pPr>
              <w:jc w:val="center"/>
              <w:ind w:left="136"/>
              <w:spacing w:after="0" w:line="169" w:lineRule="exact"/>
              <w:rPr>
                <w:sz w:val="20"/>
                <w:szCs w:val="20"/>
                <w:color w:val="auto"/>
              </w:rPr>
            </w:pPr>
            <w:r>
              <w:rPr>
                <w:rFonts w:ascii="Arial" w:cs="Arial" w:eastAsia="Arial" w:hAnsi="Arial"/>
                <w:sz w:val="18"/>
                <w:szCs w:val="18"/>
                <w:b w:val="1"/>
                <w:bCs w:val="1"/>
                <w:color w:val="auto"/>
                <w:w w:val="91"/>
              </w:rPr>
              <w:t>Significant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93"/>
              </w:rPr>
              <w:t>Liabilities</w:t>
            </w:r>
          </w:p>
        </w:tc>
        <w:tc>
          <w:tcPr>
            <w:tcW w:w="1140" w:type="dxa"/>
            <w:vAlign w:val="bottom"/>
            <w:vMerge w:val="continue"/>
          </w:tcPr>
          <w:p>
            <w:pPr>
              <w:spacing w:after="0"/>
              <w:rPr>
                <w:sz w:val="15"/>
                <w:szCs w:val="15"/>
                <w:color w:val="auto"/>
              </w:rPr>
            </w:pPr>
          </w:p>
        </w:tc>
        <w:tc>
          <w:tcPr>
            <w:tcW w:w="1580" w:type="dxa"/>
            <w:vAlign w:val="bottom"/>
          </w:tcPr>
          <w:p>
            <w:pPr>
              <w:jc w:val="center"/>
              <w:ind w:right="116"/>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380" w:type="dxa"/>
            <w:vAlign w:val="bottom"/>
          </w:tcPr>
          <w:p>
            <w:pPr>
              <w:spacing w:after="0"/>
              <w:rPr>
                <w:sz w:val="15"/>
                <w:szCs w:val="15"/>
                <w:color w:val="auto"/>
              </w:rPr>
            </w:pPr>
          </w:p>
        </w:tc>
        <w:tc>
          <w:tcPr>
            <w:tcW w:w="1140" w:type="dxa"/>
            <w:vAlign w:val="bottom"/>
            <w:vMerge w:val="restart"/>
          </w:tcPr>
          <w:p>
            <w:pPr>
              <w:jc w:val="right"/>
              <w:ind w:right="496"/>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15"/>
                <w:szCs w:val="15"/>
                <w:color w:val="auto"/>
              </w:rPr>
            </w:pPr>
          </w:p>
        </w:tc>
        <w:tc>
          <w:tcPr>
            <w:tcW w:w="1200" w:type="dxa"/>
            <w:vAlign w:val="bottom"/>
            <w:vMerge w:val="restart"/>
          </w:tcPr>
          <w:p>
            <w:pPr>
              <w:jc w:val="right"/>
              <w:ind w:right="496"/>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b w:val="1"/>
                <w:bCs w:val="1"/>
                <w:color w:val="auto"/>
                <w:w w:val="88"/>
              </w:rPr>
              <w:t>Technique</w:t>
            </w:r>
          </w:p>
        </w:tc>
        <w:tc>
          <w:tcPr>
            <w:tcW w:w="1580" w:type="dxa"/>
            <w:vAlign w:val="bottom"/>
            <w:tcBorders>
              <w:bottom w:val="single" w:sz="8" w:color="auto"/>
            </w:tcBorders>
          </w:tcPr>
          <w:p>
            <w:pPr>
              <w:jc w:val="center"/>
              <w:ind w:right="96"/>
              <w:spacing w:after="0"/>
              <w:rPr>
                <w:sz w:val="20"/>
                <w:szCs w:val="20"/>
                <w:color w:val="auto"/>
              </w:rPr>
            </w:pPr>
            <w:r>
              <w:rPr>
                <w:rFonts w:ascii="Arial" w:cs="Arial" w:eastAsia="Arial" w:hAnsi="Arial"/>
                <w:sz w:val="18"/>
                <w:szCs w:val="18"/>
                <w:b w:val="1"/>
                <w:bCs w:val="1"/>
                <w:color w:val="auto"/>
                <w:w w:val="99"/>
              </w:rPr>
              <w:t>Input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gridSpan w:val="3"/>
          </w:tcPr>
          <w:p>
            <w:pPr>
              <w:ind w:left="8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40" w:type="dxa"/>
            <w:vAlign w:val="bottom"/>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Power</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w w:val="94"/>
              </w:rPr>
              <w:t>Discounted</w:t>
            </w:r>
          </w:p>
        </w:tc>
        <w:tc>
          <w:tcPr>
            <w:tcW w:w="1580" w:type="dxa"/>
            <w:vAlign w:val="bottom"/>
            <w:shd w:val="clear" w:color="auto" w:fill="CCEEFF"/>
          </w:tcPr>
          <w:p>
            <w:pPr>
              <w:jc w:val="center"/>
              <w:ind w:left="136"/>
              <w:spacing w:after="0" w:line="168" w:lineRule="exact"/>
              <w:rPr>
                <w:sz w:val="20"/>
                <w:szCs w:val="20"/>
                <w:color w:val="auto"/>
              </w:rPr>
            </w:pPr>
            <w:r>
              <w:rPr>
                <w:rFonts w:ascii="Arial" w:cs="Arial" w:eastAsia="Arial" w:hAnsi="Arial"/>
                <w:sz w:val="16"/>
                <w:szCs w:val="16"/>
                <w:color w:val="auto"/>
                <w:w w:val="95"/>
              </w:rPr>
              <w:t>Forward</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40" w:type="dxa"/>
            <w:vAlign w:val="bottom"/>
            <w:vMerge w:val="continue"/>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35"/>
              <w:spacing w:after="0"/>
              <w:rPr>
                <w:sz w:val="20"/>
                <w:szCs w:val="20"/>
                <w:color w:val="auto"/>
              </w:rPr>
            </w:pPr>
            <w:r>
              <w:rPr>
                <w:rFonts w:ascii="Arial" w:cs="Arial" w:eastAsia="Arial" w:hAnsi="Arial"/>
                <w:sz w:val="16"/>
                <w:szCs w:val="16"/>
                <w:color w:val="auto"/>
              </w:rPr>
              <w:t>$</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56"/>
              <w:spacing w:after="0"/>
              <w:rPr>
                <w:sz w:val="20"/>
                <w:szCs w:val="20"/>
                <w:color w:val="auto"/>
              </w:rPr>
            </w:pPr>
            <w:r>
              <w:rPr>
                <w:rFonts w:ascii="Arial" w:cs="Arial" w:eastAsia="Arial" w:hAnsi="Arial"/>
                <w:sz w:val="16"/>
                <w:szCs w:val="16"/>
                <w:color w:val="auto"/>
              </w:rPr>
              <w:t>(138)</w:t>
            </w:r>
          </w:p>
        </w:tc>
        <w:tc>
          <w:tcPr>
            <w:tcW w:w="1140" w:type="dxa"/>
            <w:vAlign w:val="bottom"/>
            <w:vMerge w:val="continue"/>
            <w:shd w:val="clear" w:color="auto" w:fill="CCEEFF"/>
          </w:tcPr>
          <w:p>
            <w:pPr>
              <w:spacing w:after="0"/>
              <w:rPr>
                <w:sz w:val="13"/>
                <w:szCs w:val="13"/>
                <w:color w:val="auto"/>
              </w:rPr>
            </w:pPr>
          </w:p>
        </w:tc>
        <w:tc>
          <w:tcPr>
            <w:tcW w:w="1580" w:type="dxa"/>
            <w:vAlign w:val="bottom"/>
            <w:shd w:val="clear" w:color="auto" w:fill="CCEEFF"/>
          </w:tcPr>
          <w:p>
            <w:pPr>
              <w:jc w:val="center"/>
              <w:ind w:right="116"/>
              <w:spacing w:after="0" w:line="158" w:lineRule="exact"/>
              <w:rPr>
                <w:sz w:val="20"/>
                <w:szCs w:val="20"/>
                <w:color w:val="auto"/>
              </w:rPr>
            </w:pPr>
            <w:r>
              <w:rPr>
                <w:rFonts w:ascii="Arial" w:cs="Arial" w:eastAsia="Arial" w:hAnsi="Arial"/>
                <w:sz w:val="16"/>
                <w:szCs w:val="16"/>
                <w:color w:val="auto"/>
                <w:w w:val="92"/>
              </w:rPr>
              <w:t>Market Price (per</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6"/>
              <w:spacing w:after="0"/>
              <w:rPr>
                <w:sz w:val="20"/>
                <w:szCs w:val="20"/>
                <w:color w:val="auto"/>
              </w:rPr>
            </w:pPr>
            <w:r>
              <w:rPr>
                <w:rFonts w:ascii="Arial" w:cs="Arial" w:eastAsia="Arial" w:hAnsi="Arial"/>
                <w:sz w:val="16"/>
                <w:szCs w:val="16"/>
                <w:color w:val="auto"/>
              </w:rPr>
              <w:t>14.35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6"/>
              <w:spacing w:after="0"/>
              <w:rPr>
                <w:sz w:val="20"/>
                <w:szCs w:val="20"/>
                <w:color w:val="auto"/>
              </w:rPr>
            </w:pPr>
            <w:r>
              <w:rPr>
                <w:rFonts w:ascii="Arial" w:cs="Arial" w:eastAsia="Arial" w:hAnsi="Arial"/>
                <w:sz w:val="16"/>
                <w:szCs w:val="16"/>
                <w:color w:val="auto"/>
              </w:rPr>
              <w:t>76.09</w:t>
            </w:r>
          </w:p>
        </w:tc>
        <w:tc>
          <w:tcPr>
            <w:tcW w:w="32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Contracts</w:t>
            </w:r>
          </w:p>
        </w:tc>
        <w:tc>
          <w:tcPr>
            <w:tcW w:w="11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center"/>
              <w:ind w:right="16"/>
              <w:spacing w:after="0"/>
              <w:rPr>
                <w:sz w:val="20"/>
                <w:szCs w:val="20"/>
                <w:color w:val="auto"/>
              </w:rPr>
            </w:pPr>
            <w:r>
              <w:rPr>
                <w:rFonts w:ascii="Arial" w:cs="Arial" w:eastAsia="Arial" w:hAnsi="Arial"/>
                <w:sz w:val="16"/>
                <w:szCs w:val="16"/>
                <w:color w:val="auto"/>
                <w:w w:val="89"/>
              </w:rPr>
              <w:t>Cash Flow</w:t>
            </w:r>
          </w:p>
        </w:tc>
        <w:tc>
          <w:tcPr>
            <w:tcW w:w="1580" w:type="dxa"/>
            <w:vAlign w:val="bottom"/>
            <w:shd w:val="clear" w:color="auto" w:fill="CCEEFF"/>
          </w:tcPr>
          <w:p>
            <w:pPr>
              <w:jc w:val="center"/>
              <w:ind w:right="96"/>
              <w:spacing w:after="0"/>
              <w:rPr>
                <w:sz w:val="20"/>
                <w:szCs w:val="20"/>
                <w:color w:val="auto"/>
              </w:rPr>
            </w:pPr>
            <w:r>
              <w:rPr>
                <w:rFonts w:ascii="Arial" w:cs="Arial" w:eastAsia="Arial" w:hAnsi="Arial"/>
                <w:sz w:val="16"/>
                <w:szCs w:val="16"/>
                <w:color w:val="auto"/>
              </w:rPr>
              <w:t>MWh)</w:t>
            </w:r>
          </w:p>
        </w:tc>
        <w:tc>
          <w:tcPr>
            <w:tcW w:w="3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Other</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center"/>
              <w:ind w:left="136"/>
              <w:spacing w:after="0" w:line="166" w:lineRule="exact"/>
              <w:rPr>
                <w:sz w:val="20"/>
                <w:szCs w:val="20"/>
                <w:color w:val="auto"/>
              </w:rPr>
            </w:pPr>
            <w:r>
              <w:rPr>
                <w:rFonts w:ascii="Arial" w:cs="Arial" w:eastAsia="Arial" w:hAnsi="Arial"/>
                <w:sz w:val="16"/>
                <w:szCs w:val="16"/>
                <w:color w:val="auto"/>
                <w:w w:val="89"/>
              </w:rPr>
              <w:t>Forecast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vMerge w:val="restart"/>
          </w:tcPr>
          <w:p>
            <w:pPr>
              <w:ind w:left="360"/>
              <w:spacing w:after="0"/>
              <w:rPr>
                <w:sz w:val="20"/>
                <w:szCs w:val="20"/>
                <w:color w:val="auto"/>
              </w:rPr>
            </w:pPr>
            <w:r>
              <w:rPr>
                <w:rFonts w:ascii="Arial" w:cs="Arial" w:eastAsia="Arial" w:hAnsi="Arial"/>
                <w:sz w:val="16"/>
                <w:szCs w:val="16"/>
                <w:color w:val="auto"/>
                <w:w w:val="94"/>
              </w:rPr>
              <w:t>Discounted</w:t>
            </w:r>
          </w:p>
        </w:tc>
        <w:tc>
          <w:tcPr>
            <w:tcW w:w="1580" w:type="dxa"/>
            <w:vAlign w:val="bottom"/>
          </w:tcPr>
          <w:p>
            <w:pPr>
              <w:jc w:val="center"/>
              <w:ind w:right="96"/>
              <w:spacing w:after="0" w:line="158" w:lineRule="exact"/>
              <w:rPr>
                <w:sz w:val="20"/>
                <w:szCs w:val="20"/>
                <w:color w:val="auto"/>
              </w:rPr>
            </w:pPr>
            <w:r>
              <w:rPr>
                <w:rFonts w:ascii="Arial" w:cs="Arial" w:eastAsia="Arial" w:hAnsi="Arial"/>
                <w:sz w:val="16"/>
                <w:szCs w:val="16"/>
                <w:color w:val="auto"/>
                <w:w w:val="90"/>
              </w:rPr>
              <w:t>annual generation</w:t>
            </w: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Financial</w:t>
            </w:r>
          </w:p>
        </w:tc>
        <w:tc>
          <w:tcPr>
            <w:tcW w:w="1120" w:type="dxa"/>
            <w:vAlign w:val="bottom"/>
          </w:tcPr>
          <w:p>
            <w:pPr>
              <w:spacing w:after="0"/>
              <w:rPr>
                <w:sz w:val="14"/>
                <w:szCs w:val="14"/>
                <w:color w:val="auto"/>
              </w:rPr>
            </w:pPr>
          </w:p>
        </w:tc>
        <w:tc>
          <w:tcPr>
            <w:tcW w:w="420" w:type="dxa"/>
            <w:vAlign w:val="bottom"/>
            <w:vMerge w:val="restart"/>
          </w:tcPr>
          <w:p>
            <w:pPr>
              <w:ind w:left="2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Arial" w:cs="Arial" w:eastAsia="Arial" w:hAnsi="Arial"/>
                <w:sz w:val="16"/>
                <w:szCs w:val="16"/>
                <w:color w:val="auto"/>
              </w:rPr>
              <w:t>—</w:t>
            </w:r>
          </w:p>
        </w:tc>
        <w:tc>
          <w:tcPr>
            <w:tcW w:w="1140" w:type="dxa"/>
            <w:vAlign w:val="bottom"/>
            <w:vMerge w:val="continue"/>
          </w:tcPr>
          <w:p>
            <w:pPr>
              <w:spacing w:after="0"/>
              <w:rPr>
                <w:sz w:val="14"/>
                <w:szCs w:val="14"/>
                <w:color w:val="auto"/>
              </w:rPr>
            </w:pPr>
          </w:p>
        </w:tc>
        <w:tc>
          <w:tcPr>
            <w:tcW w:w="1580" w:type="dxa"/>
            <w:vAlign w:val="bottom"/>
          </w:tcPr>
          <w:p>
            <w:pPr>
              <w:jc w:val="center"/>
              <w:ind w:right="96"/>
              <w:spacing w:after="0" w:line="162" w:lineRule="exact"/>
              <w:rPr>
                <w:sz w:val="20"/>
                <w:szCs w:val="20"/>
                <w:color w:val="auto"/>
              </w:rPr>
            </w:pPr>
            <w:r>
              <w:rPr>
                <w:rFonts w:ascii="Arial" w:cs="Arial" w:eastAsia="Arial" w:hAnsi="Arial"/>
                <w:sz w:val="16"/>
                <w:szCs w:val="16"/>
                <w:color w:val="auto"/>
                <w:w w:val="94"/>
              </w:rPr>
              <w:t>levels of certain DG</w:t>
            </w:r>
          </w:p>
        </w:tc>
        <w:tc>
          <w:tcPr>
            <w:tcW w:w="380" w:type="dxa"/>
            <w:vAlign w:val="bottom"/>
          </w:tcPr>
          <w:p>
            <w:pPr>
              <w:spacing w:after="0"/>
              <w:rPr>
                <w:sz w:val="14"/>
                <w:szCs w:val="14"/>
                <w:color w:val="auto"/>
              </w:rPr>
            </w:pPr>
          </w:p>
        </w:tc>
        <w:tc>
          <w:tcPr>
            <w:tcW w:w="1140" w:type="dxa"/>
            <w:vAlign w:val="bottom"/>
            <w:vMerge w:val="restart"/>
          </w:tcPr>
          <w:p>
            <w:pPr>
              <w:jc w:val="right"/>
              <w:ind w:right="136"/>
              <w:spacing w:after="0"/>
              <w:rPr>
                <w:sz w:val="20"/>
                <w:szCs w:val="20"/>
                <w:color w:val="auto"/>
              </w:rPr>
            </w:pPr>
            <w:r>
              <w:rPr>
                <w:rFonts w:ascii="Arial" w:cs="Arial" w:eastAsia="Arial" w:hAnsi="Arial"/>
                <w:sz w:val="16"/>
                <w:szCs w:val="16"/>
                <w:color w:val="auto"/>
                <w:w w:val="99"/>
              </w:rPr>
              <w:t>80,872 MWh</w:t>
            </w:r>
          </w:p>
        </w:tc>
        <w:tc>
          <w:tcPr>
            <w:tcW w:w="320" w:type="dxa"/>
            <w:vAlign w:val="bottom"/>
          </w:tcPr>
          <w:p>
            <w:pPr>
              <w:spacing w:after="0"/>
              <w:rPr>
                <w:sz w:val="14"/>
                <w:szCs w:val="14"/>
                <w:color w:val="auto"/>
              </w:rPr>
            </w:pPr>
          </w:p>
        </w:tc>
        <w:tc>
          <w:tcPr>
            <w:tcW w:w="1200" w:type="dxa"/>
            <w:vAlign w:val="bottom"/>
            <w:vMerge w:val="restart"/>
          </w:tcPr>
          <w:p>
            <w:pPr>
              <w:jc w:val="right"/>
              <w:ind w:right="136"/>
              <w:spacing w:after="0"/>
              <w:rPr>
                <w:sz w:val="20"/>
                <w:szCs w:val="20"/>
                <w:color w:val="auto"/>
              </w:rPr>
            </w:pPr>
            <w:r>
              <w:rPr>
                <w:rFonts w:ascii="Arial" w:cs="Arial" w:eastAsia="Arial" w:hAnsi="Arial"/>
                <w:sz w:val="16"/>
                <w:szCs w:val="16"/>
                <w:color w:val="auto"/>
                <w:w w:val="96"/>
              </w:rPr>
              <w:t>129,913 MWh</w:t>
            </w: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w w:val="94"/>
              </w:rPr>
              <w:t>124,783 MWh</w:t>
            </w: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1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140" w:type="dxa"/>
            <w:vAlign w:val="bottom"/>
          </w:tcPr>
          <w:p>
            <w:pPr>
              <w:jc w:val="center"/>
              <w:ind w:right="16"/>
              <w:spacing w:after="0"/>
              <w:rPr>
                <w:sz w:val="20"/>
                <w:szCs w:val="20"/>
                <w:color w:val="auto"/>
              </w:rPr>
            </w:pPr>
            <w:r>
              <w:rPr>
                <w:rFonts w:ascii="Arial" w:cs="Arial" w:eastAsia="Arial" w:hAnsi="Arial"/>
                <w:sz w:val="16"/>
                <w:szCs w:val="16"/>
                <w:color w:val="auto"/>
                <w:w w:val="89"/>
              </w:rPr>
              <w:t>Cash Flow</w:t>
            </w:r>
          </w:p>
        </w:tc>
        <w:tc>
          <w:tcPr>
            <w:tcW w:w="1580" w:type="dxa"/>
            <w:vAlign w:val="bottom"/>
          </w:tcPr>
          <w:p>
            <w:pPr>
              <w:jc w:val="center"/>
              <w:ind w:right="96"/>
              <w:spacing w:after="0"/>
              <w:rPr>
                <w:sz w:val="20"/>
                <w:szCs w:val="20"/>
                <w:color w:val="auto"/>
              </w:rPr>
            </w:pPr>
            <w:r>
              <w:rPr>
                <w:rFonts w:ascii="Arial" w:cs="Arial" w:eastAsia="Arial" w:hAnsi="Arial"/>
                <w:sz w:val="16"/>
                <w:szCs w:val="16"/>
                <w:color w:val="auto"/>
                <w:w w:val="95"/>
              </w:rPr>
              <w:t>solar facilities</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sensitivity of fair value measurements to increases/(decreases) in significant unobservable inputs as of September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Significant Observable Input</w:t>
            </w:r>
          </w:p>
        </w:tc>
        <w:tc>
          <w:tcPr>
            <w:tcW w:w="208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87"/>
              </w:rPr>
              <w:t>Position</w:t>
            </w:r>
          </w:p>
        </w:tc>
        <w:tc>
          <w:tcPr>
            <w:tcW w:w="24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4"/>
              </w:rPr>
              <w:t>Change In Input</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Impact on Fair Value</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Forward Market Price Power</w:t>
            </w:r>
          </w:p>
        </w:tc>
        <w:tc>
          <w:tcPr>
            <w:tcW w:w="208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6"/>
              </w:rPr>
              <w:t>Buy</w:t>
            </w:r>
          </w:p>
        </w:tc>
        <w:tc>
          <w:tcPr>
            <w:tcW w:w="2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Increase/(Decrease)</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30"/>
        </w:trPr>
        <w:tc>
          <w:tcPr>
            <w:tcW w:w="4040" w:type="dxa"/>
            <w:vAlign w:val="bottom"/>
          </w:tcPr>
          <w:p>
            <w:pPr>
              <w:jc w:val="center"/>
              <w:ind w:left="10"/>
              <w:spacing w:after="0"/>
              <w:rPr>
                <w:sz w:val="20"/>
                <w:szCs w:val="20"/>
                <w:color w:val="auto"/>
              </w:rPr>
            </w:pPr>
            <w:r>
              <w:rPr>
                <w:rFonts w:ascii="Arial" w:cs="Arial" w:eastAsia="Arial" w:hAnsi="Arial"/>
                <w:sz w:val="18"/>
                <w:szCs w:val="18"/>
                <w:color w:val="auto"/>
                <w:w w:val="92"/>
              </w:rPr>
              <w:t>Forward Market Price Power</w:t>
            </w:r>
          </w:p>
        </w:tc>
        <w:tc>
          <w:tcPr>
            <w:tcW w:w="2080" w:type="dxa"/>
            <w:vAlign w:val="bottom"/>
          </w:tcPr>
          <w:p>
            <w:pPr>
              <w:jc w:val="center"/>
              <w:ind w:left="190"/>
              <w:spacing w:after="0"/>
              <w:rPr>
                <w:sz w:val="20"/>
                <w:szCs w:val="20"/>
                <w:color w:val="auto"/>
              </w:rPr>
            </w:pPr>
            <w:r>
              <w:rPr>
                <w:rFonts w:ascii="Arial" w:cs="Arial" w:eastAsia="Arial" w:hAnsi="Arial"/>
                <w:sz w:val="18"/>
                <w:szCs w:val="18"/>
                <w:color w:val="auto"/>
                <w:w w:val="93"/>
              </w:rPr>
              <w:t>Sell</w:t>
            </w:r>
          </w:p>
        </w:tc>
        <w:tc>
          <w:tcPr>
            <w:tcW w:w="2460" w:type="dxa"/>
            <w:vAlign w:val="bottom"/>
          </w:tcPr>
          <w:p>
            <w:pPr>
              <w:jc w:val="center"/>
              <w:ind w:left="30"/>
              <w:spacing w:after="0"/>
              <w:rPr>
                <w:sz w:val="20"/>
                <w:szCs w:val="20"/>
                <w:color w:val="auto"/>
              </w:rPr>
            </w:pPr>
            <w:r>
              <w:rPr>
                <w:rFonts w:ascii="Arial" w:cs="Arial" w:eastAsia="Arial" w:hAnsi="Arial"/>
                <w:sz w:val="18"/>
                <w:szCs w:val="18"/>
                <w:color w:val="auto"/>
                <w:w w:val="87"/>
              </w:rPr>
              <w:t>Increase/(Decrease)</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Forecast Generation Levels</w:t>
            </w:r>
          </w:p>
        </w:tc>
        <w:tc>
          <w:tcPr>
            <w:tcW w:w="20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3"/>
              </w:rPr>
              <w:t>Sell</w:t>
            </w:r>
          </w:p>
        </w:tc>
        <w:tc>
          <w:tcPr>
            <w:tcW w:w="2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Increase/(Decrease)</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2021, the non-performance reserve was a $10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w:t>
      </w:r>
      <w:r>
        <w:rPr>
          <w:rFonts w:ascii="Arial" w:cs="Arial" w:eastAsia="Arial" w:hAnsi="Arial"/>
          <w:sz w:val="18"/>
          <w:szCs w:val="18"/>
          <w:color w:val="231F20"/>
        </w:rPr>
        <w:t>Company's</w:t>
      </w:r>
      <w:r>
        <w:rPr>
          <w:rFonts w:ascii="Arial" w:cs="Arial" w:eastAsia="Arial" w:hAnsi="Arial"/>
          <w:sz w:val="18"/>
          <w:szCs w:val="18"/>
          <w:color w:val="auto"/>
        </w:rPr>
        <w:t xml:space="preserve"> 2020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 grade.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the Company's 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in order to hedge the variability of expected future cash interest payments. As of September 30, 2021,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2021, the Company had energy-related derivative instruments extending through 2032. At September 30, 2021,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jc w:val="right"/>
              <w:ind w:right="1415"/>
              <w:spacing w:after="0"/>
              <w:rPr>
                <w:sz w:val="20"/>
                <w:szCs w:val="20"/>
                <w:color w:val="auto"/>
              </w:rPr>
            </w:pPr>
            <w:r>
              <w:rPr>
                <w:rFonts w:ascii="Arial" w:cs="Arial" w:eastAsia="Arial" w:hAnsi="Arial"/>
                <w:sz w:val="14"/>
                <w:szCs w:val="14"/>
                <w:b w:val="1"/>
                <w:bCs w:val="1"/>
                <w:color w:val="auto"/>
              </w:rPr>
              <w:t>Total Volume</w:t>
            </w: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September 30, 2021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2020</w:t>
            </w:r>
          </w:p>
        </w:tc>
      </w:tr>
      <w:tr>
        <w:trPr>
          <w:trHeight w:val="145"/>
        </w:trPr>
        <w:tc>
          <w:tcPr>
            <w:tcW w:w="20" w:type="dxa"/>
            <w:vAlign w:val="bottom"/>
          </w:tcPr>
          <w:p>
            <w:pPr>
              <w:spacing w:after="0"/>
              <w:rPr>
                <w:sz w:val="12"/>
                <w:szCs w:val="12"/>
                <w:color w:val="auto"/>
              </w:rPr>
            </w:pPr>
          </w:p>
        </w:tc>
        <w:tc>
          <w:tcPr>
            <w:tcW w:w="13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Commodity</w:t>
            </w:r>
          </w:p>
        </w:tc>
        <w:tc>
          <w:tcPr>
            <w:tcW w:w="6040" w:type="dxa"/>
            <w:vAlign w:val="bottom"/>
            <w:gridSpan w:val="3"/>
          </w:tcPr>
          <w:p>
            <w:pPr>
              <w:ind w:left="520"/>
              <w:spacing w:after="0" w:line="145"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2080" w:type="dxa"/>
            <w:vAlign w:val="bottom"/>
            <w:gridSpan w:val="2"/>
          </w:tcPr>
          <w:p>
            <w:pPr>
              <w:ind w:left="1320"/>
              <w:spacing w:after="0" w:line="14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MMBtu</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Power</w:t>
            </w:r>
          </w:p>
        </w:tc>
        <w:tc>
          <w:tcPr>
            <w:tcW w:w="6040" w:type="dxa"/>
            <w:vAlign w:val="bottom"/>
            <w:gridSpan w:val="3"/>
          </w:tcPr>
          <w:p>
            <w:pPr>
              <w:ind w:left="520"/>
              <w:spacing w:after="0"/>
              <w:rPr>
                <w:sz w:val="20"/>
                <w:szCs w:val="20"/>
                <w:color w:val="auto"/>
              </w:rPr>
            </w:pPr>
            <w:r>
              <w:rPr>
                <w:rFonts w:ascii="Arial" w:cs="Arial" w:eastAsia="Arial" w:hAnsi="Arial"/>
                <w:sz w:val="18"/>
                <w:szCs w:val="18"/>
                <w:color w:val="auto"/>
              </w:rPr>
              <w:t>MWh</w:t>
            </w:r>
          </w:p>
        </w:tc>
        <w:tc>
          <w:tcPr>
            <w:tcW w:w="200" w:type="dxa"/>
            <w:vAlign w:val="bottom"/>
          </w:tcPr>
          <w:p>
            <w:pPr>
              <w:spacing w:after="0"/>
              <w:rPr>
                <w:sz w:val="19"/>
                <w:szCs w:val="19"/>
                <w:color w:val="auto"/>
              </w:rPr>
            </w:pPr>
          </w:p>
        </w:tc>
        <w:tc>
          <w:tcPr>
            <w:tcW w:w="1700" w:type="dxa"/>
            <w:vAlign w:val="bottom"/>
          </w:tcPr>
          <w:p>
            <w:pPr>
              <w:ind w:left="13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Dollars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1,389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Derivative Assets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9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 2021</w:t>
            </w: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60" w:type="dxa"/>
            <w:vAlign w:val="bottom"/>
            <w:gridSpan w:val="6"/>
          </w:tcPr>
          <w:p>
            <w:pPr>
              <w:ind w:left="11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40" w:type="dxa"/>
            <w:vAlign w:val="bottom"/>
            <w:shd w:val="clear" w:color="auto" w:fill="CCEEFF"/>
          </w:tcPr>
          <w:p>
            <w:pPr>
              <w:ind w:left="440"/>
              <w:spacing w:after="0" w:line="177" w:lineRule="exact"/>
              <w:rPr>
                <w:sz w:val="20"/>
                <w:szCs w:val="20"/>
                <w:color w:val="auto"/>
              </w:rPr>
            </w:pPr>
            <w:r>
              <w:rPr>
                <w:rFonts w:ascii="Arial" w:cs="Arial" w:eastAsia="Arial" w:hAnsi="Arial"/>
                <w:sz w:val="18"/>
                <w:szCs w:val="18"/>
                <w:b w:val="1"/>
                <w:bCs w:val="1"/>
                <w:color w:val="auto"/>
              </w:rPr>
              <w:t>Derivatives Designated as Cash Flow</w:t>
            </w: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Hedges:</w:t>
            </w: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560"/>
              <w:spacing w:after="0"/>
              <w:rPr>
                <w:sz w:val="20"/>
                <w:szCs w:val="20"/>
                <w:color w:val="auto"/>
              </w:rPr>
            </w:pPr>
            <w:r>
              <w:rPr>
                <w:rFonts w:ascii="Arial" w:cs="Arial" w:eastAsia="Arial" w:hAnsi="Arial"/>
                <w:sz w:val="18"/>
                <w:szCs w:val="18"/>
                <w:color w:val="auto"/>
              </w:rPr>
              <w:t>Interest rate contracts current</w:t>
            </w:r>
          </w:p>
        </w:tc>
        <w:tc>
          <w:tcPr>
            <w:tcW w:w="10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contracts long-term</w:t>
            </w:r>
          </w:p>
        </w:tc>
        <w:tc>
          <w:tcPr>
            <w:tcW w:w="10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56"/>
        </w:trPr>
        <w:tc>
          <w:tcPr>
            <w:tcW w:w="3740" w:type="dxa"/>
            <w:vAlign w:val="bottom"/>
          </w:tcPr>
          <w:p>
            <w:pPr>
              <w:ind w:left="600"/>
              <w:spacing w:after="0" w:line="156" w:lineRule="exact"/>
              <w:rPr>
                <w:sz w:val="20"/>
                <w:szCs w:val="20"/>
                <w:color w:val="auto"/>
              </w:rPr>
            </w:pPr>
            <w:r>
              <w:rPr>
                <w:rFonts w:ascii="Arial" w:cs="Arial" w:eastAsia="Arial" w:hAnsi="Arial"/>
                <w:sz w:val="18"/>
                <w:szCs w:val="18"/>
                <w:b w:val="1"/>
                <w:bCs w:val="1"/>
                <w:color w:val="auto"/>
                <w:w w:val="97"/>
              </w:rPr>
              <w:t>Total Derivatives Designated as Cash</w:t>
            </w:r>
          </w:p>
        </w:tc>
        <w:tc>
          <w:tcPr>
            <w:tcW w:w="1000" w:type="dxa"/>
            <w:vAlign w:val="bottom"/>
            <w:vMerge w:val="restart"/>
          </w:tcPr>
          <w:p>
            <w:pPr>
              <w:jc w:val="right"/>
              <w:ind w:right="413"/>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b w:val="1"/>
                <w:bCs w:val="1"/>
                <w:color w:val="auto"/>
              </w:rPr>
              <w:t>Flow Hedges</w:t>
            </w:r>
          </w:p>
        </w:tc>
        <w:tc>
          <w:tcPr>
            <w:tcW w:w="10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b w:val="1"/>
                <w:bCs w:val="1"/>
                <w:color w:val="auto"/>
                <w:w w:val="92"/>
              </w:rPr>
              <w:t>Derivatives Not Designated as Cash Flow</w:t>
            </w:r>
          </w:p>
        </w:tc>
        <w:tc>
          <w:tcPr>
            <w:tcW w:w="10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Hedges:</w:t>
            </w: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560"/>
              <w:spacing w:after="0"/>
              <w:rPr>
                <w:sz w:val="20"/>
                <w:szCs w:val="20"/>
                <w:color w:val="auto"/>
              </w:rPr>
            </w:pPr>
            <w:r>
              <w:rPr>
                <w:rFonts w:ascii="Arial" w:cs="Arial" w:eastAsia="Arial" w:hAnsi="Arial"/>
                <w:sz w:val="18"/>
                <w:szCs w:val="18"/>
                <w:color w:val="auto"/>
              </w:rPr>
              <w:t>Interest rate contracts current</w:t>
            </w:r>
          </w:p>
        </w:tc>
        <w:tc>
          <w:tcPr>
            <w:tcW w:w="10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contracts long-term</w:t>
            </w: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740" w:type="dxa"/>
            <w:vAlign w:val="bottom"/>
          </w:tcPr>
          <w:p>
            <w:pPr>
              <w:ind w:left="560"/>
              <w:spacing w:after="0"/>
              <w:rPr>
                <w:sz w:val="20"/>
                <w:szCs w:val="20"/>
                <w:color w:val="auto"/>
              </w:rPr>
            </w:pPr>
            <w:r>
              <w:rPr>
                <w:rFonts w:ascii="Arial" w:cs="Arial" w:eastAsia="Arial" w:hAnsi="Arial"/>
                <w:sz w:val="18"/>
                <w:szCs w:val="18"/>
                <w:color w:val="auto"/>
              </w:rPr>
              <w:t>Commodity contracts current</w:t>
            </w:r>
          </w:p>
        </w:tc>
        <w:tc>
          <w:tcPr>
            <w:tcW w:w="10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Commodity contracts long-term</w:t>
            </w:r>
          </w:p>
        </w:tc>
        <w:tc>
          <w:tcPr>
            <w:tcW w:w="10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55"/>
        </w:trPr>
        <w:tc>
          <w:tcPr>
            <w:tcW w:w="3740" w:type="dxa"/>
            <w:vAlign w:val="bottom"/>
          </w:tcPr>
          <w:p>
            <w:pPr>
              <w:ind w:left="440"/>
              <w:spacing w:after="0" w:line="156" w:lineRule="exact"/>
              <w:rPr>
                <w:sz w:val="20"/>
                <w:szCs w:val="20"/>
                <w:color w:val="auto"/>
              </w:rPr>
            </w:pPr>
            <w:r>
              <w:rPr>
                <w:rFonts w:ascii="Arial" w:cs="Arial" w:eastAsia="Arial" w:hAnsi="Arial"/>
                <w:sz w:val="18"/>
                <w:szCs w:val="18"/>
                <w:b w:val="1"/>
                <w:bCs w:val="1"/>
                <w:color w:val="auto"/>
                <w:w w:val="92"/>
              </w:rPr>
              <w:t>Total Derivatives Not Designated as Cash</w:t>
            </w:r>
          </w:p>
        </w:tc>
        <w:tc>
          <w:tcPr>
            <w:tcW w:w="1000" w:type="dxa"/>
            <w:vAlign w:val="bottom"/>
            <w:vMerge w:val="restart"/>
          </w:tcPr>
          <w:p>
            <w:pPr>
              <w:jc w:val="right"/>
              <w:ind w:right="413"/>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Flow Hedges</w:t>
            </w:r>
          </w:p>
        </w:tc>
        <w:tc>
          <w:tcPr>
            <w:tcW w:w="10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Derivatives</w:t>
            </w:r>
          </w:p>
        </w:tc>
        <w:tc>
          <w:tcPr>
            <w:tcW w:w="100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right="20"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September 30, 2021 and December 31, 2020, there was no outstanding collateral paid or received. The following tables summarize the offsetting of derivatives by counterparty master agreement level as of September 30, 2021 and December 31, 2020: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September 30, 2021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Recognized Assets/Liabilities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460"/>
              <w:spacing w:after="0"/>
              <w:rPr>
                <w:sz w:val="20"/>
                <w:szCs w:val="20"/>
                <w:color w:val="auto"/>
              </w:rPr>
            </w:pPr>
            <w:r>
              <w:rPr>
                <w:rFonts w:ascii="Arial" w:cs="Arial" w:eastAsia="Arial" w:hAnsi="Arial"/>
                <w:sz w:val="18"/>
                <w:szCs w:val="18"/>
                <w:color w:val="auto"/>
                <w:w w:val="90"/>
              </w:rPr>
              <w:t>(5)</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Recognized Assets/Liabilities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9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4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3"/>
          </w:tcPr>
          <w:p>
            <w:pPr>
              <w:ind w:left="720"/>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(39)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Reclassified from accumulated OCL to income due to realization of</w:t>
            </w:r>
          </w:p>
        </w:tc>
        <w:tc>
          <w:tcPr>
            <w:tcW w:w="9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ind w:left="8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previously deferred amounts</w:t>
            </w:r>
          </w:p>
        </w:tc>
        <w:tc>
          <w:tcPr>
            <w:tcW w:w="9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line="156" w:lineRule="exact"/>
              <w:rPr>
                <w:sz w:val="20"/>
                <w:szCs w:val="20"/>
                <w:color w:val="auto"/>
              </w:rPr>
            </w:pPr>
            <w:r>
              <w:rPr>
                <w:rFonts w:ascii="Arial" w:cs="Arial" w:eastAsia="Arial" w:hAnsi="Arial"/>
                <w:sz w:val="18"/>
                <w:szCs w:val="18"/>
                <w:color w:val="auto"/>
                <w:w w:val="94"/>
              </w:rPr>
              <w:t>Accumulated OCL ending balance, net of income tax benefit of $3, $6, $3</w:t>
            </w:r>
          </w:p>
        </w:tc>
        <w:tc>
          <w:tcPr>
            <w:tcW w:w="9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ind w:left="700"/>
              <w:spacing w:after="0"/>
              <w:rPr>
                <w:sz w:val="20"/>
                <w:szCs w:val="20"/>
                <w:color w:val="auto"/>
              </w:rPr>
            </w:pPr>
            <w:r>
              <w:rPr>
                <w:rFonts w:ascii="Arial" w:cs="Arial" w:eastAsia="Arial" w:hAnsi="Arial"/>
                <w:sz w:val="18"/>
                <w:szCs w:val="18"/>
                <w:color w:val="auto"/>
                <w:w w:val="93"/>
              </w:rPr>
              <w:t>(31)</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$6 respectively</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OCL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3"/>
              </w:rPr>
              <w:t>(16)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color w:val="auto"/>
              </w:rPr>
              <w:t>Accumulated OCL attributable to Clearway Energy, Inc.</w:t>
            </w:r>
          </w:p>
        </w:tc>
        <w:tc>
          <w:tcPr>
            <w:tcW w:w="92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Losses expected to be realized from OCL during the next 12 months, net of</w:t>
            </w:r>
          </w:p>
        </w:tc>
        <w:tc>
          <w:tcPr>
            <w:tcW w:w="920" w:type="dxa"/>
            <w:vAlign w:val="bottom"/>
            <w:vMerge w:val="restart"/>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of $3</w:t>
            </w:r>
          </w:p>
        </w:tc>
        <w:tc>
          <w:tcPr>
            <w:tcW w:w="9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242424"/>
                <w:w w:val="7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42424"/>
              </w:rPr>
              <w:t>6</w:t>
            </w:r>
          </w:p>
        </w:tc>
        <w:tc>
          <w:tcPr>
            <w:tcW w:w="112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42424"/>
                <w:w w:val="9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242424"/>
              </w:rPr>
              <w:t>42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line="176" w:lineRule="exact"/>
              <w:rPr>
                <w:sz w:val="20"/>
                <w:szCs w:val="20"/>
                <w:color w:val="auto"/>
              </w:rPr>
            </w:pPr>
            <w:r>
              <w:rPr>
                <w:rFonts w:ascii="Arial" w:cs="Arial" w:eastAsia="Arial" w:hAnsi="Arial"/>
                <w:sz w:val="18"/>
                <w:szCs w:val="18"/>
                <w:color w:val="auto"/>
              </w:rPr>
              <w:t>Commodity Contracts (Mark-to-market for economic hedging</w:t>
            </w:r>
          </w:p>
        </w:tc>
        <w:tc>
          <w:tcPr>
            <w:tcW w:w="9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242424"/>
              </w:rPr>
              <w:t>(36)</w:t>
            </w:r>
          </w:p>
        </w:tc>
        <w:tc>
          <w:tcPr>
            <w:tcW w:w="112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242424"/>
              </w:rPr>
              <w:t>(86)</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5260" w:type="dxa"/>
            <w:vAlign w:val="bottom"/>
          </w:tcPr>
          <w:p>
            <w:pPr>
              <w:ind w:left="20"/>
              <w:spacing w:after="0"/>
              <w:rPr>
                <w:sz w:val="20"/>
                <w:szCs w:val="20"/>
                <w:color w:val="auto"/>
              </w:rPr>
            </w:pPr>
            <w:r>
              <w:rPr>
                <w:rFonts w:ascii="Arial" w:cs="Arial" w:eastAsia="Arial" w:hAnsi="Arial"/>
                <w:sz w:val="18"/>
                <w:szCs w:val="18"/>
                <w:color w:val="auto"/>
              </w:rPr>
              <w:t xml:space="preserve">activities) </w:t>
            </w:r>
            <w:r>
              <w:rPr>
                <w:rFonts w:ascii="Arial" w:cs="Arial" w:eastAsia="Arial" w:hAnsi="Arial"/>
                <w:sz w:val="23"/>
                <w:szCs w:val="23"/>
                <w:color w:val="auto"/>
                <w:vertAlign w:val="superscript"/>
              </w:rPr>
              <w:t>(a)</w:t>
            </w:r>
          </w:p>
        </w:tc>
        <w:tc>
          <w:tcPr>
            <w:tcW w:w="9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Relates to long-term power contracts at Elbow Creek Wind Project LLC, or Elbow Creek, Mesquite Star Special LLC, or Mesquite Star, and Mt. Storm.</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540" w:firstLine="405"/>
        <w:spacing w:after="0" w:line="269"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2020 Form 10-K. Long-term debt consisted of the following:</w:t>
      </w:r>
    </w:p>
    <w:tbl>
      <w:tblPr>
        <w:tblLayout w:type="fixed"/>
        <w:tblInd w:w="0" w:type="dxa"/>
        <w:tblCellMar>
          <w:top w:w="0" w:type="dxa"/>
          <w:left w:w="0" w:type="dxa"/>
          <w:bottom w:w="0" w:type="dxa"/>
          <w:right w:w="0" w:type="dxa"/>
        </w:tblCellMar>
      </w:tblPr>
      <w:tr>
        <w:trPr>
          <w:trHeight w:val="144"/>
        </w:trPr>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2"/>
                <w:szCs w:val="12"/>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2"/>
                <w:szCs w:val="12"/>
                <w:color w:val="auto"/>
              </w:rPr>
            </w:pPr>
          </w:p>
        </w:tc>
        <w:tc>
          <w:tcPr>
            <w:tcW w:w="17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Letters of Credit</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 millions, except rates)</w:t>
            </w: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500" w:type="dxa"/>
            <w:vAlign w:val="bottom"/>
          </w:tcPr>
          <w:p>
            <w:pPr>
              <w:jc w:val="right"/>
              <w:ind w:right="200"/>
              <w:spacing w:after="0" w:line="135" w:lineRule="exact"/>
              <w:rPr>
                <w:sz w:val="20"/>
                <w:szCs w:val="20"/>
                <w:color w:val="auto"/>
              </w:rPr>
            </w:pPr>
            <w:r>
              <w:rPr>
                <w:rFonts w:ascii="Arial" w:cs="Arial" w:eastAsia="Arial" w:hAnsi="Arial"/>
                <w:sz w:val="14"/>
                <w:szCs w:val="14"/>
                <w:b w:val="1"/>
                <w:bCs w:val="1"/>
                <w:color w:val="auto"/>
              </w:rPr>
              <w:t>Outstanding at</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0"/>
              <w:spacing w:after="0" w:line="189" w:lineRule="exact"/>
              <w:rPr>
                <w:sz w:val="20"/>
                <w:szCs w:val="20"/>
                <w:color w:val="auto"/>
              </w:rPr>
            </w:pPr>
            <w:r>
              <w:rPr>
                <w:rFonts w:ascii="Arial" w:cs="Arial" w:eastAsia="Arial" w:hAnsi="Arial"/>
                <w:sz w:val="14"/>
                <w:szCs w:val="14"/>
                <w:b w:val="1"/>
                <w:bCs w:val="1"/>
                <w:color w:val="auto"/>
                <w:w w:val="98"/>
              </w:rPr>
              <w:t xml:space="preserve">2021 interest rate % </w:t>
            </w:r>
            <w:r>
              <w:rPr>
                <w:rFonts w:ascii="Arial" w:cs="Arial" w:eastAsia="Arial" w:hAnsi="Arial"/>
                <w:sz w:val="18"/>
                <w:szCs w:val="18"/>
                <w:b w:val="1"/>
                <w:bCs w:val="1"/>
                <w:color w:val="auto"/>
                <w:w w:val="98"/>
                <w:vertAlign w:val="superscript"/>
              </w:rPr>
              <w:t>(a)</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2025 Senior Notes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720" w:type="dxa"/>
            <w:vAlign w:val="bottom"/>
            <w:gridSpan w:val="2"/>
            <w:shd w:val="clear" w:color="auto" w:fill="CCEEFF"/>
          </w:tcPr>
          <w:p>
            <w:pPr>
              <w:jc w:val="center"/>
              <w:ind w:left="1139"/>
              <w:spacing w:after="0"/>
              <w:rPr>
                <w:sz w:val="20"/>
                <w:szCs w:val="20"/>
                <w:color w:val="auto"/>
              </w:rPr>
            </w:pPr>
            <w:r>
              <w:rPr>
                <w:rFonts w:ascii="Arial" w:cs="Arial" w:eastAsia="Arial" w:hAnsi="Arial"/>
                <w:sz w:val="16"/>
                <w:szCs w:val="16"/>
                <w:color w:val="auto"/>
                <w:w w:val="94"/>
              </w:rPr>
              <w:t>5.750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2026 Senior Notes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1720" w:type="dxa"/>
            <w:vAlign w:val="bottom"/>
            <w:gridSpan w:val="2"/>
          </w:tcPr>
          <w:p>
            <w:pPr>
              <w:jc w:val="center"/>
              <w:ind w:left="1139"/>
              <w:spacing w:after="0"/>
              <w:rPr>
                <w:sz w:val="20"/>
                <w:szCs w:val="20"/>
                <w:color w:val="auto"/>
              </w:rPr>
            </w:pPr>
            <w:r>
              <w:rPr>
                <w:rFonts w:ascii="Arial" w:cs="Arial" w:eastAsia="Arial" w:hAnsi="Arial"/>
                <w:sz w:val="16"/>
                <w:szCs w:val="16"/>
                <w:color w:val="auto"/>
                <w:w w:val="94"/>
              </w:rPr>
              <w:t>5.000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2028 Senior Notes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720" w:type="dxa"/>
            <w:vAlign w:val="bottom"/>
            <w:gridSpan w:val="2"/>
            <w:shd w:val="clear" w:color="auto" w:fill="CCEEFF"/>
          </w:tcPr>
          <w:p>
            <w:pPr>
              <w:jc w:val="center"/>
              <w:ind w:left="1139"/>
              <w:spacing w:after="0"/>
              <w:rPr>
                <w:sz w:val="20"/>
                <w:szCs w:val="20"/>
                <w:color w:val="auto"/>
              </w:rPr>
            </w:pPr>
            <w:r>
              <w:rPr>
                <w:rFonts w:ascii="Arial" w:cs="Arial" w:eastAsia="Arial" w:hAnsi="Arial"/>
                <w:sz w:val="16"/>
                <w:szCs w:val="16"/>
                <w:color w:val="auto"/>
                <w:w w:val="94"/>
              </w:rPr>
              <w:t>4.750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2031 Senior Notes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center"/>
              <w:ind w:left="1139"/>
              <w:spacing w:after="0"/>
              <w:rPr>
                <w:sz w:val="20"/>
                <w:szCs w:val="20"/>
                <w:color w:val="auto"/>
              </w:rPr>
            </w:pPr>
            <w:r>
              <w:rPr>
                <w:rFonts w:ascii="Arial" w:cs="Arial" w:eastAsia="Arial" w:hAnsi="Arial"/>
                <w:sz w:val="16"/>
                <w:szCs w:val="16"/>
                <w:color w:val="auto"/>
                <w:w w:val="94"/>
              </w:rPr>
              <w:t>3.750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w w:val="97"/>
              </w:rPr>
              <w:t>Clearway Energy LLC and Clearway Energy Operating LLC</w:t>
            </w: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L+1.750</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242424"/>
              </w:rPr>
              <w:t>75</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Revolving Credit Facility, due 2023 </w:t>
            </w:r>
            <w:r>
              <w:rPr>
                <w:rFonts w:ascii="Arial" w:cs="Arial" w:eastAsia="Arial" w:hAnsi="Arial"/>
                <w:sz w:val="21"/>
                <w:szCs w:val="21"/>
                <w:color w:val="auto"/>
                <w:vertAlign w:val="superscript"/>
              </w:rPr>
              <w:t>(b)</w:t>
            </w:r>
          </w:p>
        </w:tc>
        <w:tc>
          <w:tcPr>
            <w:tcW w:w="5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b w:val="1"/>
                <w:bCs w:val="1"/>
                <w:color w:val="auto"/>
              </w:rPr>
              <w:t>Project-level debt:</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Agua Caliente Solar LLC, due 2037</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2.395 - 3.633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45</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Alta Wind Asset Management LLC, due 2031</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L+2.625</w:t>
            </w:r>
          </w:p>
        </w:tc>
        <w:tc>
          <w:tcPr>
            <w:tcW w:w="150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169"/>
        </w:trPr>
        <w:tc>
          <w:tcPr>
            <w:tcW w:w="45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w w:val="99"/>
              </w:rPr>
              <w:t>Alta Wind I-V lease financing arrangements, due 2034 and</w:t>
            </w: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7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5.696 - 7.015</w:t>
            </w: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242424"/>
              </w:rPr>
              <w:t>26</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2035</w:t>
            </w:r>
          </w:p>
        </w:tc>
        <w:tc>
          <w:tcPr>
            <w:tcW w:w="5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Alta Wind Realty Investments LLC, due 2031</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Borrego, due 2024 and 2038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left="900"/>
              <w:spacing w:after="0"/>
              <w:rPr>
                <w:sz w:val="20"/>
                <w:szCs w:val="20"/>
                <w:color w:val="auto"/>
              </w:rPr>
            </w:pPr>
            <w:r>
              <w:rPr>
                <w:rFonts w:ascii="Arial" w:cs="Arial" w:eastAsia="Arial" w:hAnsi="Arial"/>
                <w:sz w:val="16"/>
                <w:szCs w:val="16"/>
                <w:color w:val="auto"/>
                <w:w w:val="92"/>
              </w:rPr>
              <w:t>Various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4</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Buckthorn Solar, due 2025</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L+1.750</w:t>
            </w:r>
          </w:p>
        </w:tc>
        <w:tc>
          <w:tcPr>
            <w:tcW w:w="1500" w:type="dxa"/>
            <w:vAlign w:val="bottom"/>
          </w:tcPr>
          <w:p>
            <w:pPr>
              <w:jc w:val="right"/>
              <w:spacing w:after="0"/>
              <w:rPr>
                <w:sz w:val="20"/>
                <w:szCs w:val="20"/>
                <w:color w:val="auto"/>
              </w:rPr>
            </w:pPr>
            <w:r>
              <w:rPr>
                <w:rFonts w:ascii="Arial" w:cs="Arial" w:eastAsia="Arial" w:hAnsi="Arial"/>
                <w:sz w:val="16"/>
                <w:szCs w:val="16"/>
                <w:color w:val="242424"/>
              </w:rPr>
              <w:t>21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Carlsbad Energy Holdings LLC, due 2027</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L+1.625</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68</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Carlsbad Energy Holdings LLC, due 2038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w:t>
            </w:r>
          </w:p>
        </w:tc>
        <w:tc>
          <w:tcPr>
            <w:tcW w:w="1720" w:type="dxa"/>
            <w:vAlign w:val="bottom"/>
            <w:gridSpan w:val="2"/>
          </w:tcPr>
          <w:p>
            <w:pPr>
              <w:jc w:val="center"/>
              <w:ind w:left="1139"/>
              <w:spacing w:after="0"/>
              <w:rPr>
                <w:sz w:val="20"/>
                <w:szCs w:val="20"/>
                <w:color w:val="auto"/>
              </w:rPr>
            </w:pPr>
            <w:r>
              <w:rPr>
                <w:rFonts w:ascii="Arial" w:cs="Arial" w:eastAsia="Arial" w:hAnsi="Arial"/>
                <w:sz w:val="16"/>
                <w:szCs w:val="16"/>
                <w:color w:val="auto"/>
                <w:w w:val="94"/>
              </w:rPr>
              <w:t>4.120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Carlsbad Holdco, due 2038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720" w:type="dxa"/>
            <w:vAlign w:val="bottom"/>
            <w:gridSpan w:val="2"/>
            <w:shd w:val="clear" w:color="auto" w:fill="CCEEFF"/>
          </w:tcPr>
          <w:p>
            <w:pPr>
              <w:jc w:val="center"/>
              <w:ind w:left="1139"/>
              <w:spacing w:after="0"/>
              <w:rPr>
                <w:sz w:val="20"/>
                <w:szCs w:val="20"/>
                <w:color w:val="auto"/>
              </w:rPr>
            </w:pPr>
            <w:r>
              <w:rPr>
                <w:rFonts w:ascii="Arial" w:cs="Arial" w:eastAsia="Arial" w:hAnsi="Arial"/>
                <w:sz w:val="16"/>
                <w:szCs w:val="16"/>
                <w:color w:val="auto"/>
                <w:w w:val="94"/>
              </w:rPr>
              <w:t>4.210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10</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CVSR Holdco Notes, due 2037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w:t>
            </w:r>
          </w:p>
        </w:tc>
        <w:tc>
          <w:tcPr>
            <w:tcW w:w="1720" w:type="dxa"/>
            <w:vAlign w:val="bottom"/>
            <w:gridSpan w:val="2"/>
          </w:tcPr>
          <w:p>
            <w:pPr>
              <w:jc w:val="center"/>
              <w:ind w:left="1139"/>
              <w:spacing w:after="0"/>
              <w:rPr>
                <w:sz w:val="20"/>
                <w:szCs w:val="20"/>
                <w:color w:val="auto"/>
              </w:rPr>
            </w:pPr>
            <w:r>
              <w:rPr>
                <w:rFonts w:ascii="Arial" w:cs="Arial" w:eastAsia="Arial" w:hAnsi="Arial"/>
                <w:sz w:val="16"/>
                <w:szCs w:val="16"/>
                <w:color w:val="auto"/>
                <w:w w:val="94"/>
              </w:rPr>
              <w:t>4.680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242424"/>
              </w:rPr>
              <w:t>13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CVSR, due 2037</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2.339 - 3.775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DG-CS Master Borrower LLC, due 2040</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w:t>
            </w:r>
          </w:p>
        </w:tc>
        <w:tc>
          <w:tcPr>
            <w:tcW w:w="1720" w:type="dxa"/>
            <w:vAlign w:val="bottom"/>
            <w:gridSpan w:val="2"/>
          </w:tcPr>
          <w:p>
            <w:pPr>
              <w:jc w:val="center"/>
              <w:ind w:left="1139"/>
              <w:spacing w:after="0"/>
              <w:rPr>
                <w:sz w:val="20"/>
                <w:szCs w:val="20"/>
                <w:color w:val="auto"/>
              </w:rPr>
            </w:pPr>
            <w:r>
              <w:rPr>
                <w:rFonts w:ascii="Arial" w:cs="Arial" w:eastAsia="Arial" w:hAnsi="Arial"/>
                <w:sz w:val="16"/>
                <w:szCs w:val="16"/>
                <w:color w:val="auto"/>
                <w:w w:val="94"/>
              </w:rPr>
              <w:t>3.510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242424"/>
              </w:rPr>
              <w:t>30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Duquesne, due 2059</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720" w:type="dxa"/>
            <w:vAlign w:val="bottom"/>
            <w:gridSpan w:val="2"/>
            <w:shd w:val="clear" w:color="auto" w:fill="CCEEFF"/>
          </w:tcPr>
          <w:p>
            <w:pPr>
              <w:jc w:val="center"/>
              <w:ind w:left="1139"/>
              <w:spacing w:after="0"/>
              <w:rPr>
                <w:sz w:val="20"/>
                <w:szCs w:val="20"/>
                <w:color w:val="auto"/>
              </w:rPr>
            </w:pPr>
            <w:r>
              <w:rPr>
                <w:rFonts w:ascii="Arial" w:cs="Arial" w:eastAsia="Arial" w:hAnsi="Arial"/>
                <w:sz w:val="16"/>
                <w:szCs w:val="16"/>
                <w:color w:val="auto"/>
                <w:w w:val="94"/>
              </w:rPr>
              <w:t>4.620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166"/>
        </w:trPr>
        <w:tc>
          <w:tcPr>
            <w:tcW w:w="4580" w:type="dxa"/>
            <w:vAlign w:val="bottom"/>
            <w:vMerge w:val="restart"/>
          </w:tcPr>
          <w:p>
            <w:pPr>
              <w:ind w:left="440"/>
              <w:spacing w:after="0"/>
              <w:rPr>
                <w:sz w:val="20"/>
                <w:szCs w:val="20"/>
                <w:color w:val="auto"/>
              </w:rPr>
            </w:pPr>
            <w:r>
              <w:rPr>
                <w:rFonts w:ascii="Arial" w:cs="Arial" w:eastAsia="Arial" w:hAnsi="Arial"/>
                <w:sz w:val="16"/>
                <w:szCs w:val="16"/>
                <w:color w:val="auto"/>
              </w:rPr>
              <w:t>El Segundo Energy Center, due 2023</w:t>
            </w:r>
          </w:p>
        </w:tc>
        <w:tc>
          <w:tcPr>
            <w:tcW w:w="5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4"/>
                <w:szCs w:val="14"/>
                <w:color w:val="auto"/>
              </w:rPr>
            </w:pPr>
          </w:p>
        </w:tc>
        <w:tc>
          <w:tcPr>
            <w:tcW w:w="1720" w:type="dxa"/>
            <w:vAlign w:val="bottom"/>
            <w:gridSpan w:val="2"/>
          </w:tcPr>
          <w:p>
            <w:pPr>
              <w:jc w:val="right"/>
              <w:ind w:right="120"/>
              <w:spacing w:after="0" w:line="166" w:lineRule="exact"/>
              <w:rPr>
                <w:sz w:val="20"/>
                <w:szCs w:val="20"/>
                <w:color w:val="auto"/>
              </w:rPr>
            </w:pPr>
            <w:r>
              <w:rPr>
                <w:rFonts w:ascii="Arial" w:cs="Arial" w:eastAsia="Arial" w:hAnsi="Arial"/>
                <w:sz w:val="16"/>
                <w:szCs w:val="16"/>
                <w:color w:val="auto"/>
              </w:rPr>
              <w:t>L+1.875 -</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242424"/>
              </w:rPr>
              <w:t>138</w:t>
            </w:r>
          </w:p>
        </w:tc>
        <w:tc>
          <w:tcPr>
            <w:tcW w:w="0" w:type="dxa"/>
            <w:vAlign w:val="bottom"/>
          </w:tcPr>
          <w:p>
            <w:pPr>
              <w:spacing w:after="0"/>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L+2.500</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w w:val="97"/>
              </w:rPr>
              <w:t>Energy Center Minneapolis Series D, E, F, G, H Notes, due</w:t>
            </w: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center"/>
              <w:ind w:left="900"/>
              <w:spacing w:after="0"/>
              <w:rPr>
                <w:sz w:val="20"/>
                <w:szCs w:val="20"/>
                <w:color w:val="auto"/>
              </w:rPr>
            </w:pPr>
            <w:r>
              <w:rPr>
                <w:rFonts w:ascii="Arial" w:cs="Arial" w:eastAsia="Arial" w:hAnsi="Arial"/>
                <w:sz w:val="16"/>
                <w:szCs w:val="16"/>
                <w:color w:val="auto"/>
                <w:w w:val="92"/>
              </w:rPr>
              <w:t>Various</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2025-2037</w:t>
            </w:r>
          </w:p>
        </w:tc>
        <w:tc>
          <w:tcPr>
            <w:tcW w:w="5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Kawailoa Solar Portfolio LLC, due 2026</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L+1.375</w:t>
            </w:r>
          </w:p>
        </w:tc>
        <w:tc>
          <w:tcPr>
            <w:tcW w:w="1500" w:type="dxa"/>
            <w:vAlign w:val="bottom"/>
          </w:tcPr>
          <w:p>
            <w:pPr>
              <w:jc w:val="right"/>
              <w:spacing w:after="0"/>
              <w:rPr>
                <w:sz w:val="20"/>
                <w:szCs w:val="20"/>
                <w:color w:val="auto"/>
              </w:rPr>
            </w:pPr>
            <w:r>
              <w:rPr>
                <w:rFonts w:ascii="Arial" w:cs="Arial" w:eastAsia="Arial" w:hAnsi="Arial"/>
                <w:sz w:val="16"/>
                <w:szCs w:val="16"/>
                <w:color w:val="242424"/>
              </w:rPr>
              <w:t>15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Laredo Ridge, due 2028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L+2.125</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9</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Marsh Landing, due 2023</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L+2.375</w:t>
            </w:r>
          </w:p>
        </w:tc>
        <w:tc>
          <w:tcPr>
            <w:tcW w:w="1500" w:type="dxa"/>
            <w:vAlign w:val="bottom"/>
          </w:tcPr>
          <w:p>
            <w:pPr>
              <w:jc w:val="right"/>
              <w:spacing w:after="0"/>
              <w:rPr>
                <w:sz w:val="20"/>
                <w:szCs w:val="20"/>
                <w:color w:val="auto"/>
              </w:rPr>
            </w:pPr>
            <w:r>
              <w:rPr>
                <w:rFonts w:ascii="Arial" w:cs="Arial" w:eastAsia="Arial" w:hAnsi="Arial"/>
                <w:sz w:val="16"/>
                <w:szCs w:val="16"/>
                <w:color w:val="242424"/>
              </w:rPr>
              <w:t>93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NIMH Solar, due 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L+2.00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15</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Oahu Solar Holdings LLC, due 2026</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L+1.375</w:t>
            </w:r>
          </w:p>
        </w:tc>
        <w:tc>
          <w:tcPr>
            <w:tcW w:w="1500" w:type="dxa"/>
            <w:vAlign w:val="bottom"/>
          </w:tcPr>
          <w:p>
            <w:pPr>
              <w:jc w:val="right"/>
              <w:spacing w:after="0"/>
              <w:rPr>
                <w:sz w:val="20"/>
                <w:szCs w:val="20"/>
                <w:color w:val="auto"/>
              </w:rPr>
            </w:pPr>
            <w:r>
              <w:rPr>
                <w:rFonts w:ascii="Arial" w:cs="Arial" w:eastAsia="Arial" w:hAnsi="Arial"/>
                <w:sz w:val="16"/>
                <w:szCs w:val="16"/>
                <w:color w:val="242424"/>
              </w:rPr>
              <w:t>10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Pinnacle Repowering Partnership Holdco LLC, due 2021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L+1.00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Rosie Class B LLC, due 2027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L+1.75</w:t>
            </w:r>
          </w:p>
        </w:tc>
        <w:tc>
          <w:tcPr>
            <w:tcW w:w="1500" w:type="dxa"/>
            <w:vAlign w:val="bottom"/>
          </w:tcPr>
          <w:p>
            <w:pPr>
              <w:jc w:val="right"/>
              <w:spacing w:after="0"/>
              <w:rPr>
                <w:sz w:val="20"/>
                <w:szCs w:val="20"/>
                <w:color w:val="auto"/>
              </w:rPr>
            </w:pPr>
            <w:r>
              <w:rPr>
                <w:rFonts w:ascii="Arial" w:cs="Arial" w:eastAsia="Arial" w:hAnsi="Arial"/>
                <w:sz w:val="16"/>
                <w:szCs w:val="16"/>
                <w:color w:val="242424"/>
              </w:rPr>
              <w:t>17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Tapestry Wind LLC, due 2031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L+1.375</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11</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Utah Solar Holdings, due 2036</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1720" w:type="dxa"/>
            <w:vAlign w:val="bottom"/>
            <w:gridSpan w:val="2"/>
          </w:tcPr>
          <w:p>
            <w:pPr>
              <w:jc w:val="center"/>
              <w:ind w:left="1139"/>
              <w:spacing w:after="0"/>
              <w:rPr>
                <w:sz w:val="20"/>
                <w:szCs w:val="20"/>
                <w:color w:val="auto"/>
              </w:rPr>
            </w:pPr>
            <w:r>
              <w:rPr>
                <w:rFonts w:ascii="Arial" w:cs="Arial" w:eastAsia="Arial" w:hAnsi="Arial"/>
                <w:sz w:val="16"/>
                <w:szCs w:val="16"/>
                <w:color w:val="auto"/>
                <w:w w:val="94"/>
              </w:rPr>
              <w:t>3.590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242424"/>
              </w:rPr>
              <w:t>16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Walnut Creek, due 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L+1.75</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92</w:t>
            </w: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WCEP Holdings, LLC, due 2023</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L+3.00</w:t>
            </w:r>
          </w:p>
        </w:tc>
        <w:tc>
          <w:tcPr>
            <w:tcW w:w="150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left="900"/>
              <w:spacing w:after="0"/>
              <w:rPr>
                <w:sz w:val="20"/>
                <w:szCs w:val="20"/>
                <w:color w:val="auto"/>
              </w:rPr>
            </w:pPr>
            <w:r>
              <w:rPr>
                <w:rFonts w:ascii="Arial" w:cs="Arial" w:eastAsia="Arial" w:hAnsi="Arial"/>
                <w:sz w:val="16"/>
                <w:szCs w:val="16"/>
                <w:color w:val="auto"/>
                <w:w w:val="92"/>
              </w:rPr>
              <w:t>Various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35</w:t>
            </w:r>
          </w:p>
        </w:tc>
        <w:tc>
          <w:tcPr>
            <w:tcW w:w="0" w:type="dxa"/>
            <w:vAlign w:val="bottom"/>
          </w:tcPr>
          <w:p>
            <w:pPr>
              <w:spacing w:after="0"/>
              <w:rPr>
                <w:sz w:val="1"/>
                <w:szCs w:val="1"/>
                <w:color w:val="auto"/>
              </w:rPr>
            </w:pPr>
          </w:p>
        </w:tc>
      </w:tr>
      <w:tr>
        <w:trPr>
          <w:trHeight w:val="206"/>
        </w:trPr>
        <w:tc>
          <w:tcPr>
            <w:tcW w:w="45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Subtotal project-level debt:</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debt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40"/>
              <w:spacing w:after="0"/>
              <w:rPr>
                <w:sz w:val="20"/>
                <w:szCs w:val="20"/>
                <w:color w:val="auto"/>
              </w:rPr>
            </w:pPr>
            <w:r>
              <w:rPr>
                <w:rFonts w:ascii="Arial" w:cs="Arial" w:eastAsia="Arial" w:hAnsi="Arial"/>
                <w:sz w:val="16"/>
                <w:szCs w:val="16"/>
                <w:color w:val="auto"/>
              </w:rPr>
              <w:t>Less current maturities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net debt issuance costs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440"/>
              <w:spacing w:after="0" w:line="216" w:lineRule="exact"/>
              <w:rPr>
                <w:sz w:val="20"/>
                <w:szCs w:val="20"/>
                <w:color w:val="auto"/>
              </w:rPr>
            </w:pPr>
            <w:r>
              <w:rPr>
                <w:rFonts w:ascii="Arial" w:cs="Arial" w:eastAsia="Arial" w:hAnsi="Arial"/>
                <w:sz w:val="16"/>
                <w:szCs w:val="16"/>
                <w:color w:val="auto"/>
              </w:rPr>
              <w:t>Add premiums</w:t>
            </w:r>
            <w:r>
              <w:rPr>
                <w:rFonts w:ascii="Arial" w:cs="Arial" w:eastAsia="Arial" w:hAnsi="Arial"/>
                <w:sz w:val="21"/>
                <w:szCs w:val="21"/>
                <w:color w:val="auto"/>
                <w:vertAlign w:val="superscript"/>
              </w:rPr>
              <w:t>(c)</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long-term debt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 w:firstLine="8"/>
        <w:spacing w:after="0" w:line="250" w:lineRule="auto"/>
        <w:tabs>
          <w:tab w:leader="none" w:pos="1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September 30, 2021, L+ equals 3 month LIBOR plus x%, except Clearway Energy Operating LLC Revolving Credit Facility, due 2023, Marsh Landing, due 2023, Pinnacle Repowering Partnership HoldCo LLC, due 2021, and Walnut Creek, due 2023, where L+ equals 1 month LIBOR plus x%.</w:t>
      </w: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36"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2021, the Company was in compliance with all of the required covenants.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420" w:right="1440"/>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2021. </w:t>
      </w:r>
      <w:r>
        <w:rPr>
          <w:rFonts w:ascii="Arial" w:cs="Arial" w:eastAsia="Arial" w:hAnsi="Arial"/>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2021, the Company had $77 million of borrowings under the revolving credit facility and $75 million in letters of credit outstanding. During the nine months ended September 30, 2021, the Company borrowed $377 million under the revolving credit facility, and subsequently repaid $300 million, utilizing cash on hand and proceeds from the issuance of the 2031 Senior Notes as described below. During October 2021, the Company repaid $32 million of its outstanding loans under the revolving credit facility and as of October 31, 2021, the Company had $45 million of loans outstanding and a total of $75 million in letters of credit outstanding.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2032 Senior Notes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and interest payments will commence on January 15, 2022. The 2032 Senior Notes are unsecured obligations of Clearway Energy Operating LLC and are guaranteed by Clearway Energy LLC and by certain of Clearway Energy Operating LLC's wholly owned current and future subsidiaries. The net proceeds from the 2032 Senior Notes were used, together with existing corporate liquidity, to repurchase the 2026 Senior Notes, as described below.</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2026 Senior Notes Tender Offer and Redemption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1, 2021, the Company completed the repurchase of an aggregate principal amount of $123 million, or 35.3%, of the 2026 Senior Notes outstanding as part of the cash tender offer announced on September 24, 2021. Concurrently with the launch of the tender offer, the Company exercised its right to optionally redeem the remaining principal amount of $227 million that were not validly tendered and purchased in the tender offer, pursuant to the terms of the indenture governing the 2026 Senior Notes. The 2026 Senior Notes repurchased and redeemed in October 2021 were effectuated at a premium of approximately 103% for total consideration of $359 million.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commenced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described below, as well as to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Concurrently with the launch of the tender offer,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Agua Caliente Solar LLC</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 xml:space="preserve">As part of the acquisition of Agua Caliente Borrower 1 LLC and the consolidation of Agua Caliente, as further described in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Dispositions</w:t>
      </w:r>
      <w:r>
        <w:rPr>
          <w:rFonts w:ascii="Arial" w:cs="Arial" w:eastAsia="Arial" w:hAnsi="Arial"/>
          <w:sz w:val="16"/>
          <w:szCs w:val="16"/>
          <w:color w:val="auto"/>
        </w:rPr>
        <w:t>, the Company consolidated non-recourse debt of $716 million related to Agua Caliente Solar, LLC on February 3, 2021. The debt consists of a</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with the Federal Financing Bank and accrues interest at fixed rates between 2.395% and 3.633%, which matures in 2037.</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The Company will continue to draw on the construction loan to fund the repowering activities of the Pinnacle wind project up to the total commitment amount.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Clearway Energy, Inc.'s basic and diluted earnings per share is shown in the following tables: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w w:val="89"/>
              </w:rPr>
              <w:t>2021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6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18"/>
                <w:szCs w:val="18"/>
                <w:b w:val="1"/>
                <w:bCs w:val="1"/>
                <w:color w:val="auto"/>
                <w:vertAlign w:val="superscript"/>
              </w:rPr>
              <w:t>(a)</w:t>
            </w:r>
          </w:p>
        </w:tc>
        <w:tc>
          <w:tcPr>
            <w:tcW w:w="10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w w:val="96"/>
              </w:rPr>
              <w:t>Common Class</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Common Class</w:t>
            </w:r>
          </w:p>
        </w:tc>
        <w:tc>
          <w:tcPr>
            <w:tcW w:w="1160" w:type="dxa"/>
            <w:vAlign w:val="bottom"/>
            <w:gridSpan w:val="3"/>
            <w:shd w:val="clear" w:color="auto" w:fill="CCEEFF"/>
          </w:tcPr>
          <w:p>
            <w:pPr>
              <w:jc w:val="center"/>
              <w:ind w:right="100"/>
              <w:spacing w:after="0" w:line="130" w:lineRule="exact"/>
              <w:rPr>
                <w:sz w:val="20"/>
                <w:szCs w:val="20"/>
                <w:color w:val="auto"/>
              </w:rPr>
            </w:pPr>
            <w:r>
              <w:rPr>
                <w:rFonts w:ascii="Arial" w:cs="Arial" w:eastAsia="Arial" w:hAnsi="Arial"/>
                <w:sz w:val="14"/>
                <w:szCs w:val="14"/>
                <w:b w:val="1"/>
                <w:bCs w:val="1"/>
                <w:color w:val="auto"/>
                <w:w w:val="92"/>
              </w:rPr>
              <w:t>Common Class</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w w:val="94"/>
              </w:rPr>
              <w:t>Common Class</w:t>
            </w:r>
          </w:p>
        </w:tc>
        <w:tc>
          <w:tcPr>
            <w:tcW w:w="0" w:type="dxa"/>
            <w:vAlign w:val="bottom"/>
          </w:tcPr>
          <w:p>
            <w:pPr>
              <w:spacing w:after="0"/>
              <w:rPr>
                <w:sz w:val="1"/>
                <w:szCs w:val="1"/>
                <w:color w:val="auto"/>
              </w:rPr>
            </w:pPr>
          </w:p>
        </w:tc>
      </w:tr>
      <w:tr>
        <w:trPr>
          <w:trHeight w:val="189"/>
        </w:trPr>
        <w:tc>
          <w:tcPr>
            <w:tcW w:w="66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35"/>
              <w:spacing w:after="0"/>
              <w:rPr>
                <w:sz w:val="20"/>
                <w:szCs w:val="20"/>
                <w:color w:val="auto"/>
              </w:rPr>
            </w:pPr>
            <w:r>
              <w:rPr>
                <w:rFonts w:ascii="Arial" w:cs="Arial" w:eastAsia="Arial" w:hAnsi="Arial"/>
                <w:sz w:val="14"/>
                <w:szCs w:val="14"/>
                <w:b w:val="1"/>
                <w:bCs w:val="1"/>
                <w:color w:val="auto"/>
              </w:rPr>
              <w:t>A</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b w:val="1"/>
                <w:bCs w:val="1"/>
                <w:color w:val="auto"/>
                <w:w w:val="98"/>
              </w:rPr>
              <w:t>C</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8"/>
              </w:rPr>
              <w:t>A</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5"/>
        </w:trPr>
        <w:tc>
          <w:tcPr>
            <w:tcW w:w="66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4"/>
              </w:rPr>
              <w:t>Basic and diluted income per share attributable to Clearway Energy, Inc. common</w:t>
            </w:r>
          </w:p>
        </w:tc>
        <w:tc>
          <w:tcPr>
            <w:tcW w:w="3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Clearway Energy, Inc.</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weighted average common share — basic and diluted</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00" w:hanging="149"/>
        <w:spacing w:after="0"/>
        <w:tabs>
          <w:tab w:leader="none" w:pos="4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per share might not recalculate due to presenting values in millions rather than whole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w w:val="83"/>
              </w:rPr>
              <w:t>2021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6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18"/>
                <w:szCs w:val="18"/>
                <w:color w:val="auto"/>
                <w:vertAlign w:val="superscript"/>
              </w:rPr>
              <w:t>(a)</w:t>
            </w:r>
          </w:p>
        </w:tc>
        <w:tc>
          <w:tcPr>
            <w:tcW w:w="10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w w:val="94"/>
              </w:rPr>
              <w:t>Common Class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b w:val="1"/>
                <w:bCs w:val="1"/>
                <w:color w:val="auto"/>
                <w:w w:val="90"/>
              </w:rPr>
              <w:t>Common Class</w:t>
            </w:r>
          </w:p>
        </w:tc>
        <w:tc>
          <w:tcPr>
            <w:tcW w:w="11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b w:val="1"/>
                <w:bCs w:val="1"/>
                <w:color w:val="auto"/>
              </w:rPr>
              <w:t>Common Class</w:t>
            </w:r>
          </w:p>
        </w:tc>
        <w:tc>
          <w:tcPr>
            <w:tcW w:w="10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w w:val="92"/>
              </w:rPr>
              <w:t>Common Class</w:t>
            </w:r>
          </w:p>
        </w:tc>
        <w:tc>
          <w:tcPr>
            <w:tcW w:w="0" w:type="dxa"/>
            <w:vAlign w:val="bottom"/>
          </w:tcPr>
          <w:p>
            <w:pPr>
              <w:spacing w:after="0"/>
              <w:rPr>
                <w:sz w:val="1"/>
                <w:szCs w:val="1"/>
                <w:color w:val="auto"/>
              </w:rPr>
            </w:pPr>
          </w:p>
        </w:tc>
      </w:tr>
      <w:tr>
        <w:trPr>
          <w:trHeight w:val="189"/>
        </w:trPr>
        <w:tc>
          <w:tcPr>
            <w:tcW w:w="6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A</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8"/>
              </w:rPr>
              <w:t>C</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5"/>
        </w:trPr>
        <w:tc>
          <w:tcPr>
            <w:tcW w:w="66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4"/>
              </w:rPr>
              <w:t>Basic and diluted income per share attributable to Clearway Energy, Inc. common</w:t>
            </w: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Clearway Energy, Inc.</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weighted average common share — basic and diluted</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40" w:hanging="151"/>
        <w:spacing w:after="0"/>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per share might not recalculate due to presenting values in millions rather than whole dollars.</w:t>
      </w:r>
    </w:p>
    <w:p>
      <w:pPr>
        <w:spacing w:after="0" w:line="14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had 2 million Common Class C shares related to the outstanding 2020 Convertible Notes that were anti-dilutive and were not included in the computation of the Company's diluted earnings per share for the nine months ended September 30, 2020. The 2020 Convertible Notes were repaid on June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Renewables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Thermal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 xml:space="preserve">Corporate </w:t>
            </w:r>
            <w:r>
              <w:rPr>
                <w:rFonts w:ascii="Arial" w:cs="Arial" w:eastAsia="Arial" w:hAnsi="Arial"/>
                <w:sz w:val="18"/>
                <w:szCs w:val="18"/>
                <w:color w:val="auto"/>
                <w:w w:val="91"/>
                <w:vertAlign w:val="superscript"/>
              </w:rPr>
              <w:t>(a)</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180"/>
              <w:spacing w:after="0" w:line="176"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Development costs</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Borders>
              <w:top w:val="single" w:sz="8" w:color="CCEE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2,473</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8,522</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11,780</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5140" w:type="dxa"/>
            <w:vAlign w:val="bottom"/>
          </w:tcPr>
          <w:p>
            <w:pPr>
              <w:ind w:left="42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2"/>
          </w:tcPr>
          <w:p>
            <w:pPr>
              <w:jc w:val="center"/>
              <w:ind w:right="24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Renewables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Thermal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Generation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4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top w:val="single" w:sz="8" w:color="BFE4FF"/>
            </w:tcBorders>
            <w:shd w:val="clear" w:color="auto" w:fill="BFE4FF"/>
          </w:tcPr>
          <w:p>
            <w:pPr>
              <w:spacing w:after="0"/>
              <w:rPr>
                <w:sz w:val="19"/>
                <w:szCs w:val="19"/>
                <w:color w:val="auto"/>
              </w:rPr>
            </w:pPr>
          </w:p>
        </w:tc>
        <w:tc>
          <w:tcPr>
            <w:tcW w:w="60" w:type="dxa"/>
            <w:vAlign w:val="bottom"/>
            <w:tcBorders>
              <w:top w:val="single" w:sz="8" w:color="BFE4FF"/>
            </w:tcBorders>
            <w:shd w:val="clear" w:color="auto" w:fill="BFE4FF"/>
          </w:tcPr>
          <w:p>
            <w:pPr>
              <w:spacing w:after="0"/>
              <w:rPr>
                <w:sz w:val="19"/>
                <w:szCs w:val="19"/>
                <w:color w:val="auto"/>
              </w:rPr>
            </w:pPr>
          </w:p>
        </w:tc>
        <w:tc>
          <w:tcPr>
            <w:tcW w:w="180" w:type="dxa"/>
            <w:vAlign w:val="bottom"/>
            <w:tcBorders>
              <w:top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top w:val="single" w:sz="8" w:color="BFE4FF"/>
            </w:tcBorders>
            <w:shd w:val="clear" w:color="auto" w:fill="BFE4FF"/>
          </w:tcPr>
          <w:p>
            <w:pPr>
              <w:spacing w:after="0"/>
              <w:rPr>
                <w:sz w:val="19"/>
                <w:szCs w:val="19"/>
                <w:color w:val="auto"/>
              </w:rPr>
            </w:pPr>
          </w:p>
        </w:tc>
        <w:tc>
          <w:tcPr>
            <w:tcW w:w="60" w:type="dxa"/>
            <w:vAlign w:val="bottom"/>
            <w:tcBorders>
              <w:top w:val="single" w:sz="8" w:color="BFE4FF"/>
            </w:tcBorders>
            <w:shd w:val="clear" w:color="auto" w:fill="BFE4FF"/>
          </w:tcPr>
          <w:p>
            <w:pPr>
              <w:spacing w:after="0"/>
              <w:rPr>
                <w:sz w:val="19"/>
                <w:szCs w:val="19"/>
                <w:color w:val="auto"/>
              </w:rPr>
            </w:pPr>
          </w:p>
        </w:tc>
        <w:tc>
          <w:tcPr>
            <w:tcW w:w="240" w:type="dxa"/>
            <w:vAlign w:val="bottom"/>
            <w:tcBorders>
              <w:top w:val="single" w:sz="8" w:color="auto"/>
            </w:tcBorders>
            <w:gridSpan w:val="2"/>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BFE4FF"/>
            </w:tcBorders>
            <w:shd w:val="clear" w:color="auto" w:fill="BFE4FF"/>
          </w:tcPr>
          <w:p>
            <w:pPr>
              <w:spacing w:after="0"/>
              <w:rPr>
                <w:sz w:val="19"/>
                <w:szCs w:val="19"/>
                <w:color w:val="auto"/>
              </w:rPr>
            </w:pPr>
          </w:p>
        </w:tc>
        <w:tc>
          <w:tcPr>
            <w:tcW w:w="80" w:type="dxa"/>
            <w:vAlign w:val="bottom"/>
            <w:tcBorders>
              <w:top w:val="single" w:sz="8" w:color="BFE4FF"/>
            </w:tcBorders>
            <w:shd w:val="clear" w:color="auto" w:fill="BFE4FF"/>
          </w:tcPr>
          <w:p>
            <w:pPr>
              <w:spacing w:after="0"/>
              <w:rPr>
                <w:sz w:val="19"/>
                <w:szCs w:val="19"/>
                <w:color w:val="auto"/>
              </w:rPr>
            </w:pPr>
          </w:p>
        </w:tc>
        <w:tc>
          <w:tcPr>
            <w:tcW w:w="180" w:type="dxa"/>
            <w:vAlign w:val="bottom"/>
            <w:tcBorders>
              <w:top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BFE4FF"/>
            </w:tcBorders>
            <w:shd w:val="clear" w:color="auto" w:fill="BFE4FF"/>
          </w:tcPr>
          <w:p>
            <w:pPr>
              <w:spacing w:after="0"/>
              <w:rPr>
                <w:sz w:val="19"/>
                <w:szCs w:val="19"/>
                <w:color w:val="auto"/>
              </w:rPr>
            </w:pPr>
          </w:p>
        </w:tc>
        <w:tc>
          <w:tcPr>
            <w:tcW w:w="60" w:type="dxa"/>
            <w:vAlign w:val="bottom"/>
            <w:tcBorders>
              <w:top w:val="single" w:sz="8" w:color="BFE4FF"/>
            </w:tcBorders>
            <w:shd w:val="clear" w:color="auto" w:fill="BFE4FF"/>
          </w:tcPr>
          <w:p>
            <w:pPr>
              <w:spacing w:after="0"/>
              <w:rPr>
                <w:sz w:val="19"/>
                <w:szCs w:val="19"/>
                <w:color w:val="auto"/>
              </w:rPr>
            </w:pPr>
          </w:p>
        </w:tc>
        <w:tc>
          <w:tcPr>
            <w:tcW w:w="280" w:type="dxa"/>
            <w:vAlign w:val="bottom"/>
            <w:tcBorders>
              <w:top w:val="single" w:sz="8" w:color="auto"/>
            </w:tcBorders>
            <w:gridSpan w:val="2"/>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tcPr>
          <w:p>
            <w:pPr>
              <w:ind w:left="180"/>
              <w:spacing w:after="0" w:line="176"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Transaction and integration costs</w:t>
            </w: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gridSpan w:val="2"/>
            <w:shd w:val="clear" w:color="auto" w:fill="BFE4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top w:val="single" w:sz="8" w:color="auto"/>
            </w:tcBorders>
            <w:shd w:val="clear" w:color="auto" w:fill="BFE4FF"/>
          </w:tcPr>
          <w:p>
            <w:pPr>
              <w:spacing w:after="0"/>
              <w:rPr>
                <w:sz w:val="19"/>
                <w:szCs w:val="19"/>
                <w:color w:val="auto"/>
              </w:rPr>
            </w:pPr>
          </w:p>
        </w:tc>
        <w:tc>
          <w:tcPr>
            <w:tcW w:w="100" w:type="dxa"/>
            <w:vAlign w:val="bottom"/>
            <w:tcBorders>
              <w:top w:val="single" w:sz="8" w:color="auto"/>
            </w:tcBorders>
            <w:shd w:val="clear" w:color="auto" w:fill="BFE4FF"/>
          </w:tcPr>
          <w:p>
            <w:pPr>
              <w:spacing w:after="0"/>
              <w:rPr>
                <w:sz w:val="19"/>
                <w:szCs w:val="19"/>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top w:val="single" w:sz="8" w:color="BFE4FF"/>
            </w:tcBorders>
            <w:shd w:val="clear" w:color="auto" w:fill="BFE4FF"/>
          </w:tcPr>
          <w:p>
            <w:pPr>
              <w:spacing w:after="0"/>
              <w:rPr>
                <w:sz w:val="19"/>
                <w:szCs w:val="19"/>
                <w:color w:val="auto"/>
              </w:rPr>
            </w:pPr>
          </w:p>
        </w:tc>
        <w:tc>
          <w:tcPr>
            <w:tcW w:w="60" w:type="dxa"/>
            <w:vAlign w:val="bottom"/>
            <w:tcBorders>
              <w:top w:val="single" w:sz="8" w:color="BFE4FF"/>
            </w:tcBorders>
            <w:shd w:val="clear" w:color="auto" w:fill="BFE4FF"/>
          </w:tcPr>
          <w:p>
            <w:pPr>
              <w:spacing w:after="0"/>
              <w:rPr>
                <w:sz w:val="19"/>
                <w:szCs w:val="19"/>
                <w:color w:val="auto"/>
              </w:rPr>
            </w:pPr>
          </w:p>
        </w:tc>
        <w:tc>
          <w:tcPr>
            <w:tcW w:w="40" w:type="dxa"/>
            <w:vAlign w:val="bottom"/>
            <w:tcBorders>
              <w:top w:val="single" w:sz="8" w:color="auto"/>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spacing w:after="0"/>
              <w:rPr>
                <w:sz w:val="19"/>
                <w:szCs w:val="19"/>
                <w:color w:val="auto"/>
              </w:rPr>
            </w:pPr>
          </w:p>
        </w:tc>
        <w:tc>
          <w:tcPr>
            <w:tcW w:w="9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63</w:t>
            </w:r>
          </w:p>
        </w:tc>
        <w:tc>
          <w:tcPr>
            <w:tcW w:w="40" w:type="dxa"/>
            <w:vAlign w:val="bottom"/>
            <w:tcBorders>
              <w:top w:val="single" w:sz="8" w:color="BFE4FF"/>
            </w:tcBorders>
            <w:shd w:val="clear" w:color="auto" w:fill="BFE4FF"/>
          </w:tcPr>
          <w:p>
            <w:pPr>
              <w:spacing w:after="0"/>
              <w:rPr>
                <w:sz w:val="19"/>
                <w:szCs w:val="19"/>
                <w:color w:val="auto"/>
              </w:rPr>
            </w:pPr>
          </w:p>
        </w:tc>
        <w:tc>
          <w:tcPr>
            <w:tcW w:w="60" w:type="dxa"/>
            <w:vAlign w:val="bottom"/>
            <w:tcBorders>
              <w:top w:val="single" w:sz="8" w:color="BFE4FF"/>
            </w:tcBorders>
            <w:shd w:val="clear" w:color="auto" w:fill="BFE4FF"/>
          </w:tcPr>
          <w:p>
            <w:pPr>
              <w:spacing w:after="0"/>
              <w:rPr>
                <w:sz w:val="19"/>
                <w:szCs w:val="19"/>
                <w:color w:val="auto"/>
              </w:rPr>
            </w:pPr>
          </w:p>
        </w:tc>
        <w:tc>
          <w:tcPr>
            <w:tcW w:w="40" w:type="dxa"/>
            <w:vAlign w:val="bottom"/>
            <w:tcBorders>
              <w:top w:val="single" w:sz="8" w:color="auto"/>
            </w:tcBorders>
            <w:shd w:val="clear" w:color="auto" w:fill="BFE4FF"/>
          </w:tcPr>
          <w:p>
            <w:pPr>
              <w:spacing w:after="0"/>
              <w:rPr>
                <w:sz w:val="19"/>
                <w:szCs w:val="19"/>
                <w:color w:val="auto"/>
              </w:rPr>
            </w:pPr>
          </w:p>
        </w:tc>
        <w:tc>
          <w:tcPr>
            <w:tcW w:w="200" w:type="dxa"/>
            <w:vAlign w:val="bottom"/>
            <w:tcBorders>
              <w:top w:val="single" w:sz="8" w:color="auto"/>
            </w:tcBorders>
            <w:shd w:val="clear" w:color="auto" w:fill="BFE4FF"/>
          </w:tcPr>
          <w:p>
            <w:pPr>
              <w:spacing w:after="0"/>
              <w:rPr>
                <w:sz w:val="19"/>
                <w:szCs w:val="19"/>
                <w:color w:val="auto"/>
              </w:rPr>
            </w:pPr>
          </w:p>
        </w:tc>
        <w:tc>
          <w:tcPr>
            <w:tcW w:w="9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top w:val="single" w:sz="8" w:color="BFE4FF"/>
            </w:tcBorders>
            <w:shd w:val="clear" w:color="auto" w:fill="BFE4FF"/>
          </w:tcPr>
          <w:p>
            <w:pPr>
              <w:spacing w:after="0"/>
              <w:rPr>
                <w:sz w:val="19"/>
                <w:szCs w:val="19"/>
                <w:color w:val="auto"/>
              </w:rPr>
            </w:pPr>
          </w:p>
        </w:tc>
        <w:tc>
          <w:tcPr>
            <w:tcW w:w="80" w:type="dxa"/>
            <w:vAlign w:val="bottom"/>
            <w:tcBorders>
              <w:top w:val="single" w:sz="8" w:color="BFE4FF"/>
            </w:tcBorders>
            <w:shd w:val="clear" w:color="auto" w:fill="BFE4FF"/>
          </w:tcPr>
          <w:p>
            <w:pPr>
              <w:spacing w:after="0"/>
              <w:rPr>
                <w:sz w:val="19"/>
                <w:szCs w:val="19"/>
                <w:color w:val="auto"/>
              </w:rPr>
            </w:pPr>
          </w:p>
        </w:tc>
        <w:tc>
          <w:tcPr>
            <w:tcW w:w="40" w:type="dxa"/>
            <w:vAlign w:val="bottom"/>
            <w:tcBorders>
              <w:top w:val="single" w:sz="8" w:color="auto"/>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spacing w:after="0"/>
              <w:rPr>
                <w:sz w:val="19"/>
                <w:szCs w:val="19"/>
                <w:color w:val="auto"/>
              </w:rPr>
            </w:pPr>
          </w:p>
        </w:tc>
        <w:tc>
          <w:tcPr>
            <w:tcW w:w="9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BFE4FF"/>
            </w:tcBorders>
            <w:shd w:val="clear" w:color="auto" w:fill="BFE4FF"/>
          </w:tcPr>
          <w:p>
            <w:pPr>
              <w:spacing w:after="0"/>
              <w:rPr>
                <w:sz w:val="19"/>
                <w:szCs w:val="19"/>
                <w:color w:val="auto"/>
              </w:rPr>
            </w:pPr>
          </w:p>
        </w:tc>
        <w:tc>
          <w:tcPr>
            <w:tcW w:w="60" w:type="dxa"/>
            <w:vAlign w:val="bottom"/>
            <w:tcBorders>
              <w:top w:val="single" w:sz="8" w:color="BFE4FF"/>
            </w:tcBorders>
            <w:shd w:val="clear" w:color="auto" w:fill="BFE4FF"/>
          </w:tcPr>
          <w:p>
            <w:pPr>
              <w:spacing w:after="0"/>
              <w:rPr>
                <w:sz w:val="19"/>
                <w:szCs w:val="19"/>
                <w:color w:val="auto"/>
              </w:rPr>
            </w:pPr>
          </w:p>
        </w:tc>
        <w:tc>
          <w:tcPr>
            <w:tcW w:w="20" w:type="dxa"/>
            <w:vAlign w:val="bottom"/>
            <w:tcBorders>
              <w:top w:val="single" w:sz="8" w:color="auto"/>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spacing w:after="0"/>
              <w:rPr>
                <w:sz w:val="19"/>
                <w:szCs w:val="19"/>
                <w:color w:val="auto"/>
              </w:rPr>
            </w:pPr>
          </w:p>
        </w:tc>
        <w:tc>
          <w:tcPr>
            <w:tcW w:w="8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Other income (expense), net</w:t>
            </w: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tcBorders>
              <w:bottom w:val="single" w:sz="8" w:color="auto"/>
            </w:tcBorders>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tcBorders>
              <w:bottom w:val="single" w:sz="8" w:color="auto"/>
            </w:tcBorders>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40" w:type="dxa"/>
            <w:vAlign w:val="bottom"/>
            <w:tcBorders>
              <w:bottom w:val="single" w:sz="8" w:color="auto"/>
            </w:tcBorders>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20" w:type="dxa"/>
            <w:vAlign w:val="bottom"/>
            <w:tcBorders>
              <w:bottom w:val="single" w:sz="8" w:color="auto"/>
            </w:tcBorders>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gridSpan w:val="2"/>
            <w:shd w:val="clear" w:color="auto" w:fill="BFE4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Thermal</w:t>
            </w: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8"/>
                <w:szCs w:val="18"/>
                <w:color w:val="auto"/>
                <w:vertAlign w:val="superscript"/>
              </w:rPr>
              <w:t>(a)</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176"/>
        </w:trPr>
        <w:tc>
          <w:tcPr>
            <w:tcW w:w="5180" w:type="dxa"/>
            <w:vAlign w:val="bottom"/>
          </w:tcPr>
          <w:p>
            <w:pPr>
              <w:ind w:left="140"/>
              <w:spacing w:after="0" w:line="176" w:lineRule="exact"/>
              <w:rPr>
                <w:sz w:val="20"/>
                <w:szCs w:val="20"/>
                <w:color w:val="auto"/>
              </w:rPr>
            </w:pPr>
            <w:r>
              <w:rPr>
                <w:rFonts w:ascii="Arial" w:cs="Arial" w:eastAsia="Arial" w:hAnsi="Arial"/>
                <w:sz w:val="18"/>
                <w:szCs w:val="18"/>
                <w:color w:val="auto"/>
              </w:rPr>
              <w:t>Cost of operations, exclusive of depreciation, amortization and</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BFE4FF"/>
          </w:tcPr>
          <w:p>
            <w:pPr>
              <w:spacing w:after="0"/>
              <w:rPr>
                <w:sz w:val="19"/>
                <w:szCs w:val="19"/>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spacing w:after="0"/>
              <w:rPr>
                <w:sz w:val="19"/>
                <w:szCs w:val="19"/>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spacing w:after="0"/>
              <w:rPr>
                <w:sz w:val="19"/>
                <w:szCs w:val="19"/>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spacing w:after="0"/>
              <w:rPr>
                <w:sz w:val="19"/>
                <w:szCs w:val="19"/>
                <w:color w:val="auto"/>
              </w:rPr>
            </w:pP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80" w:hanging="167"/>
        <w:spacing w:after="0"/>
        <w:tabs>
          <w:tab w:leader="none" w:pos="58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Includes eliminations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Thermal</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tcBorders>
              <w:top w:val="single" w:sz="8" w:color="BFE4FF"/>
            </w:tcBorders>
            <w:shd w:val="clear" w:color="auto" w:fill="BFE4FF"/>
          </w:tcPr>
          <w:p>
            <w:pPr>
              <w:ind w:left="8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176"/>
        </w:trPr>
        <w:tc>
          <w:tcPr>
            <w:tcW w:w="5180" w:type="dxa"/>
            <w:vAlign w:val="bottom"/>
          </w:tcPr>
          <w:p>
            <w:pPr>
              <w:ind w:left="180"/>
              <w:spacing w:after="0" w:line="176" w:lineRule="exact"/>
              <w:rPr>
                <w:sz w:val="20"/>
                <w:szCs w:val="20"/>
                <w:color w:val="auto"/>
              </w:rPr>
            </w:pPr>
            <w:r>
              <w:rPr>
                <w:rFonts w:ascii="Arial" w:cs="Arial" w:eastAsia="Arial" w:hAnsi="Arial"/>
                <w:sz w:val="18"/>
                <w:szCs w:val="18"/>
                <w:color w:val="auto"/>
              </w:rPr>
              <w:t>Cost of operations, exclusive of depreciation, amortization and</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1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BFE4FF"/>
          </w:tcPr>
          <w:p>
            <w:pPr>
              <w:spacing w:after="0"/>
              <w:rPr>
                <w:sz w:val="19"/>
                <w:szCs w:val="19"/>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spacing w:after="0"/>
              <w:rPr>
                <w:sz w:val="19"/>
                <w:szCs w:val="19"/>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spacing w:after="0"/>
              <w:rPr>
                <w:sz w:val="19"/>
                <w:szCs w:val="19"/>
                <w:color w:val="auto"/>
              </w:rPr>
            </w:pP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8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BFE4FF"/>
            </w:tcBorders>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BFE4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518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1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18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231F20"/>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1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6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19"/>
                <w:szCs w:val="19"/>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13</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54.2 %</w:t>
            </w:r>
          </w:p>
        </w:tc>
      </w:tr>
    </w:tbl>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nine months ended September 30, 2021 and 2020 the overall effective tax rate was different than the statutory rate of 21% primarily due to taxable earnings and losses allocated to partners' interest in Clearway Energy LLC, which includes the effects of applying the HLBV method of accounting for book purposes for certain partnerships.</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March 27, 2020 the Coronavirus Aid, Relief, and Economic Security (CARES) Act, or the CARES Act, was signed into law, which includes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modifications to the business interest expense disallowance and net operating loss provisions. While the Company utilized previously disallowed interest expense during 2020 as a result of the modifications, the CARES Act did not have a material impact on the consolidated financial statements. The Company will continue to assess the effects of the CARES Act and ongoing government guidance related to COVID-19 that may be issued.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$13 million and $9 million for the three months ended September 30, 2021 and 2020, respectively. The Company incurred total expenses for these services of $40 million and $27 million for the nine months ended September 30, 2021 and 2020, respectively. There was a balance of $11 million and $10 million due to RENOM as of September 30, 2021 and December 31, 2020, respectively.</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LLC and Solar Asset Management LLC, two wholly-owned subsidiaries of CEG, which provide various administrative services to the Company's subsidiaries. The Company incurred expenses under these agreements of $3 million for each of the three months ended September 30, 2021 and 2020. The Company incurred expenses under these agreements of $10 million and $7 million for the nine months ended September 30, 2021 and 2020, respectively.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and $0.6 million under these agreements for the three months ended September 30, 2021 and 2020, respectively. The Company incurred net expenses of $3 million and $2 million under these agreements for the nine months ended September 30,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2020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On August 24, 2021, the U.S. Court of Appeals for the Eight Circuit affirmed the U.S. District Court decision granting summary judgment. On October 18, 2021, the Appeals Court denied a petition by NPPD for rehearing and a request that the case be heard by the full Appeals Court. On November 2, 2021, the Knox County District Court issued an order dismissing the case with respect to the Elkhorn Ridge project. The Company believes the allegations of NPPD are meritless and the Company is vigorously defending its rights under the PPAs.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right"/>
        <w:ind w:right="320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nine months ended September 30, 2021 and 2020. Also refer to the Company's 2020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980" w:right="200"/>
        <w:spacing w:after="0" w:line="277" w:lineRule="auto"/>
        <w:tabs>
          <w:tab w:leader="none" w:pos="1299"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980"/>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116" w:lineRule="exact"/>
        <w:rPr>
          <w:rFonts w:ascii="Arial" w:cs="Arial" w:eastAsia="Arial" w:hAnsi="Arial"/>
          <w:sz w:val="18"/>
          <w:szCs w:val="18"/>
          <w:color w:val="auto"/>
        </w:rPr>
      </w:pPr>
    </w:p>
    <w:p>
      <w:pPr>
        <w:ind w:left="980" w:right="120"/>
        <w:spacing w:after="0" w:line="277" w:lineRule="auto"/>
        <w:tabs>
          <w:tab w:leader="none" w:pos="1299"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116" w:lineRule="exact"/>
        <w:rPr>
          <w:rFonts w:ascii="Arial" w:cs="Arial" w:eastAsia="Arial" w:hAnsi="Arial"/>
          <w:sz w:val="18"/>
          <w:szCs w:val="18"/>
          <w:color w:val="231F20"/>
        </w:rPr>
      </w:pPr>
    </w:p>
    <w:p>
      <w:pPr>
        <w:ind w:left="1300" w:hanging="320"/>
        <w:spacing w:after="0"/>
        <w:tabs>
          <w:tab w:leader="none" w:pos="130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171" w:lineRule="exact"/>
        <w:rPr>
          <w:rFonts w:ascii="Arial" w:cs="Arial" w:eastAsia="Arial" w:hAnsi="Arial"/>
          <w:sz w:val="18"/>
          <w:szCs w:val="18"/>
          <w:color w:val="231F20"/>
        </w:rPr>
      </w:pPr>
    </w:p>
    <w:p>
      <w:pPr>
        <w:ind w:left="980" w:right="120"/>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CEG.</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September 30, 2021 </w:t>
      </w:r>
      <w:r>
        <w:rPr>
          <w:rFonts w:ascii="Arial" w:cs="Arial" w:eastAsia="Arial" w:hAnsi="Arial"/>
          <w:sz w:val="18"/>
          <w:szCs w:val="18"/>
          <w:color w:val="231F20"/>
        </w:rPr>
        <w:t>based on CAFD.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2021, the Company's operating assets are comprised of the following projects: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0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3320" w:type="dxa"/>
            <w:vAlign w:val="bottom"/>
            <w:gridSpan w:val="2"/>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Conventional</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Carlsbad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&amp; Electric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El Segundo</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GenConn Devon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GenConn Middletown</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Marsh Landing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2023 - 2030</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Walnut Creek</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2023 - 2026</w:t>
            </w:r>
          </w:p>
        </w:tc>
        <w:tc>
          <w:tcPr>
            <w:tcW w:w="0" w:type="dxa"/>
            <w:vAlign w:val="bottom"/>
          </w:tcPr>
          <w:p>
            <w:pPr>
              <w:spacing w:after="0"/>
              <w:rPr>
                <w:sz w:val="1"/>
                <w:szCs w:val="1"/>
                <w:color w:val="auto"/>
              </w:rPr>
            </w:pPr>
          </w:p>
        </w:tc>
      </w:tr>
      <w:tr>
        <w:trPr>
          <w:trHeight w:val="186"/>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i w:val="1"/>
                <w:iCs w:val="1"/>
                <w:color w:val="auto"/>
              </w:rPr>
              <w:t>Total Conventional</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Utility Scale Solar</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Agua Caliente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Alpine</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Avenal</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Avra Valley</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Tucson Electric Power</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Blythe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Borrego</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San Diego Gas and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 TX</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CVSR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Desert Sunlight 250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Desert Sunlight 300</w:t>
            </w:r>
          </w:p>
        </w:tc>
        <w:tc>
          <w:tcPr>
            <w:tcW w:w="120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Kansas South</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Roadrunner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El Paso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TA High Desert</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b w:val="1"/>
                <w:bCs w:val="1"/>
                <w:i w:val="1"/>
                <w:iCs w:val="1"/>
                <w:color w:val="auto"/>
              </w:rPr>
              <w:t>Total Solar</w:t>
            </w: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1,356</w:t>
            </w:r>
          </w:p>
        </w:tc>
        <w:tc>
          <w:tcPr>
            <w:tcW w:w="10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Distributed Solar</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2030 - 2044</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Solar Power Partners (SPP) Projects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DG Projects</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186"/>
        </w:trPr>
        <w:tc>
          <w:tcPr>
            <w:tcW w:w="332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i w:val="1"/>
                <w:iCs w:val="1"/>
                <w:color w:val="auto"/>
              </w:rPr>
              <w:t>Total Distributed Solar</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Wind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I</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Alta II</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III</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Alta IV</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V</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32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0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9"/>
        </w:trPr>
        <w:tc>
          <w:tcPr>
            <w:tcW w:w="3320" w:type="dxa"/>
            <w:vAlign w:val="bottom"/>
            <w:gridSpan w:val="3"/>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3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SCE</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Buffalo Bear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Crosswinds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9"/>
        </w:trPr>
        <w:tc>
          <w:tcPr>
            <w:tcW w:w="3320" w:type="dxa"/>
            <w:vAlign w:val="bottom"/>
            <w:gridSpan w:val="3"/>
          </w:tcPr>
          <w:p>
            <w:pPr>
              <w:ind w:left="120"/>
              <w:spacing w:after="0" w:line="189"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Elkhorn Ridge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Forward</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Goat Wind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Hardin</w:t>
            </w:r>
          </w:p>
        </w:tc>
        <w:tc>
          <w:tcPr>
            <w:tcW w:w="1200" w:type="dxa"/>
            <w:vAlign w:val="bottom"/>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Interstate Power and Light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Laredo Ridge</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Lookout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189"/>
        </w:trPr>
        <w:tc>
          <w:tcPr>
            <w:tcW w:w="3320" w:type="dxa"/>
            <w:vAlign w:val="bottom"/>
            <w:gridSpan w:val="3"/>
          </w:tcPr>
          <w:p>
            <w:pPr>
              <w:ind w:left="120"/>
              <w:spacing w:after="0" w:line="189"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Mt. Storm</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Citigroup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Ocotillo</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Odin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Missouri River Energy Services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35"/>
        </w:trPr>
        <w:tc>
          <w:tcPr>
            <w:tcW w:w="3320" w:type="dxa"/>
            <w:vAlign w:val="bottom"/>
            <w:gridSpan w:val="3"/>
            <w:vMerge w:val="restart"/>
          </w:tcPr>
          <w:p>
            <w:pPr>
              <w:ind w:left="120"/>
              <w:spacing w:after="0"/>
              <w:rPr>
                <w:sz w:val="20"/>
                <w:szCs w:val="20"/>
                <w:color w:val="auto"/>
              </w:rPr>
            </w:pPr>
            <w:r>
              <w:rPr>
                <w:rFonts w:ascii="Arial" w:cs="Arial" w:eastAsia="Arial" w:hAnsi="Arial"/>
                <w:sz w:val="14"/>
                <w:szCs w:val="14"/>
                <w:color w:val="auto"/>
              </w:rPr>
              <w:t>Pinnacle</w:t>
            </w:r>
            <w:r>
              <w:rPr>
                <w:rFonts w:ascii="Arial" w:cs="Arial" w:eastAsia="Arial" w:hAnsi="Arial"/>
                <w:sz w:val="18"/>
                <w:szCs w:val="18"/>
                <w:color w:val="auto"/>
                <w:vertAlign w:val="superscript"/>
              </w:rPr>
              <w:t>(b)</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400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Maryland Department of General Services and University System</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332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San Juan Mesa</w:t>
            </w:r>
          </w:p>
        </w:tc>
        <w:tc>
          <w:tcPr>
            <w:tcW w:w="120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Sleeping Bear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South Trent</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AEP Energy Partners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Spanish Fork</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89"/>
        </w:trPr>
        <w:tc>
          <w:tcPr>
            <w:tcW w:w="3320" w:type="dxa"/>
            <w:vAlign w:val="bottom"/>
            <w:gridSpan w:val="3"/>
          </w:tcPr>
          <w:p>
            <w:pPr>
              <w:ind w:left="120"/>
              <w:spacing w:after="0" w:line="189"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90.1 %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Taloga</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Oklahoma Gas &amp;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CCEEFF"/>
            </w:tcBorders>
            <w:gridSpan w:val="3"/>
          </w:tcPr>
          <w:p>
            <w:pPr>
              <w:ind w:left="520"/>
              <w:spacing w:after="0"/>
              <w:rPr>
                <w:sz w:val="20"/>
                <w:szCs w:val="20"/>
                <w:color w:val="auto"/>
              </w:rPr>
            </w:pPr>
            <w:r>
              <w:rPr>
                <w:rFonts w:ascii="Arial" w:cs="Arial" w:eastAsia="Arial" w:hAnsi="Arial"/>
                <w:sz w:val="14"/>
                <w:szCs w:val="14"/>
                <w:b w:val="1"/>
                <w:bCs w:val="1"/>
                <w:i w:val="1"/>
                <w:iCs w:val="1"/>
                <w:color w:val="auto"/>
              </w:rPr>
              <w:t>Total Wind</w:t>
            </w: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3,056</w:t>
            </w:r>
          </w:p>
        </w:tc>
        <w:tc>
          <w:tcPr>
            <w:tcW w:w="10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Thermal generation</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86"/>
        </w:trPr>
        <w:tc>
          <w:tcPr>
            <w:tcW w:w="2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32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Total net generation capacity</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7,255</w:t>
            </w:r>
          </w:p>
        </w:tc>
        <w:tc>
          <w:tcPr>
            <w:tcW w:w="1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3"/>
          </w:tcPr>
          <w:p>
            <w:pPr>
              <w:ind w:left="20"/>
              <w:spacing w:after="0" w:line="189"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(c)</w:t>
            </w:r>
          </w:p>
        </w:tc>
        <w:tc>
          <w:tcPr>
            <w:tcW w:w="120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2021.</w:t>
      </w:r>
    </w:p>
    <w:p>
      <w:pPr>
        <w:spacing w:after="0" w:line="13" w:lineRule="exact"/>
        <w:rPr>
          <w:rFonts w:ascii="Arial" w:cs="Arial" w:eastAsia="Arial" w:hAnsi="Arial"/>
          <w:sz w:val="9"/>
          <w:szCs w:val="9"/>
          <w:color w:val="auto"/>
        </w:rPr>
      </w:pPr>
    </w:p>
    <w:p>
      <w:pPr>
        <w:ind w:firstLine="8"/>
        <w:spacing w:after="0" w:line="248" w:lineRule="auto"/>
        <w:tabs>
          <w:tab w:leader="none" w:pos="132" w:val="left"/>
        </w:tabs>
        <w:numPr>
          <w:ilvl w:val="0"/>
          <w:numId w:val="21"/>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and ownership percentage is based on cash to be distributed, as further described in Item 1 — Note 4, </w:t>
      </w:r>
      <w:r>
        <w:rPr>
          <w:rFonts w:ascii="Arial" w:cs="Arial" w:eastAsia="Arial" w:hAnsi="Arial"/>
          <w:sz w:val="14"/>
          <w:szCs w:val="14"/>
          <w:i w:val="1"/>
          <w:iCs w:val="1"/>
          <w:color w:val="auto"/>
        </w:rPr>
        <w:t>Investments Accounted for by the Equity</w:t>
      </w:r>
      <w:r>
        <w:rPr>
          <w:rFonts w:ascii="Arial" w:cs="Arial" w:eastAsia="Arial" w:hAnsi="Arial"/>
          <w:sz w:val="14"/>
          <w:szCs w:val="14"/>
          <w:color w:val="auto"/>
        </w:rPr>
        <w:t xml:space="preserve"> </w:t>
      </w:r>
      <w:r>
        <w:rPr>
          <w:rFonts w:ascii="Arial" w:cs="Arial" w:eastAsia="Arial" w:hAnsi="Arial"/>
          <w:sz w:val="14"/>
          <w:szCs w:val="14"/>
          <w:i w:val="1"/>
          <w:iCs w:val="1"/>
          <w:color w:val="auto"/>
        </w:rPr>
        <w:t>Method and Variable Interest Entities.</w:t>
      </w:r>
    </w:p>
    <w:p>
      <w:pPr>
        <w:ind w:left="140" w:hanging="132"/>
        <w:spacing w:after="0" w:line="235"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Net MWt capacity excludes 43 MWt available under the right-to-use provisions contained in agreements between one of the Company's thermal facilities and certain of its customers.</w:t>
      </w:r>
    </w:p>
    <w:p>
      <w:pPr>
        <w:ind w:left="160" w:hanging="152"/>
        <w:spacing w:after="0" w:line="197"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Rattlesnake has a deliverable capacity of 144 MW.</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Thermal Business</w:t>
      </w:r>
    </w:p>
    <w:p>
      <w:pPr>
        <w:spacing w:after="0" w:line="171" w:lineRule="exact"/>
        <w:rPr>
          <w:sz w:val="20"/>
          <w:szCs w:val="20"/>
          <w:color w:val="auto"/>
        </w:rPr>
      </w:pPr>
    </w:p>
    <w:p>
      <w:pPr>
        <w:jc w:val="both"/>
        <w:ind w:left="660" w:hanging="328"/>
        <w:spacing w:after="0" w:line="296" w:lineRule="auto"/>
        <w:tabs>
          <w:tab w:leader="none" w:pos="655"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color w:val="auto"/>
        </w:rPr>
        <w:t>On October 22, 2021, Clearway Energy Operating LLC entered into a binding agreement to sell the Thermal Business to an affiliate of KKR &amp; Co. Inc. for total consideration of $1.9 billion, subject to customary closing adjustments. Based on current estimates, the Company expects total net cash proceeds of approximately $1.3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The net proceeds from the 2032 Senior Notes were used, together with existing corporate liquidity, to repurchase the 2026 Senior Notes, as described below.</w:t>
      </w:r>
    </w:p>
    <w:p>
      <w:pPr>
        <w:spacing w:after="0" w:line="129"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In October 2021, the Company repurchased and redeemed an aggregate principal amount of $350 million of the 2026 Senior Notes, through the cash tender offer announced on September 24, 2021 and the redemption of the remaining amount on October 25, 2021. The repurchases and redemption were effectuated at a premium of approximately 103% for total consideration of $359 million.</w:t>
      </w:r>
    </w:p>
    <w:p>
      <w:pPr>
        <w:spacing w:after="0" w:line="129"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jc w:val="both"/>
        <w:ind w:left="660" w:hanging="328"/>
        <w:spacing w:after="0" w:line="301" w:lineRule="auto"/>
        <w:tabs>
          <w:tab w:leader="none" w:pos="655"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71" w:lineRule="exact"/>
        <w:rPr>
          <w:sz w:val="20"/>
          <w:szCs w:val="20"/>
          <w:color w:val="auto"/>
        </w:rPr>
      </w:pPr>
    </w:p>
    <w:p>
      <w:pPr>
        <w:jc w:val="both"/>
        <w:ind w:left="660" w:hanging="328"/>
        <w:spacing w:after="0" w:line="291" w:lineRule="auto"/>
        <w:tabs>
          <w:tab w:leader="none" w:pos="655"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On August 20, 2021, the Company signed a binding agreement with Dominion Solar Projects III, Inc., to acquire the remaining 50% equity interest in the Utah Solar Portfolio for approximately $335 million in cash, subject to customary working capital adjustments. The Utah Solar Portfolio consists of seven utility-scale solar farms located in Utah representing 530 MW of capacity. The assets within the portfolio sell power subject to 20-year PPAs with PacifiCorp that have approximately 15 years remaining under the agreements. The Company currently owns a 50% equity interest in the Utah Solar Portfolio and, upon closing, will own 100% of the membership interests in the Utah Solar Portfolio. The closing of the transaction is subject to customary regulatory approvals and is expected to be completed in the fourth quarter of 2021. Following the close of the transaction, the Company will remove its equity method investment and consolidate its interests in the Utah Solar Portfolio.</w:t>
      </w:r>
    </w:p>
    <w:p>
      <w:pPr>
        <w:spacing w:after="0" w:line="112" w:lineRule="exact"/>
        <w:rPr>
          <w:rFonts w:ascii="Arial" w:cs="Arial" w:eastAsia="Arial" w:hAnsi="Arial"/>
          <w:sz w:val="16"/>
          <w:szCs w:val="16"/>
          <w:i w:val="1"/>
          <w:iCs w:val="1"/>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On April 23, 2021, the Company acquired 100% of the equity interests in NedPower Mount Storm LLC, or Mt. Storm, from Castleton Commodities International for approximately $96 million before working capital and purchase price adjustments in the net amount of $4 million, representing a total cash outflow of $100 million. Mt. Storm is a 264 MW wind project located in Grant County, West Virginia. Mt. Storm has a 10-year energy hedge with an investment-grade counterparty.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18 years remaining under the agreement. Following the close of the transaction, the Company owns a 51% equity interest in Agua Caliente. The Company removed its equity method investment and consolidates its interest in Agua Caliente from the date of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79" w:lineRule="auto"/>
        <w:tabs>
          <w:tab w:leader="none" w:pos="655"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On October 28, 2021, the Company, through an indirect subsidiary, entered into an agreement with CEG to acquire the Class A membership interests in the Daggett 3 solar project. Daggett 3 is a 300 MW solar generating facility under development with a combined 144 MW and 576 MWh battery energy storage system located in San Bernardino, California. The Company expects to invest approximately $21 million, subject to closing adjustments. Commercial operations of the facility and the Company's investment are expected to occur in 2022.</w:t>
      </w:r>
    </w:p>
    <w:p>
      <w:pPr>
        <w:spacing w:after="0" w:line="117" w:lineRule="exact"/>
        <w:rPr>
          <w:rFonts w:ascii="Arial" w:cs="Arial" w:eastAsia="Arial" w:hAnsi="Arial"/>
          <w:sz w:val="17"/>
          <w:szCs w:val="17"/>
          <w:i w:val="1"/>
          <w:iCs w:val="1"/>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August 2, 2021, the CEG ROFO Agreement was amended to remove the 100 MW Wildflower utility scale solar project from the ROFO pipeline.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June 24, 2021, the Company, through an indirect subsidiary, entered into agreements with CEG to acquire the Class A membership interests in the Mililani I and Waiawa solar projects. Mililani I is a 39 MW solar generating facility under development with a combined 39 MW and 156 MWh battery energy storage system located in Honolulu, Hawaii. Waiawa is 36 MW solar generating facility under development with a combined 36 MW and 144 MWh battery energy storage system located in Honolulu, Hawaii. The Company expects to invest approximately $39 million, subject to closing adjustments. Commercial operations of the facilities and the Company's investment are expected to occur in 2022.</w:t>
      </w:r>
    </w:p>
    <w:p>
      <w:pPr>
        <w:spacing w:after="0" w:line="107"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26, 2021, the Company, through an indirect subsidiary, entered into an amended partnership agreement 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are expected to occur in the fourth quarter of 2021.</w:t>
      </w:r>
    </w:p>
    <w:p>
      <w:pPr>
        <w:spacing w:after="0" w:line="13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CWSP Rattlesnake Holding LLC, which indirectly owns the Rattlesnake wind project, a 160 MW wind facility located in Adams County, Washington that achieved commercial operations in December 2020, for $132 million in cash consideration. The Company's net capital commitment was $119 million after proceeds from a state sales and use tax refund, which was received in May 2021. The project has a 20-year PPA, which began when the facility reached commercial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Agreements</w:t>
      </w:r>
    </w:p>
    <w:p>
      <w:pPr>
        <w:spacing w:after="0" w:line="171"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28, 2021, Walnut Creek contracted with SCE to sell 483 MW of Resource Adequacy, which is the full net qualifying capacity of the plant, commencing in June 2023. The contract is for approximately three and a half years.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10, 2021, Marsh Landing contracted with PG&amp;E to sell approximately 500 MW of Resource Adequacy commencing in May 2023. The contract is for approximately three years. On May 3, 2021, Marsh Landing contracted with a California Load Serving Entity to sell 100 MW of Resource Adequacy commencing in May 2023. The contract is for approximately seven and a half years. Collectively, these contracts represent approximately 80% of the plant's net qualifying capacity.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 party equity investors, the Company recorded a reduction of approximately $50 million in revenue in the first quarter of 2021 to settle obligations for wind facilities during the extreme weather conditions. After factoring in third party equity investor contributions, the cash impact during the first quarter of 2021 was approximately $25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is and will continue to evaluate the impact of the legislation and regulations as they are revised but cannot fully predict the impact of</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until anticipated revisions and legal challenges are resolved. To the extent newly proposed legislation and regulations restrict or otherwise impact the Company's operations, the proposed legislation and regulations could have a negative impact on the Company's financial performance.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Proposed and Final State Solar Photovoltaic Module Disposal and Recycling Regulations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2021, the State of Hawaii issued a public notice of proposed rule changes which, among other items, include a proposed new solar panel universal waste rule. This proposed rule would create a new universal waste category for solar panels and allow solar panel waste management to be conducted under the existing regulatory framework. On June 7, 2021, this new rule went into effect, resulting in the addition of solar panels as a new category of universal wastes. The rule also adopts specific waste management standards within the existing universal waste framework and makes managing hazardous waste solar panels simpler and less costly. This rule will also allow some generators to qualify for a generator status subject to reduced regulation because universal wastes do not count toward generator status.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Proposed Federal MBTA Incidental Take Legislation and Regulations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January 20, 2021, President Biden issued an executive order to review and consider suspending, revising, or rescinding agency actions taken between January 20, 2017 and January 20, 2021 determined to be inconsistent with certain public health and environmental goals. This includes a review of both the Solicitor’s Opinion and the U.S. Fish and Wildlife Services’ (FWS) January 7, 2021 final rule codifying the Solicitor’s Opinion M-37050 defining the scope of certain prohibitions under the MBTA. In response to this directive, on February 9, 2021, the FWS delayed the effective date of the January 2021 final rule and requested public comment to inform its review and a potential extended delay.</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2021, FWS published a draft rule to revoke the Trump Administration’s January 7, 2021 final rule in an effort to return to implementing the MBTA as prohibiting incidental take and applying enforcement discretion. Comments on the draft rule were due June 7, 2021. The proposed rule follows the Administration’s prior revocation of Solicitor’s Opinion M-37050 issued under the Trump Administration. A return to the position that incidental take is prohibited under the MBTA, or the development of legislation or regulations contrary to FWS’s January 2021 rule, could increase potential liability and impose additional permitting requirements on certain of the Company's operations.</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4, 2021, FWS issued the final rule, effective December 3, 2021, restoring the MBTA to prohibit the incidental take of migratory birds. FWS also issued an advance notice of proposed rulemaking (ANPR) advising that it intends to gather information necessary to develop proposed regulations to authorize the incidental take of migratory birds under prescribed conditions and prepare a draft environmental review pursuant to the National Environmental Policy Act. In the ANPR, FWS is considering authorizing incidental take using three primary mechanisms: exceptions to the MBTA’s prohibition on incidental take, general permits for certain activity types and specific or individual permits. FWS is seeking comments on when and how it should apply these three mechanisms to different types of activities. The Company is working with renewable industry groups to provide comments on the proposed rule.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2020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2020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Update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 and its variants.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including variants such as the Delta variant,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or variants thereof. All of the Company’s facilities have remained operational. The Company has experienced a decrease in volumetric sales on a weather normalized basis at certain Thermal locations in part due to COVID-19 related impacts, which has not resulted in any material financial impacts to the Company. The Company believes that all of its accounts receivable balances as of September 30, 2021 are collectible. The Company will continue to assess collectability based on any future developments.</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 cannot predict the full impact that COVID-19 and its variants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2020 Form 10-K.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tcPr>
          <w:p>
            <w:pPr>
              <w:jc w:val="right"/>
              <w:ind w:right="30"/>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4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w w:val="97"/>
              </w:rPr>
              <w:t>Change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2"/>
        </w:trPr>
        <w:tc>
          <w:tcPr>
            <w:tcW w:w="2800" w:type="dxa"/>
            <w:vAlign w:val="bottom"/>
          </w:tcPr>
          <w:p>
            <w:pPr>
              <w:ind w:left="4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Energy and capacity revenues</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333333"/>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333333"/>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1,096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3160" w:type="dxa"/>
            <w:vAlign w:val="bottom"/>
            <w:gridSpan w:val="2"/>
          </w:tcPr>
          <w:p>
            <w:pPr>
              <w:ind w:left="56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Contract amortization</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6"/>
        </w:trPr>
        <w:tc>
          <w:tcPr>
            <w:tcW w:w="3160" w:type="dxa"/>
            <w:vAlign w:val="bottom"/>
            <w:gridSpan w:val="2"/>
          </w:tcPr>
          <w:p>
            <w:pPr>
              <w:ind w:left="560"/>
              <w:spacing w:after="0" w:line="176" w:lineRule="exact"/>
              <w:rPr>
                <w:sz w:val="20"/>
                <w:szCs w:val="20"/>
                <w:color w:val="auto"/>
              </w:rPr>
            </w:pPr>
            <w:r>
              <w:rPr>
                <w:rFonts w:ascii="Arial" w:cs="Arial" w:eastAsia="Arial" w:hAnsi="Arial"/>
                <w:sz w:val="18"/>
                <w:szCs w:val="18"/>
                <w:color w:val="auto"/>
              </w:rPr>
              <w:t>Mark-to-market economic</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(35)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333333"/>
              </w:rPr>
              <w:t>(90)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hedging activities</w:t>
            </w:r>
          </w:p>
        </w:tc>
        <w:tc>
          <w:tcPr>
            <w:tcW w:w="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351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968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2800" w:type="dxa"/>
            <w:vAlign w:val="bottom"/>
          </w:tcPr>
          <w:p>
            <w:pPr>
              <w:ind w:left="440"/>
              <w:spacing w:after="0"/>
              <w:rPr>
                <w:sz w:val="20"/>
                <w:szCs w:val="20"/>
                <w:color w:val="auto"/>
              </w:rPr>
            </w:pPr>
            <w:r>
              <w:rPr>
                <w:rFonts w:ascii="Arial" w:cs="Arial" w:eastAsia="Arial" w:hAnsi="Arial"/>
                <w:sz w:val="18"/>
                <w:szCs w:val="18"/>
                <w:b w:val="1"/>
                <w:bCs w:val="1"/>
                <w:color w:val="auto"/>
                <w:w w:val="87"/>
              </w:rPr>
              <w:t>Operating Costs and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Cost of fuels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160" w:type="dxa"/>
            <w:vAlign w:val="bottom"/>
            <w:gridSpan w:val="2"/>
          </w:tcPr>
          <w:p>
            <w:pPr>
              <w:ind w:left="56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206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Other costs of operations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3160" w:type="dxa"/>
            <w:vAlign w:val="bottom"/>
            <w:gridSpan w:val="2"/>
          </w:tcPr>
          <w:p>
            <w:pPr>
              <w:ind w:left="560"/>
              <w:spacing w:after="0" w:line="176" w:lineRule="exact"/>
              <w:rPr>
                <w:sz w:val="20"/>
                <w:szCs w:val="20"/>
                <w:color w:val="auto"/>
              </w:rPr>
            </w:pPr>
            <w:r>
              <w:rPr>
                <w:rFonts w:ascii="Arial" w:cs="Arial" w:eastAsia="Arial" w:hAnsi="Arial"/>
                <w:sz w:val="18"/>
                <w:szCs w:val="18"/>
                <w:color w:val="auto"/>
              </w:rPr>
              <w:t>Depreciation, amortization</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131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333333"/>
              </w:rPr>
              <w:t>387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and accretion</w:t>
            </w:r>
          </w:p>
        </w:tc>
        <w:tc>
          <w:tcPr>
            <w:tcW w:w="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60" w:type="dxa"/>
            <w:vAlign w:val="bottom"/>
            <w:gridSpan w:val="2"/>
          </w:tcPr>
          <w:p>
            <w:pPr>
              <w:ind w:left="560"/>
              <w:spacing w:after="0" w:line="176" w:lineRule="exact"/>
              <w:rPr>
                <w:sz w:val="20"/>
                <w:szCs w:val="20"/>
                <w:color w:val="auto"/>
              </w:rPr>
            </w:pPr>
            <w:r>
              <w:rPr>
                <w:rFonts w:ascii="Arial" w:cs="Arial" w:eastAsia="Arial" w:hAnsi="Arial"/>
                <w:sz w:val="18"/>
                <w:szCs w:val="18"/>
                <w:color w:val="auto"/>
              </w:rPr>
              <w:t>Transaction and integration</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333333"/>
              </w:rPr>
              <w:t>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5"/>
        </w:trPr>
        <w:tc>
          <w:tcPr>
            <w:tcW w:w="31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Development costs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2800" w:type="dxa"/>
            <w:vAlign w:val="bottom"/>
          </w:tcPr>
          <w:p>
            <w:pPr>
              <w:ind w:left="640"/>
              <w:spacing w:after="0" w:line="156" w:lineRule="exact"/>
              <w:rPr>
                <w:sz w:val="20"/>
                <w:szCs w:val="20"/>
                <w:color w:val="auto"/>
              </w:rPr>
            </w:pPr>
            <w:r>
              <w:rPr>
                <w:rFonts w:ascii="Arial" w:cs="Arial" w:eastAsia="Arial" w:hAnsi="Arial"/>
                <w:sz w:val="18"/>
                <w:szCs w:val="18"/>
                <w:color w:val="auto"/>
              </w:rPr>
              <w:t>Total operating costs and</w:t>
            </w:r>
          </w:p>
        </w:tc>
        <w:tc>
          <w:tcPr>
            <w:tcW w:w="3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262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333333"/>
              </w:rPr>
              <w:t>760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81"/>
        </w:trPr>
        <w:tc>
          <w:tcPr>
            <w:tcW w:w="31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89</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208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2800" w:type="dxa"/>
            <w:vAlign w:val="bottom"/>
          </w:tcPr>
          <w:p>
            <w:pPr>
              <w:ind w:left="4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color w:val="auto"/>
              </w:rPr>
              <w:t>Equity in earnings of</w:t>
            </w: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ind w:left="560"/>
              <w:spacing w:after="0" w:line="176" w:lineRule="exact"/>
              <w:rPr>
                <w:sz w:val="20"/>
                <w:szCs w:val="20"/>
                <w:color w:val="auto"/>
              </w:rPr>
            </w:pPr>
            <w:r>
              <w:rPr>
                <w:rFonts w:ascii="Arial" w:cs="Arial" w:eastAsia="Arial" w:hAnsi="Arial"/>
                <w:sz w:val="18"/>
                <w:szCs w:val="18"/>
                <w:color w:val="auto"/>
              </w:rPr>
              <w:t>Gain on sale of unconsolidated</w:t>
            </w:r>
          </w:p>
        </w:tc>
        <w:tc>
          <w:tcPr>
            <w:tcW w:w="26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333333"/>
              </w:rPr>
              <w:t>—</w:t>
            </w:r>
          </w:p>
        </w:tc>
        <w:tc>
          <w:tcPr>
            <w:tcW w:w="62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affiliate</w:t>
            </w:r>
          </w:p>
        </w:tc>
        <w:tc>
          <w:tcPr>
            <w:tcW w:w="2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60" w:type="dxa"/>
            <w:vAlign w:val="bottom"/>
            <w:gridSpan w:val="2"/>
          </w:tcPr>
          <w:p>
            <w:pPr>
              <w:ind w:left="56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33333"/>
              </w:rPr>
              <w:t>—</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color w:val="auto"/>
              </w:rPr>
              <w:t>Derivative interest income</w:t>
            </w: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560"/>
              <w:spacing w:after="0"/>
              <w:rPr>
                <w:sz w:val="20"/>
                <w:szCs w:val="20"/>
                <w:color w:val="auto"/>
              </w:rPr>
            </w:pPr>
            <w:r>
              <w:rPr>
                <w:rFonts w:ascii="Arial" w:cs="Arial" w:eastAsia="Arial" w:hAnsi="Arial"/>
                <w:sz w:val="18"/>
                <w:szCs w:val="18"/>
                <w:color w:val="auto"/>
              </w:rPr>
              <w:t>Other interest expense</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(274)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(63)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(72)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(239)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(281)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5"/>
        </w:trPr>
        <w:tc>
          <w:tcPr>
            <w:tcW w:w="2800" w:type="dxa"/>
            <w:vAlign w:val="bottom"/>
          </w:tcPr>
          <w:p>
            <w:pPr>
              <w:ind w:left="440"/>
              <w:spacing w:after="0" w:line="156" w:lineRule="exact"/>
              <w:rPr>
                <w:sz w:val="20"/>
                <w:szCs w:val="20"/>
                <w:color w:val="auto"/>
              </w:rPr>
            </w:pPr>
            <w:r>
              <w:rPr>
                <w:rFonts w:ascii="Arial" w:cs="Arial" w:eastAsia="Arial" w:hAnsi="Arial"/>
                <w:sz w:val="18"/>
                <w:szCs w:val="18"/>
                <w:b w:val="1"/>
                <w:bCs w:val="1"/>
                <w:color w:val="auto"/>
                <w:w w:val="92"/>
              </w:rPr>
              <w:t>Income (Loss) Before Income</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26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333333"/>
              </w:rPr>
              <w:t>51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333333"/>
              </w:rPr>
              <w:t>(31)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1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Taxes</w:t>
            </w:r>
          </w:p>
        </w:tc>
        <w:tc>
          <w:tcPr>
            <w:tcW w:w="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5"/>
              </w:rPr>
              <w:t>Income tax expense (benefit)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800" w:type="dxa"/>
            <w:vAlign w:val="bottom"/>
          </w:tcPr>
          <w:p>
            <w:pPr>
              <w:ind w:left="4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Less: Income (loss)</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attributable to noncontrolling</w:t>
            </w: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interests and redeemable interests</w:t>
            </w:r>
          </w:p>
        </w:tc>
        <w:tc>
          <w:tcPr>
            <w:tcW w:w="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360" w:type="dxa"/>
            <w:vAlign w:val="bottom"/>
          </w:tcPr>
          <w:p>
            <w:pPr>
              <w:spacing w:after="0"/>
              <w:rPr>
                <w:sz w:val="13"/>
                <w:szCs w:val="13"/>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3"/>
                <w:szCs w:val="13"/>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Clearway Energy, Inc.</w:t>
            </w: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2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24"/>
                <w:szCs w:val="24"/>
                <w:color w:val="auto"/>
              </w:rPr>
            </w:pPr>
          </w:p>
        </w:tc>
        <w:tc>
          <w:tcPr>
            <w:tcW w:w="232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Business metrics: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gridSpan w:val="5"/>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6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84"/>
              </w:rPr>
              <w:t>2,740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Thermal MWt sold (in thousands)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22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(b)</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Conventional equivalent availability factor</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1856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98"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ind w:left="160" w:hanging="152"/>
        <w:spacing w:after="0" w:line="197" w:lineRule="auto"/>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right="254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September 30, 2021 and 2020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$19 million during the three months ended September 30, 2021, compared to the same period in 2020, due to a combination of the drivers summarized in the table below:</w:t>
      </w:r>
    </w:p>
    <w:p>
      <w:pPr>
        <w:sectPr>
          <w:pgSz w:w="11900" w:h="16838" w:orient="portrait"/>
          <w:cols w:equalWidth="0" w:num="1">
            <w:col w:w="11240"/>
          </w:cols>
          <w:pgMar w:left="320" w:top="891" w:right="339" w:bottom="1440" w:gutter="0" w:footer="0" w:header="0"/>
        </w:sect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Renewables Segment</w:t>
      </w:r>
    </w:p>
    <w:p>
      <w:pPr>
        <w:spacing w:after="0" w:line="198" w:lineRule="exact"/>
        <w:rPr>
          <w:sz w:val="20"/>
          <w:szCs w:val="20"/>
          <w:color w:val="auto"/>
        </w:rPr>
      </w:pPr>
    </w:p>
    <w:p>
      <w:pPr>
        <w:ind w:left="20" w:right="300"/>
        <w:spacing w:after="0" w:line="365" w:lineRule="auto"/>
        <w:rPr>
          <w:sz w:val="20"/>
          <w:szCs w:val="20"/>
          <w:color w:val="auto"/>
        </w:rPr>
      </w:pPr>
      <w:r>
        <w:rPr>
          <w:rFonts w:ascii="Arial" w:cs="Arial" w:eastAsia="Arial" w:hAnsi="Arial"/>
          <w:sz w:val="16"/>
          <w:szCs w:val="16"/>
          <w:b w:val="1"/>
          <w:bCs w:val="1"/>
          <w:color w:val="auto"/>
        </w:rPr>
        <w:t>Conventional Segment Thermal Segment</w:t>
      </w:r>
    </w:p>
    <w:p>
      <w:pPr>
        <w:spacing w:after="0" w:line="75" w:lineRule="exact"/>
        <w:rPr>
          <w:sz w:val="20"/>
          <w:szCs w:val="20"/>
          <w:color w:val="auto"/>
        </w:rPr>
      </w:pPr>
    </w:p>
    <w:p>
      <w:pPr>
        <w:ind w:left="20"/>
        <w:spacing w:after="0" w:line="267" w:lineRule="auto"/>
        <w:rPr>
          <w:sz w:val="20"/>
          <w:szCs w:val="20"/>
          <w:color w:val="auto"/>
        </w:rPr>
      </w:pPr>
      <w:r>
        <w:rPr>
          <w:rFonts w:ascii="Arial" w:cs="Arial" w:eastAsia="Arial" w:hAnsi="Arial"/>
          <w:sz w:val="16"/>
          <w:szCs w:val="16"/>
          <w:b w:val="1"/>
          <w:bCs w:val="1"/>
          <w:color w:val="auto"/>
        </w:rPr>
        <w:t>Mark-to-market economic hedging activities</w:t>
      </w:r>
    </w:p>
    <w:p>
      <w:pPr>
        <w:ind w:left="20"/>
        <w:spacing w:after="0"/>
        <w:rPr>
          <w:sz w:val="20"/>
          <w:szCs w:val="20"/>
          <w:color w:val="auto"/>
        </w:rPr>
      </w:pPr>
      <w:r>
        <w:rPr>
          <w:rFonts w:ascii="Arial" w:cs="Arial" w:eastAsia="Arial" w:hAnsi="Arial"/>
          <w:sz w:val="18"/>
          <w:szCs w:val="18"/>
          <w:b w:val="1"/>
          <w:bCs w:val="1"/>
          <w:color w:val="auto"/>
        </w:rPr>
        <w:t>Contract amortization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Increase primarily driven by the acquisitions of Agua Caliente, Mt. Storm, Mesquite Star, Rattlesnake, Langford and Rosamond Central and the consolidation of the DGPV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-256540</wp:posOffset>
            </wp:positionV>
            <wp:extent cx="713232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Increase primarily driven by improved availability at the California natural gas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14605</wp:posOffset>
            </wp:positionV>
            <wp:extent cx="713232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Decrease primarily driven by revenue from a sales-type lease recognized in 2020, partially offset by higher volumes and higher gas prices passed through to customers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Increase in unrealized losses from changes in the fair value of power contracts, primarily driven by the acquisitions of Mt. Storm and Mesquite 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635</wp:posOffset>
            </wp:positionV>
            <wp:extent cx="7132320"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Increase primarily driven by amortization of the intangible asset for power purchase agreement in connection with the acquisition of Agua Caliente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86"/>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ind w:left="1086" w:hanging="1086"/>
        <w:spacing w:after="0"/>
        <w:tabs>
          <w:tab w:leader="none" w:pos="10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74</w:t>
      </w:r>
    </w:p>
    <w:p>
      <w:pPr>
        <w:spacing w:after="0" w:line="23"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1026"/>
        <w:spacing w:after="0"/>
        <w:rPr>
          <w:sz w:val="20"/>
          <w:szCs w:val="20"/>
          <w:color w:val="auto"/>
        </w:rPr>
      </w:pPr>
      <w:r>
        <w:rPr>
          <w:rFonts w:ascii="Arial" w:cs="Arial" w:eastAsia="Arial" w:hAnsi="Arial"/>
          <w:sz w:val="16"/>
          <w:szCs w:val="16"/>
          <w:color w:val="auto"/>
        </w:rPr>
        <w:t>(35)</w:t>
      </w:r>
    </w:p>
    <w:p>
      <w:pPr>
        <w:spacing w:after="0" w:line="221" w:lineRule="exact"/>
        <w:rPr>
          <w:sz w:val="20"/>
          <w:szCs w:val="20"/>
          <w:color w:val="auto"/>
        </w:rPr>
      </w:pPr>
    </w:p>
    <w:p>
      <w:pPr>
        <w:ind w:left="1026"/>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65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9" w:lineRule="exact"/>
        <w:rPr>
          <w:sz w:val="20"/>
          <w:szCs w:val="20"/>
          <w:color w:val="auto"/>
        </w:rPr>
      </w:pPr>
    </w:p>
    <w:p>
      <w:pPr>
        <w:ind w:left="1086" w:hanging="1086"/>
        <w:spacing w:after="0"/>
        <w:tabs>
          <w:tab w:leader="none" w:pos="10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60" w:space="580"/>
            <w:col w:w="7220" w:space="34"/>
            <w:col w:w="1346"/>
          </w:cols>
          <w:pgMar w:left="320" w:top="891"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$18 million during the three months ended September 30, 2021, compared to the same period in 2020, primarily due to the acquisition of solar and wind projects during the second half of 2020 and the first half of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costs of operations expense increased by $12 million during the three months ended September 30, 2021, compared to the same period in 2020, primarily due to an increase in insurance and property taxes in the Renewables segment, the majority of which was related to the acquisition of solar and wind projects during the second half of 2020 and the first half of 2021, in addition to refunds of property taxes received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Depreciation, amortization and accretion expense increased by $29 million during the three months ended September 30, 2021, compared to the same period in 2020, primarily due to a $27 million increase in the Renewables segment. This includes a $5 million increase related to the consolidation of the DGPV investments and a $14 million increase related to the acquisition of Aqua Caliente and Rattlesnake in the first quarter of 2021 and wind facilities acquired in the second half of 2020. In addition, approximately $9 million of accelerated depreciation was recorded in 2021 related to the repowering of the Pinnacle wind facility, partially offset by accelerated depreciation of $1 million recorded in the third quarter of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September 30, 2021, the Company recorded an income tax expense of $1 million on pretax income of $26 million. For the same period in 2020, the Company recorded an income tax expense of $9 million on pretax income of $51 million.</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the three months ended September 30, 2021 and 2020, the overall effective tax rate was different than the statutory rate of 21% primarily due to taxable earnings and losses allocated to partners' interests in Clearway Energy LLC, which includes the effects of applying the HLBV method of accounting for book purposes for certain partnerships.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Income Attributable to Noncontrolling Interests and Redeemable Interests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September 30, 2021, the Company had income of $4 million attributable to noncontrolling interests and redeemable interests comprised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(In millions)</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September 30, 2020, the Company had income of $10 million attributable to noncontrolling interests and redeemable interests comprised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(In millions)</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CEG's interest in the Kawailoa, Oahu and Repowering partnerships</w:t>
            </w:r>
          </w:p>
        </w:tc>
        <w:tc>
          <w:tcPr>
            <w:tcW w:w="4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7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8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2021 and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$49 million during the nine months ended September 30, 2021, compared to the same period in 2020, due to a combination of the drivers summarized in the table below:</w:t>
      </w:r>
    </w:p>
    <w:p>
      <w:pPr>
        <w:sectPr>
          <w:pgSz w:w="11900" w:h="16838" w:orient="portrait"/>
          <w:cols w:equalWidth="0" w:num="1">
            <w:col w:w="11240"/>
          </w:cols>
          <w:pgMar w:left="320" w:top="891" w:right="339" w:bottom="1440" w:gutter="0" w:footer="0" w:header="0"/>
        </w:sect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500" w:type="dxa"/>
            <w:vAlign w:val="bottom"/>
          </w:tcPr>
          <w:p>
            <w:pPr>
              <w:ind w:left="280"/>
              <w:spacing w:after="0"/>
              <w:rPr>
                <w:sz w:val="20"/>
                <w:szCs w:val="20"/>
                <w:color w:val="auto"/>
              </w:rPr>
            </w:pPr>
            <w:r>
              <w:rPr>
                <w:rFonts w:ascii="Arial" w:cs="Arial" w:eastAsia="Arial" w:hAnsi="Arial"/>
                <w:sz w:val="18"/>
                <w:szCs w:val="18"/>
                <w:color w:val="auto"/>
                <w:w w:val="91"/>
              </w:rPr>
              <w:t>Increase due to the acquisitions of Agua Caliente, Mt. Storm, Mesquite Star, Rattlesnake, Langford</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7500" w:type="dxa"/>
            <w:vAlign w:val="bottom"/>
          </w:tcPr>
          <w:p>
            <w:pPr>
              <w:ind w:left="280"/>
              <w:spacing w:after="0" w:line="176" w:lineRule="exact"/>
              <w:rPr>
                <w:sz w:val="20"/>
                <w:szCs w:val="20"/>
                <w:color w:val="auto"/>
              </w:rPr>
            </w:pPr>
            <w:r>
              <w:rPr>
                <w:rFonts w:ascii="Arial" w:cs="Arial" w:eastAsia="Arial" w:hAnsi="Arial"/>
                <w:sz w:val="18"/>
                <w:szCs w:val="18"/>
                <w:color w:val="auto"/>
                <w:w w:val="94"/>
              </w:rPr>
              <w:t>and Rosamond Central, and the consolidation of the DGPV investments, as well as higher wind</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7500" w:type="dxa"/>
            <w:vAlign w:val="bottom"/>
          </w:tcPr>
          <w:p>
            <w:pPr>
              <w:ind w:left="280"/>
              <w:spacing w:after="0" w:line="176" w:lineRule="exact"/>
              <w:rPr>
                <w:sz w:val="20"/>
                <w:szCs w:val="20"/>
                <w:color w:val="auto"/>
              </w:rPr>
            </w:pPr>
            <w:r>
              <w:rPr>
                <w:rFonts w:ascii="Arial" w:cs="Arial" w:eastAsia="Arial" w:hAnsi="Arial"/>
                <w:sz w:val="18"/>
                <w:szCs w:val="18"/>
                <w:color w:val="auto"/>
              </w:rPr>
              <w:t>production at Alta, partially offset by $50 million of net settlements of obligations for wind</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7500" w:type="dxa"/>
            <w:vAlign w:val="bottom"/>
          </w:tcPr>
          <w:p>
            <w:pPr>
              <w:ind w:left="280"/>
              <w:spacing w:after="0" w:line="176" w:lineRule="exact"/>
              <w:rPr>
                <w:sz w:val="20"/>
                <w:szCs w:val="20"/>
                <w:color w:val="auto"/>
              </w:rPr>
            </w:pPr>
            <w:r>
              <w:rPr>
                <w:rFonts w:ascii="Arial" w:cs="Arial" w:eastAsia="Arial" w:hAnsi="Arial"/>
                <w:sz w:val="18"/>
                <w:szCs w:val="18"/>
                <w:color w:val="auto"/>
                <w:w w:val="96"/>
              </w:rPr>
              <w:t>facilities that were unable to produce the required output during extreme weather conditions in</w:t>
            </w:r>
          </w:p>
        </w:tc>
        <w:tc>
          <w:tcPr>
            <w:tcW w:w="0" w:type="dxa"/>
            <w:vAlign w:val="bottom"/>
          </w:tcPr>
          <w:p>
            <w:pPr>
              <w:spacing w:after="0"/>
              <w:rPr>
                <w:sz w:val="1"/>
                <w:szCs w:val="1"/>
                <w:color w:val="auto"/>
              </w:rPr>
            </w:pPr>
          </w:p>
        </w:tc>
      </w:tr>
      <w:tr>
        <w:trPr>
          <w:trHeight w:val="229"/>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500" w:type="dxa"/>
            <w:vAlign w:val="bottom"/>
          </w:tcPr>
          <w:p>
            <w:pPr>
              <w:ind w:left="280"/>
              <w:spacing w:after="0"/>
              <w:rPr>
                <w:sz w:val="20"/>
                <w:szCs w:val="20"/>
                <w:color w:val="auto"/>
              </w:rPr>
            </w:pPr>
            <w:r>
              <w:rPr>
                <w:rFonts w:ascii="Arial" w:cs="Arial" w:eastAsia="Arial" w:hAnsi="Arial"/>
                <w:sz w:val="18"/>
                <w:szCs w:val="18"/>
                <w:color w:val="auto"/>
              </w:rPr>
              <w:t>Texas in February 2021</w:t>
            </w:r>
          </w:p>
        </w:tc>
        <w:tc>
          <w:tcPr>
            <w:tcW w:w="0" w:type="dxa"/>
            <w:vAlign w:val="bottom"/>
          </w:tcPr>
          <w:p>
            <w:pPr>
              <w:spacing w:after="0"/>
              <w:rPr>
                <w:sz w:val="1"/>
                <w:szCs w:val="1"/>
                <w:color w:val="auto"/>
              </w:rPr>
            </w:pPr>
          </w:p>
        </w:tc>
      </w:tr>
      <w:tr>
        <w:trPr>
          <w:trHeight w:val="176"/>
        </w:trPr>
        <w:tc>
          <w:tcPr>
            <w:tcW w:w="2340" w:type="dxa"/>
            <w:vAlign w:val="bottom"/>
            <w:vMerge w:val="continue"/>
          </w:tcPr>
          <w:p>
            <w:pPr>
              <w:spacing w:after="0"/>
              <w:rPr>
                <w:sz w:val="15"/>
                <w:szCs w:val="15"/>
                <w:color w:val="auto"/>
              </w:rPr>
            </w:pPr>
          </w:p>
        </w:tc>
        <w:tc>
          <w:tcPr>
            <w:tcW w:w="7500" w:type="dxa"/>
            <w:vAlign w:val="bottom"/>
          </w:tcPr>
          <w:p>
            <w:pPr>
              <w:ind w:left="280"/>
              <w:spacing w:after="0" w:line="176" w:lineRule="exact"/>
              <w:rPr>
                <w:sz w:val="20"/>
                <w:szCs w:val="20"/>
                <w:color w:val="auto"/>
              </w:rPr>
            </w:pPr>
            <w:r>
              <w:rPr>
                <w:rFonts w:ascii="Arial" w:cs="Arial" w:eastAsia="Arial" w:hAnsi="Arial"/>
                <w:sz w:val="18"/>
                <w:szCs w:val="18"/>
                <w:color w:val="auto"/>
                <w:w w:val="93"/>
              </w:rPr>
              <w:t>Increase primarily driven by higher volumes and higher gas prices passed through to customers,</w:t>
            </w:r>
          </w:p>
        </w:tc>
        <w:tc>
          <w:tcPr>
            <w:tcW w:w="0" w:type="dxa"/>
            <w:vAlign w:val="bottom"/>
          </w:tcPr>
          <w:p>
            <w:pPr>
              <w:spacing w:after="0"/>
              <w:rPr>
                <w:sz w:val="1"/>
                <w:szCs w:val="1"/>
                <w:color w:val="auto"/>
              </w:rPr>
            </w:pPr>
          </w:p>
        </w:tc>
      </w:tr>
      <w:tr>
        <w:trPr>
          <w:trHeight w:val="229"/>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500" w:type="dxa"/>
            <w:vAlign w:val="bottom"/>
          </w:tcPr>
          <w:p>
            <w:pPr>
              <w:ind w:left="280"/>
              <w:spacing w:after="0"/>
              <w:rPr>
                <w:sz w:val="20"/>
                <w:szCs w:val="20"/>
                <w:color w:val="auto"/>
              </w:rPr>
            </w:pPr>
            <w:r>
              <w:rPr>
                <w:rFonts w:ascii="Arial" w:cs="Arial" w:eastAsia="Arial" w:hAnsi="Arial"/>
                <w:sz w:val="18"/>
                <w:szCs w:val="18"/>
                <w:color w:val="auto"/>
              </w:rPr>
              <w:t>partially offset by a sales-type lease recognized in the third quarter of 2020</w:t>
            </w:r>
          </w:p>
        </w:tc>
        <w:tc>
          <w:tcPr>
            <w:tcW w:w="0" w:type="dxa"/>
            <w:vAlign w:val="bottom"/>
          </w:tcPr>
          <w:p>
            <w:pPr>
              <w:spacing w:after="0"/>
              <w:rPr>
                <w:sz w:val="1"/>
                <w:szCs w:val="1"/>
                <w:color w:val="auto"/>
              </w:rPr>
            </w:pPr>
          </w:p>
        </w:tc>
      </w:tr>
      <w:tr>
        <w:trPr>
          <w:trHeight w:val="176"/>
        </w:trPr>
        <w:tc>
          <w:tcPr>
            <w:tcW w:w="2340" w:type="dxa"/>
            <w:vAlign w:val="bottom"/>
            <w:vMerge w:val="continue"/>
          </w:tcPr>
          <w:p>
            <w:pPr>
              <w:spacing w:after="0"/>
              <w:rPr>
                <w:sz w:val="15"/>
                <w:szCs w:val="15"/>
                <w:color w:val="auto"/>
              </w:rPr>
            </w:pPr>
          </w:p>
        </w:tc>
        <w:tc>
          <w:tcPr>
            <w:tcW w:w="7500" w:type="dxa"/>
            <w:vAlign w:val="bottom"/>
          </w:tcPr>
          <w:p>
            <w:pPr>
              <w:ind w:left="280"/>
              <w:spacing w:after="0" w:line="176" w:lineRule="exact"/>
              <w:rPr>
                <w:sz w:val="20"/>
                <w:szCs w:val="20"/>
                <w:color w:val="auto"/>
              </w:rPr>
            </w:pPr>
            <w:r>
              <w:rPr>
                <w:rFonts w:ascii="Arial" w:cs="Arial" w:eastAsia="Arial" w:hAnsi="Arial"/>
                <w:sz w:val="18"/>
                <w:szCs w:val="18"/>
                <w:color w:val="auto"/>
              </w:rPr>
              <w:t>Increase primarily due to higher start revenues at the Marsh Landing facility and improved</w:t>
            </w:r>
          </w:p>
        </w:tc>
        <w:tc>
          <w:tcPr>
            <w:tcW w:w="0" w:type="dxa"/>
            <w:vAlign w:val="bottom"/>
          </w:tcPr>
          <w:p>
            <w:pPr>
              <w:spacing w:after="0"/>
              <w:rPr>
                <w:sz w:val="1"/>
                <w:szCs w:val="1"/>
                <w:color w:val="auto"/>
              </w:rPr>
            </w:pPr>
          </w:p>
        </w:tc>
      </w:tr>
      <w:tr>
        <w:trPr>
          <w:trHeight w:val="229"/>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Mark-to-market economic</w:t>
            </w:r>
          </w:p>
        </w:tc>
        <w:tc>
          <w:tcPr>
            <w:tcW w:w="7500" w:type="dxa"/>
            <w:vAlign w:val="bottom"/>
          </w:tcPr>
          <w:p>
            <w:pPr>
              <w:ind w:left="280"/>
              <w:spacing w:after="0"/>
              <w:rPr>
                <w:sz w:val="20"/>
                <w:szCs w:val="20"/>
                <w:color w:val="auto"/>
              </w:rPr>
            </w:pPr>
            <w:r>
              <w:rPr>
                <w:rFonts w:ascii="Arial" w:cs="Arial" w:eastAsia="Arial" w:hAnsi="Arial"/>
                <w:sz w:val="18"/>
                <w:szCs w:val="18"/>
                <w:color w:val="auto"/>
              </w:rPr>
              <w:t>availability at the California natural gas portfolio</w:t>
            </w:r>
          </w:p>
        </w:tc>
        <w:tc>
          <w:tcPr>
            <w:tcW w:w="0" w:type="dxa"/>
            <w:vAlign w:val="bottom"/>
          </w:tcPr>
          <w:p>
            <w:pPr>
              <w:spacing w:after="0"/>
              <w:rPr>
                <w:sz w:val="1"/>
                <w:szCs w:val="1"/>
                <w:color w:val="auto"/>
              </w:rPr>
            </w:pPr>
          </w:p>
        </w:tc>
      </w:tr>
      <w:tr>
        <w:trPr>
          <w:trHeight w:val="176"/>
        </w:trPr>
        <w:tc>
          <w:tcPr>
            <w:tcW w:w="2340" w:type="dxa"/>
            <w:vAlign w:val="bottom"/>
            <w:vMerge w:val="continue"/>
          </w:tcPr>
          <w:p>
            <w:pPr>
              <w:spacing w:after="0"/>
              <w:rPr>
                <w:sz w:val="15"/>
                <w:szCs w:val="15"/>
                <w:color w:val="auto"/>
              </w:rPr>
            </w:pPr>
          </w:p>
        </w:tc>
        <w:tc>
          <w:tcPr>
            <w:tcW w:w="7500" w:type="dxa"/>
            <w:vAlign w:val="bottom"/>
          </w:tcPr>
          <w:p>
            <w:pPr>
              <w:ind w:left="280"/>
              <w:spacing w:after="0" w:line="176" w:lineRule="exact"/>
              <w:rPr>
                <w:sz w:val="20"/>
                <w:szCs w:val="20"/>
                <w:color w:val="auto"/>
              </w:rPr>
            </w:pPr>
            <w:r>
              <w:rPr>
                <w:rFonts w:ascii="Arial" w:cs="Arial" w:eastAsia="Arial" w:hAnsi="Arial"/>
                <w:sz w:val="18"/>
                <w:szCs w:val="18"/>
                <w:color w:val="auto"/>
                <w:w w:val="92"/>
              </w:rPr>
              <w:t>Increase in unrealized losses from changes in the fair value of power contracts, primarily driven by</w:t>
            </w:r>
          </w:p>
        </w:tc>
        <w:tc>
          <w:tcPr>
            <w:tcW w:w="0" w:type="dxa"/>
            <w:vAlign w:val="bottom"/>
          </w:tcPr>
          <w:p>
            <w:pPr>
              <w:spacing w:after="0"/>
              <w:rPr>
                <w:sz w:val="1"/>
                <w:szCs w:val="1"/>
                <w:color w:val="auto"/>
              </w:rPr>
            </w:pPr>
          </w:p>
        </w:tc>
      </w:tr>
      <w:tr>
        <w:trPr>
          <w:trHeight w:val="225"/>
        </w:trPr>
        <w:tc>
          <w:tcPr>
            <w:tcW w:w="2340" w:type="dxa"/>
            <w:vAlign w:val="bottom"/>
          </w:tcPr>
          <w:p>
            <w:pPr>
              <w:spacing w:after="0"/>
              <w:rPr>
                <w:sz w:val="20"/>
                <w:szCs w:val="20"/>
                <w:color w:val="auto"/>
              </w:rPr>
            </w:pPr>
            <w:r>
              <w:rPr>
                <w:rFonts w:ascii="Arial" w:cs="Arial" w:eastAsia="Arial" w:hAnsi="Arial"/>
                <w:sz w:val="18"/>
                <w:szCs w:val="18"/>
                <w:b w:val="1"/>
                <w:bCs w:val="1"/>
                <w:color w:val="auto"/>
              </w:rPr>
              <w:t>hedging activities</w:t>
            </w:r>
          </w:p>
        </w:tc>
        <w:tc>
          <w:tcPr>
            <w:tcW w:w="7500" w:type="dxa"/>
            <w:vAlign w:val="bottom"/>
          </w:tcPr>
          <w:p>
            <w:pPr>
              <w:ind w:left="280"/>
              <w:spacing w:after="0"/>
              <w:rPr>
                <w:sz w:val="20"/>
                <w:szCs w:val="20"/>
                <w:color w:val="auto"/>
              </w:rPr>
            </w:pPr>
            <w:r>
              <w:rPr>
                <w:rFonts w:ascii="Arial" w:cs="Arial" w:eastAsia="Arial" w:hAnsi="Arial"/>
                <w:sz w:val="18"/>
                <w:szCs w:val="18"/>
                <w:color w:val="auto"/>
              </w:rPr>
              <w:t>the acquisitions of Mt. Storm and Mesquite Star</w:t>
            </w:r>
          </w:p>
        </w:tc>
        <w:tc>
          <w:tcPr>
            <w:tcW w:w="0" w:type="dxa"/>
            <w:vAlign w:val="bottom"/>
          </w:tcPr>
          <w:p>
            <w:pPr>
              <w:spacing w:after="0"/>
              <w:rPr>
                <w:sz w:val="1"/>
                <w:szCs w:val="1"/>
                <w:color w:val="auto"/>
              </w:rPr>
            </w:pPr>
          </w:p>
        </w:tc>
      </w:tr>
      <w:tr>
        <w:trPr>
          <w:trHeight w:val="180"/>
        </w:trPr>
        <w:tc>
          <w:tcPr>
            <w:tcW w:w="2340" w:type="dxa"/>
            <w:vAlign w:val="bottom"/>
          </w:tcPr>
          <w:p>
            <w:pPr>
              <w:spacing w:after="0" w:line="181" w:lineRule="exact"/>
              <w:rPr>
                <w:sz w:val="20"/>
                <w:szCs w:val="20"/>
                <w:color w:val="auto"/>
              </w:rPr>
            </w:pPr>
            <w:r>
              <w:rPr>
                <w:rFonts w:ascii="Arial" w:cs="Arial" w:eastAsia="Arial" w:hAnsi="Arial"/>
                <w:sz w:val="18"/>
                <w:szCs w:val="18"/>
                <w:b w:val="1"/>
                <w:bCs w:val="1"/>
                <w:color w:val="auto"/>
              </w:rPr>
              <w:t>Contract amortization</w:t>
            </w:r>
          </w:p>
        </w:tc>
        <w:tc>
          <w:tcPr>
            <w:tcW w:w="7500" w:type="dxa"/>
            <w:vAlign w:val="bottom"/>
          </w:tcPr>
          <w:p>
            <w:pPr>
              <w:ind w:left="280"/>
              <w:spacing w:after="0" w:line="181" w:lineRule="exact"/>
              <w:rPr>
                <w:sz w:val="20"/>
                <w:szCs w:val="20"/>
                <w:color w:val="auto"/>
              </w:rPr>
            </w:pPr>
            <w:r>
              <w:rPr>
                <w:rFonts w:ascii="Arial" w:cs="Arial" w:eastAsia="Arial" w:hAnsi="Arial"/>
                <w:sz w:val="18"/>
                <w:szCs w:val="18"/>
                <w:color w:val="auto"/>
                <w:w w:val="93"/>
              </w:rPr>
              <w:t>Increase primarily driven by amortization of the intangible asset for power purchase agreement in</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connection with the acquisition of Agua Caliente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-1619885</wp:posOffset>
            </wp:positionV>
            <wp:extent cx="7132320" cy="5918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4"/>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6" w:hanging="1006"/>
        <w:spacing w:after="0"/>
        <w:tabs>
          <w:tab w:leader="none" w:pos="10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166</w:t>
      </w:r>
    </w:p>
    <w:p>
      <w:pPr>
        <w:spacing w:after="0" w:line="198"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198"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(82)</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 w:lineRule="exact"/>
        <w:rPr>
          <w:sz w:val="20"/>
          <w:szCs w:val="20"/>
          <w:color w:val="auto"/>
        </w:rPr>
      </w:pPr>
    </w:p>
    <w:p>
      <w:pPr>
        <w:ind w:left="1086" w:hanging="1086"/>
        <w:spacing w:after="0"/>
        <w:tabs>
          <w:tab w:leader="none" w:pos="10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91"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$45 million during the nine months ended September 30, 2021, compared to the same period in 2020, primarily due to the acquisition of solar and wind projects during the second half of 2020 and the first half of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Other costs of operations expense increased by $17 million during the nine months ended September 30, 2021, compared to the same period in 2020, primarily due to an increase in insurance and property taxes in the Renewables segment, the majority of which was related to the acquisition of solar and wind projects during the second half of 2020 and the first half of 2021, in addition to refunds of property taxes received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Depreciation, amortization and accretion expense increased by $84 million during the nine months ended September 30, 2021, compared to the same period in 2020, primarily due to an increase of $82 million in the Renewables segment. This includes a $20 million increase due to the consolidation of the DGPV investments in 2020 and a $43 million increase related to the acquisition of Aqua Caliente and Rattlesnake in the first quarter of 2021 and wind facilities acquired in the second half of 2020. In addition, approximately $27 million of accelerated depreciation was recorded in 2021 related to the repowering of the Pinnacle wind facility, partially offset by accelerated depreciation of $8 million recorded in the first nine months of 2020 for the repowering of the Wildorado wind facility.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Equity in earnings of unconsolidated affiliates increased by $10 million during the nine months ended September 30, 2021, compared to the same period in 2020, primarily driven by increased earnings from Desert Sunlight and Avenal in 2021, due to the acquisition of Mesquite Star on September 1, 2020, which had losses in 2020, and the consolidation of the DGPV investments on November 2, 2020, which had losses in 2020, partially offset by the acquisition of additional interest and consolidation of Agua Caliente in February 2021 and sale of the interests in RPV Holdco 1 LLC in May 2020, which had earnings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Spruce Power, which resulted in a gain on sale of investment of approximately $49 million. For further discussion on this transaction, see Item 1-Note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Loss on debt extinguishment increased by $33 million during the nine months ended September 30, 2021, compared to the same period in 2020, primarily driven by the write-off of previously deferred finance costs and payment of premiums related to the redemption of the 2025 Senior Notes in 2021, partially offset by the write-off of previously deferred finance costs related to the repayment of debt in 2020 for the Utah Solar Portfolio, Alpine, Blythe and Roadrunner, in connection with the related refinancing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decreased by $113 million during the nine months ended September 30, 2021, compared to the same period in 2020, primarily due to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5"/>
        </w:trPr>
        <w:tc>
          <w:tcPr>
            <w:tcW w:w="9600" w:type="dxa"/>
            <w:vAlign w:val="bottom"/>
          </w:tcPr>
          <w:p>
            <w:pPr>
              <w:ind w:left="20"/>
              <w:spacing w:after="0" w:line="176" w:lineRule="exact"/>
              <w:rPr>
                <w:sz w:val="20"/>
                <w:szCs w:val="20"/>
                <w:color w:val="auto"/>
              </w:rPr>
            </w:pPr>
            <w:r>
              <w:rPr>
                <w:rFonts w:ascii="Arial" w:cs="Arial" w:eastAsia="Arial" w:hAnsi="Arial"/>
                <w:sz w:val="18"/>
                <w:szCs w:val="18"/>
                <w:color w:val="auto"/>
              </w:rPr>
              <w:t>Increase in interest expense due to increased principal balances of project level debt primarily due to acquisitions in the</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0" w:type="dxa"/>
            <w:vAlign w:val="bottom"/>
          </w:tcPr>
          <w:p>
            <w:pPr>
              <w:ind w:left="20"/>
              <w:spacing w:after="0" w:line="176" w:lineRule="exact"/>
              <w:rPr>
                <w:sz w:val="20"/>
                <w:szCs w:val="20"/>
                <w:color w:val="auto"/>
              </w:rPr>
            </w:pPr>
            <w:r>
              <w:rPr>
                <w:rFonts w:ascii="Arial" w:cs="Arial" w:eastAsia="Arial" w:hAnsi="Arial"/>
                <w:sz w:val="18"/>
                <w:szCs w:val="18"/>
                <w:color w:val="auto"/>
                <w:w w:val="94"/>
              </w:rPr>
              <w:t>Renewables segment, partially offset by lower interest expense in the Conventional segment due to lower principal balances of</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project level debt</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Increase in Corporate interest expense due to additional issuance of the 2028 Senior Notes in May 2020,</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partially offset by lower interest expense related to revolver borrowings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2021, the Company recorded an income tax benefit of $12 million on a pretax loss of $31 million. For the same period in 2020, the Company recorded an income tax expense of $13 million on a pretax income of $24 million.</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2021 and September 30, 2020, the overall effective tax rate was different than the statutory rate of 21% primarily due to the taxable earnings and losses allocated to the partners' interest in Clearway Energy LLC, which includes the effects of applying HLBV method of accounting for book purposes for certain partnerships.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2021, the Company had a loss of $78 million attributable to noncontrolling interests and redeemable interests comprised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(In millions)</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8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2020, the Company had a loss of $39 million attributable to noncontrolling interests and redeemable interests comprised of the following:</w:t>
      </w:r>
    </w:p>
    <w:p>
      <w:pPr>
        <w:sectPr>
          <w:pgSz w:w="11900" w:h="16838" w:orient="portrait"/>
          <w:cols w:equalWidth="0" w:num="1">
            <w:col w:w="11240"/>
          </w:cols>
          <w:pgMar w:left="320" w:top="895" w:right="339" w:bottom="1440" w:gutter="0" w:footer="0" w:header="0"/>
        </w:sectPr>
      </w:pPr>
    </w:p>
    <w:p>
      <w:pPr>
        <w:spacing w:after="0" w:line="346" w:lineRule="exact"/>
        <w:rPr>
          <w:sz w:val="20"/>
          <w:szCs w:val="20"/>
          <w:color w:val="auto"/>
        </w:rPr>
      </w:pPr>
    </w:p>
    <w:p>
      <w:pPr>
        <w:ind w:left="20" w:right="1000"/>
        <w:spacing w:after="0" w:line="279" w:lineRule="auto"/>
        <w:rPr>
          <w:sz w:val="20"/>
          <w:szCs w:val="20"/>
          <w:color w:val="auto"/>
        </w:rPr>
      </w:pPr>
      <w:r>
        <w:rPr>
          <w:rFonts w:ascii="Arial" w:cs="Arial" w:eastAsia="Arial" w:hAnsi="Arial"/>
          <w:sz w:val="18"/>
          <w:szCs w:val="18"/>
          <w:color w:val="auto"/>
        </w:rPr>
        <w:t>Losses attributable to tax equity financing arrangements and the application of the HLBV method Losses attributable to CEG's interest in the Kawailoa, Oahu and Repowering partnerships 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(In millions)</w:t>
            </w:r>
          </w:p>
        </w:tc>
      </w:tr>
      <w:tr>
        <w:trPr>
          <w:trHeight w:val="222"/>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ind w:left="1590"/>
              <w:spacing w:after="0"/>
              <w:rPr>
                <w:sz w:val="20"/>
                <w:szCs w:val="20"/>
                <w:color w:val="auto"/>
              </w:rPr>
            </w:pPr>
            <w:r>
              <w:rPr>
                <w:rFonts w:ascii="Arial" w:cs="Arial" w:eastAsia="Arial" w:hAnsi="Arial"/>
                <w:sz w:val="18"/>
                <w:szCs w:val="18"/>
                <w:color w:val="auto"/>
                <w:w w:val="93"/>
              </w:rPr>
              <w:t>(50)</w:t>
            </w:r>
          </w:p>
        </w:tc>
      </w:tr>
      <w:tr>
        <w:trPr>
          <w:trHeight w:val="230"/>
        </w:trPr>
        <w:tc>
          <w:tcPr>
            <w:tcW w:w="440" w:type="dxa"/>
            <w:vAlign w:val="bottom"/>
          </w:tcPr>
          <w:p>
            <w:pPr>
              <w:spacing w:after="0"/>
              <w:rPr>
                <w:sz w:val="19"/>
                <w:szCs w:val="19"/>
                <w:color w:val="auto"/>
              </w:rPr>
            </w:pPr>
          </w:p>
        </w:tc>
        <w:tc>
          <w:tcPr>
            <w:tcW w:w="2020" w:type="dxa"/>
            <w:vAlign w:val="bottom"/>
          </w:tcPr>
          <w:p>
            <w:pPr>
              <w:jc w:val="center"/>
              <w:ind w:left="1590"/>
              <w:spacing w:after="0"/>
              <w:rPr>
                <w:sz w:val="20"/>
                <w:szCs w:val="20"/>
                <w:color w:val="auto"/>
              </w:rPr>
            </w:pPr>
            <w:r>
              <w:rPr>
                <w:rFonts w:ascii="Arial" w:cs="Arial" w:eastAsia="Arial" w:hAnsi="Arial"/>
                <w:sz w:val="18"/>
                <w:szCs w:val="18"/>
                <w:color w:val="auto"/>
                <w:w w:val="93"/>
              </w:rPr>
              <w:t>(36)</w:t>
            </w:r>
          </w:p>
        </w:tc>
      </w:tr>
      <w:tr>
        <w:trPr>
          <w:trHeight w:val="230"/>
        </w:trPr>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left="1590"/>
              <w:spacing w:after="0"/>
              <w:rPr>
                <w:sz w:val="20"/>
                <w:szCs w:val="20"/>
                <w:color w:val="auto"/>
              </w:rPr>
            </w:pPr>
            <w:r>
              <w:rPr>
                <w:rFonts w:ascii="Arial" w:cs="Arial" w:eastAsia="Arial" w:hAnsi="Arial"/>
                <w:sz w:val="18"/>
                <w:szCs w:val="18"/>
                <w:color w:val="auto"/>
                <w:w w:val="89"/>
              </w:rPr>
              <w:t>47</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center"/>
              <w:ind w:left="1590"/>
              <w:spacing w:after="0"/>
              <w:rPr>
                <w:sz w:val="20"/>
                <w:szCs w:val="20"/>
                <w:color w:val="auto"/>
              </w:rPr>
            </w:pPr>
            <w:r>
              <w:rPr>
                <w:rFonts w:ascii="Arial" w:cs="Arial" w:eastAsia="Arial" w:hAnsi="Arial"/>
                <w:sz w:val="18"/>
                <w:szCs w:val="18"/>
                <w:color w:val="auto"/>
                <w:w w:val="93"/>
              </w:rPr>
              <w:t>(39)</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460"/>
          </w:cols>
          <w:pgMar w:left="320" w:top="895" w:right="339"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2021</w:t>
      </w:r>
      <w:r>
        <w:rPr>
          <w:rFonts w:ascii="Arial" w:cs="Arial" w:eastAsia="Arial" w:hAnsi="Arial"/>
          <w:sz w:val="18"/>
          <w:szCs w:val="18"/>
          <w:color w:val="231F20"/>
        </w:rPr>
        <w:t xml:space="preserve"> and </w:t>
      </w:r>
      <w:r>
        <w:rPr>
          <w:rFonts w:ascii="Arial" w:cs="Arial" w:eastAsia="Arial" w:hAnsi="Arial"/>
          <w:sz w:val="18"/>
          <w:szCs w:val="18"/>
          <w:color w:val="000000"/>
        </w:rPr>
        <w:t>December 31, 2020</w:t>
      </w:r>
      <w:r>
        <w:rPr>
          <w:rFonts w:ascii="Arial" w:cs="Arial" w:eastAsia="Arial" w:hAnsi="Arial"/>
          <w:sz w:val="18"/>
          <w:szCs w:val="18"/>
          <w:color w:val="231F20"/>
        </w:rPr>
        <w:t>, the Company's liquidity was approximately $898 million and $894 million, respectively, comprised of cash, restricted cash and availability under the Company's revolving credit facility.</w:t>
      </w: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accounts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 availability</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$366 million and $197 million of restricted cash balances as of September 30, 2021 and December 31, 2020,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September 30, 2021, these restricted funds were comprised of $121 million designated to fund operating</w:t>
      </w:r>
      <w:r>
        <w:rPr>
          <w:rFonts w:ascii="Arial" w:cs="Arial" w:eastAsia="Arial" w:hAnsi="Arial"/>
          <w:sz w:val="16"/>
          <w:szCs w:val="16"/>
          <w:color w:val="231F20"/>
        </w:rPr>
        <w:t xml:space="preserve"> </w:t>
      </w:r>
      <w:r>
        <w:rPr>
          <w:rFonts w:ascii="Arial" w:cs="Arial" w:eastAsia="Arial" w:hAnsi="Arial"/>
          <w:sz w:val="16"/>
          <w:szCs w:val="16"/>
          <w:color w:val="000000"/>
        </w:rPr>
        <w:t>expenses, approximately $68 million designated for current debt service payments and $133 million restricted for reserves including debt service, performance obligations and other reserves, as well as capital expenditures. The remaining $44 million is held in distribution reserve accounts.</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2021, the Company had $77 million of borrowings under the revolving credit facility and $75 million in letters of credit outstanding. During the nine months ended September 30, 2021, the Company borrowed $377 million under the revolving credit facility, and subsequently repaid $300 million, utilizing cash on hand and the proceeds from the issuance of the 2031 Senior Notes. During October 2021, the Company repaid $32 million of its outstanding loans under the revolving credit facility and as of October 31, 2021, the Company had $45 million of loans outstanding and a total of $75 million in letters of credit outstanding.</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September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100" w:type="dxa"/>
            <w:vAlign w:val="bottom"/>
          </w:tcPr>
          <w:p>
            <w:pPr>
              <w:ind w:left="3220"/>
              <w:spacing w:after="0"/>
              <w:rPr>
                <w:sz w:val="20"/>
                <w:szCs w:val="20"/>
                <w:color w:val="auto"/>
              </w:rPr>
            </w:pPr>
            <w:r>
              <w:rPr>
                <w:rFonts w:ascii="Arial" w:cs="Arial" w:eastAsia="Arial" w:hAnsi="Arial"/>
                <w:sz w:val="14"/>
                <w:szCs w:val="14"/>
                <w:b w:val="1"/>
                <w:bCs w:val="1"/>
                <w:color w:val="auto"/>
              </w:rPr>
              <w:t>S&amp;P</w:t>
            </w:r>
          </w:p>
        </w:tc>
        <w:tc>
          <w:tcPr>
            <w:tcW w:w="1620" w:type="dxa"/>
            <w:vAlign w:val="bottom"/>
          </w:tcPr>
          <w:p>
            <w:pPr>
              <w:jc w:val="center"/>
              <w:ind w:left="34"/>
              <w:spacing w:after="0"/>
              <w:rPr>
                <w:sz w:val="20"/>
                <w:szCs w:val="20"/>
                <w:color w:val="auto"/>
              </w:rPr>
            </w:pPr>
            <w:r>
              <w:rPr>
                <w:rFonts w:ascii="Arial" w:cs="Arial" w:eastAsia="Arial" w:hAnsi="Arial"/>
                <w:sz w:val="14"/>
                <w:szCs w:val="14"/>
                <w:b w:val="1"/>
                <w:bCs w:val="1"/>
                <w:color w:val="auto"/>
                <w:w w:val="95"/>
              </w:rPr>
              <w:t>Moody's</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41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BB</w:t>
            </w:r>
          </w:p>
        </w:tc>
        <w:tc>
          <w:tcPr>
            <w:tcW w:w="16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Ba2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5.000% Senior Notes, due 2026</w:t>
            </w:r>
          </w:p>
        </w:tc>
        <w:tc>
          <w:tcPr>
            <w:tcW w:w="4100" w:type="dxa"/>
            <w:vAlign w:val="bottom"/>
          </w:tcPr>
          <w:p>
            <w:pPr>
              <w:ind w:left="3240"/>
              <w:spacing w:after="0"/>
              <w:rPr>
                <w:sz w:val="20"/>
                <w:szCs w:val="20"/>
                <w:color w:val="auto"/>
              </w:rPr>
            </w:pPr>
            <w:r>
              <w:rPr>
                <w:rFonts w:ascii="Arial" w:cs="Arial" w:eastAsia="Arial" w:hAnsi="Arial"/>
                <w:sz w:val="18"/>
                <w:szCs w:val="18"/>
                <w:color w:val="auto"/>
              </w:rPr>
              <w:t>BB</w:t>
            </w:r>
          </w:p>
        </w:tc>
        <w:tc>
          <w:tcPr>
            <w:tcW w:w="1620" w:type="dxa"/>
            <w:vAlign w:val="bottom"/>
          </w:tcPr>
          <w:p>
            <w:pPr>
              <w:jc w:val="center"/>
              <w:ind w:left="34"/>
              <w:spacing w:after="0"/>
              <w:rPr>
                <w:sz w:val="20"/>
                <w:szCs w:val="20"/>
                <w:color w:val="auto"/>
              </w:rPr>
            </w:pPr>
            <w:r>
              <w:rPr>
                <w:rFonts w:ascii="Arial" w:cs="Arial" w:eastAsia="Arial" w:hAnsi="Arial"/>
                <w:sz w:val="18"/>
                <w:szCs w:val="18"/>
                <w:color w:val="auto"/>
                <w:w w:val="93"/>
              </w:rPr>
              <w:t>Ba2</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Notes, due 2028</w:t>
            </w:r>
          </w:p>
        </w:tc>
        <w:tc>
          <w:tcPr>
            <w:tcW w:w="41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BB</w:t>
            </w:r>
          </w:p>
        </w:tc>
        <w:tc>
          <w:tcPr>
            <w:tcW w:w="16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Ba2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3.750% Senior Notes, due 2031</w:t>
            </w:r>
          </w:p>
        </w:tc>
        <w:tc>
          <w:tcPr>
            <w:tcW w:w="4100" w:type="dxa"/>
            <w:vAlign w:val="bottom"/>
          </w:tcPr>
          <w:p>
            <w:pPr>
              <w:ind w:left="3240"/>
              <w:spacing w:after="0"/>
              <w:rPr>
                <w:sz w:val="20"/>
                <w:szCs w:val="20"/>
                <w:color w:val="auto"/>
              </w:rPr>
            </w:pPr>
            <w:r>
              <w:rPr>
                <w:rFonts w:ascii="Arial" w:cs="Arial" w:eastAsia="Arial" w:hAnsi="Arial"/>
                <w:sz w:val="18"/>
                <w:szCs w:val="18"/>
                <w:color w:val="auto"/>
              </w:rPr>
              <w:t>BB</w:t>
            </w:r>
          </w:p>
        </w:tc>
        <w:tc>
          <w:tcPr>
            <w:tcW w:w="1620" w:type="dxa"/>
            <w:vAlign w:val="bottom"/>
          </w:tcPr>
          <w:p>
            <w:pPr>
              <w:jc w:val="center"/>
              <w:ind w:left="34"/>
              <w:spacing w:after="0"/>
              <w:rPr>
                <w:sz w:val="20"/>
                <w:szCs w:val="20"/>
                <w:color w:val="auto"/>
              </w:rPr>
            </w:pPr>
            <w:r>
              <w:rPr>
                <w:rFonts w:ascii="Arial" w:cs="Arial" w:eastAsia="Arial" w:hAnsi="Arial"/>
                <w:sz w:val="18"/>
                <w:szCs w:val="18"/>
                <w:color w:val="auto"/>
                <w:w w:val="93"/>
              </w:rPr>
              <w:t>Ba2</w:t>
            </w: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consolidated financial statements included in the Company's 2020 Form 10-K, the Company's financing arrangements consist of corporate level debt, which includes Senior Notes and the revolving credit facility; the ATM Programs;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 of Thermal Business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22, 2021, Clearway Energy Operating LLC entered into a binding agreement to sell the Thermal Business to an affiliate of KKR &amp; Co. Inc. for total consideration of $1.9 billion, subject to customary closing adjustments. Based on current estimates, the Company expects total net cash proceeds of approximately $1.3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$343 million available under the revolving credit facility as of September 30, 2021. The facility will continue to be used for general corporate purposes including financing of future acquisitions and posting letters of credit.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2032 Senior Notes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and interest payments will commence on January 15, 2022. The 2032 Senior Notes are unsecured obligations of Clearway Energy Operating LLC and are guaranteed by Clearway Energy LLC and by certain of Clearway Energy Operating LLC's wholly owned current and future subsidiaries. The net proceeds from the 2032 Senior Notes were used, together with existing corporate liquidity, to repurchase the 2026 Senior Notes.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2031 Senior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commenced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and to reimburse Clearway Renew LLC for equipment purchases and pay vendor invoices and fees.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left="420"/>
        <w:spacing w:after="0"/>
        <w:rPr>
          <w:sz w:val="20"/>
          <w:szCs w:val="20"/>
          <w:color w:val="auto"/>
        </w:rPr>
      </w:pPr>
      <w:r>
        <w:rPr>
          <w:rFonts w:ascii="Arial" w:cs="Arial" w:eastAsia="Arial" w:hAnsi="Arial"/>
          <w:sz w:val="18"/>
          <w:szCs w:val="18"/>
          <w:i w:val="1"/>
          <w:iCs w:val="1"/>
          <w:color w:val="auto"/>
        </w:rPr>
        <w:t>Oahu and Kawailoa Hawaii Refundable Tax Credits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September 30, 2021, $13 million has been utilized to offset invoiced amounts under the projects' PPAs.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cash dividends to investors.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For the nine months ended </w:t>
      </w:r>
      <w:r>
        <w:rPr>
          <w:rFonts w:ascii="Arial" w:cs="Arial" w:eastAsia="Arial" w:hAnsi="Arial"/>
          <w:sz w:val="18"/>
          <w:szCs w:val="18"/>
          <w:color w:val="000000"/>
        </w:rPr>
        <w:t>September 30, 2021</w:t>
      </w:r>
      <w:r>
        <w:rPr>
          <w:rFonts w:ascii="Arial" w:cs="Arial" w:eastAsia="Arial" w:hAnsi="Arial"/>
          <w:sz w:val="18"/>
          <w:szCs w:val="18"/>
          <w:color w:val="231F20"/>
        </w:rPr>
        <w:t xml:space="preserve">, the Company used approximately $124 million to fund capital expenditures, including growth </w:t>
      </w:r>
      <w:r>
        <w:rPr>
          <w:rFonts w:ascii="Arial" w:cs="Arial" w:eastAsia="Arial" w:hAnsi="Arial"/>
          <w:sz w:val="18"/>
          <w:szCs w:val="18"/>
          <w:color w:val="000000"/>
        </w:rPr>
        <w:t>expenditures of $81 million in the Renewables segment, $34 million incurred in connection with the repowering of the Pinnacle wind project, $18 million incurred in connection with the Rosamond Central solar project, $17 million incurred in connection with the Rattlesnake wind project and $12 million incurred in connection with the Mesquite Star wind project. The Company also incurred $26 million of growth capital expenditures in the Thermal and Conventional segments in connection with various development projects. In addition, the Company incurred $17 million in maintenance capital expenditures. The Company estimates $28 million of maintenance expenditures for 2021. These estimates are subject to continuing review and adjustment. Actual capital expenditures may vary from these estimates.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CWSP Rattlesnake Holding LLC, which indirectly owns the Rattlesnake wind project, a 160 MW wind facility located in Adams County, Washington for $132 million in cash consideration. The Company's net capital commitment was $119 million after proceeds from a state sales and use tax refund, which was received in May 2021.</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NRG Energy, Inc. for $202 million. Agua Caliente is a 290 MW solar project located in Dateland, Arizona in which the Company previously owned a 16% equity interest.</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Pinnacle Wind Repowering </w:t>
      </w:r>
      <w:r>
        <w:rPr>
          <w:rFonts w:ascii="Arial" w:cs="Arial" w:eastAsia="Arial" w:hAnsi="Arial"/>
          <w:sz w:val="17"/>
          <w:szCs w:val="17"/>
          <w:color w:val="auto"/>
        </w:rPr>
        <w:t>— On February 26, 2021, the Company, through an indirect subsidiary, entered into an amended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Commercial operations and corporate capital funding for the Pinnacle wind repowering are expected to occur in the fourth quarter of 2021. Additionally, on March 10, 2021, the Pinnacle wind project acquired equipment from CEG for $21 million in cash consideration.</w:t>
      </w:r>
    </w:p>
    <w:p>
      <w:pPr>
        <w:spacing w:after="0" w:line="12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Mt. Storm Acquisition </w:t>
      </w:r>
      <w:r>
        <w:rPr>
          <w:rFonts w:ascii="Arial" w:cs="Arial" w:eastAsia="Arial" w:hAnsi="Arial"/>
          <w:sz w:val="17"/>
          <w:szCs w:val="17"/>
          <w:color w:val="auto"/>
        </w:rPr>
        <w:t>— On April 23, 2021, the Company acquired 100% of the equity interests in NedPower Mount Storm LLC, or Mt. Storm,</w:t>
      </w:r>
      <w:r>
        <w:rPr>
          <w:rFonts w:ascii="Arial" w:cs="Arial" w:eastAsia="Arial" w:hAnsi="Arial"/>
          <w:sz w:val="17"/>
          <w:szCs w:val="17"/>
          <w:i w:val="1"/>
          <w:iCs w:val="1"/>
          <w:color w:val="auto"/>
        </w:rPr>
        <w:t xml:space="preserve"> </w:t>
      </w:r>
      <w:r>
        <w:rPr>
          <w:rFonts w:ascii="Arial" w:cs="Arial" w:eastAsia="Arial" w:hAnsi="Arial"/>
          <w:sz w:val="17"/>
          <w:szCs w:val="17"/>
          <w:color w:val="auto"/>
        </w:rPr>
        <w:t>from Castleton Commodities International for approximately $96 million before working capital and purchase price adjustments in the net amount of $4 million, representing a total cash outflow of $100 million. Mt. Storm is a 264 MW wind project located in Grant County, West Virginia.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Utah Solar Portfolio Additional Interest Acquisition </w:t>
      </w:r>
      <w:r>
        <w:rPr>
          <w:rFonts w:ascii="Arial" w:cs="Arial" w:eastAsia="Arial" w:hAnsi="Arial"/>
          <w:sz w:val="16"/>
          <w:szCs w:val="16"/>
          <w:color w:val="auto"/>
        </w:rPr>
        <w:t>— On August 20, 2021, the Company signed a binding agreement with Dominion Solar</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III, Inc., to acquire the remaining 50% equity interest in the Utah Solar Portfolio for approximately $335 million in cash, subject to customary working capital adjustments. The Utah Solar Portfolio consists of seven utility-scale solar farms located in Utah representing 530 MW of capacity. The assets within the portfolio sell power subject to 20-year PPAs with PacifiCorp that have approximately 15 years remaining under the agreements. The Company currently owns a 50% equity interest in the Utah Solar Portfolio and, upon closing, will own 100% of the membership interests in the Utah Solar Portfolio. The closing of the transaction is subject to customary regulatory approvals and is expected to be completed in the fourth quarter of 2021. Following the close of the transaction, the Company will remove its equity method investment and consolidate its interests in the Utah Solar Portfolio.</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Lighthouse Partnership Agreements </w:t>
      </w:r>
      <w:r>
        <w:rPr>
          <w:rFonts w:ascii="Arial" w:cs="Arial" w:eastAsia="Arial" w:hAnsi="Arial"/>
          <w:sz w:val="18"/>
          <w:szCs w:val="18"/>
          <w:color w:val="auto"/>
        </w:rPr>
        <w:t>— On December 21, 2020, subsidiaries of the Company entered into the Lighthouse Partnership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for the Company's co-investment in a portfolio of renewable energy projects developed by CEG. The Company expects to invest approximately $142 million in 2021 for 50% cash equity interests in the Mesquite Sky and Black Rock wind projects, subject to closing adjustments and the projects achieving certain milestones.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Repurchases</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2026 Senior Notes Tender Offer and Redemption — </w:t>
      </w:r>
      <w:r>
        <w:rPr>
          <w:rFonts w:ascii="Arial" w:cs="Arial" w:eastAsia="Arial" w:hAnsi="Arial"/>
          <w:sz w:val="17"/>
          <w:szCs w:val="17"/>
          <w:color w:val="auto"/>
        </w:rPr>
        <w:t>On October 1, 2021, the Company completed the repurchase of an aggregate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$123 million, or 35.3%, of the 2026 Senior Notes outstanding as part of the cash tender offer announced on September 24, 2021. Concurrently with the launch of the tender offer, the Company exercised its right to optionally redeem the remaining principal amount of $227 million not validly tendered and purchased in the tender offer, pursuant to the terms of the indenture governing the 2026 Senior Notes. The 2026 Senior Notes repurchased and redeemed in October 2021 were effectuated at a premium of approximately 103% for total consideration of $359 million.</w:t>
      </w:r>
    </w:p>
    <w:p>
      <w:pPr>
        <w:spacing w:after="0" w:line="1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2025 Senior Notes Tender Offer and Redemption — </w:t>
      </w:r>
      <w:r>
        <w:rPr>
          <w:rFonts w:ascii="Arial" w:cs="Arial" w:eastAsia="Arial" w:hAnsi="Arial"/>
          <w:sz w:val="17"/>
          <w:szCs w:val="17"/>
          <w:color w:val="auto"/>
        </w:rPr>
        <w:t>On March 9, 2021, the Company completed the repurchase of an aggregate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$411 million, or 68.6%, of the 2025 Senior Notes outstanding as part of the cash tender offer announced on March 2, 2021. Additionally, $6 million of the 2025 Senior Notes that were subject to guaranteed delivery procedures were repurchased on March 11, 2021. Concurrently with the launch of the tender offer, the Company exercised its right to optionally redeem the remaining principal amount of $183 million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7"/>
          <w:szCs w:val="17"/>
          <w:color w:val="000000"/>
        </w:rPr>
        <w:t>he Class A common stock and Class C common stock are subject to available</w:t>
      </w:r>
      <w:r>
        <w:rPr>
          <w:rFonts w:ascii="Arial" w:cs="Arial" w:eastAsia="Arial" w:hAnsi="Arial"/>
          <w:sz w:val="17"/>
          <w:szCs w:val="17"/>
          <w:color w:val="231F20"/>
        </w:rPr>
        <w:t xml:space="preserve"> </w:t>
      </w:r>
      <w:r>
        <w:rPr>
          <w:rFonts w:ascii="Arial" w:cs="Arial" w:eastAsia="Arial" w:hAnsi="Arial"/>
          <w:sz w:val="17"/>
          <w:szCs w:val="17"/>
          <w:color w:val="000000"/>
        </w:rPr>
        <w:t>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First Quarter</w:t>
            </w:r>
          </w:p>
        </w:tc>
      </w:tr>
      <w:tr>
        <w:trPr>
          <w:trHeight w:val="188"/>
        </w:trPr>
        <w:tc>
          <w:tcPr>
            <w:tcW w:w="7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3, 2021, the Company declared quarterly dividends on its Class A common stock and Class C common stock of $0.34 per share payable on December 15, 2021, to stockholders of record as of December 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nine months ended September 30, 2021,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7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r>
      <w:tr>
        <w:trPr>
          <w:trHeight w:val="183"/>
        </w:trPr>
        <w:tc>
          <w:tcPr>
            <w:tcW w:w="7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(430)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ectPr>
          <w:pgSz w:w="11900" w:h="16838" w:orient="portrait"/>
          <w:cols w:equalWidth="0" w:num="1">
            <w:col w:w="11240"/>
          </w:cols>
          <w:pgMar w:left="320" w:top="891" w:right="339" w:bottom="1440" w:gutter="0" w:footer="0" w:header="0"/>
        </w:sectPr>
      </w:pP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 in operating income adjusted for non-cash items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40" w:right="80" w:firstLine="405"/>
        <w:spacing w:after="0" w:line="234" w:lineRule="auto"/>
        <w:rPr>
          <w:sz w:val="20"/>
          <w:szCs w:val="20"/>
          <w:color w:val="auto"/>
        </w:rPr>
      </w:pPr>
      <w:r>
        <w:rPr>
          <w:rFonts w:ascii="Arial" w:cs="Arial" w:eastAsia="Arial" w:hAnsi="Arial"/>
          <w:sz w:val="18"/>
          <w:szCs w:val="18"/>
          <w:color w:val="auto"/>
        </w:rPr>
        <w:t>Decrease in working capital primarily driven by the timing of accounts receivable collections and payments of accounts payable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p>
      <w:pPr>
        <w:ind w:left="900" w:hanging="898"/>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137</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(26)</w:t>
      </w:r>
    </w:p>
    <w:p>
      <w:pPr>
        <w:spacing w:after="0" w:line="2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14605</wp:posOffset>
            </wp:positionV>
            <wp:extent cx="10541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6" w:lineRule="exact"/>
        <w:rPr>
          <w:sz w:val="20"/>
          <w:szCs w:val="20"/>
          <w:color w:val="auto"/>
        </w:rPr>
      </w:pPr>
    </w:p>
    <w:p>
      <w:pPr>
        <w:ind w:left="980" w:hanging="978"/>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14605</wp:posOffset>
            </wp:positionV>
            <wp:extent cx="10541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40640</wp:posOffset>
            </wp:positionV>
            <wp:extent cx="10541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0" w:space="720"/>
            <w:col w:w="1280"/>
          </w:cols>
          <w:pgMar w:left="320" w:top="891" w:right="339" w:bottom="1440" w:gutter="0" w:footer="0" w:header="0"/>
          <w:type w:val="continuous"/>
        </w:sectPr>
      </w:pPr>
    </w:p>
    <w:p>
      <w:pPr>
        <w:spacing w:after="0" w:line="79"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ectPr>
          <w:pgSz w:w="11900" w:h="16838" w:orient="portrait"/>
          <w:cols w:equalWidth="0" w:num="1">
            <w:col w:w="11240"/>
          </w:cols>
          <w:pgMar w:left="320" w:top="891" w:right="339" w:bottom="1440" w:gutter="0" w:footer="0" w:header="0"/>
          <w:type w:val="continuous"/>
        </w:sectPr>
      </w:pP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paid for the Agua Caliente and Mt. Storm acquisitions, net of cash acquired in 2021</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Proceeds received from the sale of RPV Holdco, Energy Center Dover LLC and Energy Center Smyrna LLC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0628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cash paid for Drop Down assets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540" w:right="2760"/>
        <w:spacing w:after="0" w:line="292" w:lineRule="auto"/>
        <w:rPr>
          <w:sz w:val="20"/>
          <w:szCs w:val="20"/>
          <w:color w:val="auto"/>
        </w:rPr>
      </w:pPr>
      <w:r>
        <w:rPr>
          <w:rFonts w:ascii="Arial" w:cs="Arial" w:eastAsia="Arial" w:hAnsi="Arial"/>
          <w:sz w:val="18"/>
          <w:szCs w:val="18"/>
          <w:color w:val="auto"/>
        </w:rPr>
        <w:t>Cash paid to CEG in 2021 for equipment for the Pinnacle wind project repowering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0628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40" w:firstLine="405"/>
        <w:spacing w:after="0" w:line="234" w:lineRule="auto"/>
        <w:rPr>
          <w:sz w:val="20"/>
          <w:szCs w:val="20"/>
          <w:color w:val="auto"/>
        </w:rPr>
      </w:pPr>
      <w:r>
        <w:rPr>
          <w:rFonts w:ascii="Arial" w:cs="Arial" w:eastAsia="Arial" w:hAnsi="Arial"/>
          <w:sz w:val="18"/>
          <w:szCs w:val="18"/>
          <w:color w:val="auto"/>
        </w:rPr>
        <w:t>Increase in proceeds from issuance of long-term debt net of payments primarily due to issuance of the 2031 Senior Notes and the Pinnacle financing agreement in 2021</w:t>
      </w:r>
    </w:p>
    <w:p>
      <w:pPr>
        <w:spacing w:after="0" w:line="1" w:lineRule="exact"/>
        <w:rPr>
          <w:sz w:val="20"/>
          <w:szCs w:val="20"/>
          <w:color w:val="auto"/>
        </w:rPr>
      </w:pPr>
    </w:p>
    <w:p>
      <w:pPr>
        <w:ind w:left="540" w:right="1960"/>
        <w:spacing w:after="0" w:line="266" w:lineRule="auto"/>
        <w:rPr>
          <w:sz w:val="20"/>
          <w:szCs w:val="20"/>
          <w:color w:val="auto"/>
        </w:rPr>
      </w:pPr>
      <w:r>
        <w:rPr>
          <w:rFonts w:ascii="Arial" w:cs="Arial" w:eastAsia="Arial" w:hAnsi="Arial"/>
          <w:sz w:val="18"/>
          <w:szCs w:val="18"/>
          <w:color w:val="auto"/>
        </w:rPr>
        <w:t>Increase in net contributions from noncontrolling interest members in 2021 compared to 2020 Increase in net proceeds under the revolving line of credit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062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540" w:right="3380"/>
        <w:spacing w:after="0" w:line="266" w:lineRule="auto"/>
        <w:rPr>
          <w:sz w:val="20"/>
          <w:szCs w:val="20"/>
          <w:color w:val="auto"/>
        </w:rPr>
      </w:pPr>
      <w:r>
        <w:rPr>
          <w:rFonts w:ascii="Arial" w:cs="Arial" w:eastAsia="Arial" w:hAnsi="Arial"/>
          <w:sz w:val="18"/>
          <w:szCs w:val="18"/>
          <w:color w:val="auto"/>
        </w:rPr>
        <w:t>Buyout of Repowering Partnership II LLC noncontrolling interest in 2020 Net proceeds from equity issuance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062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Increase in dividends paid to common stockholders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38"/>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p>
      <w:pPr>
        <w:ind w:left="818" w:hanging="818"/>
        <w:spacing w:after="0"/>
        <w:tabs>
          <w:tab w:leader="none" w:pos="818" w:val="left"/>
        </w:tabs>
        <w:numPr>
          <w:ilvl w:val="0"/>
          <w:numId w:val="37"/>
        </w:numPr>
        <w:rPr>
          <w:rFonts w:ascii="Arial" w:cs="Arial" w:eastAsia="Arial" w:hAnsi="Arial"/>
          <w:sz w:val="17"/>
          <w:szCs w:val="17"/>
          <w:color w:val="auto"/>
        </w:rPr>
      </w:pPr>
      <w:r>
        <w:rPr>
          <w:rFonts w:ascii="Arial" w:cs="Arial" w:eastAsia="Arial" w:hAnsi="Arial"/>
          <w:sz w:val="17"/>
          <w:szCs w:val="17"/>
          <w:color w:val="auto"/>
        </w:rPr>
        <w:t>(211)</w:t>
      </w:r>
    </w:p>
    <w:p>
      <w:pPr>
        <w:spacing w:after="0" w:line="34" w:lineRule="exact"/>
        <w:rPr>
          <w:rFonts w:ascii="Arial" w:cs="Arial" w:eastAsia="Arial" w:hAnsi="Arial"/>
          <w:sz w:val="17"/>
          <w:szCs w:val="17"/>
          <w:color w:val="auto"/>
        </w:rPr>
      </w:pPr>
    </w:p>
    <w:p>
      <w:pPr>
        <w:ind w:left="918"/>
        <w:spacing w:after="0"/>
        <w:rPr>
          <w:rFonts w:ascii="Arial" w:cs="Arial" w:eastAsia="Arial" w:hAnsi="Arial"/>
          <w:sz w:val="17"/>
          <w:szCs w:val="17"/>
          <w:color w:val="auto"/>
        </w:rPr>
      </w:pPr>
      <w:r>
        <w:rPr>
          <w:rFonts w:ascii="Arial" w:cs="Arial" w:eastAsia="Arial" w:hAnsi="Arial"/>
          <w:sz w:val="16"/>
          <w:szCs w:val="16"/>
          <w:color w:val="auto"/>
        </w:rPr>
        <w:t>(90)</w:t>
      </w:r>
    </w:p>
    <w:p>
      <w:pPr>
        <w:spacing w:after="0" w:line="45" w:lineRule="exact"/>
        <w:rPr>
          <w:rFonts w:ascii="Arial" w:cs="Arial" w:eastAsia="Arial" w:hAnsi="Arial"/>
          <w:sz w:val="17"/>
          <w:szCs w:val="17"/>
          <w:color w:val="auto"/>
        </w:rPr>
      </w:pPr>
    </w:p>
    <w:p>
      <w:pPr>
        <w:ind w:left="918"/>
        <w:spacing w:after="0"/>
        <w:rPr>
          <w:rFonts w:ascii="Arial" w:cs="Arial" w:eastAsia="Arial" w:hAnsi="Arial"/>
          <w:sz w:val="17"/>
          <w:szCs w:val="17"/>
          <w:color w:val="auto"/>
        </w:rPr>
      </w:pPr>
      <w:r>
        <w:rPr>
          <w:rFonts w:ascii="Arial" w:cs="Arial" w:eastAsia="Arial" w:hAnsi="Arial"/>
          <w:sz w:val="16"/>
          <w:szCs w:val="16"/>
          <w:color w:val="auto"/>
        </w:rPr>
        <w:t>(53)</w:t>
      </w:r>
    </w:p>
    <w:p>
      <w:pPr>
        <w:spacing w:after="0" w:line="45" w:lineRule="exact"/>
        <w:rPr>
          <w:rFonts w:ascii="Arial" w:cs="Arial" w:eastAsia="Arial" w:hAnsi="Arial"/>
          <w:sz w:val="17"/>
          <w:szCs w:val="17"/>
          <w:color w:val="auto"/>
        </w:rPr>
      </w:pPr>
    </w:p>
    <w:p>
      <w:pPr>
        <w:ind w:left="918"/>
        <w:spacing w:after="0"/>
        <w:rPr>
          <w:rFonts w:ascii="Arial" w:cs="Arial" w:eastAsia="Arial" w:hAnsi="Arial"/>
          <w:sz w:val="17"/>
          <w:szCs w:val="17"/>
          <w:color w:val="auto"/>
        </w:rPr>
      </w:pPr>
      <w:r>
        <w:rPr>
          <w:rFonts w:ascii="Arial" w:cs="Arial" w:eastAsia="Arial" w:hAnsi="Arial"/>
          <w:sz w:val="16"/>
          <w:szCs w:val="16"/>
          <w:color w:val="auto"/>
        </w:rPr>
        <w:t>(29)</w:t>
      </w:r>
    </w:p>
    <w:p>
      <w:pPr>
        <w:spacing w:after="0" w:line="45" w:lineRule="exact"/>
        <w:rPr>
          <w:rFonts w:ascii="Arial" w:cs="Arial" w:eastAsia="Arial" w:hAnsi="Arial"/>
          <w:sz w:val="17"/>
          <w:szCs w:val="17"/>
          <w:color w:val="auto"/>
        </w:rPr>
      </w:pPr>
    </w:p>
    <w:p>
      <w:pPr>
        <w:ind w:left="918"/>
        <w:spacing w:after="0"/>
        <w:rPr>
          <w:rFonts w:ascii="Arial" w:cs="Arial" w:eastAsia="Arial" w:hAnsi="Arial"/>
          <w:sz w:val="17"/>
          <w:szCs w:val="17"/>
          <w:color w:val="auto"/>
        </w:rPr>
      </w:pPr>
      <w:r>
        <w:rPr>
          <w:rFonts w:ascii="Arial" w:cs="Arial" w:eastAsia="Arial" w:hAnsi="Arial"/>
          <w:sz w:val="16"/>
          <w:szCs w:val="16"/>
          <w:color w:val="auto"/>
        </w:rPr>
        <w:t>(21)</w:t>
      </w:r>
    </w:p>
    <w:p>
      <w:pPr>
        <w:spacing w:after="0" w:line="45" w:lineRule="exact"/>
        <w:rPr>
          <w:rFonts w:ascii="Arial" w:cs="Arial" w:eastAsia="Arial" w:hAnsi="Arial"/>
          <w:sz w:val="17"/>
          <w:szCs w:val="17"/>
          <w:color w:val="auto"/>
        </w:rPr>
      </w:pPr>
    </w:p>
    <w:p>
      <w:pPr>
        <w:ind w:left="998"/>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35" w:lineRule="exact"/>
        <w:rPr>
          <w:sz w:val="20"/>
          <w:szCs w:val="20"/>
          <w:color w:val="auto"/>
        </w:rPr>
      </w:pPr>
    </w:p>
    <w:p>
      <w:pPr>
        <w:ind w:left="818" w:hanging="818"/>
        <w:spacing w:after="0"/>
        <w:tabs>
          <w:tab w:leader="none" w:pos="8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47625</wp:posOffset>
            </wp:positionV>
            <wp:extent cx="10541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38"/>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ind w:left="898" w:hanging="898"/>
        <w:spacing w:after="0"/>
        <w:tabs>
          <w:tab w:leader="none" w:pos="8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146</w:t>
      </w:r>
    </w:p>
    <w:p>
      <w:pPr>
        <w:spacing w:after="0" w:line="23" w:lineRule="exact"/>
        <w:rPr>
          <w:rFonts w:ascii="Arial" w:cs="Arial" w:eastAsia="Arial" w:hAnsi="Arial"/>
          <w:sz w:val="18"/>
          <w:szCs w:val="18"/>
          <w:color w:val="auto"/>
        </w:rPr>
      </w:pPr>
    </w:p>
    <w:p>
      <w:pPr>
        <w:ind w:left="898"/>
        <w:spacing w:after="0"/>
        <w:rPr>
          <w:rFonts w:ascii="Arial" w:cs="Arial" w:eastAsia="Arial" w:hAnsi="Arial"/>
          <w:sz w:val="18"/>
          <w:szCs w:val="18"/>
          <w:color w:val="auto"/>
        </w:rPr>
      </w:pPr>
      <w:r>
        <w:rPr>
          <w:rFonts w:ascii="Arial" w:cs="Arial" w:eastAsia="Arial" w:hAnsi="Arial"/>
          <w:sz w:val="18"/>
          <w:szCs w:val="18"/>
          <w:color w:val="auto"/>
        </w:rPr>
        <w:t>104</w:t>
      </w:r>
    </w:p>
    <w:p>
      <w:pPr>
        <w:spacing w:after="0" w:line="22" w:lineRule="exact"/>
        <w:rPr>
          <w:rFonts w:ascii="Arial" w:cs="Arial" w:eastAsia="Arial" w:hAnsi="Arial"/>
          <w:sz w:val="18"/>
          <w:szCs w:val="18"/>
          <w:color w:val="auto"/>
        </w:rPr>
      </w:pPr>
    </w:p>
    <w:p>
      <w:pPr>
        <w:ind w:left="978"/>
        <w:spacing w:after="0"/>
        <w:rPr>
          <w:rFonts w:ascii="Arial" w:cs="Arial" w:eastAsia="Arial" w:hAnsi="Arial"/>
          <w:sz w:val="18"/>
          <w:szCs w:val="18"/>
          <w:color w:val="auto"/>
        </w:rPr>
      </w:pPr>
      <w:r>
        <w:rPr>
          <w:rFonts w:ascii="Arial" w:cs="Arial" w:eastAsia="Arial" w:hAnsi="Arial"/>
          <w:sz w:val="18"/>
          <w:szCs w:val="18"/>
          <w:color w:val="auto"/>
        </w:rPr>
        <w:t>77</w:t>
      </w:r>
    </w:p>
    <w:p>
      <w:pPr>
        <w:spacing w:after="0" w:line="22" w:lineRule="exact"/>
        <w:rPr>
          <w:rFonts w:ascii="Arial" w:cs="Arial" w:eastAsia="Arial" w:hAnsi="Arial"/>
          <w:sz w:val="18"/>
          <w:szCs w:val="18"/>
          <w:color w:val="auto"/>
        </w:rPr>
      </w:pPr>
    </w:p>
    <w:p>
      <w:pPr>
        <w:ind w:left="978"/>
        <w:spacing w:after="0"/>
        <w:rPr>
          <w:rFonts w:ascii="Arial" w:cs="Arial" w:eastAsia="Arial" w:hAnsi="Arial"/>
          <w:sz w:val="18"/>
          <w:szCs w:val="18"/>
          <w:color w:val="auto"/>
        </w:rPr>
      </w:pPr>
      <w:r>
        <w:rPr>
          <w:rFonts w:ascii="Arial" w:cs="Arial" w:eastAsia="Arial" w:hAnsi="Arial"/>
          <w:sz w:val="18"/>
          <w:szCs w:val="18"/>
          <w:color w:val="auto"/>
        </w:rPr>
        <w:t>70</w:t>
      </w:r>
    </w:p>
    <w:p>
      <w:pPr>
        <w:spacing w:after="0" w:line="22" w:lineRule="exact"/>
        <w:rPr>
          <w:rFonts w:ascii="Arial" w:cs="Arial" w:eastAsia="Arial" w:hAnsi="Arial"/>
          <w:sz w:val="18"/>
          <w:szCs w:val="18"/>
          <w:color w:val="auto"/>
        </w:rPr>
      </w:pPr>
    </w:p>
    <w:p>
      <w:pPr>
        <w:ind w:left="918"/>
        <w:spacing w:after="0"/>
        <w:rPr>
          <w:rFonts w:ascii="Arial" w:cs="Arial" w:eastAsia="Arial" w:hAnsi="Arial"/>
          <w:sz w:val="18"/>
          <w:szCs w:val="18"/>
          <w:color w:val="auto"/>
        </w:rPr>
      </w:pPr>
      <w:r>
        <w:rPr>
          <w:rFonts w:ascii="Arial" w:cs="Arial" w:eastAsia="Arial" w:hAnsi="Arial"/>
          <w:sz w:val="16"/>
          <w:szCs w:val="16"/>
          <w:color w:val="auto"/>
        </w:rPr>
        <w:t>(58)</w:t>
      </w:r>
    </w:p>
    <w:p>
      <w:pPr>
        <w:spacing w:after="0" w:line="45" w:lineRule="exact"/>
        <w:rPr>
          <w:rFonts w:ascii="Arial" w:cs="Arial" w:eastAsia="Arial" w:hAnsi="Arial"/>
          <w:sz w:val="18"/>
          <w:szCs w:val="18"/>
          <w:color w:val="auto"/>
        </w:rPr>
      </w:pPr>
    </w:p>
    <w:p>
      <w:pPr>
        <w:ind w:left="918"/>
        <w:spacing w:after="0"/>
        <w:rPr>
          <w:rFonts w:ascii="Arial" w:cs="Arial" w:eastAsia="Arial" w:hAnsi="Arial"/>
          <w:sz w:val="18"/>
          <w:szCs w:val="18"/>
          <w:color w:val="auto"/>
        </w:rPr>
      </w:pPr>
      <w:r>
        <w:rPr>
          <w:rFonts w:ascii="Arial" w:cs="Arial" w:eastAsia="Arial" w:hAnsi="Arial"/>
          <w:sz w:val="16"/>
          <w:szCs w:val="16"/>
          <w:color w:val="auto"/>
        </w:rPr>
        <w:t>(52)</w:t>
      </w:r>
    </w:p>
    <w:p>
      <w:pPr>
        <w:spacing w:after="0" w:line="45" w:lineRule="exact"/>
        <w:rPr>
          <w:rFonts w:ascii="Arial" w:cs="Arial" w:eastAsia="Arial" w:hAnsi="Arial"/>
          <w:sz w:val="18"/>
          <w:szCs w:val="18"/>
          <w:color w:val="auto"/>
        </w:rPr>
      </w:pPr>
    </w:p>
    <w:p>
      <w:pPr>
        <w:ind w:left="1078"/>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10541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5" w:lineRule="exact"/>
        <w:rPr>
          <w:sz w:val="20"/>
          <w:szCs w:val="20"/>
          <w:color w:val="auto"/>
        </w:rPr>
      </w:pPr>
    </w:p>
    <w:p>
      <w:pPr>
        <w:ind w:left="898" w:hanging="898"/>
        <w:spacing w:after="0"/>
        <w:tabs>
          <w:tab w:leader="none" w:pos="8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10541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40640</wp:posOffset>
            </wp:positionV>
            <wp:extent cx="10541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0" w:space="702"/>
            <w:col w:w="1278"/>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As of December 31, 2020, the Company has a cumulative federal NOL carry forward balance of $1.2 billion for federal income tax purposes, of which $0.9 billion will begin expiring between 2033 to 2037 if unutilized. The Company does not anticipate any federal income tax payments for 2021. Additionally, as of December 31, 2020, the Company has a cumulative state NOL carryforward balance of $726 million for state and local income tax purposes, which will expire between 2023 to 2040 if unutilized. The Company does not anticipate significant income tax payments for state and local jurisdictions in 2021. Based on the Company's current and expected NOL balances generated primarily by accelerated tax depreciation of its property, plant and equipment, the Company does not expect to pay significant federal income tax for a period of approximately ten years inclusive of any NOL carryovers subject to an 80% limitation against future taxable years beginning after 2020 pursuant to the Tax Act as modified by the CARES Act (defined below).</w:t>
      </w:r>
    </w:p>
    <w:p>
      <w:pPr>
        <w:spacing w:after="0" w:line="11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December 31, 2020, the Company has an interest disallowance carry forward of $46 million as a result of the proposed and final regulations under §163(j), which was enacted as part of the Tax Act. The disallowed interest deduction has an indefinite carry forward period and any limitations on the utilization of this carry forward have been factored into our valuation allowance analysis.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or CARES Act, was signed into law, which includes modifications to the business interest expense disallowance and net operating loss provisions. The Company utilized previously disallowed interest expense during 2020 as a result of the modifications and will continue to assess the effects of the CARES Act and ongoing government guidance related to COVID-19 that may be issued.</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jurisdiction and various state jurisdictions. The Company is not subject to U.S. federal or state income tax examinations for years prior to 2013. The Company has no uncertain tax benefits.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 xml:space="preserve">Variable interest in equity investments </w:t>
      </w:r>
      <w:r>
        <w:rPr>
          <w:rFonts w:ascii="Arial" w:cs="Arial" w:eastAsia="Arial" w:hAnsi="Arial"/>
          <w:sz w:val="16"/>
          <w:szCs w:val="16"/>
          <w:color w:val="auto"/>
        </w:rPr>
        <w:t>— As of September 30, 2021, the Company has several investments with an ownership interest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$354 million as of September 30, 2021. This indebtedness may restrict the ability of these subsidiaries to issue dividends or distributions to the Company.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2020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2021</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2021</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 —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Derivative Activity (Losses) Gains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4"/>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December 31, 2020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ind w:left="18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 acquired during the period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September 30, 2021</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1"/>
              </w:rPr>
              <w:t>Fair value of contracts as of September 30,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4"/>
                <w:szCs w:val="1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Greater Than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2"/>
                <w:szCs w:val="12"/>
                <w:color w:val="auto"/>
              </w:rPr>
            </w:pPr>
          </w:p>
        </w:tc>
        <w:tc>
          <w:tcPr>
            <w:tcW w:w="12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80" w:type="dxa"/>
            <w:vAlign w:val="bottom"/>
            <w:gridSpan w:val="4"/>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6" w:name="page57"/>
    <w:bookmarkEnd w:id="56"/>
    <w:p>
      <w:pPr>
        <w:jc w:val="both"/>
        <w:ind w:firstLine="40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2020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2020 included in the 2020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2021</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$76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September 30, 2021</w:t>
      </w:r>
      <w:r>
        <w:rPr>
          <w:rFonts w:ascii="Arial" w:cs="Arial" w:eastAsia="Arial" w:hAnsi="Arial"/>
          <w:sz w:val="18"/>
          <w:szCs w:val="18"/>
          <w:color w:val="231F20"/>
        </w:rPr>
        <w:t>, a 1% change in interest rates would result in an approximately $2 million change in market interest expense on a rolling twelve-month</w:t>
      </w:r>
      <w:r>
        <w:rPr>
          <w:rFonts w:ascii="Arial" w:cs="Arial" w:eastAsia="Arial" w:hAnsi="Arial"/>
          <w:sz w:val="18"/>
          <w:szCs w:val="18"/>
          <w:color w:val="000000"/>
        </w:rPr>
        <w:t xml:space="preserve"> </w:t>
      </w:r>
      <w:r>
        <w:rPr>
          <w:rFonts w:ascii="Arial" w:cs="Arial" w:eastAsia="Arial" w:hAnsi="Arial"/>
          <w:sz w:val="18"/>
          <w:szCs w:val="18"/>
          <w:color w:val="231F20"/>
        </w:rPr>
        <w:t>basis.</w:t>
      </w:r>
    </w:p>
    <w:p>
      <w:pPr>
        <w:spacing w:after="0" w:line="130"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2021</w:t>
      </w:r>
      <w:r>
        <w:rPr>
          <w:rFonts w:ascii="Arial" w:cs="Arial" w:eastAsia="Arial" w:hAnsi="Arial"/>
          <w:sz w:val="17"/>
          <w:szCs w:val="17"/>
          <w:color w:val="231F20"/>
        </w:rPr>
        <w:t xml:space="preserve">, the fair value of the Company's debt was $8,227 million and the carrying value was $7,918 million. The Company estimates that a 1% decrease in market interest rates would have increased the fair value of its long-term debt by approximately </w:t>
      </w:r>
      <w:r>
        <w:rPr>
          <w:rFonts w:ascii="Arial" w:cs="Arial" w:eastAsia="Arial" w:hAnsi="Arial"/>
          <w:sz w:val="17"/>
          <w:szCs w:val="17"/>
          <w:color w:val="000000"/>
        </w:rPr>
        <w:t>$537 million</w:t>
      </w:r>
      <w:r>
        <w:rPr>
          <w:rFonts w:ascii="Arial" w:cs="Arial" w:eastAsia="Arial" w:hAnsi="Arial"/>
          <w:sz w:val="17"/>
          <w:szCs w:val="17"/>
          <w:color w:val="231F20"/>
        </w:rPr>
        <w: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$1 million to the net value of natural gas derivatives as of </w:t>
      </w:r>
      <w:r>
        <w:rPr>
          <w:rFonts w:ascii="Arial" w:cs="Arial" w:eastAsia="Arial" w:hAnsi="Arial"/>
          <w:sz w:val="18"/>
          <w:szCs w:val="18"/>
          <w:color w:val="000000"/>
        </w:rPr>
        <w:t>September 30, 2021</w:t>
      </w:r>
      <w:r>
        <w:rPr>
          <w:rFonts w:ascii="Arial" w:cs="Arial" w:eastAsia="Arial" w:hAnsi="Arial"/>
          <w:sz w:val="18"/>
          <w:szCs w:val="18"/>
          <w:color w:val="231F20"/>
        </w:rPr>
        <w:t>. The impact of a $0.50 per MWh increase or decrease in power prices across the term of the derivatives contracts would cause a change of approximately $5 million to the net value of power derivatives as of September 30, 2021.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September 30,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2021, see Item 1 — Note 12,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2020 Form 10-K. There have been no material changes in the Company's risk factors since those reported in its 2020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 EXHIBITS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00" w:type="dxa"/>
            <w:vAlign w:val="bottom"/>
            <w:gridSpan w:val="20"/>
          </w:tcPr>
          <w:p>
            <w:pPr>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Arial" w:cs="Arial" w:eastAsia="Arial" w:hAnsi="Arial"/>
                <w:sz w:val="16"/>
                <w:szCs w:val="16"/>
                <w:color w:val="auto"/>
              </w:rPr>
              <w:t>4.1</w:t>
            </w:r>
          </w:p>
        </w:tc>
        <w:tc>
          <w:tcPr>
            <w:tcW w:w="5700" w:type="dxa"/>
            <w:vAlign w:val="bottom"/>
            <w:gridSpan w:val="20"/>
          </w:tcPr>
          <w:p>
            <w:pPr>
              <w:spacing w:after="0" w:line="181" w:lineRule="exact"/>
              <w:rPr>
                <w:rFonts w:ascii="Arial" w:cs="Arial" w:eastAsia="Arial" w:hAnsi="Arial"/>
                <w:sz w:val="16"/>
                <w:szCs w:val="16"/>
                <w:color w:val="0000FF"/>
              </w:rPr>
            </w:pPr>
            <w:hyperlink r:id="rId112">
              <w:r>
                <w:rPr>
                  <w:rFonts w:ascii="Arial" w:cs="Arial" w:eastAsia="Arial" w:hAnsi="Arial"/>
                  <w:sz w:val="16"/>
                  <w:szCs w:val="16"/>
                  <w:color w:val="0000FF"/>
                </w:rPr>
                <w:t>Indenture, dated October 1, 2021, among Clearway Energy Operating LLC, the</w:t>
              </w:r>
            </w:hyperlink>
          </w:p>
        </w:tc>
      </w:tr>
      <w:tr>
        <w:trPr>
          <w:trHeight w:val="156"/>
        </w:trPr>
        <w:tc>
          <w:tcPr>
            <w:tcW w:w="1020" w:type="dxa"/>
            <w:vAlign w:val="bottom"/>
          </w:tcPr>
          <w:p>
            <w:pPr>
              <w:spacing w:after="0"/>
              <w:rPr>
                <w:sz w:val="13"/>
                <w:szCs w:val="13"/>
                <w:color w:val="auto"/>
              </w:rPr>
            </w:pPr>
          </w:p>
        </w:tc>
        <w:tc>
          <w:tcPr>
            <w:tcW w:w="514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r:id="rId112">
              <w:r>
                <w:rPr>
                  <w:rFonts w:ascii="Arial" w:cs="Arial" w:eastAsia="Arial" w:hAnsi="Arial"/>
                  <w:sz w:val="16"/>
                  <w:szCs w:val="16"/>
                  <w:color w:val="0000FF"/>
                </w:rPr>
                <w:t>guarantors named therein and Delaware Trust Company, as trustee.</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4340" w:type="dxa"/>
            <w:vAlign w:val="bottom"/>
            <w:tcBorders>
              <w:top w:val="single" w:sz="8" w:color="0000FF"/>
            </w:tcBorders>
            <w:gridSpan w:val="7"/>
          </w:tcPr>
          <w:p>
            <w:pPr>
              <w:spacing w:after="0"/>
              <w:rPr>
                <w:rFonts w:ascii="Arial" w:cs="Arial" w:eastAsia="Arial" w:hAnsi="Arial"/>
                <w:sz w:val="16"/>
                <w:szCs w:val="16"/>
                <w:color w:val="0000FF"/>
              </w:rPr>
            </w:pPr>
            <w:hyperlink r:id="rId112">
              <w:r>
                <w:rPr>
                  <w:rFonts w:ascii="Arial" w:cs="Arial" w:eastAsia="Arial" w:hAnsi="Arial"/>
                  <w:sz w:val="16"/>
                  <w:szCs w:val="16"/>
                  <w:color w:val="0000FF"/>
                </w:rPr>
                <w:t>Form of 3.750% Senior Notes due 2032.</w:t>
              </w:r>
            </w:hyperlink>
          </w:p>
        </w:tc>
        <w:tc>
          <w:tcPr>
            <w:tcW w:w="1360" w:type="dxa"/>
            <w:vAlign w:val="bottom"/>
            <w:gridSpan w:val="13"/>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00" w:type="dxa"/>
            <w:vAlign w:val="bottom"/>
            <w:gridSpan w:val="20"/>
          </w:tcPr>
          <w:p>
            <w:pPr>
              <w:spacing w:after="0"/>
              <w:rPr>
                <w:rFonts w:ascii="Arial" w:cs="Arial" w:eastAsia="Arial" w:hAnsi="Arial"/>
                <w:sz w:val="16"/>
                <w:szCs w:val="16"/>
                <w:color w:val="0000FF"/>
                <w:w w:val="96"/>
              </w:rPr>
            </w:pPr>
            <w:hyperlink r:id="rId113">
              <w:r>
                <w:rPr>
                  <w:rFonts w:ascii="Arial" w:cs="Arial" w:eastAsia="Arial" w:hAnsi="Arial"/>
                  <w:sz w:val="16"/>
                  <w:szCs w:val="16"/>
                  <w:color w:val="0000FF"/>
                  <w:w w:val="96"/>
                </w:rPr>
                <w:t>Eighteenth Supplemental Indenture, dated as of October 7, 2021, among Clearway</w:t>
              </w:r>
            </w:hyperlink>
          </w:p>
        </w:tc>
      </w:tr>
      <w:tr>
        <w:trPr>
          <w:trHeight w:val="156"/>
        </w:trPr>
        <w:tc>
          <w:tcPr>
            <w:tcW w:w="1020" w:type="dxa"/>
            <w:vAlign w:val="bottom"/>
          </w:tcPr>
          <w:p>
            <w:pPr>
              <w:spacing w:after="0"/>
              <w:rPr>
                <w:sz w:val="13"/>
                <w:szCs w:val="13"/>
                <w:color w:val="auto"/>
              </w:rPr>
            </w:pPr>
          </w:p>
        </w:tc>
        <w:tc>
          <w:tcPr>
            <w:tcW w:w="5340" w:type="dxa"/>
            <w:vAlign w:val="bottom"/>
            <w:tcBorders>
              <w:top w:val="single" w:sz="8" w:color="0000FF"/>
            </w:tcBorders>
            <w:gridSpan w:val="13"/>
          </w:tcPr>
          <w:p>
            <w:pPr>
              <w:spacing w:after="0" w:line="155" w:lineRule="exact"/>
              <w:rPr>
                <w:rFonts w:ascii="Arial" w:cs="Arial" w:eastAsia="Arial" w:hAnsi="Arial"/>
                <w:sz w:val="16"/>
                <w:szCs w:val="16"/>
                <w:color w:val="0000FF"/>
                <w:w w:val="89"/>
              </w:rPr>
            </w:pPr>
            <w:hyperlink r:id="rId113">
              <w:r>
                <w:rPr>
                  <w:rFonts w:ascii="Arial" w:cs="Arial" w:eastAsia="Arial" w:hAnsi="Arial"/>
                  <w:sz w:val="16"/>
                  <w:szCs w:val="16"/>
                  <w:color w:val="0000FF"/>
                  <w:w w:val="89"/>
                </w:rPr>
                <w:t>Energy Operating LLC, the guarantors named therein and Delaware Trust Company</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5"/>
          </w:tcPr>
          <w:p>
            <w:pPr>
              <w:ind w:left="40"/>
              <w:spacing w:after="0" w:line="155" w:lineRule="exact"/>
              <w:rPr>
                <w:rFonts w:ascii="Arial" w:cs="Arial" w:eastAsia="Arial" w:hAnsi="Arial"/>
                <w:sz w:val="16"/>
                <w:szCs w:val="16"/>
                <w:color w:val="0000FF"/>
                <w:w w:val="89"/>
              </w:rPr>
            </w:pPr>
            <w:hyperlink r:id="rId113">
              <w:r>
                <w:rPr>
                  <w:rFonts w:ascii="Arial" w:cs="Arial" w:eastAsia="Arial" w:hAnsi="Arial"/>
                  <w:sz w:val="16"/>
                  <w:szCs w:val="16"/>
                  <w:color w:val="0000FF"/>
                  <w:w w:val="89"/>
                </w:rPr>
                <w:t>(as</w:t>
              </w:r>
            </w:hyperlink>
          </w:p>
        </w:tc>
      </w:tr>
      <w:tr>
        <w:trPr>
          <w:trHeight w:val="156"/>
        </w:trPr>
        <w:tc>
          <w:tcPr>
            <w:tcW w:w="10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1"/>
              </w:rPr>
            </w:pPr>
            <w:hyperlink r:id="rId113">
              <w:r>
                <w:rPr>
                  <w:rFonts w:ascii="Arial" w:cs="Arial" w:eastAsia="Arial" w:hAnsi="Arial"/>
                  <w:sz w:val="16"/>
                  <w:szCs w:val="16"/>
                  <w:color w:val="0000FF"/>
                  <w:w w:val="91"/>
                </w:rPr>
                <w:t>successor in interest to Law Debenture Trust Company of New York).</w:t>
              </w:r>
            </w:hyperlink>
          </w:p>
        </w:tc>
        <w:tc>
          <w:tcPr>
            <w:tcW w:w="11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5700" w:type="dxa"/>
            <w:vAlign w:val="bottom"/>
            <w:gridSpan w:val="20"/>
          </w:tcPr>
          <w:p>
            <w:pPr>
              <w:spacing w:after="0"/>
              <w:rPr>
                <w:rFonts w:ascii="Arial" w:cs="Arial" w:eastAsia="Arial" w:hAnsi="Arial"/>
                <w:sz w:val="16"/>
                <w:szCs w:val="16"/>
                <w:color w:val="0000FF"/>
                <w:w w:val="93"/>
              </w:rPr>
            </w:pPr>
            <w:hyperlink r:id="rId114">
              <w:r>
                <w:rPr>
                  <w:rFonts w:ascii="Arial" w:cs="Arial" w:eastAsia="Arial" w:hAnsi="Arial"/>
                  <w:sz w:val="16"/>
                  <w:szCs w:val="16"/>
                  <w:color w:val="0000FF"/>
                  <w:w w:val="93"/>
                </w:rPr>
                <w:t>Tenth Supplemental Indenture, dated as of October 7,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w w:val="91"/>
              </w:rPr>
            </w:pPr>
            <w:hyperlink r:id="rId114">
              <w:r>
                <w:rPr>
                  <w:rFonts w:ascii="Arial" w:cs="Arial" w:eastAsia="Arial" w:hAnsi="Arial"/>
                  <w:sz w:val="16"/>
                  <w:szCs w:val="16"/>
                  <w:color w:val="0000FF"/>
                  <w:w w:val="91"/>
                </w:rPr>
                <w:t>Operating LLC, the guarantors named therein and Delaware Trust Company.</w:t>
              </w:r>
            </w:hyperlink>
          </w:p>
        </w:tc>
        <w:tc>
          <w:tcPr>
            <w:tcW w:w="540" w:type="dxa"/>
            <w:vAlign w:val="bottom"/>
            <w:tcBorders>
              <w:top w:val="single" w:sz="8" w:color="0000FF"/>
            </w:tcBorders>
            <w:gridSpan w:val="6"/>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5700" w:type="dxa"/>
            <w:vAlign w:val="bottom"/>
            <w:gridSpan w:val="20"/>
          </w:tcPr>
          <w:p>
            <w:pPr>
              <w:spacing w:after="0"/>
              <w:rPr>
                <w:rFonts w:ascii="Arial" w:cs="Arial" w:eastAsia="Arial" w:hAnsi="Arial"/>
                <w:sz w:val="16"/>
                <w:szCs w:val="16"/>
                <w:color w:val="0000FF"/>
                <w:w w:val="91"/>
              </w:rPr>
            </w:pPr>
            <w:hyperlink r:id="rId115">
              <w:r>
                <w:rPr>
                  <w:rFonts w:ascii="Arial" w:cs="Arial" w:eastAsia="Arial" w:hAnsi="Arial"/>
                  <w:sz w:val="16"/>
                  <w:szCs w:val="16"/>
                  <w:color w:val="0000FF"/>
                  <w:w w:val="91"/>
                </w:rPr>
                <w:t>Second Supplemental Indenture, dated as of October 7,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w w:val="91"/>
              </w:rPr>
            </w:pPr>
            <w:hyperlink r:id="rId115">
              <w:r>
                <w:rPr>
                  <w:rFonts w:ascii="Arial" w:cs="Arial" w:eastAsia="Arial" w:hAnsi="Arial"/>
                  <w:sz w:val="16"/>
                  <w:szCs w:val="16"/>
                  <w:color w:val="0000FF"/>
                  <w:w w:val="91"/>
                </w:rPr>
                <w:t>Operating LLC, the guarantors named therein and Delaware Trust Company.</w:t>
              </w:r>
            </w:hyperlink>
          </w:p>
        </w:tc>
        <w:tc>
          <w:tcPr>
            <w:tcW w:w="6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4.6</w:t>
            </w:r>
          </w:p>
        </w:tc>
        <w:tc>
          <w:tcPr>
            <w:tcW w:w="5700" w:type="dxa"/>
            <w:vAlign w:val="bottom"/>
            <w:gridSpan w:val="20"/>
          </w:tcPr>
          <w:p>
            <w:pPr>
              <w:spacing w:after="0"/>
              <w:rPr>
                <w:rFonts w:ascii="Arial" w:cs="Arial" w:eastAsia="Arial" w:hAnsi="Arial"/>
                <w:sz w:val="16"/>
                <w:szCs w:val="16"/>
                <w:color w:val="0000FF"/>
                <w:w w:val="95"/>
              </w:rPr>
            </w:pPr>
            <w:hyperlink r:id="rId116">
              <w:r>
                <w:rPr>
                  <w:rFonts w:ascii="Arial" w:cs="Arial" w:eastAsia="Arial" w:hAnsi="Arial"/>
                  <w:sz w:val="16"/>
                  <w:szCs w:val="16"/>
                  <w:color w:val="0000FF"/>
                  <w:w w:val="95"/>
                </w:rPr>
                <w:t>First Supplemental Indenture, dated as of October 7,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w w:val="91"/>
              </w:rPr>
            </w:pPr>
            <w:hyperlink r:id="rId116">
              <w:r>
                <w:rPr>
                  <w:rFonts w:ascii="Arial" w:cs="Arial" w:eastAsia="Arial" w:hAnsi="Arial"/>
                  <w:sz w:val="16"/>
                  <w:szCs w:val="16"/>
                  <w:color w:val="0000FF"/>
                  <w:w w:val="91"/>
                </w:rPr>
                <w:t>Operating LLC, the guarantors named therein and Delaware Trust Company.</w:t>
              </w:r>
            </w:hyperlink>
          </w:p>
        </w:tc>
        <w:tc>
          <w:tcPr>
            <w:tcW w:w="460" w:type="dxa"/>
            <w:vAlign w:val="bottom"/>
            <w:tcBorders>
              <w:top w:val="single" w:sz="8" w:color="0000FF"/>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00" w:type="dxa"/>
            <w:vAlign w:val="bottom"/>
            <w:gridSpan w:val="20"/>
          </w:tcPr>
          <w:p>
            <w:pPr>
              <w:spacing w:after="0"/>
              <w:rPr>
                <w:rFonts w:ascii="Arial" w:cs="Arial" w:eastAsia="Arial" w:hAnsi="Arial"/>
                <w:sz w:val="16"/>
                <w:szCs w:val="16"/>
                <w:color w:val="0000FF"/>
                <w:w w:val="91"/>
              </w:rPr>
            </w:pPr>
            <w:hyperlink r:id="rId117">
              <w:r>
                <w:rPr>
                  <w:rFonts w:ascii="Arial" w:cs="Arial" w:eastAsia="Arial" w:hAnsi="Arial"/>
                  <w:sz w:val="16"/>
                  <w:szCs w:val="16"/>
                  <w:color w:val="0000FF"/>
                  <w:w w:val="91"/>
                </w:rPr>
                <w:t>Purchase and Sale Agreement, dated as of August 20, 2021, by and between Dominion</w:t>
              </w:r>
            </w:hyperlink>
          </w:p>
        </w:tc>
      </w:tr>
      <w:tr>
        <w:trPr>
          <w:trHeight w:val="156"/>
        </w:trPr>
        <w:tc>
          <w:tcPr>
            <w:tcW w:w="10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w w:val="94"/>
              </w:rPr>
            </w:pPr>
            <w:hyperlink r:id="rId117">
              <w:r>
                <w:rPr>
                  <w:rFonts w:ascii="Arial" w:cs="Arial" w:eastAsia="Arial" w:hAnsi="Arial"/>
                  <w:sz w:val="16"/>
                  <w:szCs w:val="16"/>
                  <w:color w:val="0000FF"/>
                  <w:w w:val="94"/>
                </w:rPr>
                <w:t>Solar Projects III, Inc. and Utah Solar Holdings II LLC.</w:t>
              </w:r>
            </w:hyperlink>
          </w:p>
        </w:tc>
        <w:tc>
          <w:tcPr>
            <w:tcW w:w="20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10.2</w:t>
            </w:r>
          </w:p>
        </w:tc>
        <w:tc>
          <w:tcPr>
            <w:tcW w:w="5700" w:type="dxa"/>
            <w:vAlign w:val="bottom"/>
            <w:gridSpan w:val="20"/>
          </w:tcPr>
          <w:p>
            <w:pPr>
              <w:spacing w:after="0"/>
              <w:rPr>
                <w:rFonts w:ascii="Arial" w:cs="Arial" w:eastAsia="Arial" w:hAnsi="Arial"/>
                <w:sz w:val="16"/>
                <w:szCs w:val="16"/>
                <w:color w:val="0000FF"/>
                <w:w w:val="94"/>
              </w:rPr>
            </w:pPr>
            <w:hyperlink r:id="rId118">
              <w:r>
                <w:rPr>
                  <w:rFonts w:ascii="Arial" w:cs="Arial" w:eastAsia="Arial" w:hAnsi="Arial"/>
                  <w:sz w:val="16"/>
                  <w:szCs w:val="16"/>
                  <w:color w:val="0000FF"/>
                  <w:w w:val="94"/>
                </w:rPr>
                <w:t>Amended and Restated Employment Agreement, dated September 23, 2021, by and</w:t>
              </w:r>
            </w:hyperlink>
          </w:p>
        </w:tc>
      </w:tr>
      <w:tr>
        <w:trPr>
          <w:trHeight w:val="156"/>
        </w:trPr>
        <w:tc>
          <w:tcPr>
            <w:tcW w:w="1020" w:type="dxa"/>
            <w:vAlign w:val="bottom"/>
          </w:tcPr>
          <w:p>
            <w:pPr>
              <w:spacing w:after="0"/>
              <w:rPr>
                <w:sz w:val="13"/>
                <w:szCs w:val="13"/>
                <w:color w:val="auto"/>
              </w:rPr>
            </w:pPr>
          </w:p>
        </w:tc>
        <w:tc>
          <w:tcPr>
            <w:tcW w:w="542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118">
              <w:r>
                <w:rPr>
                  <w:rFonts w:ascii="Arial" w:cs="Arial" w:eastAsia="Arial" w:hAnsi="Arial"/>
                  <w:sz w:val="16"/>
                  <w:szCs w:val="16"/>
                  <w:color w:val="0000FF"/>
                </w:rPr>
                <w:t>between Clearway Energy, Inc. and Christopher Sotos.</w:t>
              </w:r>
            </w:hyperlink>
          </w:p>
        </w:tc>
        <w:tc>
          <w:tcPr>
            <w:tcW w:w="28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10.3</w:t>
            </w:r>
          </w:p>
        </w:tc>
        <w:tc>
          <w:tcPr>
            <w:tcW w:w="5700" w:type="dxa"/>
            <w:vAlign w:val="bottom"/>
            <w:gridSpan w:val="20"/>
          </w:tcPr>
          <w:p>
            <w:pPr>
              <w:spacing w:after="0"/>
              <w:rPr>
                <w:rFonts w:ascii="Arial" w:cs="Arial" w:eastAsia="Arial" w:hAnsi="Arial"/>
                <w:sz w:val="16"/>
                <w:szCs w:val="16"/>
                <w:color w:val="0000FF"/>
                <w:w w:val="99"/>
              </w:rPr>
            </w:pPr>
            <w:hyperlink r:id="rId119">
              <w:r>
                <w:rPr>
                  <w:rFonts w:ascii="Arial" w:cs="Arial" w:eastAsia="Arial" w:hAnsi="Arial"/>
                  <w:sz w:val="16"/>
                  <w:szCs w:val="16"/>
                  <w:color w:val="0000FF"/>
                  <w:w w:val="99"/>
                </w:rPr>
                <w:t>Membership Interest Purchase Agreement, dated as of October 22, 2021, by and</w:t>
              </w:r>
            </w:hyperlink>
          </w:p>
        </w:tc>
      </w:tr>
      <w:tr>
        <w:trPr>
          <w:trHeight w:val="155"/>
        </w:trPr>
        <w:tc>
          <w:tcPr>
            <w:tcW w:w="1020" w:type="dxa"/>
            <w:vAlign w:val="bottom"/>
          </w:tcPr>
          <w:p>
            <w:pPr>
              <w:spacing w:after="0"/>
              <w:rPr>
                <w:sz w:val="13"/>
                <w:szCs w:val="13"/>
                <w:color w:val="auto"/>
              </w:rPr>
            </w:pPr>
          </w:p>
        </w:tc>
        <w:tc>
          <w:tcPr>
            <w:tcW w:w="520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119">
              <w:r>
                <w:rPr>
                  <w:rFonts w:ascii="Arial" w:cs="Arial" w:eastAsia="Arial" w:hAnsi="Arial"/>
                  <w:sz w:val="16"/>
                  <w:szCs w:val="16"/>
                  <w:color w:val="0000FF"/>
                </w:rPr>
                <w:t>between Clearway Energy Operating LLC and KKR Thor Bidco, LLC.</w:t>
              </w:r>
            </w:hyperlink>
          </w:p>
        </w:tc>
        <w:tc>
          <w:tcPr>
            <w:tcW w:w="500" w:type="dxa"/>
            <w:vAlign w:val="bottom"/>
            <w:gridSpan w:val="8"/>
          </w:tcPr>
          <w:p>
            <w:pPr>
              <w:spacing w:after="0"/>
              <w:rPr>
                <w:sz w:val="13"/>
                <w:szCs w:val="13"/>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31.1</w:t>
            </w:r>
          </w:p>
        </w:tc>
        <w:tc>
          <w:tcPr>
            <w:tcW w:w="408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2"/>
              </w:rPr>
            </w:pPr>
            <w:hyperlink w:anchor="page63">
              <w:r>
                <w:rPr>
                  <w:rFonts w:ascii="Arial" w:cs="Arial" w:eastAsia="Arial" w:hAnsi="Arial"/>
                  <w:sz w:val="16"/>
                  <w:szCs w:val="16"/>
                  <w:color w:val="0000FF"/>
                  <w:w w:val="92"/>
                </w:rPr>
                <w:t>Rule 13a-14(a)/15d-14(a) certification of Christopher S. Sotos.</w:t>
              </w:r>
            </w:hyperlink>
          </w:p>
        </w:tc>
        <w:tc>
          <w:tcPr>
            <w:tcW w:w="520" w:type="dxa"/>
            <w:vAlign w:val="bottom"/>
            <w:tcBorders>
              <w:top w:val="single" w:sz="8" w:color="0000FF"/>
            </w:tcBorders>
            <w:gridSpan w:val="3"/>
          </w:tcPr>
          <w:p>
            <w:pPr>
              <w:spacing w:after="0"/>
              <w:rPr>
                <w:sz w:val="24"/>
                <w:szCs w:val="24"/>
                <w:color w:val="auto"/>
              </w:rPr>
            </w:pPr>
          </w:p>
        </w:tc>
        <w:tc>
          <w:tcPr>
            <w:tcW w:w="1100" w:type="dxa"/>
            <w:vAlign w:val="bottom"/>
            <w:gridSpan w:val="11"/>
          </w:tcPr>
          <w:p>
            <w:pPr>
              <w:spacing w:after="0"/>
              <w:rPr>
                <w:sz w:val="24"/>
                <w:szCs w:val="24"/>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color w:val="auto"/>
              </w:rPr>
              <w:t>31.2</w:t>
            </w:r>
          </w:p>
        </w:tc>
        <w:tc>
          <w:tcPr>
            <w:tcW w:w="5700" w:type="dxa"/>
            <w:vAlign w:val="bottom"/>
            <w:gridSpan w:val="20"/>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Rule 13a-14(a)/15d-14(a) certification of Chad Plotkin.</w:t>
              </w:r>
            </w:hyperlink>
          </w:p>
        </w:tc>
      </w:tr>
      <w:tr>
        <w:trPr>
          <w:trHeight w:val="20"/>
        </w:trPr>
        <w:tc>
          <w:tcPr>
            <w:tcW w:w="10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color w:val="auto"/>
              </w:rPr>
              <w:t>31.3</w:t>
            </w:r>
          </w:p>
        </w:tc>
        <w:tc>
          <w:tcPr>
            <w:tcW w:w="3880" w:type="dxa"/>
            <w:vAlign w:val="bottom"/>
            <w:tcBorders>
              <w:bottom w:val="single" w:sz="8" w:color="0000FF"/>
            </w:tcBorders>
            <w:gridSpan w:val="5"/>
          </w:tcPr>
          <w:p>
            <w:pPr>
              <w:spacing w:after="0"/>
              <w:rPr>
                <w:rFonts w:ascii="Arial" w:cs="Arial" w:eastAsia="Arial" w:hAnsi="Arial"/>
                <w:sz w:val="16"/>
                <w:szCs w:val="16"/>
                <w:color w:val="0000FF"/>
                <w:w w:val="91"/>
              </w:rPr>
            </w:pPr>
            <w:hyperlink w:anchor="page65">
              <w:r>
                <w:rPr>
                  <w:rFonts w:ascii="Arial" w:cs="Arial" w:eastAsia="Arial" w:hAnsi="Arial"/>
                  <w:sz w:val="16"/>
                  <w:szCs w:val="16"/>
                  <w:color w:val="0000FF"/>
                  <w:w w:val="91"/>
                </w:rPr>
                <w:t>Rule 13a-14(a)/15d-14(a) certification of Sarah Rubenstein.</w:t>
              </w:r>
            </w:hyperlink>
          </w:p>
        </w:tc>
        <w:tc>
          <w:tcPr>
            <w:tcW w:w="1820" w:type="dxa"/>
            <w:vAlign w:val="bottom"/>
            <w:gridSpan w:val="15"/>
          </w:tcPr>
          <w:p>
            <w:pPr>
              <w:spacing w:after="0"/>
              <w:rPr>
                <w:sz w:val="17"/>
                <w:szCs w:val="17"/>
                <w:color w:val="auto"/>
              </w:rPr>
            </w:pPr>
          </w:p>
        </w:tc>
      </w:tr>
    </w:tbl>
    <w:p>
      <w:pPr>
        <w:spacing w:after="0" w:line="31" w:lineRule="exact"/>
        <w:rPr>
          <w:sz w:val="20"/>
          <w:szCs w:val="20"/>
          <w:color w:val="auto"/>
        </w:rPr>
      </w:pPr>
    </w:p>
    <w:p>
      <w:pPr>
        <w:ind w:left="1040" w:hanging="1014"/>
        <w:spacing w:after="0"/>
        <w:tabs>
          <w:tab w:leader="none" w:pos="1040" w:val="left"/>
        </w:tabs>
        <w:numPr>
          <w:ilvl w:val="0"/>
          <w:numId w:val="41"/>
        </w:numPr>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Section 1350 Certification.</w:t>
        </w:r>
      </w:hyperlink>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INS</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98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98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980" w:type="dxa"/>
            <w:vAlign w:val="bottom"/>
          </w:tcPr>
          <w:p>
            <w:pPr>
              <w:ind w:left="200"/>
              <w:spacing w:after="0"/>
              <w:rPr>
                <w:sz w:val="20"/>
                <w:szCs w:val="20"/>
                <w:color w:val="auto"/>
              </w:rPr>
            </w:pPr>
            <w:r>
              <w:rPr>
                <w:rFonts w:ascii="Arial" w:cs="Arial" w:eastAsia="Arial" w:hAnsi="Arial"/>
                <w:sz w:val="16"/>
                <w:szCs w:val="16"/>
                <w:color w:val="auto"/>
                <w:w w:val="92"/>
              </w:rPr>
              <w:t>Inline XBRL Taxonomy Extension Presentation Linkbase.</w:t>
            </w:r>
          </w:p>
        </w:tc>
      </w:tr>
    </w:tbl>
    <w:p>
      <w:pPr>
        <w:spacing w:after="0" w:line="10" w:lineRule="exact"/>
        <w:rPr>
          <w:sz w:val="20"/>
          <w:szCs w:val="20"/>
          <w:color w:val="auto"/>
        </w:rPr>
      </w:pPr>
    </w:p>
    <w:p>
      <w:pPr>
        <w:ind w:left="1040" w:hanging="1014"/>
        <w:spacing w:after="0" w:line="230"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6"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1,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1, 2021.</w:t>
      </w:r>
    </w:p>
    <w:p>
      <w:pPr>
        <w:spacing w:after="0" w:line="1" w:lineRule="exact"/>
        <w:rPr>
          <w:sz w:val="20"/>
          <w:szCs w:val="20"/>
          <w:color w:val="auto"/>
        </w:rPr>
      </w:pPr>
    </w:p>
    <w:p>
      <w:pPr>
        <w:spacing w:after="0" w:line="32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8, 2021.</w:t>
      </w:r>
    </w:p>
    <w:p>
      <w:pPr>
        <w:spacing w:after="0" w:line="13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8,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8,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4.4 to the Company's Current Report on Form 8-K filed on October 8, 2021.</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August 23, 2021.</w:t>
      </w:r>
    </w:p>
    <w:p>
      <w:pPr>
        <w:spacing w:after="0" w:line="22"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September 23, 2021.</w:t>
      </w:r>
    </w:p>
    <w:p>
      <w:pPr>
        <w:spacing w:after="0" w:line="22"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October 26, 2021.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44" w:lineRule="exact"/>
        <w:rPr>
          <w:sz w:val="20"/>
          <w:szCs w:val="20"/>
          <w:color w:val="auto"/>
        </w:rPr>
      </w:pPr>
    </w:p>
    <w:p>
      <w:pPr>
        <w:sectPr>
          <w:pgSz w:w="11900" w:h="16838" w:orient="portrait"/>
          <w:cols w:equalWidth="0" w:num="2">
            <w:col w:w="6720" w:space="200"/>
            <w:col w:w="4200"/>
          </w:cols>
          <w:pgMar w:left="320" w:top="113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231F2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4" w:right="4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CLEARWAY ENERGY, INC.</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85"/>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40" w:type="dxa"/>
            <w:vAlign w:val="bottom"/>
            <w:vMerge w:val="restart"/>
          </w:tcPr>
          <w:p>
            <w:pPr>
              <w:spacing w:after="0"/>
              <w:rPr>
                <w:sz w:val="20"/>
                <w:szCs w:val="20"/>
                <w:color w:val="auto"/>
              </w:rPr>
            </w:pPr>
            <w:r>
              <w:rPr>
                <w:rFonts w:ascii="Arial" w:cs="Arial" w:eastAsia="Arial" w:hAnsi="Arial"/>
                <w:sz w:val="18"/>
                <w:szCs w:val="18"/>
                <w:color w:val="auto"/>
              </w:rPr>
              <w:t>Date: November 4, 2021</w:t>
            </w: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62</w:t>
      </w:r>
    </w:p>
    <w:p>
      <w:pPr>
        <w:sectPr>
          <w:pgSz w:w="11900" w:h="16838" w:orient="portrait"/>
          <w:cols w:equalWidth="0" w:num="1">
            <w:col w:w="11220"/>
          </w:cols>
          <w:pgMar w:left="320" w:top="891"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18002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S. Sotos</w:t>
      </w:r>
    </w:p>
    <w:p>
      <w:pPr>
        <w:ind w:left="6880"/>
        <w:spacing w:after="0" w:line="203" w:lineRule="auto"/>
        <w:rPr>
          <w:sz w:val="20"/>
          <w:szCs w:val="20"/>
          <w:color w:val="auto"/>
        </w:rPr>
      </w:pPr>
      <w:r>
        <w:rPr>
          <w:rFonts w:ascii="Arial" w:cs="Arial" w:eastAsia="Arial" w:hAnsi="Arial"/>
          <w:sz w:val="18"/>
          <w:szCs w:val="18"/>
          <w:i w:val="1"/>
          <w:iCs w:val="1"/>
          <w:color w:val="auto"/>
        </w:rPr>
        <w:t>Chief Executive Officer</w:t>
      </w:r>
    </w:p>
    <w:p>
      <w:pPr>
        <w:ind w:left="6880"/>
        <w:spacing w:after="0"/>
        <w:rPr>
          <w:sz w:val="20"/>
          <w:szCs w:val="20"/>
          <w:color w:val="auto"/>
        </w:rPr>
      </w:pPr>
      <w:r>
        <w:rPr>
          <w:rFonts w:ascii="Arial" w:cs="Arial" w:eastAsia="Arial" w:hAnsi="Arial"/>
          <w:sz w:val="18"/>
          <w:szCs w:val="18"/>
          <w:i w:val="1"/>
          <w:iCs w:val="1"/>
          <w:color w:val="auto"/>
        </w:rPr>
        <w:t>(Principal Executive Officer)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98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18516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Chad Plotkin</w:t>
      </w:r>
    </w:p>
    <w:p>
      <w:pPr>
        <w:ind w:left="67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780"/>
        <w:spacing w:after="0" w:line="184" w:lineRule="auto"/>
        <w:rPr>
          <w:sz w:val="20"/>
          <w:szCs w:val="20"/>
          <w:color w:val="auto"/>
        </w:rPr>
      </w:pPr>
      <w:r>
        <w:rPr>
          <w:rFonts w:ascii="Arial" w:cs="Arial" w:eastAsia="Arial" w:hAnsi="Arial"/>
          <w:sz w:val="18"/>
          <w:szCs w:val="18"/>
          <w:i w:val="1"/>
          <w:iCs w:val="1"/>
          <w:color w:val="auto"/>
        </w:rPr>
        <w:t>(Principal</w:t>
      </w:r>
      <w:r>
        <w:rPr>
          <w:rFonts w:ascii="Arial" w:cs="Arial" w:eastAsia="Arial" w:hAnsi="Arial"/>
          <w:sz w:val="35"/>
          <w:szCs w:val="35"/>
          <w:color w:val="auto"/>
          <w:vertAlign w:val="subscript"/>
        </w:rPr>
        <w:t>.</w:t>
      </w:r>
      <w:r>
        <w:rPr>
          <w:rFonts w:ascii="Arial" w:cs="Arial" w:eastAsia="Arial" w:hAnsi="Arial"/>
          <w:sz w:val="18"/>
          <w:szCs w:val="18"/>
          <w:i w:val="1"/>
          <w:iCs w:val="1"/>
          <w:color w:val="auto"/>
        </w:rPr>
        <w:t xml:space="preserve">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98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16973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Rubenstein</w:t>
      </w:r>
    </w:p>
    <w:p>
      <w:pPr>
        <w:ind w:left="7200"/>
        <w:spacing w:after="0" w:line="203" w:lineRule="auto"/>
        <w:rPr>
          <w:sz w:val="20"/>
          <w:szCs w:val="20"/>
          <w:color w:val="auto"/>
        </w:rPr>
      </w:pPr>
      <w:r>
        <w:rPr>
          <w:rFonts w:ascii="Arial" w:cs="Arial" w:eastAsia="Arial" w:hAnsi="Arial"/>
          <w:sz w:val="18"/>
          <w:szCs w:val="18"/>
          <w:i w:val="1"/>
          <w:iCs w:val="1"/>
          <w:color w:val="auto"/>
        </w:rPr>
        <w:t>Vice President, Accounting &amp; Controller</w:t>
      </w:r>
    </w:p>
    <w:p>
      <w:pPr>
        <w:ind w:left="7200"/>
        <w:spacing w:after="0"/>
        <w:rPr>
          <w:sz w:val="20"/>
          <w:szCs w:val="20"/>
          <w:color w:val="auto"/>
        </w:rPr>
      </w:pPr>
      <w:r>
        <w:rPr>
          <w:rFonts w:ascii="Arial" w:cs="Arial" w:eastAsia="Arial" w:hAnsi="Arial"/>
          <w:sz w:val="18"/>
          <w:szCs w:val="18"/>
          <w:i w:val="1"/>
          <w:iCs w:val="1"/>
          <w:color w:val="auto"/>
        </w:rPr>
        <w:t>(Principal Accounting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Inc. on Form 10-Q for the quarter ended September 30, 2021,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0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Vice President, Accounting &amp; Controller</w:t>
      </w: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2"/>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32"/>
    </w:lvl>
  </w:abstractNum>
  <w:abstractNum w:abstractNumId="41">
    <w:nsid w:val="725A06FB"/>
    <w:multiLevelType w:val="hybridMultilevel"/>
    <w:lvl w:ilvl="0">
      <w:lvlJc w:val="left"/>
      <w:lvlText w:val="%1"/>
      <w:numFmt w:val="decimal"/>
      <w:start w:val="104"/>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12" Type="http://schemas.openxmlformats.org/officeDocument/2006/relationships/hyperlink" Target="https://www.sec.gov/Archives/edgar/data/1567683/000110465921122073/tm2128933d1_ex4-1.htm" TargetMode="External"/><Relationship Id="rId113" Type="http://schemas.openxmlformats.org/officeDocument/2006/relationships/hyperlink" Target="https://www.sec.gov/Archives/edgar/data/1567683/000110465921124595/tm2129471d1_ex4-1.htm" TargetMode="External"/><Relationship Id="rId114" Type="http://schemas.openxmlformats.org/officeDocument/2006/relationships/hyperlink" Target="https://www.sec.gov/Archives/edgar/data/1567683/000110465921124595/tm2129471d1_ex4-2.htm" TargetMode="External"/><Relationship Id="rId115" Type="http://schemas.openxmlformats.org/officeDocument/2006/relationships/hyperlink" Target="https://www.sec.gov/Archives/edgar/data/1567683/000110465921124595/tm2129471d1_ex4-3.htm" TargetMode="External"/><Relationship Id="rId116" Type="http://schemas.openxmlformats.org/officeDocument/2006/relationships/hyperlink" Target="https://www.sec.gov/Archives/edgar/data/1567683/000110465921124595/tm2129471d1_ex4-4.htm" TargetMode="External"/><Relationship Id="rId117" Type="http://schemas.openxmlformats.org/officeDocument/2006/relationships/hyperlink" Target="https://www.sec.gov/Archives/edgar/data/1567683/000110465921108614/tm2125658d1_ex10-1.htm" TargetMode="External"/><Relationship Id="rId118" Type="http://schemas.openxmlformats.org/officeDocument/2006/relationships/hyperlink" Target="https://www.sec.gov/Archives/edgar/data/1567683/000110465921118837/tm2128073d1_ex10-1.htm" TargetMode="External"/><Relationship Id="rId119" Type="http://schemas.openxmlformats.org/officeDocument/2006/relationships/hyperlink" Target="https://www.sec.gov/Archives/edgar/data/1567683/000110465921130024/tm21309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2021-11-04T09:28:59Z</dcterms:created>
  <dcterms:modified xsi:type="dcterms:W3CDTF">2021-11-04T09:28:59Z</dcterms:modified>
</cp:coreProperties>
</file>