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3301-1_4seq1.xml.htm"/>
      <w:bookmarkStart w:id="1" w:name="kstm261330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1"/>
        <w:gridCol w:w="906"/>
        <w:gridCol w:w="776"/>
        <w:gridCol w:w="602"/>
        <w:gridCol w:w="348"/>
        <w:gridCol w:w="929"/>
        <w:gridCol w:w="451"/>
        <w:gridCol w:w="614"/>
        <w:gridCol w:w="1158"/>
        <w:gridCol w:w="995"/>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21,841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r>
        <w:trPr/>
        <w:tc>
          <w:tcPr>
            <w:tcW w:w="23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21,841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69,130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r>
        <w:trPr/>
        <w:tc>
          <w:tcPr>
            <w:tcW w:w="23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75,591</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conversion of shares of the Issuer's Class A common stock into shares of Class C common stock on a one-for-one basis based on the filing of an amendment and restatement of the Issuer's Certificate of Incorporation on April 29, 2026. The conversion was effective May 1, 2026. The Reporting Person has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5685</Characters>
  <CharactersWithSpaces>6641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