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284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1660" w:type="dxa"/>
            <w:vAlign w:val="bottom"/>
            <w:gridSpan w:val="6"/>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6"/>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166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16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10"/>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200" w:type="dxa"/>
            <w:vAlign w:val="bottom"/>
            <w:gridSpan w:val="5"/>
          </w:tcPr>
          <w:p>
            <w:pPr>
              <w:ind w:left="80"/>
              <w:spacing w:after="0"/>
              <w:rPr>
                <w:sz w:val="20"/>
                <w:szCs w:val="20"/>
                <w:color w:val="auto"/>
              </w:rPr>
            </w:pPr>
            <w:r>
              <w:rPr>
                <w:rFonts w:ascii="Arial" w:cs="Arial" w:eastAsia="Arial" w:hAnsi="Arial"/>
                <w:sz w:val="17"/>
                <w:szCs w:val="17"/>
                <w:color w:val="0000FF"/>
              </w:rPr>
              <w:t>03/30/2020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00" w:type="dxa"/>
            <w:vAlign w:val="bottom"/>
            <w:gridSpan w:val="1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3"/>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4"/>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60" w:type="dxa"/>
            <w:vAlign w:val="bottom"/>
            <w:gridSpan w:val="9"/>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10"/>
                <w:szCs w:val="10"/>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420" w:type="dxa"/>
            <w:vAlign w:val="bottom"/>
            <w:gridSpan w:val="3"/>
            <w:vMerge w:val="restart"/>
          </w:tcPr>
          <w:p>
            <w:pPr>
              <w:ind w:left="600"/>
              <w:spacing w:after="0"/>
              <w:rPr>
                <w:sz w:val="20"/>
                <w:szCs w:val="20"/>
                <w:color w:val="auto"/>
              </w:rPr>
            </w:pPr>
            <w:r>
              <w:rPr>
                <w:rFonts w:ascii="Arial" w:cs="Arial" w:eastAsia="Arial" w:hAnsi="Arial"/>
                <w:sz w:val="17"/>
                <w:szCs w:val="17"/>
                <w:color w:val="0000FF"/>
                <w:w w:val="93"/>
              </w:rPr>
              <w:t>03/30/2020</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(1)</w:t>
            </w:r>
          </w:p>
        </w:tc>
        <w:tc>
          <w:tcPr>
            <w:tcW w:w="800" w:type="dxa"/>
            <w:vAlign w:val="bottom"/>
            <w:vMerge w:val="restart"/>
          </w:tcPr>
          <w:p>
            <w:pPr>
              <w:ind w:left="160"/>
              <w:spacing w:after="0"/>
              <w:rPr>
                <w:sz w:val="20"/>
                <w:szCs w:val="20"/>
                <w:color w:val="auto"/>
              </w:rPr>
            </w:pPr>
            <w:r>
              <w:rPr>
                <w:rFonts w:ascii="Arial" w:cs="Arial" w:eastAsia="Arial" w:hAnsi="Arial"/>
                <w:sz w:val="17"/>
                <w:szCs w:val="17"/>
                <w:color w:val="0000FF"/>
              </w:rPr>
              <w:t>60,000</w:t>
            </w:r>
          </w:p>
        </w:tc>
        <w:tc>
          <w:tcPr>
            <w:tcW w:w="14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19.3</w:t>
            </w:r>
            <w:r>
              <w:rPr>
                <w:rFonts w:ascii="Arial" w:cs="Arial" w:eastAsia="Arial" w:hAnsi="Arial"/>
                <w:sz w:val="22"/>
                <w:szCs w:val="22"/>
                <w:color w:val="008000"/>
                <w:w w:val="92"/>
                <w:vertAlign w:val="superscript"/>
              </w:rPr>
              <w:t>(2)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7"/>
                <w:szCs w:val="17"/>
                <w:color w:val="0000FF"/>
              </w:rPr>
              <w:t>108,726</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420" w:type="dxa"/>
            <w:vAlign w:val="bottom"/>
            <w:tcBorders>
              <w:top w:val="single" w:sz="8" w:color="2C2C2C"/>
            </w:tcBorders>
            <w:gridSpan w:val="3"/>
            <w:vMerge w:val="restart"/>
          </w:tcPr>
          <w:p>
            <w:pPr>
              <w:ind w:left="600"/>
              <w:spacing w:after="0"/>
              <w:rPr>
                <w:sz w:val="20"/>
                <w:szCs w:val="20"/>
                <w:color w:val="auto"/>
              </w:rPr>
            </w:pPr>
            <w:r>
              <w:rPr>
                <w:rFonts w:ascii="Arial" w:cs="Arial" w:eastAsia="Arial" w:hAnsi="Arial"/>
                <w:sz w:val="17"/>
                <w:szCs w:val="17"/>
                <w:color w:val="0000FF"/>
                <w:w w:val="93"/>
              </w:rPr>
              <w:t>03/31/2020</w:t>
            </w: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gridSpan w:val="2"/>
            <w:vMerge w:val="restart"/>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(1)</w:t>
            </w:r>
          </w:p>
        </w:tc>
        <w:tc>
          <w:tcPr>
            <w:tcW w:w="80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60,000</w:t>
            </w:r>
          </w:p>
        </w:tc>
        <w:tc>
          <w:tcPr>
            <w:tcW w:w="1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A</w:t>
            </w:r>
          </w:p>
        </w:tc>
        <w:tc>
          <w:tcPr>
            <w:tcW w:w="6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18.95</w:t>
            </w:r>
            <w:r>
              <w:rPr>
                <w:rFonts w:ascii="Arial" w:cs="Arial" w:eastAsia="Arial" w:hAnsi="Arial"/>
                <w:sz w:val="22"/>
                <w:szCs w:val="22"/>
                <w:color w:val="008000"/>
                <w:w w:val="85"/>
                <w:vertAlign w:val="superscript"/>
              </w:rPr>
              <w:t>(5)</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168,726</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Global Infrastructure GP III,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-6743065</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GIP III Zephyr Acquisition Partners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783840" cy="2623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3840" cy="262318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80" w:type="dxa"/>
            <w:vAlign w:val="bottom"/>
            <w:gridSpan w:val="2"/>
          </w:tcPr>
          <w:p>
            <w:pPr>
              <w:spacing w:after="0"/>
              <w:rPr>
                <w:rFonts w:ascii="Arial" w:cs="Arial" w:eastAsia="Arial" w:hAnsi="Arial"/>
                <w:sz w:val="21"/>
                <w:szCs w:val="21"/>
                <w:u w:val="single" w:color="auto"/>
                <w:color w:val="0000EE"/>
                <w:w w:val="99"/>
              </w:rPr>
            </w:pPr>
            <w:hyperlink r:id="rId19">
              <w:r>
                <w:rPr>
                  <w:rFonts w:ascii="Arial" w:cs="Arial" w:eastAsia="Arial" w:hAnsi="Arial"/>
                  <w:sz w:val="21"/>
                  <w:szCs w:val="21"/>
                  <w:u w:val="single" w:color="auto"/>
                  <w:color w:val="0000EE"/>
                  <w:w w:val="99"/>
                </w:rPr>
                <w:t>Clearway Energy Group LLC</w:t>
              </w:r>
            </w:hyperlink>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purchases made pursuant to a Rule 10b5-1 trading plan by Clearway Energy Group LLC ("Clearway Energy Group") in connection with grants it intends to make under its Long Term Equity Incentive Program to certain of its employees.</w:t>
      </w:r>
    </w:p>
    <w:p>
      <w:pPr>
        <w:spacing w:after="0" w:line="1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ranging from $19.06 to $19.54, inclusive. The Reporting Persons undertake to provide to the Issuer, any security holder of the Issuer, or the staff of the Securities and Exchange Commission, upon request, full information regarding the number of shares purchased at each separate price within the range set forth above.</w:t>
      </w:r>
    </w:p>
    <w:p>
      <w:pPr>
        <w:spacing w:after="0" w:line="25" w:lineRule="exact"/>
        <w:rPr>
          <w:rFonts w:ascii="Arial" w:cs="Arial" w:eastAsia="Arial" w:hAnsi="Arial"/>
          <w:sz w:val="13"/>
          <w:szCs w:val="13"/>
          <w:color w:val="008000"/>
        </w:rPr>
      </w:pPr>
    </w:p>
    <w:p>
      <w:pPr>
        <w:jc w:val="both"/>
        <w:ind w:left="20" w:right="6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6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25" w:lineRule="exact"/>
        <w:rPr>
          <w:rFonts w:ascii="Arial" w:cs="Arial" w:eastAsia="Arial" w:hAnsi="Arial"/>
          <w:sz w:val="12"/>
          <w:szCs w:val="12"/>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ranging from $18.56 to $19.14, inclusive. The Reporting Persons undertake to provide to the Issuer, any security holder of the Issuer, or the staff of the Securities and Exchange Commission, upon request, full information regarding the number of shares purchased at each separate price within the range set forth above.</w:t>
      </w:r>
    </w:p>
    <w:p>
      <w:pPr>
        <w:sectPr>
          <w:pgSz w:w="11900" w:h="16838" w:orient="portrait"/>
          <w:cols w:equalWidth="0" w:num="1">
            <w:col w:w="10880"/>
          </w:cols>
          <w:pgMar w:left="480" w:top="131" w:right="539" w:bottom="1440" w:gutter="0" w:footer="0" w:header="0"/>
        </w:sectPr>
      </w:pP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04/01/2020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04/01/2020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04/01/2020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04/01/2020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20"/>
          </w:cols>
          <w:pgMar w:left="480" w:top="131" w:right="5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7" Type="http://schemas.openxmlformats.org/officeDocument/2006/relationships/hyperlink" Target="http://www.sec.gov/cgi-bin/browse-edgar?action=getcompany&amp;CIK=0001752556" TargetMode="External"/><Relationship Id="rId19"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2020-04-01T20:27:11Z</dcterms:created>
  <dcterms:modified xsi:type="dcterms:W3CDTF">2020-04-01T20:27:11Z</dcterms:modified>
</cp:coreProperties>
</file>