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2208-1_s3asr.htm"/>
        <w:bookmarkStart w:id="1" w:name="kstm26222081_s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August 6,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20" w:before="4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w:t>
      </w:r>
      <w:r>
        <w:rPr>
          <w:rFonts w:ascii="Times New Roman;Times;serif" w:hAnsi="Times New Roman;Times;serif"/>
          <w:b/>
          <w:i w:val="false"/>
          <w:caps w:val="false"/>
          <w:smallCaps w:val="false"/>
          <w:color w:val="000000"/>
          <w:sz w:val="18"/>
        </w:rPr>
        <w:t>​</w:t>
      </w:r>
    </w:p>
    <w:p>
      <w:pPr>
        <w:pStyle w:val="TextBody"/>
        <w:bidi w:val="0"/>
        <w:spacing w:before="8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10" w:before="7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UNITED STATES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SECURITIES AND EXCHANGE COMMISSION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FORM S-3</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10" w:before="4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STATEMENT</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UNDER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before="1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08"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Clearway Energy, Inc.</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90" w:before="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(Exact name of registrant as specified in its charter) </w:t>
      </w:r>
    </w:p>
    <w:tbl>
      <w:tblPr>
        <w:tblW w:w="5505" w:type="dxa"/>
        <w:jc w:val="left"/>
        <w:tblInd w:w="540" w:type="dxa"/>
        <w:tblLayout w:type="fixed"/>
        <w:tblCellMar>
          <w:top w:w="0" w:type="dxa"/>
          <w:left w:w="0" w:type="dxa"/>
          <w:bottom w:w="0" w:type="dxa"/>
          <w:right w:w="0" w:type="dxa"/>
        </w:tblCellMar>
      </w:tblPr>
      <w:tblGrid>
        <w:gridCol w:w="124"/>
        <w:gridCol w:w="3058"/>
        <w:gridCol w:w="109"/>
        <w:gridCol w:w="109"/>
        <w:gridCol w:w="1951"/>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80" w:before="36" w:after="283"/>
              <w:jc w:val="center"/>
              <w:rPr/>
            </w:pPr>
            <w:r>
              <w:rPr>
                <w:spacing w:val="3"/>
              </w:rPr>
              <w:t xml:space="preserve">(State or other jurisdiction of </w:t>
            </w:r>
            <w:r>
              <w:rPr/>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b/>
                <w:sz w:val="18"/>
              </w:rPr>
            </w:pPr>
            <w:r>
              <w:rPr>
                <w:b/>
                <w:spacing w:val="-4"/>
                <w:sz w:val="18"/>
              </w:rPr>
              <w:t>46-1777204</w:t>
            </w:r>
            <w:r>
              <w:rPr>
                <w:b/>
                <w:sz w:val="18"/>
              </w:rPr>
              <w:t xml:space="preserve"> </w:t>
            </w:r>
          </w:p>
          <w:p>
            <w:pPr>
              <w:pStyle w:val="TableContents"/>
              <w:bidi w:val="0"/>
              <w:spacing w:lineRule="atLeast" w:line="180" w:before="36" w:after="283"/>
              <w:jc w:val="center"/>
              <w:rPr/>
            </w:pPr>
            <w:r>
              <w:rPr>
                <w:spacing w:val="3"/>
              </w:rPr>
              <w:t>(I.R.S. Employer</w:t>
            </w:r>
            <w:r>
              <w:rPr/>
              <w:t xml:space="preserve"> </w:t>
              <w:br/>
            </w:r>
            <w:r>
              <w:rPr>
                <w:spacing w:val="3"/>
              </w:rPr>
              <w:t>Identification No.)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38"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300 Carnegie Center, Suite 300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Princeton, New Jersey 08540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(609) 608-1525</w:t>
      </w:r>
      <w:r>
        <w:rPr>
          <w:rFonts w:ascii="Times New Roman;Times;serif" w:hAnsi="Times New Roman;Times;serif"/>
          <w:b/>
          <w:i w:val="false"/>
          <w:caps w:val="false"/>
          <w:smallCaps w:val="false"/>
          <w:color w:val="000000"/>
          <w:sz w:val="18"/>
        </w:rPr>
        <w:t xml:space="preserve"> </w:t>
      </w:r>
    </w:p>
    <w:p>
      <w:pPr>
        <w:pStyle w:val="TextBody"/>
        <w:bidi w:val="0"/>
        <w:spacing w:lineRule="atLeast" w:line="190" w:before="28"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9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8"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Michael A. Brown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Senior Vice President, General Counsel and Corporate Secretary</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Clearway Energy, Inc.</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300 Carnegie Center, Suite 300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Princeton, New Jersey 08540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(609) 608-1525</w:t>
      </w:r>
      <w:r>
        <w:rPr>
          <w:rFonts w:ascii="Times New Roman;Times;serif" w:hAnsi="Times New Roman;Times;serif"/>
          <w:b/>
          <w:i w:val="false"/>
          <w:caps w:val="false"/>
          <w:smallCaps w:val="false"/>
          <w:color w:val="000000"/>
          <w:sz w:val="18"/>
        </w:rPr>
        <w:t xml:space="preserve"> </w:t>
      </w:r>
    </w:p>
    <w:p>
      <w:pPr>
        <w:pStyle w:val="TextBody"/>
        <w:bidi w:val="0"/>
        <w:spacing w:lineRule="atLeast" w:line="190" w:before="28"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9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48" w:after="283"/>
        <w:jc w:val="center"/>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Copy to: </w:t>
      </w:r>
    </w:p>
    <w:p>
      <w:pPr>
        <w:pStyle w:val="TextBody"/>
        <w:bidi w:val="0"/>
        <w:spacing w:lineRule="atLeast" w:line="200" w:before="8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M. Preston Bernhisel</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Baker Botts L.L.P.</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2001 Ross Avenue, Suite 900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Dallas, Texas 75201-2980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 xml:space="preserve">Telephone: (214) 953-6783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Facsimile: (214) 661-4783</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Approximate date of commencement of proposed sale to the public:</w:t>
      </w:r>
      <w:r>
        <w:rPr>
          <w:rFonts w:ascii="Times New Roman;Times;serif" w:hAnsi="Times New Roman;Times;serif"/>
          <w:b w:val="false"/>
          <w:i w:val="false"/>
          <w:caps w:val="false"/>
          <w:smallCaps w:val="false"/>
          <w:color w:val="000000"/>
          <w:sz w:val="18"/>
        </w:rPr>
        <w:t xml:space="preserve"> </w:t>
        <w:br/>
      </w:r>
      <w:r>
        <w:rPr>
          <w:rFonts w:ascii="Times New Roman;Times;serif" w:hAnsi="Times New Roman;Times;serif"/>
          <w:b w:val="false"/>
          <w:i w:val="false"/>
          <w:caps w:val="false"/>
          <w:smallCaps w:val="false"/>
          <w:color w:val="000000"/>
          <w:spacing w:val="4"/>
          <w:sz w:val="18"/>
        </w:rPr>
        <w:t xml:space="preserve">From time to time on or after the effective date of this Registration Statement. </w:t>
      </w:r>
    </w:p>
    <w:p>
      <w:pPr>
        <w:pStyle w:val="TextBody"/>
        <w:bidi w:val="0"/>
        <w:spacing w:before="9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8"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 </w:t>
      </w:r>
    </w:p>
    <w:tbl>
      <w:tblPr>
        <w:tblW w:w="6855" w:type="dxa"/>
        <w:jc w:val="left"/>
        <w:tblInd w:w="540" w:type="dxa"/>
        <w:tblLayout w:type="fixed"/>
        <w:tblCellMar>
          <w:top w:w="0" w:type="dxa"/>
          <w:left w:w="0" w:type="dxa"/>
          <w:bottom w:w="0" w:type="dxa"/>
          <w:right w:w="0" w:type="dxa"/>
        </w:tblCellMar>
      </w:tblPr>
      <w:tblGrid>
        <w:gridCol w:w="124"/>
        <w:gridCol w:w="2338"/>
        <w:gridCol w:w="109"/>
        <w:gridCol w:w="109"/>
        <w:gridCol w:w="376"/>
        <w:gridCol w:w="109"/>
        <w:gridCol w:w="109"/>
        <w:gridCol w:w="2833"/>
        <w:gridCol w:w="109"/>
        <w:gridCol w:w="109"/>
        <w:gridCol w:w="376"/>
        <w:gridCol w:w="154"/>
      </w:tblGrid>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spacing w:val="4"/>
              </w:rPr>
            </w:pPr>
            <w:r>
              <w:rPr>
                <w:spacing w:val="4"/>
              </w:rPr>
              <w:t xml:space="preserve">Large 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spacing w:val="4"/>
              </w:rPr>
            </w:pPr>
            <w:r>
              <w:rPr>
                <w:spacing w:val="4"/>
              </w:rPr>
              <w:t xml:space="preserve">Non-accelerated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Smaller reporting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Emerging growth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spacing w:val="4"/>
              </w:rPr>
              <w: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38"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Times;serif" w:hAnsi="Times New Roman;Times;serif"/>
          <w:b w:val="false"/>
          <w:i w:val="false"/>
          <w:caps w:val="false"/>
          <w:smallCaps w:val="false"/>
          <w:color w:val="000000"/>
          <w:sz w:val="18"/>
        </w:rPr>
        <w:t xml:space="preserve"> </w:t>
      </w:r>
    </w:p>
    <w:p>
      <w:pPr>
        <w:pStyle w:val="TextBody"/>
        <w:bidi w:val="0"/>
        <w:spacing w:before="7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8"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7338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33800" cy="4667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Clearway Energy,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Class C 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Clearway Energy, Inc., from time to time, may offer to sell Class C common stock, senior or subordinated debt securities, and preferred stock. The debt securities and preferred stock may be convertible into or exercisable or exchangeable for our Class C common stock, our preferred stock, our other securities or the debt or equity securities of one or more other entities. This prospectus describes some of the general terms that may apply to these securities. The specific terms of any securities to be offered will be described in a supplement to this prospectus. The prospectus supplements may also add, update, or change information contained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securities to or through one or more underwriters, dealers and agents, or directly to purchasers, or through a combination of these methods, on a continuous or delayed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C common stock is traded on the New York Stock Exchange (the “NYSE”) under the symbol “CWEN.”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securities involves risks. You should carefully consider the risks described under “Risk Factors” on page </w:t>
      </w:r>
      <w:hyperlink w:anchor="tRIFA">
        <w:r>
          <w:rPr>
            <w:rStyle w:val="InternetLink"/>
          </w:rPr>
          <w:t>2</w:t>
        </w:r>
      </w:hyperlink>
      <w:r>
        <w:rPr>
          <w:rFonts w:ascii="Times New Roman;Times;serif" w:hAnsi="Times New Roman;Times;serif"/>
          <w:b/>
          <w:i w:val="false"/>
          <w:caps w:val="false"/>
          <w:smallCaps w:val="false"/>
          <w:color w:val="000000"/>
          <w:spacing w:val="-4"/>
          <w:sz w:val="20"/>
        </w:rPr>
        <w:t xml:space="preserve"> of this prospectus, as well as the other information contained or incorporated by reference in this prospectus and the related prospectus supplement, before making a decision to invest in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(the “SEC”) nor any state securities commission has approved or disapproved of these securities or passed upon the accuracy or adequacy of this prospectus. Any representation to the contrary is a criminal offense.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August 6,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706" w:type="dxa"/>
        <w:jc w:val="left"/>
        <w:tblInd w:w="1393" w:type="dxa"/>
        <w:tblLayout w:type="fixed"/>
        <w:tblCellMar>
          <w:top w:w="0" w:type="dxa"/>
          <w:left w:w="0" w:type="dxa"/>
          <w:bottom w:w="0" w:type="dxa"/>
          <w:right w:w="0" w:type="dxa"/>
        </w:tblCellMar>
      </w:tblPr>
      <w:tblGrid>
        <w:gridCol w:w="124"/>
        <w:gridCol w:w="7473"/>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FOST">
              <w:r>
                <w:rPr>
                  <w:rStyle w:val="InternetLink"/>
                  <w:spacing w:val="4"/>
                </w:rPr>
                <w:t>iii</w:t>
              </w:r>
            </w:hyperlink>
            <w:hyperlink w:anchor="tFO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SUM">
              <w:r>
                <w:rPr>
                  <w:rStyle w:val="InternetLink"/>
                  <w:spacing w:val="4"/>
                </w:rPr>
                <w:t>1</w:t>
              </w:r>
            </w:hyperlink>
            <w:hyperlink w:anchor="tSU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RIFA">
              <w:r>
                <w:rPr>
                  <w:rStyle w:val="InternetLink"/>
                  <w:spacing w:val="4"/>
                </w:rPr>
                <w:t>2</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UOP">
              <w:r>
                <w:rPr>
                  <w:rStyle w:val="InternetLink"/>
                  <w:spacing w:val="4"/>
                </w:rPr>
                <w:t>3</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CS">
              <w:r>
                <w:rPr>
                  <w:rStyle w:val="InternetLink"/>
                  <w:spacing w:val="4"/>
                </w:rPr>
                <w:t>4</w:t>
              </w:r>
            </w:hyperlink>
            <w:hyperlink w:anchor="t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DS">
              <w:r>
                <w:rPr>
                  <w:rStyle w:val="InternetLink"/>
                  <w:spacing w:val="4"/>
                </w:rPr>
                <w:t>14</w:t>
              </w:r>
            </w:hyperlink>
            <w:hyperlink w:anchor="t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POD">
              <w:r>
                <w:rPr>
                  <w:rStyle w:val="InternetLink"/>
                  <w:spacing w:val="4"/>
                </w:rPr>
                <w:t>17</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LEMA">
              <w:r>
                <w:rPr>
                  <w:rStyle w:val="InternetLink"/>
                  <w:spacing w:val="4"/>
                </w:rPr>
                <w:t>19</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EXP">
              <w:r>
                <w:rPr>
                  <w:rStyle w:val="InternetLink"/>
                  <w:spacing w:val="4"/>
                </w:rPr>
                <w:t>19</w:t>
              </w:r>
            </w:hyperlink>
            <w:hyperlink w:anchor="t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IBRO">
              <w:r>
                <w:rPr>
                  <w:rStyle w:val="InternetLink"/>
                  <w:spacing w:val="4"/>
                </w:rPr>
                <w:t xml:space="preserve">INCORPORATION BY REFERENCE OF CERTAIN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BRO">
              <w:r>
                <w:rPr>
                  <w:rStyle w:val="InternetLink"/>
                  <w:spacing w:val="4"/>
                </w:rPr>
                <w:t>19</w:t>
              </w:r>
            </w:hyperlink>
            <w:hyperlink w:anchor="tIBR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
              <w:r>
                <w:rPr>
                  <w:rStyle w:val="InternetLink"/>
                  <w:spacing w:val="4"/>
                </w:rPr>
                <w:t>20</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a part of a registration statement that we filed with the SEC utilizing a “shelf” registration process. Under this shelf registration process, we may sell any combination of the securities described in this prospectus in one or more offerings from time to time. This prospectus provides you with a general description of us and the securities we may offer under this prospectus. Each time we sell securities under this shelf registration, we will provide a prospectus supplement that will contain specific information about the terms of that offering. The prospectus supplement may also add, update or change information contained in this prospectus. Therefore, if there is any inconsistency between the information in this prospectus and the prospectus supplement, you should rely on the information in the prospectus supplement. You should read carefully both this prospectus and any prospectus supplement, together with additional information described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 dealer, salesman or other person to give any information or to make any representation other than those contained or incorporated by reference in this prospectus and any related prospectus supplement. You must not rely upon any information or representation not contained or incorporated by reference in this prospectus or the related prospectus supplement. This prospectus and any related prospectus supplement do not constitute an offer to sell or the solicitation of an offer to buy any securities other than the registered securities to which they relate, nor do this prospectus and any related prospectus supplement constitute an offer to sell or the solicitation of an offer to buy securities in any jurisdiction to any person to whom it is unlawful to make such offer or solicitation in such jurisdiction. You should not assume that the information in this prospectus, any prospectus supplement, or any document incorporated by reference is accurate as of any date other than the date of the document in which such information is contained, or such other date referred to in such document, regardless of the time of any sale or issuance of a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otherwise requires or as otherwise expressly stated, references in this prospectus to “Clearway Energy,” “the Company,” “we,” “us” and “our” and similar terms refer to Clearway Energy, Inc. and its direct and indirect subsidiaries on a consolidated basis. References in this prospectus to “Clearway Inc.” refer to Clearway Energy, Inc. and not any of its subsidiaries, unless the context otherwise requires. References to our “common stock” or our “preferred stock” refer to the common stock or preferred stock of Clearway Energy, Inc. and not any of its subsidiaries, unless the context otherwise requires.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FOST"/>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any related prospectus supplement, and the documents incorporated by reference herein and therein, include forward-looking statements within the meaning of Section 27A of the Securities Act of 1933, as amended (the “Securities Act”), and Section 21E of the Securities Exchange Act of 1934, as amended (the “Exchange Act”), which involve risks and uncertainties. All statements, other than statements of historical facts, that are included in or incorporated by reference into this prospectus or any related prospectus supplement,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“believes,” “projects,” “anticipates,” “plans,” “expects,” “intends,” “estimates,” “will likely result,” “are expected to,” “will continue,” “is anticipated,” “estimated,” “projection,” “target,” “goal,” “objective,” “outlook,” “forecast” and similar expressions), are forward-looking statements. These factors, risks and uncertainties include, but are not limited to,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and grow our quarterly dividend; </w:t>
      </w:r>
      <w:r>
        <mc:AlternateContent>
          <mc:Choice Requires="wps">
            <w:drawing>
              <wp:anchor behindDoc="0" distT="7366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risks related to our relationships with Clearway Energy Group LLC (“CEG”) and its owners; </w:t>
      </w:r>
      <w:r>
        <mc:AlternateContent>
          <mc:Choice Requires="wps">
            <w:drawing>
              <wp:anchor behindDoc="0" distT="6731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identify, evaluate and consummate investment opportunities, as well as acquisitions from, and dispositions to, third parties; </w:t>
      </w:r>
      <w:r>
        <mc:AlternateContent>
          <mc:Choice Requires="wps">
            <w:drawing>
              <wp:anchor behindDoc="0" distT="6731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acquire assets from CEG; </w:t>
      </w:r>
      <w:r>
        <mc:AlternateContent>
          <mc:Choice Requires="wps">
            <w:drawing>
              <wp:anchor behindDoc="0" distT="6731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borrow additional funds and access capital markets, as well as our substantial indebtedness and the possibility that we may incur additional indebtedness going forward; </w:t>
      </w:r>
      <w:r>
        <mc:AlternateContent>
          <mc:Choice Requires="wps">
            <w:drawing>
              <wp:anchor behindDoc="0" distT="6731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 including judicial decisions; </w:t>
      </w:r>
      <w:r>
        <mc:AlternateContent>
          <mc:Choice Requires="wps">
            <w:drawing>
              <wp:anchor behindDoc="0" distT="6604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 </w:t>
      </w:r>
      <w:r>
        <mc:AlternateContent>
          <mc:Choice Requires="wps">
            <w:drawing>
              <wp:anchor behindDoc="0" distT="6604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operate our businesses efficiently, manage maintenance capital expenditures and costs effectively, and generate earnings and cash flows from our asset-based businesses in relation to our debt and other obligations; </w:t>
      </w:r>
      <w:r>
        <mc:AlternateContent>
          <mc:Choice Requires="wps">
            <w:drawing>
              <wp:anchor behindDoc="0" distT="6604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willingness and ability of counterparties to our offtake agreements to fulfill their obligations under such agreements; </w:t>
      </w:r>
      <w:r>
        <mc:AlternateContent>
          <mc:Choice Requires="wps">
            <w:drawing>
              <wp:anchor behindDoc="0" distT="6604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enter into contracts to sell power and procure fuel on acceptable terms and prices; </w:t>
      </w:r>
      <w:r>
        <mc:AlternateContent>
          <mc:Choice Requires="wps">
            <w:drawing>
              <wp:anchor behindDoc="0" distT="6604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regulation, including compliance with regulatory requirements and changes in market rules, rates, tariffs and environmental laws; </w:t>
      </w:r>
      <w:r>
        <mc:AlternateContent>
          <mc:Choice Requires="wps">
            <w:drawing>
              <wp:anchor behindDoc="0" distT="6604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Operating and financial restrictions placed on us that are contained in the facility-level debt facilities and other agreements of certain subsidiaries and facility-level subsidiaries generally, in the Clearway Energy Operating LLC (“Clearway Operating LLC”) amended and restated revolving credit facility and in the indentures governing our outstanding senior unsecured notes; and </w:t>
      </w:r>
      <w:r>
        <mc:AlternateContent>
          <mc:Choice Requires="wps">
            <w:drawing>
              <wp:anchor behindDoc="0" distT="6604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Cyber terrorism and inadequate cybersecurity, or the occurrence of a catastrophic loss and the possibility that we may not have adequate insurance to cover losses resulting from such hazards or the inability of our insurers to provide coverage. </w:t>
      </w:r>
      <w:r>
        <mc:AlternateContent>
          <mc:Choice Requires="wps">
            <w:drawing>
              <wp:anchor behindDoc="0" distT="6604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forward-looking statement speaks only as of the date on which it was made, and except as may be required by applicable law, the Company undertakes no obligation to publicly update or revise any forward-looking statement, whether as a result of new information, future events or otherwise. The foregoing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 of factors that could cause the Company’s actual results to differ materially from those contemplated in any forward-looking statements included in this prospectus or incorporated herein by reference should not be construed as exhaustive.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SUM"/>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highlights selected information contained elsewhere in this prospectus. Because it is a summary, it does not contain all of the information that may be important to you or that you should consider before investing in our securities. You should read the entire prospectus carefully, including the “Risk Factors” section and the other documents we refer to and incorporate by reference, in order to understand this offering fully. In particular, we incorporate important business and financial information into this prospectus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publicly-traded energy infrastructure investor with a focus on investments in clean energy and owner of modern, sustainable and long-term contracted assets across North America. We are sponsored by CEG.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incorporated as a Delaware corporation on December 20, 2012. Our Class C common stock is listed on the NYSE under the symbol “CWEN.” Our headquarters and principal executive offices are located at 300 Carnegie Center, Suite 300, Princeton, New Jersey 08540. Our telephone number is (609) 608-1525. Our website is </w:t>
      </w:r>
      <w:r>
        <w:rPr>
          <w:rFonts w:ascii="Times New Roman;Times;serif" w:hAnsi="Times New Roman;Times;serif"/>
          <w:b w:val="false"/>
          <w:i/>
          <w:caps w:val="false"/>
          <w:smallCaps w:val="false"/>
          <w:color w:val="000000"/>
          <w:spacing w:val="4"/>
          <w:sz w:val="20"/>
          <w:bdr w:val="single" w:sz="8" w:space="1" w:color="000000"/>
        </w:rPr>
        <w:t>www.clearwayenergy.com</w:t>
      </w:r>
      <w:r>
        <w:rPr>
          <w:rFonts w:ascii="Times New Roman;Times;serif" w:hAnsi="Times New Roman;Times;serif"/>
          <w:b w:val="false"/>
          <w:i w:val="false"/>
          <w:caps w:val="false"/>
          <w:smallCaps w:val="false"/>
          <w:color w:val="000000"/>
          <w:spacing w:val="4"/>
          <w:sz w:val="20"/>
          <w:bdr w:val="single" w:sz="8" w:space="1" w:color="000000"/>
        </w:rPr>
        <w:t xml:space="preserve">. Information on our website is not part of this prospectus and is not incorporated into this prospectus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can get more information regarding our business by reading our Annual Report on Form 10-K for the fiscal year ended December 31, 2025, our Quarterly Reports on Form 10-Q for the quarterly periods ended March 31, 2026 and June 30, 2026, and the other reports we file with the SEC. See “Where You Can Find More Information.”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RIF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is subject to uncertainties and risks. You should carefully consider and evaluate all of the information included and incorporated by reference in this prospectus, including the risk factors incorporated by reference from our most recent Annual Report on Form 10-K, as updated by our Quarterly Reports on Form 10-Q and other filings we make with the SEC, and in any prospectus supplement. It is possible that our business, financial condition, liquidity or results of operations could be materially adversely affected by any of these risks. In that case, the trading price of our common stock or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the prospectus supplement, we expect to use the net proceeds from the sale of securities offered thereby for general corporate purposes, which may include,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repayment or refinancing of all or a portion of our indebtedness outstanding at the time;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funding working capital, capital expenditures or acquisitions.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Pending any specific application, we may initially invest funds in short-term marketable securities or apply them to the reduction of short-term indebtedness.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OCS"/>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the Company’s capital stock is a summary and does not purport to be complete. It should be read in conjunction with, and is qualified in its entirety by reference to, the full text of the Company’s Restated Certificate of Incorporation (“Certificate of Incorporation”) and the Company’s Fourth Amended and Restated Bylaws (“Bylaws”). The following description may not contain all of the information that is important to you. To understand them fully, you should read the Certificate of Incorporation, the Bylaws and the applicable provisions of the Delaware General Corporation Law (the “DGCL”).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authorized capital stock consists, as of July 31, 2026, of: </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500,000,000 shares of Class B common stock, par value $0.01 per share (“Class B common stock”), of which 42,738,750 shares are issued and outstanding (of which 41,678,637 shares were held in the Voting Trust (as defined below) pursuant to the terms of the Voting Trust Agreement described below under “— Voting Trust Agreement”); </w:t>
      </w:r>
      <w:r>
        <mc:AlternateContent>
          <mc:Choice Requires="wps">
            <w:drawing>
              <wp:anchor behindDoc="0" distT="8763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1,000,000,000 shares of Class C common stock, par value $0.01 per share (“Class C common stock”), of which 121,174,960 shares are issued and outstanding; </w:t>
      </w:r>
      <w:r>
        <mc:AlternateContent>
          <mc:Choice Requires="wps">
            <w:drawing>
              <wp:anchor behindDoc="0" distT="8763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1,000,000,000 shares of Class D common stock, par value $0.01 per share (“Class D common stock”), of which 41,361,142 shares are issued and outstanding; and </w:t>
      </w:r>
      <w:r>
        <mc:AlternateContent>
          <mc:Choice Requires="wps">
            <w:drawing>
              <wp:anchor behindDoc="0" distT="87630" distB="0" distL="254000" distR="0" simplePos="0" locked="0" layoutInCell="1" allowOverlap="1" relativeHeight="21">
                <wp:simplePos x="0" y="0"/>
                <wp:positionH relativeFrom="column">
                  <wp:align>left</wp:align>
                </wp:positionH>
                <wp:positionV relativeFrom="line">
                  <wp:align>top</wp:align>
                </wp:positionV>
                <wp:extent cx="254000" cy="52578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10,000,000 shares of preferred stock, par value $0.01 per share, none of which are issued and outstanding. </w:t>
      </w:r>
      <w:r>
        <mc:AlternateContent>
          <mc:Choice Requires="wps">
            <w:drawing>
              <wp:anchor behindDoc="0" distT="87630" distB="0" distL="254000" distR="0" simplePos="0" locked="0" layoutInCell="1" allowOverlap="1" relativeHeight="22">
                <wp:simplePos x="0" y="0"/>
                <wp:positionH relativeFrom="column">
                  <wp:align>left</wp:align>
                </wp:positionH>
                <wp:positionV relativeFrom="line">
                  <wp:align>top</wp:align>
                </wp:positionV>
                <wp:extent cx="254000" cy="52578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as of July 31, 2026, (i) an aggregate of 3,568,188 shares of Class C common stock are reserved for issuance under the Company’s equity-based compensation plans and (ii) an aggregate of 84,099,892 shares of Class C common stock are reserved for issuance upon the exchange of Class B units or Class D units of Clearway Energy LLC (“Clearway LLC”). Unless the Board of Directors of the Company (the “Board”) determines otherwise, the Company will issue all shares of its capital stock in uncertificated form.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B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Class B common stock entitles the holder to one vote with respect to each matter presented to the Company’s stockholders on which the holders of Class B common stock are entitled to vote. Holders of shares of Class B common stock, Class C common stock and Class D common stock vote together as a single class on all matters presented to the Company’s stockholders for their vote or approval, except as otherwise required by applicable law or the listing requirements of any exchange on which shares of the Company’s common stock are listed. Holders of shares of Class B common stock do not have cumulative voting rights. Except in respect of matters relating to the election and removal of directors on the Board and as otherwise provided in the Certificate of Incorporation or required by law, all matters to be voted on by holders of shares of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the Company’s stockholders must be approved by a plurality of the votes entitled to be cast by all shares of common stock on a combined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July 31, 2026, 41,678,637 shares of Class B common stock were held in the Voting Trust described below under “— Voting Trust Agreement”, and such shares will be voted by the Voting Trustee (as defined below) in accordance with the terms of the Voting Trust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and 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Class B common stock do not have any right to receive dividends, other than dividends payable solely in shares of Class B common stock in the event of payment of a dividend in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common stock payable to holders of Class C common stock, or to receive a distribution upon the Company’s liquidation or winding up except for their right to receive payment for the par value of their shares of Class B common stock in connection with the Company’s liquidation.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Mandatory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pursuant to the Exchange Agreement (as defined below), among the Company, Clearway LLC and CEG, the CEG Member (as defined below) exchanges Class B units of Clearway LLC for shares of Class C common stock, an equivalent number of outstanding shares of Class B common stock will be subject to mandatory redemption at a price per share equal to par value. Shares of Class B common stock so redeemed are automatically cancelled and are not available to be reissued.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C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Class C common stock entitles the holder to 1/100th of one vote with respect to each matter presented to the Company’s stockholders on which the holders of Class C common stock are entitled to vote. Holders of shares of Class B common stock, Class C common stock and Class D common stock vote together as a single class on all matters presented to the Company’s stockholders for their vote or approval, except as otherwise required by applicable law or the listing requirements of any exchange on which shares of the Company’s common stock are listed. Holders of shares of Class C common stock do not have cumulative voting rights. Except in respect of matters relating to the election and removal of directors on the Board and as otherwise provided in the Certificate of Incorporation or required by law, all matters to be voted on by holders of shares of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the Company’s stockholders must be approved by a plurality of the votes entitled to be cast by all shares of common stock on a combined basis.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preferences that may be applicable to any then outstanding preferred stock, the holders of the Company’s outstanding shares of Class C common stock are entitled to receive dividends, if any, as may be declared from time to time by the Board out of legally available funds. Dividends upon shares of Class C common stock may be declared by the Board at any regular or special meeting, and may be paid in cash, in property or in shares of capital stock. The holders of shares of Class C common stock will share ratably in all dividends as may be declared by the Board in respect of the outstanding common stock. Before payment of any dividend, there may be set aside out of any of the Company’s funds available for dividends, such sums as the Board deems proper as reserves to meet contingencies, or for equalizing dividends, or for repairing or maintaining any of the Company’s property or for any proper purpose, and the Board may modify or abolish any such reserve. Furthermore, because the Company is a holding company, its ability to pay dividends on shares of Class C common stock is limited by restrictions on the ability of its subsidiaries to pay dividends or make other distributions to the Company, including restrictions under the terms of the agreements governing its indebtedness.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voluntary or involuntary liquidation, dissolution or winding up of the Company’s affairs, holders of shares of Class C common stock would be entitled to share ratably in the Company’s assets that are legally available for distribution to stockholders after payment of its debts and other liabilities and the liquidation preference of any of the outstanding shares of preferred stock, subject only to the right of the holders of shares of Class B common stock and Class D common stock to receive payment for the par value of their shares in connection with the Company’s liquidation.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the Company’s Class C common stock have no preemptive, conversion or other rights to subscribe for additional shares. All outstanding shares are, when issued, validly issued, fully paid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nonassessable. The rights, preferences and privileges of the holders of shares of Class C common stock are subject to, and may be adversely affected by, the rights of the holders of shares of any series of preferred stock that the Company may designate and issue in the future.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Listing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C common stock is listed on the NYSE under the symbol “CWEN.”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Agent and Registrar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the Class C common stock is Computershare Shareowner Services,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D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Class D common stock entitles the holder to 1/100th of one vote with respect to each matter presented to the Company’s stockholders on which the holders of Class D common stock are entitled to vote. Holders of shares of Class B common stock, Class C common stock and Class D common stock vote together as a single class on all matters presented to the Company’s stockholders for their vote or approval, except as otherwise required by applicable law or the listing requirements of any exchange on which shares of the Company’s common stock are listed. Holders of shares of Class D common stock do not have cumulative voting rights. Except in respect of matters relating to the election and removal of directors on the Board and as otherwise provided in the Certificate of Incorporation or required by law, all matters to be voted on by holders of shares of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the Company’s stockholders must be approved by a plurality of the votes entitled to be cast by all shares of common stock on a combined basis.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and 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Class D common stock do not have any right to receive dividends, other than dividends payable solely in shares of Class D common stock in the event of payment of a dividend in shares of common stock payable to holders of Class C common stock, or to receive a distribution upon the Company’s liquidation or winding up except for their right to receive payment for the par value of their shares of Class D common stock in connection with the Company’s liquidation.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Mandatory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pursuant to the Exchange Agreement, the CEG Member exchanges Class D units of Clearway LLC for shares of Class C common stock, an equivalent number of outstanding shares of Class D common stock will be subject to mandatory redemption at a price per share equal to par value. Shares of Class D common stock so redeemed are automatically cancelled and are not available to be reissued.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but Unissued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Delaware law does not require stockholder approval for any issuance of authorized shares. However, the listing requirements of the NYSE, which would apply so long as the shares of Class C common stock remain listed on the NYSE, require stockholder approval of certain issuances equal to or exceeding 20% of the then outstanding voting power or the then outstanding number of shares of Class C common stock. These additional shares may be used for a variety of corporate purposes, including future public offerings, to raise additional capital or to facilitate acquisitions.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effects of the existence of unissued and unreserved common stock or preferred stock may be to enable the Board to issue shares to persons friendly to current management, which issuance could render more difficult or discourage an attempt to obtain control of the Company by means of a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tender offer, proxy contest or otherwise, and thereby protect the continuity of the Company’s management and possibly deprive the stockholders of opportunities to sell their shares at prices higher than prevailing market prices.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Certificate of Incorporation, the Company is authorized to issue up to 10,000,000 shares of preferred stock, par value $0.01 per share, none of which is issued and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the Company’s stockholders. Any preferred stock so issued may rank senior to the Company’s common stock with respect to the payment of dividends or amounts upon liquidation, dissolution or winding up, or both. The issuance of preferred stock may have the effect of delaying, deferring or preventing a change in control of the Company without further action by the Company’s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the Company has no plans to issue any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Trust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 is a party to a Voting Trust Agreement (the “Voting Trust Agreement”) with Wilmington Trust, National Association, as the voting trustee thereunder (the “Voting Trustee”), pursuant to which, as of July 31, 2026, CEG has deposited into a voting trust (the “Voting Trust”) 41,678,637 shares of Class B common stock (the “Voting Trust Shares”). The following is a description of the material terms of the Voting Trust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Proportionate Voting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Voting Trust Agreement, on any matter presented to the Company’s stockholders for a vote, including the election or removal of directors and any corporate action (including certain proposed change of control transactions of the Company), the Voting Trustee is required to vote the Voting Trust Shares in the same proportion as the votes cast by all stockholders of the Company (including CEG with respect to any shares not held in the Voting Trust). For any matter subject to a vote of the holders of the same class or series of securities as any Voting Trust Shares (voting separately as a class and not together with one or more other classes or series of voting securities of the Company), the Voting Trustee is required to vote the Voting Trust Shares corresponding to such class or series in accordance with the written direction of CEG.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 and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declaration by the Company of any dividend or distribution with respect to any Voting Trust Shares, the Voting Trustee will instruct the Company to cause such dividend or distribution to be paid or delivered directly to CEG as if CEG itself held the Voting Trust Shares; provided, that any dividend or distribution paid in the form of voting securities of the Company will be retained by the Voting Trustee in the Voting Trust and will be subject to all of the terms and conditions of the Voting Trust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Voting Trust Agreement, CEG may not sell, transfer or otherwise dispose of any Voting Trust Shares, except in certain limited situations. Upon completion of any transfer of Voting Trust Shares permitted under the Voting Trust Agreement, such Voting Trust Shares generally will no longer be subject to the terms and conditions of the Voting Trust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 Issuances; Share Releases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Voting Trust Agreement, the Voting Trustee is required to release from the Voting Trust to CEG (each such release, a “Share Release”) a specified number of Voting Trust Shares upon the occurrence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(i) any issuance by the Company of additional shares of Class C common stock or other voting securities (other than to CEG or a CEG Related Person (as defined in the Voting Trust Agreement)), (ii) any corporate action affecting the total relative voting power that CEG holds in the Company or (iii) any exchange by CEG of Class B units of Clearway LLC for shares of Class C common stock under the Exchange Agreement (a “B/C Exchange”). The number of shares to be released in any Share Release will be calculated in accordance with the Voting Trust Agreement and is intended to cause the total relative voting power that CEG holds in the Company as of immediately following such Share Release to equal the total relative voting power that CEG would have held as of immediately following such issuance, corporate action or B/C Exchange had (i) the conversion of each share of the Company’s former Class A common stock into one share of Class C common stock, which occurred on May 1, 2026, not occurred, (ii) the creation of the Voting Trust and the deposit of the initial Voting Trust Shares into the Voting Trust not occurred and (iii), in the case of a B/C Exchange, the Class B units of Clearway LLC subject to such B/C Exchange been exchanged for shares of Class A common stock rather than shares of Class C common stock (the “Hypothetical Baseline Voting Power”). Upon completion of any Share Release, any Voting Trust Shares so released from the Voting Trust will no longer be subject to the terms and conditions of the Voting Trust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as a result of any B/C Exchange (or certain sales, transfers or other dispositions of shares of Class C common stock received in a B/C Exchange), CEG’s total relative voting power in the Company exceeds the Hypothetical Baseline Voting Power, CEG will be required to deposit into the Voting Trust additional shares of Class B common stock in an amount that would cause CEG’s total relative voting power as of immediately following such deposit to equal the Hypothetical Baseline Voting Power.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 Termination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Voting Trust is irrevocable by CEG and will terminate only upon the earliest to occur of (i) an event constituting a change of control of the Company, (ii) the dissolution or liquidation of the Company or (iii) the time at which no Voting Trust Shares remain in the Voting Trust.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Opportunity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under the DGCL, in the Certificate of Incorporation, the Company renounced any interest or expectancy in, or any offer of an opportunity to participate in, specified business opportunities that are presented to the Company or one or more of its officers, directors or stockholders. In recognition that directors, officers and/or employees of CEG may serve as directors and/or officers of the Company, and CEG and its controlled affiliates, not including the Company (individually, an “Affiliated Company”, and collectively, the “Affiliated Companies”), may engage in similar activities or lines of business that the Company engages in, the Certificate of Incorporation provides for the allocation of certain corporate opportunities between the Company and the Affiliated Companies. Specifically, none of the Affiliated Companies will have any duty to refrain from engaging directly or indirectly in the same or similar business activities or lines of business that the Company engages in. In the event that a director or officer of any Affiliated Company who also is one of the Company’s directors or officers acquires knowledge of a potential transaction or matter which may be a corporate opportunity for any of the Affiliated Companies and the Company, the Company will not have any expectancy in such corporate opportunity, and the director or officer will not have any duty to present such corporate opportunity to the Company and may pursue or acquire such corporate opportunity for himself/herself or direct such opportunity to another person. A corporate opportunity that an officer or director of the Company who is also a director or officer of any of the Affiliated Companies acquires knowledge of will not belong to the Company unless the corporate opportunity at issue is expressly offered in writing to such person solely in his or her capacity as a director or officer of the Company. In addition, even if a business opportunity is presented to an officer or director of any of the Affiliated Companies, the following corporate opportunities will not belong to the Company: (1) those the Company is not financially able, contractually permitted or legally able to undertake; (2) those not in the Company’s line of business; (3) those of no practical advantage to the Company; and (4) those in which the Company has no interest or reasonable expectancy. Except with respect to the Company’s directors and/or officers who are also directors and/or officers of any of the Affiliated Companies, the corporate opportunity doctrine applies as construed pursuant to applicable Delaware laws, without limitation.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Delaware Law and the Company’s Certificate of Incorporation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disproportionate voting rights that CEG has as a result of its ownership of Class B common stock and Class D common stock, some provisions of Delaware law contain, and the Certificate of Incorporation and the Bylaws contain, a number of provisions which may have the effect of encouraging persons considering unsolicited tender offers or other unilateral takeover proposals to negotiate with the Board rather than pursue non-negotiated takeover attempts, which the Company believes may result in an improvement of the terms of any such acquisition in favor of the Company’s stockholders. However, these provisions also give the Board the power to discourage acquisitions that some stockholders may favor.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Undesignated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authorize undesignated preferred stock will make it possible for the Board to issue preferred stock with superior voting, special approval, dividend or other rights or preferences on a discriminatory basis that could impede the success of any attempt to acquire the Company. These and other provisions may have the effect of deferring, delaying or discouraging hostile takeovers, or changes in control or management of the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Meetings and Elections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Special Meetings of Stockholders.</w:t>
      </w:r>
      <w:r>
        <w:rPr>
          <w:rFonts w:ascii="Times New Roman;Times;serif" w:hAnsi="Times New Roman;Times;serif"/>
          <w:b w:val="false"/>
          <w:i w:val="false"/>
          <w:caps w:val="false"/>
          <w:smallCaps w:val="false"/>
          <w:color w:val="000000"/>
          <w:spacing w:val="4"/>
          <w:sz w:val="20"/>
        </w:rPr>
        <w:t xml:space="preserve">   The Certificate of Incorporation provides that a special meeting of stockholders may be called only by the Board by a resolution adopted by the affirmative vote of a majority of the total number of directors then in office.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Elimination of Stockholder Action by Written Consent.   </w:t>
      </w:r>
      <w:r>
        <w:rPr>
          <w:rFonts w:ascii="Times New Roman;Times;serif" w:hAnsi="Times New Roman;Times;serif"/>
          <w:b w:val="false"/>
          <w:i w:val="false"/>
          <w:caps w:val="false"/>
          <w:smallCaps w:val="false"/>
          <w:color w:val="000000"/>
          <w:spacing w:val="4"/>
          <w:sz w:val="20"/>
        </w:rPr>
        <w:t xml:space="preserve">The Certificate of Incorporation and the Bylaws provide that holders of the Company’s common stock cannot act by written consent in lieu of a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Vacancies</w:t>
      </w:r>
      <w:r>
        <w:rPr>
          <w:rFonts w:ascii="Times New Roman;Times;serif" w:hAnsi="Times New Roman;Times;serif"/>
          <w:b w:val="false"/>
          <w:i w:val="false"/>
          <w:caps w:val="false"/>
          <w:smallCaps w:val="false"/>
          <w:color w:val="000000"/>
          <w:spacing w:val="4"/>
          <w:sz w:val="20"/>
        </w:rPr>
        <w:t xml:space="preserve">.   Any vacancy occurring on the Board and any newly created directorship may be filled only by a majority of the directors remaining in office (even if less than a quorum), subject to the rights of holders of any series of preferred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Amendments of Certificate of Incorporation.</w:t>
      </w:r>
      <w:r>
        <w:rPr>
          <w:rFonts w:ascii="Times New Roman;Times;serif" w:hAnsi="Times New Roman;Times;serif"/>
          <w:b w:val="false"/>
          <w:i w:val="false"/>
          <w:caps w:val="false"/>
          <w:smallCaps w:val="false"/>
          <w:color w:val="000000"/>
          <w:spacing w:val="4"/>
          <w:sz w:val="20"/>
        </w:rPr>
        <w:t>   The provisions described above under “— Special Meetings of Stockholders,” “— Elimination of Stockholder Action by Written Consent” and “— Vacancies” may be amended only by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combined voting power of outstanding shares of the Company’s capital stock entitled to vote in the election of directors, voting together as a single class.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of Bylaws.</w:t>
      </w:r>
      <w:r>
        <w:rPr>
          <w:rFonts w:ascii="Times New Roman;Times;serif" w:hAnsi="Times New Roman;Times;serif"/>
          <w:b w:val="false"/>
          <w:i w:val="false"/>
          <w:caps w:val="false"/>
          <w:smallCaps w:val="false"/>
          <w:color w:val="000000"/>
          <w:spacing w:val="4"/>
          <w:sz w:val="20"/>
        </w:rPr>
        <w:t xml:space="preserve">   The Board has the power to make, alter, amend, change or repeal the Bylaws or adopt new bylaws by the affirmative vote of a majority of the total number of directors then in office.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Provisions Relating to Stockholder Proposals and Nominees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Bylaws also impose some procedural requirements on stockholders who wish to make nominations in the election of directors or propose any other business to be brought before an annual or special meeting of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Specifically, a stockholder may (i) bring a proposal before an annual meeting of stockholders, (ii) nominate a candidate for election to the Board at an annual meeting of stockholders, or (iii) nominate a candidate for election to the Board at a special meeting of stockholders that has been called for the purpose of electing directors, only if such stockholder delivers timely notice to the Company’s corporate secretary. The notice must be in writing and must include certain information and comply with the delivery requirements as set forth in the Bylaws.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timely, a stockholder’s notice must be received at the Company’s principal executive offices: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nomination or other business in connection with an annual meeting of stockholders, not later than the close of business on the 90th day nor earlier than the close of business on the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120th day prior to the first anniversary of the previous year’s annual meeting of stockholders;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if the date of the annual meeting is advanced more than 30 days before or delayed more than 70 days after the first anniversary of the preceding year’s annual meeting,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Company;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nomination in connection with a special meeting of stockholders, not earlier than the close of business on the 120th day prior to such special meeting and not later than the close of business on the later of the 90th day before such special meeting or the 10th day following the day on which public announcement of the date of such meeting is first made by the Company. </w:t>
      </w:r>
      <w:r>
        <mc:AlternateContent>
          <mc:Choice Requires="wps">
            <w:drawing>
              <wp:anchor behindDoc="0" distT="8382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special meetings of stockholders, the Bylaws provide that only such business shall be conducted as shall have been stated in the notice of the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Antitakeover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opted out of Section 203 of the DGCL. However, the Certificate of Incorporation provides that in the event CEG and its affiliates cease to beneficially own at least 5% of the total voting power of all the then outstanding shares of the Company’s capital stock, the Company will automatically become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such time, the Board approved either the business combination or the transaction that resulted in the stockholder becoming an interested stockholder; </w:t>
      </w:r>
      <w:r>
        <mc:AlternateContent>
          <mc:Choice Requires="wps">
            <w:drawing>
              <wp:anchor behindDoc="0" distT="8382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the voting stock outstanding at the time the transaction commenced, excluding certain shares; or </w:t>
      </w:r>
      <w:r>
        <mc:AlternateContent>
          <mc:Choice Requires="wps">
            <w:drawing>
              <wp:anchor behindDoc="0" distT="8382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subsequent to that time, the business combination is approved by the Board and by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voting stock that is not owned by the interested stockholder. </w:t>
      </w:r>
      <w:r>
        <mc:AlternateContent>
          <mc:Choice Requires="wps">
            <w:drawing>
              <wp:anchor behindDoc="0" distT="8382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the Company’s voting stock.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Section 203 makes it more difficult for a person who would be an “interested stockholder” to effect various business combinations with a corporation for a three-year period. The provisions of Section 203 may encourage companies interested in acquiring the Company to negotiate in advance with the Board because the stockholder approval requirement would be avoided if the Board approves either the business combination or the transaction that results in the stockholder becoming an interested stockholder. These provisions also may make it more difficult to accomplish transactions that stockholders may otherwise deem to be in their best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amendments to the Certificate of Incorporation, subject to the rights of holders of the Company’s preferred stock, regarding the provisions thereof summarized under “— Corporate Opportunity” or “— Antitakeover Effects of Delaware Law and the Company’s Certificate of Incorporation and Bylaws” will require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all shares of common stock then outstanding.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Fifth Amended and Restated Limited Liability Company Agreement of Clearway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description of the material terms of the Fifth Amended and Restated Limited Liability Company Agreement of Clearway LLC (the “Clearway LLC Agreement”). The following description is a summary and does not purport to be complete. It should be read in conjunction with, and is qualified in its entirety by reference to, the full text of the Clearway LLC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serves as the sole managing member of Clearway LLC. As such, the Company, and effectively the Board, controls the business and affairs of Clearway LLC and is responsible for the management of its business. No other member of Clearway LLC, in its capacity as such, has any authority or right to control the management of Clearway LLC or to bind it in connection with any matter. Any amendment, supplement or waiver of the Clearway LLC Agreement must be approved by a majority of the Company’s independent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and Economic Rights of Members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liability company interests in Clearway LLC are denominated as “units,” which are comprised of three classes: Class C units, which may only be issued to the Company, as the sole managing member, and Class B units and Class D units, which may only be issued to CEG and held by CEG or its permitted assignees or permitted transferees (collectively, the “CEG Member”). Units of each of the three classes have equivalent economic and other rights, except that upon issuance, each holder of a Class B unit will also be issued a share of the Company’s Class B common stock and each holder of a Class D unit will also be issued a share of the Company’s Class D common stock. Each Class B unit and Class D unit is exchangeable for a share of the Company’s Class C common stock, subject to equitable adjustments for stock splits, stock dividends and reclassifications in accordance with the terms of the Exchange Agreement. When the CEG Member exchanges a Class B unit of Clearway LLC for a share of the Company’s Class C common stock, the Company will automatically redeem and cancel a corresponding share of Class B common stock, and the Class B unit will automatically convert into a Class C unit of Clearway LLC issued to the Company. When the CEG Member exchanges a Class D unit of Clearway LLC for a share of the Company’s Class C common stock, the Company will automatically redeem and cancel a corresponding share of the Company’s Class D common stock, and the Class D unit will automatically convert into a Class C unit of Clearway LLC issued to the Company. None of the units have any voting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profits and net losses and distributions by Clearway LLC are allocated and made to holders of units in accordance with the respective number of membership units of Clearway LLC held. Clearway LLC will make distributions to the Company and CEG for the purpose of funding tax obligations in respect of income of Clearway LLC that is allocated to the members of Clearway LLC. However, Clearway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the Company’s operations are conducted primarily through Clearway Operating LLC, a wholly owned subsidiary of Clearway LLC, and Clearway Operating LLC’s Amended and Restated Credit Agreement restricts the ability of Clearway Operating LLC to make distributions to Clearway LLC, Clearway LLC may not have any funds available to make distributions to the Company and CEG (including with respect to tax obligations).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Coordination of the Company and Clearway LLC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the Company issues a share of its Class C common stock for cash, the net proceeds therefrom will promptly be transferred to Clearway LLC and Clearway LLC will, at the Company’s election, either: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transfer a newly issued Class C unit of Clearway LLC to the Company or (ii) purchase Class B units or Class D units from the CEG Member, which Class B units or Class D units, as applicable, will automatically be reclassified into Class C units; or </w:t>
      </w:r>
      <w:r>
        <mc:AlternateContent>
          <mc:Choice Requires="wps">
            <w:drawing>
              <wp:anchor behindDoc="0" distT="6985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a portion of the net proceeds to purchase a Class B unit or Class D unit of Clearway LLC from the CEG Member, which Class B unit or Class D unit will automatically convert into a Class C unit of Clearway LLC when transferred to the Company. </w:t>
      </w:r>
      <w:r>
        <mc:AlternateContent>
          <mc:Choice Requires="wps">
            <w:drawing>
              <wp:anchor behindDoc="0" distT="6985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Clearway LLC purchases a Class B unit or a Class D unit of Clearway LLC from the CEG Member, the Company will concurrently redeem and cancel the corresponding share of its Class B common stock or Class D common stock,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issues other classes or series of equity securities, Clearway LLC will issue, and the Company will use the net proceeds therefrom to purchase, an equal amount of units with designations, preferences and other rights and terms that are substantially the same as the Company’s newly-issued equity securities. Conversely, if the Company elects to redeem any shares of its Class C common stock (or its equity securities of other classes or series) for cash, Clearway LLC will, immediately prior to such redemption, redeem an equal number of Class C units (or its units of the corresponding classes or series) held by the Company upon the same terms and for the same price, as the shares of Class C common stock (or equity securities of such other classes or series) so redeemed.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Issuances and Transfer of Units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Class C units may only be issued to the Company, as the sole managing member of Clearway LLC, and are non-transferable except upon redemption by Clearway LLC. Class B units and Class D units may only be issued to the CEG Member. Class B units and Class D units may not be transferred without the Company’s consent, which may not be unreasonably withheld, conditioned or delayed, except the CEG Member may transfer Class B units or Class D units to any of its direct or indirect limited partners or other equityholders and to a permitted transferee (including an affiliate) without the Company’s consent. The CEG Member may not transfer any Class B units or Class D units to any person unless the CEG Member transfers an equal number of shares of the Company’s Class B common stock or Class D common stock, as applicable, to the same transferee.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Exchange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 party to a Third Amended and Restated Exchange Agreement with CEG and Clearway LLC (the “Exchange Agreement”), pursuant to which the CEG Member may, from time to time, cause Clearway LLC to (i) exchange its Class B units for shares of the Company’s Class C common stock or (ii) exchange its Class D units for shares of the Company’s Class C common stock, in each case, on a one-for-one basis, subject to adjustments for stock splits, stock dividends and reclassifications. The Exchange Agreement also provides that, subject to certain exceptions, the CEG Member does not have the right to cause Clearway LLC to exchange Class B units or Class D units if Clearway LLC determines that such exchange would be prohibited by law or regulation or would violate other agreements to which the Company may be subject, and the Company may impose additional restrictions on exchange that it determines necessary or advisable so that Clearway LLC is not treated as a “publicly traded partnership” for U.S.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the CEG Member exchanges a Class B unit of Clearway LLC for a share of the Company’s Class C common stock, the Company will automatically redeem and cancel a corresponding share of the Company’s Class B common stock and the Class B unit will automatically convert into a Class C unit when issued to the Company. Similarly, when the CEG Member exchanges a Class D unit of Clearway LLC for a share of the Company’s Class C common stock, the Company will automatically redeem and cancel a corresponding share of the Company’s Class D common stock and the Class D unit will automatically convert into a Class C unit when issued to the Company. As a result, when the CEG Member exchanges its Class B units or Class D units for shares of the Company’s Class C common stock, the Company’s interest in Clearway LLC will be correspondingly increased.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when the CEG Member exchanges a Class B unit or Class D unit of Clearway LLC for shares of the Company’s Class C common stock, the CEG Member will pay the Company an equitable cash settlement on the applicable exchange date for the value of certain of the Company’s assets that are not held through Clearway LLC. The amount of any such payment will be calculated based on the net present value of the projected discounted cash flow of such assets, using a discount rate equal to the weighted average cost of capital for such assets, and the daily volume-weighted average closing price of the Company’s Class C common stock for the trailing 30 trading days ending on the second trading day prior to the applicable exchange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reserved for issuance 84,099,892 shares of the Company’s Class C common stock, which is the aggregate number of shares of Class C common stock expected to be issued over time upon the exchange of all Class B units and Class D units of Clearway LLC currently outstanding.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and Exculpation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permitted by applicable law, Clearway LLC will indemnify its and its affiliate’s members, partners, shareholders, directors, officers, fiduciaries and trustees, as well as the Company’s authorized officers and the Company’s other employees and agents, from and against any losses, liabilities, damages, costs, expenses, fees or penalties incurred in connection with serving in such capacities, provided that the acts or omissions of these indemnified persons are not the result of bad faith, fraud, willful misconduct or, in the case of a criminal matter, knowledge that the indemnified person’s conduct was unlawful.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indemnified persons will not be liable to Clearway LLC for damages incurred as a result of any acts or omissions of these persons, provided that the acts or omissions of these exculpated persons are not the result of bad faith, fraud, willful misconduct or, in the case of a criminal matter, knowledge that the indemnified person’s conduct was unlawful.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Amended and Restated Registration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entered into an amended and restated registration rights agreement with CEG (as successor-in-interest to NRG Energy, Inc.), pursuant to which CEG and its affiliates will be entitled to demand registration rights, including the right to demand that a shelf registration statement be filed, and “piggyback” registration rights, for shares of the Company’s Class C common stock that are issuable upon exchange of Class B units or Class D units of Clearway LLC that CEG owns.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OD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secured or unsecured debt securities, which may be convertible or non-convertible. Our debt securities will be issued under an indenture to be entered into between us and CSC Delaware Trust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summarized certain general features of the debt securities from the indenture. A form of indenture is filed as an exhibit to the registration statement of which this prospectus forms a part. The following description of the terms of the debt securities sets forth certain general terms and provisions. The particular terms of the debt securities offered by any prospectus supplement and the extent, if any, to which these general provisions may apply to the debt securities will be described in the related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debt securities that may be issued under the indenture is unlimited. The debt securities may be issued in one or more series as may be authorized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 is made to the applicable prospectus supplement for the following terms of the debt securities (if applicable):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and aggregate principal amount; </w:t>
      </w:r>
      <w:r>
        <mc:AlternateContent>
          <mc:Choice Requires="wps">
            <w:drawing>
              <wp:anchor behindDoc="0" distT="7747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securities will be senior or subordinated; </w:t>
      </w:r>
      <w:r>
        <mc:AlternateContent>
          <mc:Choice Requires="wps">
            <w:drawing>
              <wp:anchor behindDoc="0" distT="7747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subordination provisions, if any; </w:t>
      </w:r>
      <w:r>
        <mc:AlternateContent>
          <mc:Choice Requires="wps">
            <w:drawing>
              <wp:anchor behindDoc="0" distT="7747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securities issued by us will be entitled to the benefits of any form of guarantee;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conversion or exchange into other securities; </w:t>
      </w:r>
      <w:r>
        <mc:AlternateContent>
          <mc:Choice Requires="wps">
            <w:drawing>
              <wp:anchor behindDoc="0" distT="7747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securities issued by us will be secured or unsecured, and if secured, what the collateral will consist of;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percentage or percentages of principal amount at which such securities will be issued;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maturity date(s);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rate(s) or the method for determining the interest rate(s);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dates on which interest will accrue or the method for determining dates on which interest will accrue and dates on which interest will be payable;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(including upon a “change of control”) or early repayment provisions;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authorized denominations;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w:t>
      </w:r>
      <w:r>
        <mc:AlternateContent>
          <mc:Choice Requires="wps">
            <w:drawing>
              <wp:anchor behindDoc="0" distT="7747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of discount or premium, if any, with which such securities will be issued; </w:t>
      </w:r>
      <w:r>
        <mc:AlternateContent>
          <mc:Choice Requires="wps">
            <w:drawing>
              <wp:anchor behindDoc="0" distT="7747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such securities will be issued in whole or in part in the form of one or more global securities; </w:t>
      </w:r>
      <w:r>
        <mc:AlternateContent>
          <mc:Choice Requires="wps">
            <w:drawing>
              <wp:anchor behindDoc="0" distT="7747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identity of the depositary for global securities; </w:t>
      </w:r>
      <w:r>
        <mc:AlternateContent>
          <mc:Choice Requires="wps">
            <w:drawing>
              <wp:anchor behindDoc="0" distT="7747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 temporary security is to be issued with respect to such series and whether any interest payable prior to the issuance of definitive securities of the series will be credited to the account of the persons entitled thereto;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upon which beneficial interests in a temporary global security may be exchanged in whole or in part for beneficial interests in a definitive global security or for individual definitive securities;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conversion or exchange features;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covenants applicable to the particular debt securities being issued;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defaults and events of default applicable to the particular debt securities being issued;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currency, currencies or currency units in which the purchase price for, the principal of and any premium and any interest on, such securities will be payable; </w:t>
      </w:r>
      <w:r>
        <mc:AlternateContent>
          <mc:Choice Requires="wps">
            <w:drawing>
              <wp:anchor behindDoc="0" distT="0" distB="0" distL="254000" distR="0" simplePos="0" locked="0" layoutInCell="1" allowOverlap="1" relativeHeight="51">
                <wp:simplePos x="0" y="0"/>
                <wp:positionH relativeFrom="column">
                  <wp:align>left</wp:align>
                </wp:positionH>
                <wp:positionV relativeFrom="line">
                  <wp:posOffset>635</wp:posOffset>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period within which, the manner in which and the terms and conditions upon which the purchaser of the securities can select the payment currency;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exchange(s) on which the securities will be listed, if any;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any underwriter(s) will act as market maker(s) for the securities;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extent to which a secondary market for the securities is expected to develop;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the events of default with respect to the securities and any change in the right of the trustee or the holders to declare the principal, premium and interest with respect to such securities to be due and payable;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relating to covenant defeasance and legal defeasance; </w:t>
      </w:r>
      <w:r>
        <mc:AlternateContent>
          <mc:Choice Requires="wps">
            <w:drawing>
              <wp:anchor behindDoc="0" distT="7493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relating to satisfaction and discharge of the indenture;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relating to the modification of the indenture both with and without the consent of holders of debt securities issued under the indenture; and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terms not inconsistent with the provisions of the indenture.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series of debt securities may be sold at a substantial discount below their stated principal amount, bearing no interest or interest at a rate which at the time of issuance is below market rates. One or more series of debt securities may be variable rate debt securities that may be exchanged for fixed rate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States federal income tax consequences and special considerations, if any, applicable to any such series will be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“debt securities” includes debt securities denominated in U.S. dollars or, if specified in the applicable prospectus supplement, in any other freely transferable currency or units based on or relating to foreign currencies.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most debt securities to be issued in fully registered form without coupons and in denominations of $2,000 and any integral multiple of $1,000 in excess thereof. Subject to the limitations provided in the indenture and as otherwise described in the applicable prospectus supplement, debt securities that are issued in registered form may be transferred or exchanged at the corporate trust office of the trustee, without the payment of any service charge, other than any tax or other governmental charge payable in connection therewith.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 series may be issued in whole or in part in the form of one or more global securities that will be deposited with, or on behalf of, a depositary (the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such successor. The specific terms of the depositary arrangement with respect to any debt securities of a series and the rights of and limitations upon owners of beneficial interests in a global security will be described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and the debt securities will be construed in accordance with and governed by the laws of the State of New York, without giving effect to the principles thereof relating to conflicts of law.</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OD"/>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Initial Offering and Sale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securities from time to time in one or more transactions separately or in combination. We may sell the securities of or within any series to or through agents, underwriters, dealers, remarketing firms or other third parties or directly to one or more purchasers or through a combination of any of these methods. We may issue securities as a dividend or distribution. In some cases, we or dealers acting with us or on behalf of us may also purchase securities and reoffer them to the public. We may also offer and sell, or agree to deliver, securities pursuant to, or in connection with, any option agreement or other contractual arrangement.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whom we designate may solicit offers to purchase the securities.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required, we will name any agent involved in offering or selling securities, and disclose any commissions that we will pay to the agent, in the applicable prospectus supplement. </w:t>
      </w:r>
      <w:r>
        <mc:AlternateContent>
          <mc:Choice Requires="wps">
            <w:drawing>
              <wp:anchor behindDoc="0" distT="7366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applicable prospectus supplement, agents will act on a best efforts basis for the period of their appointment.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may be deemed to be underwriters under the Securities Act, of any of the securities that they offer or sell.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use an underwriter or underwriters in the offer or sale of the securities.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an underwriter or underwriters, we will execute an underwriting agreement with the underwriter or underwriters at the time that we reach an agreement for the sale of the securities.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include the names of the specific managing underwriter or underwriters, as well as the names of any other underwriters, material relationships between the Company and underwriters, and the terms of the transactions, including the compensation the underwriters and dealers will receive, in the applicable prospectus supplement.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will use the applicable prospectus supplement, together with this prospectus, to sell the securities.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use a dealer to sell the securities.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a dealer, we will sell the securities to the dealer, as principal.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dealer will then sell the securities to the public at varying prices that the dealer will determine at the time it sells the securities.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include the name of the dealer and the terms of the transactions with the dealer in the applicable prospectus supplement.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solicit directly offers to purchase the securities, and we may directly sell the securities to institutional or other investors. We will describe the terms of direct sales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engage in “at the market offerings” within the meaning of Rule 415(a)(4) of the Securities Act, to or through a market maker or into an existing trading market on an exchange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offer and sell securities, if so indicated in the applicable prospectus supplement, in connection with a remarketing upon their purchase, in accordance with a redemption or repayment pursuant to their terms, or otherwise, by one or more firms referred to as remarketing firms, acting as principals for their own accounts or as our agents. Any remarketing firm will be identified and the terms of its agreement, if any, with us, and its compensation will be described in the applicable prospectus supplement. Remarketing firms may be deemed to be underwriters under the Securities Act in connection with the securities they remarket.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indemnify agents, underwriters, dealers and remarketing firms against certain liabilities, including liabilities under the Securities Act. Agents, underwriters, dealers and remarketing firms, or their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affiliates, may be customers of, engage in transactions with or perform services for us or our respective affiliates,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agents and underwriters to solicit offers by certain institutions to purchase the securities at the public offering price under delayed delivery contracts.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delayed delivery contracts, we will disclose that we are using them in the prospectus supplement and will tell you when we will demand payment and delivery of the securities under the delayed delivery contracts.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delayed delivery contracts will be subject only to the conditions that we describe in the prospectus supplement.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the commission that underwriters and agents soliciting purchases of the securities under delayed contracts will be entitled to receive.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 agent or dealer that is a Financial Industry Regulatory Authority member is not permitted to sell securities in an offering to accounts over which it exercises discretionary authority without the prior specific written approval of its customer.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connection with a particular underwritten offering of securities, the underwriters will not be obligated to purchase offered securities unless specified conditions are satisfied, and if the underwriters do purchase any offered securities, they will purchase all offered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derivative or other hedging transactions involving the securities with third parties, or sell securities not covered by the prospectus to third parties in privately-negotiated transactions. If we so indicate in the applicable prospectus supplement, in connection with those derivative transactions, the third parties may sell securities covered by this prospectus and the related prospectus supplement, including in short sale transactions, or may lend securities in order to facilitate short sale transactions by others. If so, the third party may use securities pledged by us or borrowed from us or others to settle those sales or to close out any related open borrowings of securities, and may use securities received from us in settlement of those derivative or hedging transactions to close out any related open borrowings of securities. The third party in such sale transactions will be an underwriter and will be identified in the applicable prospectus supplement (or a post-effective amendment to the registration statement that includes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loan or pledge securities to third parties that in turn may sell the securities using this prospectus and the related prospectus supplement or, if we default in the case of a pledge, may offer and sell the securities from time to time using this prospectus and the related prospectus supplement. Such third parties may transfer their short positions to investors in the securities or in connection with a concurrent offering of other securities offered by this prospectus and the related prospectus supplement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shares of our common stock under a direct stock purchase and dividend reinvestment plan to be established after the date of this prospectus. The terms of any such plan will be set forth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LEMA"/>
      <w:bookmarkEnd w:id="11"/>
      <w:r>
        <w:rPr>
          <w:rFonts w:ascii="calibri;arial;sans-serif" w:hAnsi="calibri;arial;sans-serif"/>
          <w:b w:val="false"/>
          <w:i w:val="false"/>
          <w:caps w:val="false"/>
          <w:smallCaps w:val="false"/>
          <w:color w:val="000000"/>
          <w:sz w:val="16"/>
        </w:rPr>
        <w:t>​</w:t>
      </w:r>
      <w:bookmarkStart w:id="12" w:name="tEXP"/>
      <w:bookmarkEnd w:id="12"/>
      <w:r>
        <w:rPr>
          <w:rFonts w:ascii="calibri;arial;sans-serif" w:hAnsi="calibri;arial;sans-serif"/>
          <w:b w:val="false"/>
          <w:i w:val="false"/>
          <w:caps w:val="false"/>
          <w:smallCaps w:val="false"/>
          <w:color w:val="000000"/>
          <w:sz w:val="16"/>
        </w:rPr>
        <w:t>​</w:t>
      </w:r>
      <w:bookmarkStart w:id="13" w:name="tIBRO"/>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validity of the securities that may be offered hereby will be passed upon for us by Baker Botts L.L.P., Dallas, Texas. If legal matters in connection with the offering made by this prospectus are passed on by counsel for the underwriters, dealers or agents, if any, that counsel will be named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as of December 31, 2025 and 2024 and for each of the two years in the period ended December 31, 2025 and management’s assessment of the effectiveness of internal control over financial reporting (which is included in Management’s Report on Internal Control over Financial Reporting) as of December 31, 2025 incorporated in this Prospectus by reference to the </w:t>
      </w:r>
      <w:hyperlink r:id="rId3">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(which contains an adverse opinion on the effectiveness of the Company’s internal control over financial reporting) of PricewaterhouseCoopers LLP, an independent registered public accounting firm, given on the authority of said firm as experts in auditing and accounting.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Clearway Energy, Inc. for the year ended December 31, 2023, have been audited by Ernst &amp; Young LLP, independent registered public accounting firm, as set forth in their report thereon and incorporated herein by reference. Such consolidated financial statements are incorporated herein by reference in reliance upon such report given on the authority of such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 OF CERTAIN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the “incorporation by reference” of the information filed by us with the SEC into this prospectus, which means that important information can be disclosed to you by referring you to those documents and those documents will be considered part of this prospectus.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deemed to be “furnished” or not deemed to be “filed,” including the portions of these documents that are either (1) described in paragraph (e) of Item 201 of Regulation S-K or paragraphs (d)(1)-(3) and (e)(5) of Item 407 of Regulation S-K promulgated by the SEC or (2) furnished under Item 2.02 or Item 7.01 of a Current Report on Form 8-K, including any exhibits included with such Items) are incorporated by reference herein: </w:t>
      </w:r>
    </w:p>
    <w:p>
      <w:pPr>
        <w:pStyle w:val="TextBody"/>
        <w:bidi w:val="0"/>
        <w:spacing w:lineRule="atLeast" w:line="240" w:before="116" w:after="0"/>
        <w:ind w:left="1993" w:right="0" w:hanging="0"/>
        <w:jc w:val="left"/>
        <w:rPr/>
      </w:pPr>
      <w:hyperlink r:id="rId4">
        <w:r>
          <w:rPr>
            <w:rStyle w:val="InternetLink"/>
          </w:rPr>
          <w:t>Our Annual Report on Form 10-K for the year ended December 31, 2025, filed on February 24,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from our </w:t>
      </w:r>
      <w:hyperlink r:id="rId5">
        <w:r>
          <w:rPr>
            <w:rStyle w:val="InternetLink"/>
          </w:rPr>
          <w:t>definitive proxy statement on Schedule 14A, filed on March 24,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hyperlink r:id="rId6">
        <w:r>
          <w:rPr>
            <w:rStyle w:val="InternetLink"/>
          </w:rPr>
          <w:t>Our Quarterly Report on Form 10-Q for the quarterly period ended March 31, 2026, filed on May 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hyperlink r:id="rId7">
        <w:r>
          <w:rPr>
            <w:rStyle w:val="InternetLink"/>
          </w:rPr>
          <w:t>Our Quarterly Report on Form 10-Q for the quarterly period ended June 30, 2026, filed on August 5,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on </w:t>
      </w:r>
      <w:hyperlink r:id="rId8">
        <w:r>
          <w:rPr>
            <w:rStyle w:val="InternetLink"/>
          </w:rPr>
          <w:t>January 7,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January 8,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January 13,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March 9,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April 2,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May 1, 2026</w:t>
        </w:r>
      </w:hyperlink>
      <w:r>
        <w:rPr>
          <w:rFonts w:ascii="Times New Roman;Times;serif" w:hAnsi="Times New Roman;Times;serif"/>
          <w:b w:val="false"/>
          <w:i w:val="false"/>
          <w:caps w:val="false"/>
          <w:smallCaps w:val="false"/>
          <w:color w:val="000000"/>
          <w:spacing w:val="4"/>
          <w:sz w:val="20"/>
        </w:rPr>
        <w:t xml:space="preserve"> (other than Item 7.01) and </w:t>
      </w:r>
      <w:hyperlink r:id="rId14">
        <w:r>
          <w:rPr>
            <w:rStyle w:val="InternetLink"/>
          </w:rPr>
          <w:t>May 15, 2026</w:t>
        </w:r>
      </w:hyperlink>
      <w:r>
        <w:rPr>
          <w:rFonts w:ascii="Times New Roman;Times;serif" w:hAnsi="Times New Roman;Times;serif"/>
          <w:b w:val="false"/>
          <w:i w:val="false"/>
          <w:caps w:val="false"/>
          <w:smallCaps w:val="false"/>
          <w:color w:val="000000"/>
          <w:spacing w:val="4"/>
          <w:sz w:val="20"/>
        </w:rPr>
        <w:t xml:space="preserve"> (other than Item 7.01).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Class C common stock contained in the Registration Statement on </w:t>
      </w:r>
      <w:hyperlink r:id="rId15">
        <w:r>
          <w:rPr>
            <w:rStyle w:val="InternetLink"/>
          </w:rPr>
          <w:t>Form 8-A/A filed with the SEC on April 29, 2026</w:t>
        </w:r>
      </w:hyperlink>
      <w:r>
        <w:rPr>
          <w:rFonts w:ascii="Times New Roman;Times;serif" w:hAnsi="Times New Roman;Times;serif"/>
          <w:b w:val="false"/>
          <w:i w:val="false"/>
          <w:caps w:val="false"/>
          <w:smallCaps w:val="false"/>
          <w:color w:val="000000"/>
          <w:spacing w:val="4"/>
          <w:sz w:val="20"/>
        </w:rPr>
        <w:t xml:space="preserve">, to register such securities under the Exchange Act including any amendment or report filed for the purpose of updating such description.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incorporated by reference contains important information about us and our financial condition and is considered to be part of this prospectus. Any statement contained in a document incorporated or deemed to be incorporated by reference into this prospectus will be deemed to be modified or superseded for purposes of this prospectus to the extent that a statement contained in this prospectus or any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WYC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subsequently filed document that is deemed to be incorporated by reference into this prospectus modifies or supersedes the statement. Any statement so modified or superseded will not be deemed, except as so modified or superseded, to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obtain any of the documents incorporated by reference from the SEC through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You may also request a copy of any document incorporated by reference in this prospectus (including exhibits to those documents specifically incorporated by reference in this prospectus), at no cost, by visiting our website at </w:t>
      </w:r>
      <w:r>
        <w:rPr>
          <w:rFonts w:ascii="Times New Roman;Times;serif" w:hAnsi="Times New Roman;Times;serif"/>
          <w:b w:val="false"/>
          <w:i/>
          <w:caps w:val="false"/>
          <w:smallCaps w:val="false"/>
          <w:color w:val="000000"/>
          <w:spacing w:val="4"/>
          <w:sz w:val="20"/>
        </w:rPr>
        <w:t>www.clearwayenergy.com</w:t>
      </w:r>
      <w:r>
        <w:rPr>
          <w:rFonts w:ascii="Times New Roman;Times;serif" w:hAnsi="Times New Roman;Times;serif"/>
          <w:b w:val="false"/>
          <w:i w:val="false"/>
          <w:caps w:val="false"/>
          <w:smallCaps w:val="false"/>
          <w:color w:val="000000"/>
          <w:spacing w:val="4"/>
          <w:sz w:val="20"/>
        </w:rPr>
        <w:t xml:space="preserve">, or by writing or calling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Clearway Energy,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300 Carnegie Center, Suite 300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Princeton, NJ 08540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(609) 608-1525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Corporate Secretary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subject to the reporting, proxy and information requirements of the Exchange Act, and as a result are required to file periodic reports, proxy statements and other information with the SEC. Such reports and other information (including the documents incorporated by reference into this prospectus supplement) are available to the public on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Additionally, our filings with the SEC that are filed or furnished pursuant to section 13(a) or 15(d) of the Exchange Act are available free of charge through the “Investor Relations” section of our website (</w:t>
      </w:r>
      <w:r>
        <w:rPr>
          <w:rFonts w:ascii="Times New Roman;Times;serif" w:hAnsi="Times New Roman;Times;serif"/>
          <w:b w:val="false"/>
          <w:i/>
          <w:caps w:val="false"/>
          <w:smallCaps w:val="false"/>
          <w:color w:val="000000"/>
          <w:spacing w:val="4"/>
          <w:sz w:val="20"/>
        </w:rPr>
        <w:t>www.clearwayenergy.com</w:t>
      </w:r>
      <w:r>
        <w:rPr>
          <w:rFonts w:ascii="Times New Roman;Times;serif" w:hAnsi="Times New Roman;Times;serif"/>
          <w:b w:val="false"/>
          <w:i w:val="false"/>
          <w:caps w:val="false"/>
          <w:smallCaps w:val="false"/>
          <w:color w:val="000000"/>
          <w:spacing w:val="4"/>
          <w:sz w:val="20"/>
        </w:rPr>
        <w:t xml:space="preserve">) as soon as reasonably practicable after they are electronically filed with, or furnished to, the SEC. Our website and the information contained on that site, or connected to that site, are not incorporated into and are not a part of this prospectus except for the documents specifically incorporated by reference as noted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filed with the SEC a registration statement on Form S-3 relating to the securities covered by this prospectus. This prospectus, which forms a part of the registration statement, does not contain all the information that is included in the registration statement. You will find additional information about us in the registration statement. Any statements made in this prospectus concerning the provisions of legal documents are not necessarily complete and you should read the documents that are filed as exhibits to the registration statement or otherwise filed with the SEC for a more complete understanding of the document or matter.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statement of the estimated expenses (other than underwriting discounts and commissions), to be paid solely by the registrant, in connection with the issuance and distribution of the securities being registered hereby: </w:t>
      </w:r>
    </w:p>
    <w:tbl>
      <w:tblPr>
        <w:tblW w:w="4952" w:type="dxa"/>
        <w:jc w:val="left"/>
        <w:tblInd w:w="1393" w:type="dxa"/>
        <w:tblLayout w:type="fixed"/>
        <w:tblCellMar>
          <w:top w:w="0" w:type="dxa"/>
          <w:left w:w="0" w:type="dxa"/>
          <w:bottom w:w="28" w:type="dxa"/>
          <w:right w:w="0" w:type="dxa"/>
        </w:tblCellMar>
      </w:tblPr>
      <w:tblGrid>
        <w:gridCol w:w="3130"/>
        <w:gridCol w:w="109"/>
        <w:gridCol w:w="109"/>
        <w:gridCol w:w="109"/>
        <w:gridCol w:w="226"/>
        <w:gridCol w:w="1006"/>
        <w:gridCol w:w="109"/>
        <w:gridCol w:w="154"/>
      </w:tblGrid>
      <w:tr>
        <w:trPr/>
        <w:tc>
          <w:tcPr>
            <w:tcW w:w="31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Amount to</w:t>
            </w:r>
            <w:r>
              <w:rPr/>
              <w:t xml:space="preserve"> </w:t>
              <w:br/>
            </w:r>
            <w:r>
              <w:rPr>
                <w:spacing w:val="-3"/>
              </w:rPr>
              <w:t xml:space="preserve">be Paid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Legal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 </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Stock exchange listing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 </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Blue sky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Printing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 </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Rating agency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Trustee’s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 </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Miscellaneous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6" w:type="dxa"/>
            <w:tcBorders>
              <w:bottom w:val="single" w:sz="2" w:space="0" w:color="000000"/>
            </w:tcBorders>
            <w:shd w:fill="CCEEFF" w:val="clear"/>
            <w:tcMar>
              <w:bottom w:w="50" w:type="dxa"/>
            </w:tcMar>
            <w:vAlign w:val="center"/>
          </w:tcPr>
          <w:p>
            <w:pPr>
              <w:pStyle w:val="TableContents"/>
              <w:bidi w:val="0"/>
              <w:spacing w:before="0" w:after="283"/>
              <w:jc w:val="right"/>
              <w:rPr/>
            </w:pPr>
            <w:r>
              <w:rPr/>
              <w:t> </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 </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Rules 456(b) and 457(r), we are deferring payment of the registration fee. </w:t>
      </w:r>
      <w:r>
        <mc:AlternateContent>
          <mc:Choice Requires="wps">
            <w:drawing>
              <wp:anchor behindDoc="0" distT="889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issuances and accordingly cannot be estimated at this time. The foregoing sets forth the general categories of expenses (other than underwriting discounts and commissions) that we anticipate to incur in connection with the offering of securities under this registration statement. An estimate of the aggregate expenses in connection with the issuance and distribution of the securities being offered will be included in the applicable prospectus supplement. </w:t>
      </w:r>
      <w:r>
        <mc:AlternateContent>
          <mc:Choice Requires="wps">
            <w:drawing>
              <wp:anchor behindDoc="0" distT="3810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General Corporation Law; Certificate of Incorporation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for this limitation of liability.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such person reasonably believed to be in or not opposed to the corporation’s best interests and, with respect to any criminal action or proceeding, had no reasonable cause to believe that his or her conduct was unlawful. A Delaware corporation may indemnify any persons who are, were or are a party to any threatened, pending or completed action or suit by or in the right of the corporation by reason of the fact that such person is or was a director, officer, employee or agent of another corporation or enterprise. The indemnity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include expenses (including attorneys’ fees) actually and reasonably incurred by such person in connection with the defense or settlement of such action or suit, provided such person acted in good faith and in a manner such person reasonably believed to be in or not opposed to the corporation’s best interests, provided that no indemnification is permitted without judicial approval if the director, officer,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or arising out of his or her status as such, whether or not the corporation would otherwise have the power to indemnify him under Section 145.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we must indemnify our directors and officers to the fullest extent permitted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certain of our executive officers and directors pursuant to which we agree to indemnify such persons against all expenses and liabilities incurred or paid by such person in connection with any proceeding arising from the fact that such person is or was an officer or director of our company, and to advance expenses as incurred by or on behalf of such person in connection therewith.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indemnification rights set forth above are not exclusive of any other right which an indemnified person may have or hereafter acquire under any statute, provision of our Certificate of Incorporation, our Bylaws, agreement, vote of stockholders or disinterested directors or otherwise.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882"/>
        <w:gridCol w:w="109"/>
        <w:gridCol w:w="109"/>
        <w:gridCol w:w="2784"/>
        <w:gridCol w:w="109"/>
        <w:gridCol w:w="109"/>
        <w:gridCol w:w="4431"/>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82"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8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31"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Method of Filing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4"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31" w:type="dxa"/>
            <w:tcBorders/>
            <w:tcMar>
              <w:bottom w:w="0" w:type="dxa"/>
            </w:tcMar>
            <w:vAlign w:val="center"/>
          </w:tcPr>
          <w:p>
            <w:pPr>
              <w:pStyle w:val="TableContents"/>
              <w:bidi w:val="0"/>
              <w:spacing w:before="0" w:after="283"/>
              <w:jc w:val="left"/>
              <w:rPr>
                <w:spacing w:val="4"/>
              </w:rPr>
            </w:pPr>
            <w:r>
              <w:rPr>
                <w:spacing w:val="4"/>
              </w:rPr>
              <w:t xml:space="preserve">To be filed by an amendment or an exhibit to a document to be incorporated or deemed incorporated by reference to this registration statement, including a Current Report on Form 8-K.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4" w:type="dxa"/>
            <w:tcBorders/>
            <w:tcMar>
              <w:bottom w:w="0" w:type="dxa"/>
            </w:tcMar>
            <w:vAlign w:val="center"/>
          </w:tcPr>
          <w:p>
            <w:pPr>
              <w:pStyle w:val="TableContents"/>
              <w:bidi w:val="0"/>
              <w:spacing w:before="0" w:after="0"/>
              <w:jc w:val="left"/>
              <w:rPr/>
            </w:pPr>
            <w:hyperlink r:id="rId16">
              <w:r>
                <w:rPr>
                  <w:rStyle w:val="InternetLink"/>
                  <w:spacing w:val="4"/>
                </w:rPr>
                <w:t>Restated Certificate of Incorporation of Clearway Energy, Inc., dated as of May 1, 2026.</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31" w:type="dxa"/>
            <w:tcBorders/>
            <w:tcMar>
              <w:bottom w:w="0" w:type="dxa"/>
            </w:tcMar>
            <w:vAlign w:val="center"/>
          </w:tcPr>
          <w:p>
            <w:pPr>
              <w:pStyle w:val="TableContents"/>
              <w:bidi w:val="0"/>
              <w:spacing w:before="0" w:after="283"/>
              <w:jc w:val="left"/>
              <w:rPr>
                <w:spacing w:val="4"/>
              </w:rPr>
            </w:pPr>
            <w:r>
              <w:rPr>
                <w:spacing w:val="4"/>
              </w:rPr>
              <w:t xml:space="preserve">Incorporated herein by reference to Exhibit 3.3 to the Company’s Current Report on Form 8-K filed on May 1, 2026.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878"/>
        <w:gridCol w:w="109"/>
        <w:gridCol w:w="109"/>
        <w:gridCol w:w="3876"/>
        <w:gridCol w:w="109"/>
        <w:gridCol w:w="109"/>
        <w:gridCol w:w="334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78"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876"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43"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Method of Filing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6"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"https://www.sec.gov/Archives/edgar/data/1567683/000110465918055334/a18-24111_1ex3d2.htm" \l "Exhibit3_2_042157"</w:instrText>
            </w:r>
            <w:r>
              <w:rPr>
                <w:rStyle w:val="InternetLink"/>
                <w:spacing w:val="4"/>
              </w:rPr>
              <w:fldChar w:fldCharType="separate"/>
            </w:r>
            <w:r>
              <w:rPr>
                <w:rStyle w:val="InternetLink"/>
                <w:spacing w:val="4"/>
              </w:rPr>
              <w:t xml:space="preserve">Fourth Amended and Restated Bylaws of Clearway Energy, Inc., dated August 31, 2018. </w:t>
            </w:r>
            <w:r>
              <w:rPr>
                <w:rStyle w:val="InternetLink"/>
                <w:spacing w:val="4"/>
              </w:rPr>
              <w:fldChar w:fldCharType="end"/>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3" w:type="dxa"/>
            <w:tcBorders/>
            <w:tcMar>
              <w:bottom w:w="0" w:type="dxa"/>
            </w:tcMar>
            <w:vAlign w:val="center"/>
          </w:tcPr>
          <w:p>
            <w:pPr>
              <w:pStyle w:val="TableContents"/>
              <w:bidi w:val="0"/>
              <w:spacing w:before="0" w:after="283"/>
              <w:jc w:val="left"/>
              <w:rPr/>
            </w:pPr>
            <w:r>
              <w:rPr>
                <w:spacing w:val="4"/>
              </w:rPr>
              <w:t>Incorporated herein by reference to Exhibit 3.2 to the Company’s Current Report on Form 8-K filed on September 5, 2018.</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6" w:type="dxa"/>
            <w:tcBorders/>
            <w:tcMar>
              <w:bottom w:w="0" w:type="dxa"/>
            </w:tcMar>
            <w:vAlign w:val="center"/>
          </w:tcPr>
          <w:p>
            <w:pPr>
              <w:pStyle w:val="TableContents"/>
              <w:bidi w:val="0"/>
              <w:spacing w:before="0" w:after="0"/>
              <w:jc w:val="left"/>
              <w:rPr/>
            </w:pPr>
            <w:hyperlink r:id="rId17">
              <w:r>
                <w:rPr>
                  <w:rStyle w:val="InternetLink"/>
                  <w:spacing w:val="4"/>
                </w:rPr>
                <w:t>Form of Specimen Stock Certificate for Class C Common Stock.</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3" w:type="dxa"/>
            <w:tcBorders/>
            <w:tcMar>
              <w:bottom w:w="0" w:type="dxa"/>
            </w:tcMar>
            <w:vAlign w:val="center"/>
          </w:tcPr>
          <w:p>
            <w:pPr>
              <w:pStyle w:val="TableContents"/>
              <w:bidi w:val="0"/>
              <w:spacing w:before="0" w:after="283"/>
              <w:jc w:val="left"/>
              <w:rPr>
                <w:spacing w:val="4"/>
              </w:rPr>
            </w:pPr>
            <w:r>
              <w:rPr>
                <w:spacing w:val="4"/>
              </w:rPr>
              <w:t xml:space="preserve">Incorporated herein by reference to Exhibit 4.14 to the Company’s Annual Report on Form 10-K filed on February 28, 2019.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6" w:type="dxa"/>
            <w:tcBorders/>
            <w:tcMar>
              <w:bottom w:w="0" w:type="dxa"/>
            </w:tcMar>
            <w:vAlign w:val="center"/>
          </w:tcPr>
          <w:p>
            <w:pPr>
              <w:pStyle w:val="TableContents"/>
              <w:bidi w:val="0"/>
              <w:spacing w:before="0" w:after="0"/>
              <w:jc w:val="left"/>
              <w:rPr/>
            </w:pPr>
            <w:hyperlink w:anchor="tm2622208d2_ex4-3.htm">
              <w:r>
                <w:rPr>
                  <w:rStyle w:val="InternetLink"/>
                  <w:spacing w:val="4"/>
                </w:rPr>
                <w:t>Form of Indenture for Debt Securities of Clearway Energy, Inc. (including form of Debt Security).</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3"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6" w:type="dxa"/>
            <w:tcBorders/>
            <w:tcMar>
              <w:bottom w:w="0" w:type="dxa"/>
            </w:tcMar>
            <w:vAlign w:val="center"/>
          </w:tcPr>
          <w:p>
            <w:pPr>
              <w:pStyle w:val="TableContents"/>
              <w:bidi w:val="0"/>
              <w:spacing w:before="0" w:after="283"/>
              <w:jc w:val="left"/>
              <w:rPr>
                <w:spacing w:val="4"/>
              </w:rPr>
            </w:pPr>
            <w:r>
              <w:rPr>
                <w:spacing w:val="4"/>
              </w:rPr>
              <w:t xml:space="preserve">Form of Certificate of Designation.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3" w:type="dxa"/>
            <w:tcBorders/>
            <w:tcMar>
              <w:bottom w:w="0" w:type="dxa"/>
            </w:tcMar>
            <w:vAlign w:val="center"/>
          </w:tcPr>
          <w:p>
            <w:pPr>
              <w:pStyle w:val="TableContents"/>
              <w:bidi w:val="0"/>
              <w:spacing w:before="0" w:after="283"/>
              <w:jc w:val="left"/>
              <w:rPr>
                <w:spacing w:val="4"/>
              </w:rPr>
            </w:pPr>
            <w:r>
              <w:rPr>
                <w:spacing w:val="4"/>
              </w:rPr>
              <w:t xml:space="preserve">To be filed by an amendment or an exhibit to a document to be incorporated or deemed incorporated by reference to this registration statement, including a Current Report on Form 8-K.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6" w:type="dxa"/>
            <w:tcBorders/>
            <w:tcMar>
              <w:bottom w:w="0" w:type="dxa"/>
            </w:tcMar>
            <w:vAlign w:val="center"/>
          </w:tcPr>
          <w:p>
            <w:pPr>
              <w:pStyle w:val="TableContents"/>
              <w:bidi w:val="0"/>
              <w:spacing w:before="0" w:after="0"/>
              <w:jc w:val="left"/>
              <w:rPr>
                <w:spacing w:val="4"/>
              </w:rPr>
            </w:pPr>
            <w:r>
              <w:rPr>
                <w:spacing w:val="4"/>
              </w:rPr>
              <w:t xml:space="preserve">Form of Specimen Preferred Stock Certificate.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3" w:type="dxa"/>
            <w:tcBorders/>
            <w:tcMar>
              <w:bottom w:w="0" w:type="dxa"/>
            </w:tcMar>
            <w:vAlign w:val="center"/>
          </w:tcPr>
          <w:p>
            <w:pPr>
              <w:pStyle w:val="TableContents"/>
              <w:bidi w:val="0"/>
              <w:spacing w:before="0" w:after="283"/>
              <w:jc w:val="left"/>
              <w:rPr>
                <w:spacing w:val="4"/>
              </w:rPr>
            </w:pPr>
            <w:r>
              <w:rPr>
                <w:spacing w:val="4"/>
              </w:rPr>
              <w:t xml:space="preserve">To be filed by an amendment or an exhibit to a document to be incorporated or deemed incorporated by reference to this registration statement, including a Current Report on Form 8-K.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6" w:type="dxa"/>
            <w:tcBorders/>
            <w:tcMar>
              <w:bottom w:w="0" w:type="dxa"/>
            </w:tcMar>
            <w:vAlign w:val="center"/>
          </w:tcPr>
          <w:p>
            <w:pPr>
              <w:pStyle w:val="TableContents"/>
              <w:bidi w:val="0"/>
              <w:spacing w:before="0" w:after="0"/>
              <w:jc w:val="left"/>
              <w:rPr/>
            </w:pPr>
            <w:hyperlink w:anchor="tm2622208d2_ex5-1.htm">
              <w:r>
                <w:rPr>
                  <w:rStyle w:val="InternetLink"/>
                  <w:spacing w:val="4"/>
                </w:rPr>
                <w:t>Opinion of Baker Botts L.L.P.</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3"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6" w:type="dxa"/>
            <w:tcBorders/>
            <w:tcMar>
              <w:bottom w:w="0" w:type="dxa"/>
            </w:tcMar>
            <w:vAlign w:val="center"/>
          </w:tcPr>
          <w:p>
            <w:pPr>
              <w:pStyle w:val="TableContents"/>
              <w:bidi w:val="0"/>
              <w:spacing w:before="0" w:after="283"/>
              <w:jc w:val="left"/>
              <w:rPr/>
            </w:pPr>
            <w:hyperlink w:anchor="tm2622208d2_ex23-1.htm">
              <w:r>
                <w:rPr>
                  <w:rStyle w:val="InternetLink"/>
                </w:rPr>
                <w:t>Consent of PricewaterhouseCoopers LLP, independent public registered accounting firm with respect to the audited financials of Clearway Energy, Inc.</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3"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6" w:type="dxa"/>
            <w:tcBorders/>
            <w:tcMar>
              <w:bottom w:w="0" w:type="dxa"/>
            </w:tcMar>
            <w:vAlign w:val="center"/>
          </w:tcPr>
          <w:p>
            <w:pPr>
              <w:pStyle w:val="TableContents"/>
              <w:bidi w:val="0"/>
              <w:spacing w:before="0" w:after="0"/>
              <w:jc w:val="left"/>
              <w:rPr/>
            </w:pPr>
            <w:hyperlink w:anchor="tm2622208d2_ex23-2.htm">
              <w:r>
                <w:rPr>
                  <w:rStyle w:val="InternetLink"/>
                  <w:spacing w:val="4"/>
                </w:rPr>
                <w:t>Consent of Ernst &amp; Young LLP, independent registered public accounting firm.</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3"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6" w:type="dxa"/>
            <w:tcBorders/>
            <w:tcMar>
              <w:bottom w:w="0" w:type="dxa"/>
            </w:tcMar>
            <w:vAlign w:val="center"/>
          </w:tcPr>
          <w:p>
            <w:pPr>
              <w:pStyle w:val="TableContents"/>
              <w:bidi w:val="0"/>
              <w:spacing w:before="0" w:after="0"/>
              <w:jc w:val="left"/>
              <w:rPr/>
            </w:pPr>
            <w:hyperlink w:anchor="tm2622208d2_ex5-1.htm">
              <w:r>
                <w:rPr>
                  <w:rStyle w:val="InternetLink"/>
                  <w:spacing w:val="4"/>
                </w:rPr>
                <w:t>Consent of Baker Botts L.L.P.</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3" w:type="dxa"/>
            <w:tcBorders/>
            <w:tcMar>
              <w:bottom w:w="0" w:type="dxa"/>
            </w:tcMar>
            <w:vAlign w:val="center"/>
          </w:tcPr>
          <w:p>
            <w:pPr>
              <w:pStyle w:val="TableContents"/>
              <w:bidi w:val="0"/>
              <w:spacing w:before="0" w:after="283"/>
              <w:jc w:val="left"/>
              <w:rPr>
                <w:spacing w:val="4"/>
              </w:rPr>
            </w:pPr>
            <w:r>
              <w:rPr>
                <w:spacing w:val="4"/>
              </w:rPr>
              <w:t xml:space="preserve">Included in Exhibit 5.1.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6" w:type="dxa"/>
            <w:tcBorders/>
            <w:tcMar>
              <w:bottom w:w="0" w:type="dxa"/>
            </w:tcMar>
            <w:vAlign w:val="center"/>
          </w:tcPr>
          <w:p>
            <w:pPr>
              <w:pStyle w:val="TableContents"/>
              <w:bidi w:val="0"/>
              <w:spacing w:before="0" w:after="0"/>
              <w:jc w:val="left"/>
              <w:rPr/>
            </w:pPr>
            <w:hyperlink w:anchor="tPOA">
              <w:r>
                <w:rPr>
                  <w:rStyle w:val="InternetLink"/>
                  <w:spacing w:val="4"/>
                </w:rPr>
                <w:t>Powers of Attorney.</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3" w:type="dxa"/>
            <w:tcBorders/>
            <w:tcMar>
              <w:bottom w:w="0" w:type="dxa"/>
            </w:tcMar>
            <w:vAlign w:val="center"/>
          </w:tcPr>
          <w:p>
            <w:pPr>
              <w:pStyle w:val="TableContents"/>
              <w:bidi w:val="0"/>
              <w:spacing w:before="0" w:after="283"/>
              <w:jc w:val="left"/>
              <w:rPr>
                <w:spacing w:val="4"/>
              </w:rPr>
            </w:pPr>
            <w:r>
              <w:rPr>
                <w:spacing w:val="4"/>
              </w:rPr>
              <w:t xml:space="preserve">Included on the signature pages hereof.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6" w:type="dxa"/>
            <w:tcBorders/>
            <w:tcMar>
              <w:bottom w:w="0" w:type="dxa"/>
            </w:tcMar>
            <w:vAlign w:val="center"/>
          </w:tcPr>
          <w:p>
            <w:pPr>
              <w:pStyle w:val="TableContents"/>
              <w:bidi w:val="0"/>
              <w:spacing w:before="0" w:after="0"/>
              <w:jc w:val="left"/>
              <w:rPr/>
            </w:pPr>
            <w:hyperlink w:anchor="tm2622208d2_ex25-1.htm">
              <w:r>
                <w:rPr>
                  <w:rStyle w:val="InternetLink"/>
                  <w:spacing w:val="4"/>
                </w:rPr>
                <w:t>T-1 Statement of Eligibility of Trustee on Form T-1 of CSC Delaware Trust Company.</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3"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0"/>
              <w:jc w:val="center"/>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6" w:type="dxa"/>
            <w:tcBorders/>
            <w:tcMar>
              <w:bottom w:w="0" w:type="dxa"/>
            </w:tcMar>
            <w:vAlign w:val="center"/>
          </w:tcPr>
          <w:p>
            <w:pPr>
              <w:pStyle w:val="TableContents"/>
              <w:bidi w:val="0"/>
              <w:spacing w:before="0" w:after="0"/>
              <w:jc w:val="left"/>
              <w:rPr/>
            </w:pPr>
            <w:hyperlink w:anchor="tm2622208d1_ex-filingfees.htm">
              <w:r>
                <w:rPr>
                  <w:rStyle w:val="InternetLink"/>
                  <w:spacing w:val="4"/>
                </w:rPr>
                <w:t>Filing Fee Table.</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3" w:type="dxa"/>
            <w:tcBorders/>
            <w:tcMar>
              <w:bottom w:w="0" w:type="dxa"/>
            </w:tcMar>
            <w:vAlign w:val="center"/>
          </w:tcPr>
          <w:p>
            <w:pPr>
              <w:pStyle w:val="TableContents"/>
              <w:bidi w:val="0"/>
              <w:spacing w:before="0" w:after="283"/>
              <w:jc w:val="left"/>
              <w:rPr/>
            </w:pPr>
            <w:r>
              <w:rPr>
                <w:spacing w:val="4"/>
              </w:rPr>
              <w:t>Filed herewith.</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2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0" distR="0" simplePos="0" locked="0" layoutInCell="1" allowOverlap="1" relativeHeight="81">
                <wp:simplePos x="0" y="0"/>
                <wp:positionH relativeFrom="column">
                  <wp:align>left</wp:align>
                </wp:positionH>
                <wp:positionV relativeFrom="line">
                  <wp:posOffset>635</wp:posOffset>
                </wp:positionV>
                <wp:extent cx="254000" cy="14605"/>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16840" distB="0" distL="254000" distR="0" simplePos="0" locked="0" layoutInCell="1" allowOverlap="1" relativeHeight="82">
                <wp:simplePos x="0" y="0"/>
                <wp:positionH relativeFrom="column">
                  <wp:align>left</wp:align>
                </wp:positionH>
                <wp:positionV relativeFrom="line">
                  <wp:posOffset>635</wp:posOffset>
                </wp:positionV>
                <wp:extent cx="254000" cy="14605"/>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1.15pt;mso-wrap-distance-left:20pt;mso-wrap-distance-right:0pt;mso-wrap-distance-top:9.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w:t>
      </w:r>
      <w:r>
        <mc:AlternateContent>
          <mc:Choice Requires="wps">
            <w:drawing>
              <wp:anchor behindDoc="0" distT="116840" distB="0" distL="508000" distR="0" simplePos="0" locked="0" layoutInCell="1" allowOverlap="1" relativeHeight="83">
                <wp:simplePos x="0" y="0"/>
                <wp:positionH relativeFrom="column">
                  <wp:align>left</wp:align>
                </wp:positionH>
                <wp:positionV relativeFrom="line">
                  <wp:posOffset>635</wp:posOffset>
                </wp:positionV>
                <wp:extent cx="254000" cy="14605"/>
                <wp:effectExtent l="0" t="0" r="0" b="0"/>
                <wp:wrapSquare wrapText="right"/>
                <wp:docPr id="81" name="Frame80"/>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0pt;mso-wrap-distance-right:0pt;mso-wrap-distance-top:9.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w:t>
      </w:r>
      <w:r>
        <mc:AlternateContent>
          <mc:Choice Requires="wps">
            <w:drawing>
              <wp:anchor behindDoc="0" distT="116840" distB="0" distL="508000" distR="0" simplePos="0" locked="0" layoutInCell="1" allowOverlap="1" relativeHeight="84">
                <wp:simplePos x="0" y="0"/>
                <wp:positionH relativeFrom="column">
                  <wp:align>left</wp:align>
                </wp:positionH>
                <wp:positionV relativeFrom="line">
                  <wp:posOffset>635</wp:posOffset>
                </wp:positionV>
                <wp:extent cx="254000" cy="14605"/>
                <wp:effectExtent l="0" t="0" r="0" b="0"/>
                <wp:wrapSquare wrapText="right"/>
                <wp:docPr id="82" name="Frame81"/>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0pt;mso-wrap-distance-right:0pt;mso-wrap-distance-top:9.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0" distB="0" distL="508000" distR="0" simplePos="0" locked="0" layoutInCell="1" allowOverlap="1" relativeHeight="85">
                <wp:simplePos x="0" y="0"/>
                <wp:positionH relativeFrom="column">
                  <wp:align>left</wp:align>
                </wp:positionH>
                <wp:positionV relativeFrom="line">
                  <wp:posOffset>635</wp:posOffset>
                </wp:positionV>
                <wp:extent cx="254000" cy="14605"/>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0330" distB="0" distL="254000" distR="0" simplePos="0" locked="0" layoutInCell="1" allowOverlap="1" relativeHeight="86">
                <wp:simplePos x="0" y="0"/>
                <wp:positionH relativeFrom="column">
                  <wp:align>left</wp:align>
                </wp:positionH>
                <wp:positionV relativeFrom="line">
                  <wp:posOffset>635</wp:posOffset>
                </wp:positionV>
                <wp:extent cx="254000" cy="14605"/>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1.15pt;mso-wrap-distance-left:20pt;mso-wrap-distance-right:0pt;mso-wrap-distance-top:7.9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0330" distB="0" distL="254000" distR="0" simplePos="0" locked="0" layoutInCell="1" allowOverlap="1" relativeHeight="87">
                <wp:simplePos x="0" y="0"/>
                <wp:positionH relativeFrom="column">
                  <wp:align>left</wp:align>
                </wp:positionH>
                <wp:positionV relativeFrom="line">
                  <wp:posOffset>635</wp:posOffset>
                </wp:positionV>
                <wp:extent cx="254000" cy="14605"/>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1.15pt;mso-wrap-distance-left:20pt;mso-wrap-distance-right:0pt;mso-wrap-distance-top:7.9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to any purchaser: </w:t>
      </w:r>
      <w:r>
        <mc:AlternateContent>
          <mc:Choice Requires="wps">
            <w:drawing>
              <wp:anchor behindDoc="0" distT="100330" distB="0" distL="254000" distR="0" simplePos="0" locked="0" layoutInCell="1" allowOverlap="1" relativeHeight="88">
                <wp:simplePos x="0" y="0"/>
                <wp:positionH relativeFrom="column">
                  <wp:align>left</wp:align>
                </wp:positionH>
                <wp:positionV relativeFrom="line">
                  <wp:posOffset>635</wp:posOffset>
                </wp:positionV>
                <wp:extent cx="254000" cy="14605"/>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1.15pt;mso-wrap-distance-left:20pt;mso-wrap-distance-right:0pt;mso-wrap-distance-top:7.9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100330" distB="0" distL="508000" distR="0" simplePos="0" locked="0" layoutInCell="1" allowOverlap="1" relativeHeight="89">
                <wp:simplePos x="0" y="0"/>
                <wp:positionH relativeFrom="column">
                  <wp:align>left</wp:align>
                </wp:positionH>
                <wp:positionV relativeFrom="line">
                  <wp:posOffset>635</wp:posOffset>
                </wp:positionV>
                <wp:extent cx="254000" cy="14605"/>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0pt;mso-wrap-distance-right:0pt;mso-wrap-distance-top:7.9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r>
        <mc:AlternateContent>
          <mc:Choice Requires="wps">
            <w:drawing>
              <wp:anchor behindDoc="0" distT="100330" distB="0" distL="508000" distR="0" simplePos="0" locked="0" layoutInCell="1" allowOverlap="1" relativeHeight="90">
                <wp:simplePos x="0" y="0"/>
                <wp:positionH relativeFrom="column">
                  <wp:align>left</wp:align>
                </wp:positionH>
                <wp:positionV relativeFrom="line">
                  <wp:posOffset>635</wp:posOffset>
                </wp:positionV>
                <wp:extent cx="254000" cy="14605"/>
                <wp:effectExtent l="0" t="0" r="0" b="0"/>
                <wp:wrapSquare wrapText="right"/>
                <wp:docPr id="88" name="Frame87"/>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0pt;mso-wrap-distance-right:0pt;mso-wrap-distance-top:7.9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to sold to such purchaser by means of any of the following communications, the undersigned registrant will be a seller to the purchaser and will be considered to offer or sell such securities to such purchaser: </w:t>
      </w:r>
      <w:r>
        <mc:AlternateContent>
          <mc:Choice Requires="wps">
            <w:drawing>
              <wp:anchor behindDoc="0" distT="101600" distB="0" distL="254000" distR="0" simplePos="0" locked="0" layoutInCell="1" allowOverlap="1" relativeHeight="91">
                <wp:simplePos x="0" y="0"/>
                <wp:positionH relativeFrom="column">
                  <wp:align>left</wp:align>
                </wp:positionH>
                <wp:positionV relativeFrom="line">
                  <wp:posOffset>635</wp:posOffset>
                </wp:positionV>
                <wp:extent cx="254000" cy="14605"/>
                <wp:effectExtent l="0" t="0" r="0" b="0"/>
                <wp:wrapSquare wrapText="right"/>
                <wp:docPr id="89" name="Frame88"/>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1.15pt;mso-wrap-distance-left:2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1600" distB="0" distL="508000" distR="0" simplePos="0" locked="0" layoutInCell="1" allowOverlap="1" relativeHeight="92">
                <wp:simplePos x="0" y="0"/>
                <wp:positionH relativeFrom="column">
                  <wp:align>left</wp:align>
                </wp:positionH>
                <wp:positionV relativeFrom="line">
                  <wp:posOffset>635</wp:posOffset>
                </wp:positionV>
                <wp:extent cx="254000" cy="14605"/>
                <wp:effectExtent l="0" t="0" r="0" b="0"/>
                <wp:wrapSquare wrapText="right"/>
                <wp:docPr id="90" name="Frame89"/>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1600" distB="0" distL="508000" distR="0" simplePos="0" locked="0" layoutInCell="1" allowOverlap="1" relativeHeight="93">
                <wp:simplePos x="0" y="0"/>
                <wp:positionH relativeFrom="column">
                  <wp:align>left</wp:align>
                </wp:positionH>
                <wp:positionV relativeFrom="line">
                  <wp:posOffset>635</wp:posOffset>
                </wp:positionV>
                <wp:extent cx="254000" cy="14605"/>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1600" distB="0" distL="508000" distR="0" simplePos="0" locked="0" layoutInCell="1" allowOverlap="1" relativeHeight="94">
                <wp:simplePos x="0" y="0"/>
                <wp:positionH relativeFrom="column">
                  <wp:align>left</wp:align>
                </wp:positionH>
                <wp:positionV relativeFrom="line">
                  <wp:posOffset>635</wp:posOffset>
                </wp:positionV>
                <wp:extent cx="254000" cy="14605"/>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0" distB="0" distL="508000" distR="0" simplePos="0" locked="0" layoutInCell="1" allowOverlap="1" relativeHeight="95">
                <wp:simplePos x="0" y="0"/>
                <wp:positionH relativeFrom="column">
                  <wp:align>left</wp:align>
                </wp:positionH>
                <wp:positionV relativeFrom="line">
                  <wp:posOffset>635</wp:posOffset>
                </wp:positionV>
                <wp:extent cx="254000" cy="14605"/>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1.15pt;mso-wrap-distance-left:4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each filing of such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may be permitted to directors, officers and controlling persons of the registrant pursuant to the provisions referred to in Item 15,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such registrant of expenses incurred or paid by a director, officer or controlling person of the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OA"/>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Princeton, State of New Jersey, on August 6, 2026. </w:t>
      </w:r>
    </w:p>
    <w:tbl>
      <w:tblPr>
        <w:tblW w:w="5415" w:type="dxa"/>
        <w:jc w:val="left"/>
        <w:tblInd w:w="1393" w:type="dxa"/>
        <w:tblLayout w:type="fixed"/>
        <w:tblCellMar>
          <w:top w:w="0" w:type="dxa"/>
          <w:left w:w="0" w:type="dxa"/>
          <w:bottom w:w="0" w:type="dxa"/>
          <w:right w:w="0" w:type="dxa"/>
        </w:tblCellMar>
      </w:tblPr>
      <w:tblGrid>
        <w:gridCol w:w="124"/>
        <w:gridCol w:w="109"/>
        <w:gridCol w:w="109"/>
        <w:gridCol w:w="109"/>
        <w:gridCol w:w="4810"/>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0" w:type="dxa"/>
            <w:tcBorders/>
            <w:vAlign w:val="center"/>
          </w:tcPr>
          <w:p>
            <w:pPr>
              <w:pStyle w:val="TableContents"/>
              <w:bidi w:val="0"/>
              <w:spacing w:before="0" w:after="283"/>
              <w:jc w:val="left"/>
              <w:rPr/>
            </w:pPr>
            <w:r>
              <w:rPr>
                <w:spacing w:val="-4"/>
              </w:rPr>
              <w:t>CLEARWAY ENERGY,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0" w:type="dxa"/>
            <w:tcBorders/>
            <w:vAlign w:val="center"/>
          </w:tcPr>
          <w:p>
            <w:pPr>
              <w:pStyle w:val="TableContents"/>
              <w:bidi w:val="0"/>
              <w:spacing w:before="0" w:after="0"/>
              <w:jc w:val="left"/>
              <w:rPr/>
            </w:pPr>
            <w:r>
              <w:rPr>
                <w:spacing w:val="4"/>
              </w:rPr>
              <w:t>/s/ Craig Cornelius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Craig Cornelius </w:t>
            </w:r>
            <w:r>
              <w:rPr/>
              <w:br/>
            </w:r>
            <w:r>
              <w:rPr>
                <w:spacing w:val="4"/>
              </w:rPr>
              <w:t>President, Chief Executive Officer and Director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BY ALL PERSONS BY THESE PRESENTS, that each person whose signature appears below constitutes and appoints jointly and severally Craig Cornelius, Michael A. Brown and Amelia McKeithen,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061"/>
        <w:gridCol w:w="109"/>
        <w:gridCol w:w="109"/>
        <w:gridCol w:w="4569"/>
        <w:gridCol w:w="109"/>
        <w:gridCol w:w="109"/>
        <w:gridCol w:w="1466"/>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06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6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61" w:type="dxa"/>
            <w:tcBorders/>
            <w:tcMar>
              <w:bottom w:w="0" w:type="dxa"/>
            </w:tcMar>
            <w:vAlign w:val="center"/>
          </w:tcPr>
          <w:p>
            <w:pPr>
              <w:pStyle w:val="TableContents"/>
              <w:bidi w:val="0"/>
              <w:spacing w:before="0" w:after="0"/>
              <w:jc w:val="center"/>
              <w:rPr/>
            </w:pPr>
            <w:r>
              <w:rPr>
                <w:spacing w:val="4"/>
              </w:rPr>
              <w:t>/s/ Craig Cornelius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Craig Cornelius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69" w:type="dxa"/>
            <w:tcBorders/>
            <w:tcMar>
              <w:bottom w:w="0" w:type="dxa"/>
            </w:tcMar>
            <w:vAlign w:val="center"/>
          </w:tcPr>
          <w:p>
            <w:pPr>
              <w:pStyle w:val="TableContents"/>
              <w:bidi w:val="0"/>
              <w:spacing w:before="0" w:after="0"/>
              <w:jc w:val="center"/>
              <w:rPr/>
            </w:pPr>
            <w:r>
              <w:rPr>
                <w:spacing w:val="4"/>
              </w:rPr>
              <w:t xml:space="preserve">President, Chief Executive Officer and Director </w:t>
            </w:r>
            <w:r>
              <w:rPr/>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6" w:type="dxa"/>
            <w:tcBorders/>
            <w:tcMar>
              <w:bottom w:w="0" w:type="dxa"/>
            </w:tcMar>
            <w:vAlign w:val="center"/>
          </w:tcPr>
          <w:p>
            <w:pPr>
              <w:pStyle w:val="TableContents"/>
              <w:bidi w:val="0"/>
              <w:spacing w:before="0" w:after="0"/>
              <w:jc w:val="center"/>
              <w:rPr>
                <w:spacing w:val="4"/>
              </w:rPr>
            </w:pPr>
            <w:r>
              <w:rPr>
                <w:spacing w:val="4"/>
              </w:rPr>
              <w:t xml:space="preserve">August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61" w:type="dxa"/>
            <w:tcBorders/>
            <w:tcMar>
              <w:bottom w:w="0" w:type="dxa"/>
            </w:tcMar>
            <w:vAlign w:val="center"/>
          </w:tcPr>
          <w:p>
            <w:pPr>
              <w:pStyle w:val="TableContents"/>
              <w:bidi w:val="0"/>
              <w:spacing w:before="0" w:after="0"/>
              <w:jc w:val="center"/>
              <w:rPr/>
            </w:pPr>
            <w:r>
              <w:rPr>
                <w:spacing w:val="4"/>
              </w:rPr>
              <w:t>/s/ Sarah Rubenstein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Sarah Rubenstein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69" w:type="dxa"/>
            <w:tcBorders/>
            <w:tcMar>
              <w:bottom w:w="0" w:type="dxa"/>
            </w:tcMar>
            <w:vAlign w:val="center"/>
          </w:tcPr>
          <w:p>
            <w:pPr>
              <w:pStyle w:val="TableContents"/>
              <w:bidi w:val="0"/>
              <w:spacing w:before="0" w:after="0"/>
              <w:jc w:val="center"/>
              <w:rPr/>
            </w:pPr>
            <w:r>
              <w:rPr>
                <w:spacing w:val="4"/>
              </w:rPr>
              <w:t xml:space="preserve">Executive Vice President and Chief Financial Officer </w:t>
            </w:r>
            <w:r>
              <w:rPr/>
              <w:br/>
            </w:r>
            <w:r>
              <w:rPr>
                <w:spacing w:val="4"/>
              </w:rPr>
              <w:t xml:space="preserve">(Principal Financial Officer and 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6" w:type="dxa"/>
            <w:tcBorders/>
            <w:tcMar>
              <w:bottom w:w="0" w:type="dxa"/>
            </w:tcMar>
            <w:vAlign w:val="center"/>
          </w:tcPr>
          <w:p>
            <w:pPr>
              <w:pStyle w:val="TableContents"/>
              <w:bidi w:val="0"/>
              <w:spacing w:before="0" w:after="0"/>
              <w:jc w:val="center"/>
              <w:rPr>
                <w:spacing w:val="4"/>
              </w:rPr>
            </w:pPr>
            <w:r>
              <w:rPr>
                <w:spacing w:val="4"/>
              </w:rPr>
              <w:t xml:space="preserve">August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61" w:type="dxa"/>
            <w:tcBorders/>
            <w:tcMar>
              <w:bottom w:w="0" w:type="dxa"/>
            </w:tcMar>
            <w:vAlign w:val="center"/>
          </w:tcPr>
          <w:p>
            <w:pPr>
              <w:pStyle w:val="TableContents"/>
              <w:bidi w:val="0"/>
              <w:spacing w:before="0" w:after="0"/>
              <w:jc w:val="center"/>
              <w:rPr/>
            </w:pPr>
            <w:r>
              <w:rPr>
                <w:spacing w:val="4"/>
              </w:rPr>
              <w:t>/s/ Jonathan Bram</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Jonathan Bram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69" w:type="dxa"/>
            <w:tcBorders/>
            <w:tcMar>
              <w:bottom w:w="0" w:type="dxa"/>
            </w:tcMar>
            <w:vAlign w:val="center"/>
          </w:tcPr>
          <w:p>
            <w:pPr>
              <w:pStyle w:val="TableContents"/>
              <w:bidi w:val="0"/>
              <w:spacing w:before="0" w:after="0"/>
              <w:jc w:val="center"/>
              <w:rPr>
                <w:spacing w:val="4"/>
              </w:rPr>
            </w:pPr>
            <w:r>
              <w:rPr>
                <w:spacing w:val="4"/>
              </w:rPr>
              <w:t xml:space="preserve">Chairman of the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6" w:type="dxa"/>
            <w:tcBorders/>
            <w:tcMar>
              <w:bottom w:w="0" w:type="dxa"/>
            </w:tcMar>
            <w:vAlign w:val="center"/>
          </w:tcPr>
          <w:p>
            <w:pPr>
              <w:pStyle w:val="TableContents"/>
              <w:bidi w:val="0"/>
              <w:spacing w:before="0" w:after="0"/>
              <w:jc w:val="center"/>
              <w:rPr>
                <w:spacing w:val="4"/>
              </w:rPr>
            </w:pPr>
            <w:r>
              <w:rPr>
                <w:spacing w:val="4"/>
              </w:rPr>
              <w:t xml:space="preserve">August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61" w:type="dxa"/>
            <w:tcBorders/>
            <w:tcMar>
              <w:bottom w:w="0" w:type="dxa"/>
            </w:tcMar>
            <w:vAlign w:val="center"/>
          </w:tcPr>
          <w:p>
            <w:pPr>
              <w:pStyle w:val="TableContents"/>
              <w:bidi w:val="0"/>
              <w:spacing w:before="0" w:after="0"/>
              <w:jc w:val="center"/>
              <w:rPr/>
            </w:pPr>
            <w:r>
              <w:rPr>
                <w:spacing w:val="4"/>
              </w:rPr>
              <w:t>/s/ Brian R. Ford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Brian R. 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69"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6" w:type="dxa"/>
            <w:tcBorders/>
            <w:tcMar>
              <w:bottom w:w="0" w:type="dxa"/>
            </w:tcMar>
            <w:vAlign w:val="center"/>
          </w:tcPr>
          <w:p>
            <w:pPr>
              <w:pStyle w:val="TableContents"/>
              <w:bidi w:val="0"/>
              <w:spacing w:before="0" w:after="0"/>
              <w:jc w:val="center"/>
              <w:rPr>
                <w:spacing w:val="4"/>
              </w:rPr>
            </w:pPr>
            <w:r>
              <w:rPr>
                <w:spacing w:val="4"/>
              </w:rPr>
              <w:t xml:space="preserve">August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61" w:type="dxa"/>
            <w:tcBorders/>
            <w:tcMar>
              <w:bottom w:w="0" w:type="dxa"/>
            </w:tcMar>
            <w:vAlign w:val="center"/>
          </w:tcPr>
          <w:p>
            <w:pPr>
              <w:pStyle w:val="TableContents"/>
              <w:bidi w:val="0"/>
              <w:spacing w:before="0" w:after="0"/>
              <w:jc w:val="center"/>
              <w:rPr/>
            </w:pPr>
            <w:r>
              <w:rPr>
                <w:spacing w:val="4"/>
              </w:rPr>
              <w:t>/s/ Nathaniel Anschuetz</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Nathaniel Anschuetz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69"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6" w:type="dxa"/>
            <w:tcBorders/>
            <w:tcMar>
              <w:bottom w:w="0" w:type="dxa"/>
            </w:tcMar>
            <w:vAlign w:val="center"/>
          </w:tcPr>
          <w:p>
            <w:pPr>
              <w:pStyle w:val="TableContents"/>
              <w:bidi w:val="0"/>
              <w:spacing w:before="0" w:after="0"/>
              <w:jc w:val="center"/>
              <w:rPr>
                <w:spacing w:val="4"/>
              </w:rPr>
            </w:pPr>
            <w:r>
              <w:rPr>
                <w:spacing w:val="4"/>
              </w:rPr>
              <w:t xml:space="preserve">August 6, 2026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938" w:type="dxa"/>
        <w:jc w:val="left"/>
        <w:tblInd w:w="1393" w:type="dxa"/>
        <w:tblLayout w:type="fixed"/>
        <w:tblCellMar>
          <w:top w:w="0" w:type="dxa"/>
          <w:left w:w="0" w:type="dxa"/>
          <w:bottom w:w="28" w:type="dxa"/>
          <w:right w:w="0" w:type="dxa"/>
        </w:tblCellMar>
      </w:tblPr>
      <w:tblGrid>
        <w:gridCol w:w="124"/>
        <w:gridCol w:w="2578"/>
        <w:gridCol w:w="109"/>
        <w:gridCol w:w="109"/>
        <w:gridCol w:w="974"/>
        <w:gridCol w:w="109"/>
        <w:gridCol w:w="109"/>
        <w:gridCol w:w="1672"/>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7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7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78" w:type="dxa"/>
            <w:tcBorders/>
            <w:tcMar>
              <w:bottom w:w="0" w:type="dxa"/>
            </w:tcMar>
            <w:vAlign w:val="center"/>
          </w:tcPr>
          <w:p>
            <w:pPr>
              <w:pStyle w:val="TableContents"/>
              <w:bidi w:val="0"/>
              <w:spacing w:before="0" w:after="0"/>
              <w:jc w:val="center"/>
              <w:rPr/>
            </w:pPr>
            <w:r>
              <w:rPr>
                <w:spacing w:val="4"/>
              </w:rPr>
              <w:t>/s/ Jennifer Lowry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Jennifer Lowry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2" w:type="dxa"/>
            <w:tcBorders/>
            <w:tcMar>
              <w:bottom w:w="0" w:type="dxa"/>
            </w:tcMar>
            <w:vAlign w:val="center"/>
          </w:tcPr>
          <w:p>
            <w:pPr>
              <w:pStyle w:val="TableContents"/>
              <w:bidi w:val="0"/>
              <w:spacing w:before="0" w:after="0"/>
              <w:jc w:val="center"/>
              <w:rPr>
                <w:spacing w:val="4"/>
              </w:rPr>
            </w:pPr>
            <w:r>
              <w:rPr>
                <w:spacing w:val="4"/>
              </w:rPr>
              <w:t xml:space="preserve">August 6,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78" w:type="dxa"/>
            <w:tcBorders/>
            <w:tcMar>
              <w:bottom w:w="0" w:type="dxa"/>
            </w:tcMar>
            <w:vAlign w:val="center"/>
          </w:tcPr>
          <w:p>
            <w:pPr>
              <w:pStyle w:val="TableContents"/>
              <w:bidi w:val="0"/>
              <w:spacing w:before="0" w:after="0"/>
              <w:jc w:val="center"/>
              <w:rPr/>
            </w:pPr>
            <w:r>
              <w:rPr>
                <w:spacing w:val="4"/>
              </w:rPr>
              <w:t>/s/ Bruce MacLennan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Bruce MacLennan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2" w:type="dxa"/>
            <w:tcBorders/>
            <w:tcMar>
              <w:bottom w:w="0" w:type="dxa"/>
            </w:tcMar>
            <w:vAlign w:val="center"/>
          </w:tcPr>
          <w:p>
            <w:pPr>
              <w:pStyle w:val="TableContents"/>
              <w:bidi w:val="0"/>
              <w:spacing w:before="0" w:after="0"/>
              <w:jc w:val="center"/>
              <w:rPr>
                <w:spacing w:val="4"/>
              </w:rPr>
            </w:pPr>
            <w:r>
              <w:rPr>
                <w:spacing w:val="4"/>
              </w:rPr>
              <w:t xml:space="preserve">August 6,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78" w:type="dxa"/>
            <w:tcBorders/>
            <w:tcMar>
              <w:bottom w:w="0" w:type="dxa"/>
            </w:tcMar>
            <w:vAlign w:val="center"/>
          </w:tcPr>
          <w:p>
            <w:pPr>
              <w:pStyle w:val="TableContents"/>
              <w:bidi w:val="0"/>
              <w:spacing w:before="0" w:after="0"/>
              <w:jc w:val="center"/>
              <w:rPr/>
            </w:pPr>
            <w:r>
              <w:rPr>
                <w:spacing w:val="4"/>
              </w:rPr>
              <w:t>/s/ Daniel B. More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Daniel B. More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2" w:type="dxa"/>
            <w:tcBorders/>
            <w:tcMar>
              <w:bottom w:w="0" w:type="dxa"/>
            </w:tcMar>
            <w:vAlign w:val="center"/>
          </w:tcPr>
          <w:p>
            <w:pPr>
              <w:pStyle w:val="TableContents"/>
              <w:bidi w:val="0"/>
              <w:spacing w:before="0" w:after="0"/>
              <w:jc w:val="center"/>
              <w:rPr>
                <w:spacing w:val="4"/>
              </w:rPr>
            </w:pPr>
            <w:r>
              <w:rPr>
                <w:spacing w:val="4"/>
              </w:rPr>
              <w:t xml:space="preserve">August 6,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78" w:type="dxa"/>
            <w:tcBorders/>
            <w:tcMar>
              <w:bottom w:w="0" w:type="dxa"/>
            </w:tcMar>
            <w:vAlign w:val="center"/>
          </w:tcPr>
          <w:p>
            <w:pPr>
              <w:pStyle w:val="TableContents"/>
              <w:bidi w:val="0"/>
              <w:spacing w:before="0" w:after="0"/>
              <w:jc w:val="center"/>
              <w:rPr/>
            </w:pPr>
            <w:r>
              <w:rPr>
                <w:spacing w:val="4"/>
              </w:rPr>
              <w:t>/s/ E. Stanley O’Neal</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E. Stanley O’Neal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2" w:type="dxa"/>
            <w:tcBorders/>
            <w:tcMar>
              <w:bottom w:w="0" w:type="dxa"/>
            </w:tcMar>
            <w:vAlign w:val="center"/>
          </w:tcPr>
          <w:p>
            <w:pPr>
              <w:pStyle w:val="TableContents"/>
              <w:bidi w:val="0"/>
              <w:spacing w:before="0" w:after="0"/>
              <w:jc w:val="center"/>
              <w:rPr>
                <w:spacing w:val="4"/>
              </w:rPr>
            </w:pPr>
            <w:r>
              <w:rPr>
                <w:spacing w:val="4"/>
              </w:rPr>
              <w:t xml:space="preserve">August 6,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78" w:type="dxa"/>
            <w:tcBorders/>
            <w:tcMar>
              <w:bottom w:w="0" w:type="dxa"/>
            </w:tcMar>
            <w:vAlign w:val="center"/>
          </w:tcPr>
          <w:p>
            <w:pPr>
              <w:pStyle w:val="TableContents"/>
              <w:bidi w:val="0"/>
              <w:spacing w:before="0" w:after="0"/>
              <w:jc w:val="center"/>
              <w:rPr/>
            </w:pPr>
            <w:r>
              <w:rPr>
                <w:spacing w:val="4"/>
              </w:rPr>
              <w:t>/s/ Olivier Jouny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Olivier Jouny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2" w:type="dxa"/>
            <w:tcBorders/>
            <w:tcMar>
              <w:bottom w:w="0" w:type="dxa"/>
            </w:tcMar>
            <w:vAlign w:val="center"/>
          </w:tcPr>
          <w:p>
            <w:pPr>
              <w:pStyle w:val="TableContents"/>
              <w:bidi w:val="0"/>
              <w:spacing w:before="0" w:after="0"/>
              <w:jc w:val="center"/>
              <w:rPr>
                <w:spacing w:val="4"/>
              </w:rPr>
            </w:pPr>
            <w:r>
              <w:rPr>
                <w:spacing w:val="4"/>
              </w:rPr>
              <w:t xml:space="preserve">August 6,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78" w:type="dxa"/>
            <w:tcBorders/>
            <w:tcMar>
              <w:bottom w:w="0" w:type="dxa"/>
            </w:tcMar>
            <w:vAlign w:val="center"/>
          </w:tcPr>
          <w:p>
            <w:pPr>
              <w:pStyle w:val="TableContents"/>
              <w:bidi w:val="0"/>
              <w:spacing w:before="0" w:after="0"/>
              <w:jc w:val="center"/>
              <w:rPr/>
            </w:pPr>
            <w:r>
              <w:rPr>
                <w:spacing w:val="4"/>
              </w:rPr>
              <w:t>/s/ Marc-Antoine Pignon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Marc-Antoine Pignon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2" w:type="dxa"/>
            <w:tcBorders/>
            <w:tcMar>
              <w:bottom w:w="0" w:type="dxa"/>
            </w:tcMar>
            <w:vAlign w:val="center"/>
          </w:tcPr>
          <w:p>
            <w:pPr>
              <w:pStyle w:val="TableContents"/>
              <w:bidi w:val="0"/>
              <w:spacing w:before="0" w:after="0"/>
              <w:jc w:val="center"/>
              <w:rPr>
                <w:spacing w:val="4"/>
              </w:rPr>
            </w:pPr>
            <w:r>
              <w:rPr>
                <w:spacing w:val="4"/>
              </w:rPr>
              <w:t xml:space="preserve">August 6,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78" w:type="dxa"/>
            <w:tcBorders/>
            <w:tcMar>
              <w:bottom w:w="0" w:type="dxa"/>
            </w:tcMar>
            <w:vAlign w:val="center"/>
          </w:tcPr>
          <w:p>
            <w:pPr>
              <w:pStyle w:val="TableContents"/>
              <w:bidi w:val="0"/>
              <w:spacing w:before="0" w:after="0"/>
              <w:jc w:val="center"/>
              <w:rPr/>
            </w:pPr>
            <w:r>
              <w:rPr>
                <w:spacing w:val="4"/>
              </w:rPr>
              <w:t>/s/ Paige Goodwin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Paige Goodwin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2" w:type="dxa"/>
            <w:tcBorders/>
            <w:tcMar>
              <w:bottom w:w="0" w:type="dxa"/>
            </w:tcMar>
            <w:vAlign w:val="center"/>
          </w:tcPr>
          <w:p>
            <w:pPr>
              <w:pStyle w:val="TableContents"/>
              <w:bidi w:val="0"/>
              <w:spacing w:before="0" w:after="0"/>
              <w:jc w:val="center"/>
              <w:rPr/>
            </w:pPr>
            <w:r>
              <w:rPr>
                <w:spacing w:val="4"/>
              </w:rPr>
              <w:t>August 6,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16" w:name="tm2622208d2_ex4-3.htm"/>
      <w:bookmarkStart w:id="17" w:name="kstm2622208d2_ex43"/>
      <w:bookmarkEnd w:id="16"/>
      <w:bookmarkEnd w:id="1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4.3</w:t>
      </w:r>
    </w:p>
    <w:p>
      <w:pPr>
        <w:pStyle w:val="TextBody"/>
        <w:pBdr>
          <w:bottom w:val="single" w:sz="4" w:space="1" w:color="000000"/>
        </w:pBd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CSC Delaware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354" w:type="dxa"/>
        <w:jc w:val="left"/>
        <w:tblInd w:w="0" w:type="dxa"/>
        <w:tblLayout w:type="fixed"/>
        <w:tblCellMar>
          <w:top w:w="0" w:type="dxa"/>
          <w:left w:w="0" w:type="dxa"/>
          <w:bottom w:w="0" w:type="dxa"/>
          <w:right w:w="0" w:type="dxa"/>
        </w:tblCellMar>
      </w:tblPr>
      <w:tblGrid>
        <w:gridCol w:w="1108"/>
        <w:gridCol w:w="4716"/>
        <w:gridCol w:w="530"/>
      </w:tblGrid>
      <w:tr>
        <w:trPr/>
        <w:tc>
          <w:tcPr>
            <w:tcW w:w="1108"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u w:val="single"/>
              </w:rPr>
            </w:pPr>
            <w:r>
              <w:rPr>
                <w:b/>
                <w:u w:val="single"/>
              </w:rPr>
              <w:t>Page</w:t>
            </w:r>
          </w:p>
        </w:tc>
      </w:tr>
      <w:tr>
        <w:trPr/>
        <w:tc>
          <w:tcPr>
            <w:tcW w:w="1108"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824" w:type="dxa"/>
            <w:gridSpan w:val="2"/>
            <w:tcBorders/>
            <w:vAlign w:val="center"/>
          </w:tcPr>
          <w:p>
            <w:pPr>
              <w:pStyle w:val="TableContents"/>
              <w:bidi w:val="0"/>
              <w:spacing w:before="0" w:after="283"/>
              <w:jc w:val="left"/>
              <w:rPr/>
            </w:pPr>
            <w:r>
              <w:rPr>
                <w:sz w:val="20"/>
              </w:rPr>
              <w:t>ARTICLE I. DEFINITIONS AND INCORPORATION BY REFERENCE</w:t>
            </w:r>
            <w:r>
              <w:rPr/>
              <w:t xml:space="preserve"> </w:t>
            </w:r>
          </w:p>
        </w:tc>
        <w:tc>
          <w:tcPr>
            <w:tcW w:w="530" w:type="dxa"/>
            <w:tcBorders/>
            <w:vAlign w:val="center"/>
          </w:tcPr>
          <w:p>
            <w:pPr>
              <w:pStyle w:val="TableContents"/>
              <w:bidi w:val="0"/>
              <w:spacing w:before="0" w:after="283"/>
              <w:jc w:val="right"/>
              <w:rPr>
                <w:sz w:val="20"/>
              </w:rPr>
            </w:pPr>
            <w:r>
              <w:rPr>
                <w:sz w:val="20"/>
              </w:rPr>
              <w:t>1</w:t>
            </w:r>
          </w:p>
        </w:tc>
      </w:tr>
      <w:tr>
        <w:trPr/>
        <w:tc>
          <w:tcPr>
            <w:tcW w:w="5824" w:type="dxa"/>
            <w:gridSpan w:val="2"/>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08" w:type="dxa"/>
            <w:tcBorders/>
            <w:vAlign w:val="center"/>
          </w:tcPr>
          <w:p>
            <w:pPr>
              <w:pStyle w:val="TableContents"/>
              <w:bidi w:val="0"/>
              <w:spacing w:before="0" w:after="283"/>
              <w:jc w:val="left"/>
              <w:rPr>
                <w:sz w:val="20"/>
              </w:rPr>
            </w:pPr>
            <w:r>
              <w:rPr>
                <w:sz w:val="20"/>
              </w:rPr>
              <w:t>Section 1.1</w:t>
            </w:r>
          </w:p>
        </w:tc>
        <w:tc>
          <w:tcPr>
            <w:tcW w:w="4716" w:type="dxa"/>
            <w:tcBorders/>
            <w:vAlign w:val="center"/>
          </w:tcPr>
          <w:p>
            <w:pPr>
              <w:pStyle w:val="TableContents"/>
              <w:bidi w:val="0"/>
              <w:spacing w:before="0" w:after="283"/>
              <w:jc w:val="left"/>
              <w:rPr>
                <w:sz w:val="20"/>
              </w:rPr>
            </w:pPr>
            <w:r>
              <w:rPr>
                <w:sz w:val="20"/>
              </w:rPr>
              <w:t>Definitions</w:t>
            </w:r>
          </w:p>
        </w:tc>
        <w:tc>
          <w:tcPr>
            <w:tcW w:w="530" w:type="dxa"/>
            <w:tcBorders/>
            <w:vAlign w:val="center"/>
          </w:tcPr>
          <w:p>
            <w:pPr>
              <w:pStyle w:val="TableContents"/>
              <w:bidi w:val="0"/>
              <w:spacing w:before="0" w:after="283"/>
              <w:jc w:val="right"/>
              <w:rPr>
                <w:sz w:val="20"/>
              </w:rPr>
            </w:pPr>
            <w:r>
              <w:rPr>
                <w:sz w:val="20"/>
              </w:rPr>
              <w:t>1</w:t>
            </w:r>
          </w:p>
        </w:tc>
      </w:tr>
      <w:tr>
        <w:trPr/>
        <w:tc>
          <w:tcPr>
            <w:tcW w:w="1108" w:type="dxa"/>
            <w:tcBorders/>
            <w:vAlign w:val="center"/>
          </w:tcPr>
          <w:p>
            <w:pPr>
              <w:pStyle w:val="TableContents"/>
              <w:bidi w:val="0"/>
              <w:spacing w:before="0" w:after="283"/>
              <w:jc w:val="left"/>
              <w:rPr>
                <w:sz w:val="20"/>
              </w:rPr>
            </w:pPr>
            <w:r>
              <w:rPr>
                <w:sz w:val="20"/>
              </w:rPr>
              <w:t>Section 1.2</w:t>
            </w:r>
          </w:p>
        </w:tc>
        <w:tc>
          <w:tcPr>
            <w:tcW w:w="4716" w:type="dxa"/>
            <w:tcBorders/>
            <w:vAlign w:val="center"/>
          </w:tcPr>
          <w:p>
            <w:pPr>
              <w:pStyle w:val="TableContents"/>
              <w:bidi w:val="0"/>
              <w:spacing w:before="0" w:after="283"/>
              <w:jc w:val="left"/>
              <w:rPr>
                <w:sz w:val="20"/>
              </w:rPr>
            </w:pPr>
            <w:r>
              <w:rPr>
                <w:sz w:val="20"/>
              </w:rPr>
              <w:t>Other Definitions</w:t>
            </w:r>
          </w:p>
        </w:tc>
        <w:tc>
          <w:tcPr>
            <w:tcW w:w="530" w:type="dxa"/>
            <w:tcBorders/>
            <w:vAlign w:val="center"/>
          </w:tcPr>
          <w:p>
            <w:pPr>
              <w:pStyle w:val="TableContents"/>
              <w:bidi w:val="0"/>
              <w:spacing w:before="0" w:after="283"/>
              <w:jc w:val="right"/>
              <w:rPr>
                <w:sz w:val="20"/>
              </w:rPr>
            </w:pPr>
            <w:r>
              <w:rPr>
                <w:sz w:val="20"/>
              </w:rPr>
              <w:t>7</w:t>
            </w:r>
          </w:p>
        </w:tc>
      </w:tr>
      <w:tr>
        <w:trPr/>
        <w:tc>
          <w:tcPr>
            <w:tcW w:w="1108" w:type="dxa"/>
            <w:tcBorders/>
            <w:vAlign w:val="center"/>
          </w:tcPr>
          <w:p>
            <w:pPr>
              <w:pStyle w:val="TableContents"/>
              <w:bidi w:val="0"/>
              <w:spacing w:before="0" w:after="283"/>
              <w:jc w:val="left"/>
              <w:rPr>
                <w:sz w:val="20"/>
              </w:rPr>
            </w:pPr>
            <w:r>
              <w:rPr>
                <w:sz w:val="20"/>
              </w:rPr>
              <w:t>Section 1.3</w:t>
            </w:r>
          </w:p>
        </w:tc>
        <w:tc>
          <w:tcPr>
            <w:tcW w:w="4716" w:type="dxa"/>
            <w:tcBorders/>
            <w:vAlign w:val="center"/>
          </w:tcPr>
          <w:p>
            <w:pPr>
              <w:pStyle w:val="TableContents"/>
              <w:bidi w:val="0"/>
              <w:spacing w:before="0" w:after="283"/>
              <w:jc w:val="left"/>
              <w:rPr>
                <w:sz w:val="20"/>
              </w:rPr>
            </w:pPr>
            <w:r>
              <w:rPr>
                <w:sz w:val="20"/>
              </w:rPr>
              <w:t>Incorporation by Reference of Trust Indenture Act</w:t>
            </w:r>
          </w:p>
        </w:tc>
        <w:tc>
          <w:tcPr>
            <w:tcW w:w="530" w:type="dxa"/>
            <w:tcBorders/>
            <w:vAlign w:val="center"/>
          </w:tcPr>
          <w:p>
            <w:pPr>
              <w:pStyle w:val="TableContents"/>
              <w:bidi w:val="0"/>
              <w:spacing w:before="0" w:after="283"/>
              <w:jc w:val="right"/>
              <w:rPr>
                <w:sz w:val="20"/>
              </w:rPr>
            </w:pPr>
            <w:r>
              <w:rPr>
                <w:sz w:val="20"/>
              </w:rPr>
              <w:t>7</w:t>
            </w:r>
          </w:p>
        </w:tc>
      </w:tr>
      <w:tr>
        <w:trPr/>
        <w:tc>
          <w:tcPr>
            <w:tcW w:w="1108" w:type="dxa"/>
            <w:tcBorders/>
            <w:vAlign w:val="center"/>
          </w:tcPr>
          <w:p>
            <w:pPr>
              <w:pStyle w:val="TableContents"/>
              <w:bidi w:val="0"/>
              <w:spacing w:before="0" w:after="283"/>
              <w:jc w:val="left"/>
              <w:rPr>
                <w:sz w:val="20"/>
              </w:rPr>
            </w:pPr>
            <w:r>
              <w:rPr>
                <w:sz w:val="20"/>
              </w:rPr>
              <w:t>Section 1.4</w:t>
            </w:r>
          </w:p>
        </w:tc>
        <w:tc>
          <w:tcPr>
            <w:tcW w:w="4716" w:type="dxa"/>
            <w:tcBorders/>
            <w:vAlign w:val="center"/>
          </w:tcPr>
          <w:p>
            <w:pPr>
              <w:pStyle w:val="TableContents"/>
              <w:bidi w:val="0"/>
              <w:spacing w:before="0" w:after="283"/>
              <w:jc w:val="left"/>
              <w:rPr>
                <w:sz w:val="20"/>
              </w:rPr>
            </w:pPr>
            <w:r>
              <w:rPr>
                <w:sz w:val="20"/>
              </w:rPr>
              <w:t>Rules of Construction</w:t>
            </w:r>
          </w:p>
        </w:tc>
        <w:tc>
          <w:tcPr>
            <w:tcW w:w="530" w:type="dxa"/>
            <w:tcBorders/>
            <w:vAlign w:val="center"/>
          </w:tcPr>
          <w:p>
            <w:pPr>
              <w:pStyle w:val="TableContents"/>
              <w:bidi w:val="0"/>
              <w:spacing w:before="0" w:after="283"/>
              <w:jc w:val="right"/>
              <w:rPr>
                <w:sz w:val="20"/>
              </w:rPr>
            </w:pPr>
            <w:r>
              <w:rPr>
                <w:sz w:val="20"/>
              </w:rPr>
              <w:t>7</w:t>
            </w:r>
          </w:p>
        </w:tc>
      </w:tr>
      <w:tr>
        <w:trPr/>
        <w:tc>
          <w:tcPr>
            <w:tcW w:w="1108"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824" w:type="dxa"/>
            <w:gridSpan w:val="2"/>
            <w:tcBorders/>
            <w:vAlign w:val="center"/>
          </w:tcPr>
          <w:p>
            <w:pPr>
              <w:pStyle w:val="TableContents"/>
              <w:bidi w:val="0"/>
              <w:spacing w:before="0" w:after="283"/>
              <w:jc w:val="left"/>
              <w:rPr/>
            </w:pPr>
            <w:r>
              <w:rPr>
                <w:sz w:val="20"/>
              </w:rPr>
              <w:t>ARTICLE II. THE SECURITIES</w:t>
            </w:r>
            <w:r>
              <w:rPr/>
              <w:t xml:space="preserve"> </w:t>
            </w:r>
          </w:p>
        </w:tc>
        <w:tc>
          <w:tcPr>
            <w:tcW w:w="530" w:type="dxa"/>
            <w:tcBorders/>
            <w:vAlign w:val="center"/>
          </w:tcPr>
          <w:p>
            <w:pPr>
              <w:pStyle w:val="TableContents"/>
              <w:bidi w:val="0"/>
              <w:spacing w:before="0" w:after="283"/>
              <w:jc w:val="right"/>
              <w:rPr>
                <w:sz w:val="20"/>
              </w:rPr>
            </w:pPr>
            <w:r>
              <w:rPr>
                <w:sz w:val="20"/>
              </w:rPr>
              <w:t>8</w:t>
            </w:r>
          </w:p>
        </w:tc>
      </w:tr>
      <w:tr>
        <w:trPr/>
        <w:tc>
          <w:tcPr>
            <w:tcW w:w="1108"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08" w:type="dxa"/>
            <w:tcBorders/>
            <w:vAlign w:val="center"/>
          </w:tcPr>
          <w:p>
            <w:pPr>
              <w:pStyle w:val="TableContents"/>
              <w:bidi w:val="0"/>
              <w:spacing w:before="0" w:after="283"/>
              <w:jc w:val="left"/>
              <w:rPr>
                <w:sz w:val="20"/>
              </w:rPr>
            </w:pPr>
            <w:r>
              <w:rPr>
                <w:sz w:val="20"/>
              </w:rPr>
              <w:t>Section 2.1</w:t>
            </w:r>
          </w:p>
        </w:tc>
        <w:tc>
          <w:tcPr>
            <w:tcW w:w="4716" w:type="dxa"/>
            <w:tcBorders/>
            <w:vAlign w:val="center"/>
          </w:tcPr>
          <w:p>
            <w:pPr>
              <w:pStyle w:val="TableContents"/>
              <w:bidi w:val="0"/>
              <w:spacing w:before="0" w:after="283"/>
              <w:jc w:val="left"/>
              <w:rPr>
                <w:sz w:val="20"/>
              </w:rPr>
            </w:pPr>
            <w:r>
              <w:rPr>
                <w:sz w:val="20"/>
              </w:rPr>
              <w:t>Issuable in Series</w:t>
            </w:r>
          </w:p>
        </w:tc>
        <w:tc>
          <w:tcPr>
            <w:tcW w:w="530" w:type="dxa"/>
            <w:tcBorders/>
            <w:vAlign w:val="center"/>
          </w:tcPr>
          <w:p>
            <w:pPr>
              <w:pStyle w:val="TableContents"/>
              <w:bidi w:val="0"/>
              <w:spacing w:before="0" w:after="283"/>
              <w:jc w:val="right"/>
              <w:rPr>
                <w:sz w:val="20"/>
              </w:rPr>
            </w:pPr>
            <w:r>
              <w:rPr>
                <w:sz w:val="20"/>
              </w:rPr>
              <w:t>8</w:t>
            </w:r>
          </w:p>
        </w:tc>
      </w:tr>
      <w:tr>
        <w:trPr/>
        <w:tc>
          <w:tcPr>
            <w:tcW w:w="1108" w:type="dxa"/>
            <w:tcBorders/>
            <w:vAlign w:val="center"/>
          </w:tcPr>
          <w:p>
            <w:pPr>
              <w:pStyle w:val="TableContents"/>
              <w:bidi w:val="0"/>
              <w:spacing w:before="0" w:after="283"/>
              <w:jc w:val="left"/>
              <w:rPr>
                <w:sz w:val="20"/>
              </w:rPr>
            </w:pPr>
            <w:r>
              <w:rPr>
                <w:sz w:val="20"/>
              </w:rPr>
              <w:t>Section 2.2</w:t>
            </w:r>
          </w:p>
        </w:tc>
        <w:tc>
          <w:tcPr>
            <w:tcW w:w="4716" w:type="dxa"/>
            <w:tcBorders/>
            <w:vAlign w:val="center"/>
          </w:tcPr>
          <w:p>
            <w:pPr>
              <w:pStyle w:val="TableContents"/>
              <w:bidi w:val="0"/>
              <w:spacing w:before="0" w:after="283"/>
              <w:jc w:val="left"/>
              <w:rPr>
                <w:sz w:val="20"/>
              </w:rPr>
            </w:pPr>
            <w:r>
              <w:rPr>
                <w:sz w:val="20"/>
              </w:rPr>
              <w:t>Establishment of Terms of Series of Securities</w:t>
            </w:r>
          </w:p>
        </w:tc>
        <w:tc>
          <w:tcPr>
            <w:tcW w:w="530" w:type="dxa"/>
            <w:tcBorders/>
            <w:vAlign w:val="center"/>
          </w:tcPr>
          <w:p>
            <w:pPr>
              <w:pStyle w:val="TableContents"/>
              <w:bidi w:val="0"/>
              <w:spacing w:before="0" w:after="283"/>
              <w:jc w:val="right"/>
              <w:rPr>
                <w:sz w:val="20"/>
              </w:rPr>
            </w:pPr>
            <w:r>
              <w:rPr>
                <w:sz w:val="20"/>
              </w:rPr>
              <w:t>8</w:t>
            </w:r>
          </w:p>
        </w:tc>
      </w:tr>
      <w:tr>
        <w:trPr/>
        <w:tc>
          <w:tcPr>
            <w:tcW w:w="1108" w:type="dxa"/>
            <w:tcBorders/>
            <w:vAlign w:val="center"/>
          </w:tcPr>
          <w:p>
            <w:pPr>
              <w:pStyle w:val="TableContents"/>
              <w:bidi w:val="0"/>
              <w:spacing w:before="0" w:after="283"/>
              <w:jc w:val="left"/>
              <w:rPr>
                <w:sz w:val="20"/>
              </w:rPr>
            </w:pPr>
            <w:r>
              <w:rPr>
                <w:sz w:val="20"/>
              </w:rPr>
              <w:t>Section 2.3</w:t>
            </w:r>
          </w:p>
        </w:tc>
        <w:tc>
          <w:tcPr>
            <w:tcW w:w="4716" w:type="dxa"/>
            <w:tcBorders/>
            <w:vAlign w:val="center"/>
          </w:tcPr>
          <w:p>
            <w:pPr>
              <w:pStyle w:val="TableContents"/>
              <w:bidi w:val="0"/>
              <w:spacing w:before="0" w:after="283"/>
              <w:jc w:val="left"/>
              <w:rPr>
                <w:sz w:val="20"/>
              </w:rPr>
            </w:pPr>
            <w:r>
              <w:rPr>
                <w:sz w:val="20"/>
              </w:rPr>
              <w:t>Execution and Authentication</w:t>
            </w:r>
          </w:p>
        </w:tc>
        <w:tc>
          <w:tcPr>
            <w:tcW w:w="530" w:type="dxa"/>
            <w:tcBorders/>
            <w:vAlign w:val="center"/>
          </w:tcPr>
          <w:p>
            <w:pPr>
              <w:pStyle w:val="TableContents"/>
              <w:bidi w:val="0"/>
              <w:spacing w:before="0" w:after="283"/>
              <w:jc w:val="right"/>
              <w:rPr>
                <w:sz w:val="20"/>
              </w:rPr>
            </w:pPr>
            <w:r>
              <w:rPr>
                <w:sz w:val="20"/>
              </w:rPr>
              <w:t>10</w:t>
            </w:r>
          </w:p>
        </w:tc>
      </w:tr>
      <w:tr>
        <w:trPr/>
        <w:tc>
          <w:tcPr>
            <w:tcW w:w="1108" w:type="dxa"/>
            <w:tcBorders/>
            <w:vAlign w:val="center"/>
          </w:tcPr>
          <w:p>
            <w:pPr>
              <w:pStyle w:val="TableContents"/>
              <w:bidi w:val="0"/>
              <w:spacing w:before="0" w:after="283"/>
              <w:jc w:val="left"/>
              <w:rPr>
                <w:sz w:val="20"/>
              </w:rPr>
            </w:pPr>
            <w:r>
              <w:rPr>
                <w:sz w:val="20"/>
              </w:rPr>
              <w:t>Section 2.4</w:t>
            </w:r>
          </w:p>
        </w:tc>
        <w:tc>
          <w:tcPr>
            <w:tcW w:w="4716" w:type="dxa"/>
            <w:tcBorders/>
            <w:vAlign w:val="center"/>
          </w:tcPr>
          <w:p>
            <w:pPr>
              <w:pStyle w:val="TableContents"/>
              <w:bidi w:val="0"/>
              <w:spacing w:before="0" w:after="283"/>
              <w:jc w:val="left"/>
              <w:rPr>
                <w:sz w:val="20"/>
              </w:rPr>
            </w:pPr>
            <w:r>
              <w:rPr>
                <w:sz w:val="20"/>
              </w:rPr>
              <w:t>Registrar and Paying Agent</w:t>
            </w:r>
          </w:p>
        </w:tc>
        <w:tc>
          <w:tcPr>
            <w:tcW w:w="530" w:type="dxa"/>
            <w:tcBorders/>
            <w:vAlign w:val="center"/>
          </w:tcPr>
          <w:p>
            <w:pPr>
              <w:pStyle w:val="TableContents"/>
              <w:bidi w:val="0"/>
              <w:spacing w:before="0" w:after="283"/>
              <w:jc w:val="right"/>
              <w:rPr>
                <w:sz w:val="20"/>
              </w:rPr>
            </w:pPr>
            <w:r>
              <w:rPr>
                <w:sz w:val="20"/>
              </w:rPr>
              <w:t>11</w:t>
            </w:r>
          </w:p>
        </w:tc>
      </w:tr>
      <w:tr>
        <w:trPr/>
        <w:tc>
          <w:tcPr>
            <w:tcW w:w="1108" w:type="dxa"/>
            <w:tcBorders/>
            <w:vAlign w:val="center"/>
          </w:tcPr>
          <w:p>
            <w:pPr>
              <w:pStyle w:val="TableContents"/>
              <w:bidi w:val="0"/>
              <w:spacing w:before="0" w:after="283"/>
              <w:jc w:val="left"/>
              <w:rPr>
                <w:sz w:val="20"/>
              </w:rPr>
            </w:pPr>
            <w:r>
              <w:rPr>
                <w:sz w:val="20"/>
              </w:rPr>
              <w:t>Section 2.5</w:t>
            </w:r>
          </w:p>
        </w:tc>
        <w:tc>
          <w:tcPr>
            <w:tcW w:w="4716" w:type="dxa"/>
            <w:tcBorders/>
            <w:vAlign w:val="center"/>
          </w:tcPr>
          <w:p>
            <w:pPr>
              <w:pStyle w:val="TableContents"/>
              <w:bidi w:val="0"/>
              <w:spacing w:before="0" w:after="283"/>
              <w:jc w:val="left"/>
              <w:rPr>
                <w:sz w:val="20"/>
              </w:rPr>
            </w:pPr>
            <w:r>
              <w:rPr>
                <w:sz w:val="20"/>
              </w:rPr>
              <w:t>Paying Agent to Hold Money in Trust</w:t>
            </w:r>
          </w:p>
        </w:tc>
        <w:tc>
          <w:tcPr>
            <w:tcW w:w="530" w:type="dxa"/>
            <w:tcBorders/>
            <w:vAlign w:val="center"/>
          </w:tcPr>
          <w:p>
            <w:pPr>
              <w:pStyle w:val="TableContents"/>
              <w:bidi w:val="0"/>
              <w:spacing w:before="0" w:after="283"/>
              <w:jc w:val="right"/>
              <w:rPr>
                <w:sz w:val="20"/>
              </w:rPr>
            </w:pPr>
            <w:r>
              <w:rPr>
                <w:sz w:val="20"/>
              </w:rPr>
              <w:t>12</w:t>
            </w:r>
          </w:p>
        </w:tc>
      </w:tr>
      <w:tr>
        <w:trPr/>
        <w:tc>
          <w:tcPr>
            <w:tcW w:w="1108" w:type="dxa"/>
            <w:tcBorders/>
            <w:vAlign w:val="center"/>
          </w:tcPr>
          <w:p>
            <w:pPr>
              <w:pStyle w:val="TableContents"/>
              <w:bidi w:val="0"/>
              <w:spacing w:before="0" w:after="283"/>
              <w:jc w:val="left"/>
              <w:rPr>
                <w:sz w:val="20"/>
              </w:rPr>
            </w:pPr>
            <w:r>
              <w:rPr>
                <w:sz w:val="20"/>
              </w:rPr>
              <w:t>Section 2.6</w:t>
            </w:r>
          </w:p>
        </w:tc>
        <w:tc>
          <w:tcPr>
            <w:tcW w:w="4716" w:type="dxa"/>
            <w:tcBorders/>
            <w:vAlign w:val="center"/>
          </w:tcPr>
          <w:p>
            <w:pPr>
              <w:pStyle w:val="TableContents"/>
              <w:bidi w:val="0"/>
              <w:spacing w:before="0" w:after="283"/>
              <w:jc w:val="left"/>
              <w:rPr>
                <w:sz w:val="20"/>
              </w:rPr>
            </w:pPr>
            <w:r>
              <w:rPr>
                <w:sz w:val="20"/>
              </w:rPr>
              <w:t>Securityholder Lists</w:t>
            </w:r>
          </w:p>
        </w:tc>
        <w:tc>
          <w:tcPr>
            <w:tcW w:w="530" w:type="dxa"/>
            <w:tcBorders/>
            <w:vAlign w:val="center"/>
          </w:tcPr>
          <w:p>
            <w:pPr>
              <w:pStyle w:val="TableContents"/>
              <w:bidi w:val="0"/>
              <w:spacing w:before="0" w:after="283"/>
              <w:jc w:val="right"/>
              <w:rPr>
                <w:sz w:val="20"/>
              </w:rPr>
            </w:pPr>
            <w:r>
              <w:rPr>
                <w:sz w:val="20"/>
              </w:rPr>
              <w:t>12</w:t>
            </w:r>
          </w:p>
        </w:tc>
      </w:tr>
      <w:tr>
        <w:trPr/>
        <w:tc>
          <w:tcPr>
            <w:tcW w:w="1108" w:type="dxa"/>
            <w:tcBorders/>
            <w:vAlign w:val="center"/>
          </w:tcPr>
          <w:p>
            <w:pPr>
              <w:pStyle w:val="TableContents"/>
              <w:bidi w:val="0"/>
              <w:spacing w:before="0" w:after="283"/>
              <w:jc w:val="left"/>
              <w:rPr>
                <w:sz w:val="20"/>
              </w:rPr>
            </w:pPr>
            <w:r>
              <w:rPr>
                <w:sz w:val="20"/>
              </w:rPr>
              <w:t>Section 2.7</w:t>
            </w:r>
          </w:p>
        </w:tc>
        <w:tc>
          <w:tcPr>
            <w:tcW w:w="4716" w:type="dxa"/>
            <w:tcBorders/>
            <w:vAlign w:val="center"/>
          </w:tcPr>
          <w:p>
            <w:pPr>
              <w:pStyle w:val="TableContents"/>
              <w:bidi w:val="0"/>
              <w:spacing w:before="0" w:after="283"/>
              <w:jc w:val="left"/>
              <w:rPr>
                <w:sz w:val="20"/>
              </w:rPr>
            </w:pPr>
            <w:r>
              <w:rPr>
                <w:sz w:val="20"/>
              </w:rPr>
              <w:t>Transfer and Exchange</w:t>
            </w:r>
          </w:p>
        </w:tc>
        <w:tc>
          <w:tcPr>
            <w:tcW w:w="530" w:type="dxa"/>
            <w:tcBorders/>
            <w:vAlign w:val="center"/>
          </w:tcPr>
          <w:p>
            <w:pPr>
              <w:pStyle w:val="TableContents"/>
              <w:bidi w:val="0"/>
              <w:spacing w:before="0" w:after="283"/>
              <w:jc w:val="right"/>
              <w:rPr>
                <w:sz w:val="20"/>
              </w:rPr>
            </w:pPr>
            <w:r>
              <w:rPr>
                <w:sz w:val="20"/>
              </w:rPr>
              <w:t>12</w:t>
            </w:r>
          </w:p>
        </w:tc>
      </w:tr>
      <w:tr>
        <w:trPr/>
        <w:tc>
          <w:tcPr>
            <w:tcW w:w="1108" w:type="dxa"/>
            <w:tcBorders/>
            <w:vAlign w:val="center"/>
          </w:tcPr>
          <w:p>
            <w:pPr>
              <w:pStyle w:val="TableContents"/>
              <w:bidi w:val="0"/>
              <w:spacing w:before="0" w:after="283"/>
              <w:jc w:val="left"/>
              <w:rPr>
                <w:sz w:val="20"/>
              </w:rPr>
            </w:pPr>
            <w:r>
              <w:rPr>
                <w:sz w:val="20"/>
              </w:rPr>
              <w:t>Section 2.8</w:t>
            </w:r>
          </w:p>
        </w:tc>
        <w:tc>
          <w:tcPr>
            <w:tcW w:w="4716" w:type="dxa"/>
            <w:tcBorders/>
            <w:vAlign w:val="center"/>
          </w:tcPr>
          <w:p>
            <w:pPr>
              <w:pStyle w:val="TableContents"/>
              <w:bidi w:val="0"/>
              <w:spacing w:before="0" w:after="283"/>
              <w:jc w:val="left"/>
              <w:rPr>
                <w:sz w:val="20"/>
              </w:rPr>
            </w:pPr>
            <w:r>
              <w:rPr>
                <w:sz w:val="20"/>
              </w:rPr>
              <w:t>Mutilated, Destroyed, Lost and Stolen Securities</w:t>
            </w:r>
          </w:p>
        </w:tc>
        <w:tc>
          <w:tcPr>
            <w:tcW w:w="530" w:type="dxa"/>
            <w:tcBorders/>
            <w:vAlign w:val="center"/>
          </w:tcPr>
          <w:p>
            <w:pPr>
              <w:pStyle w:val="TableContents"/>
              <w:bidi w:val="0"/>
              <w:spacing w:before="0" w:after="283"/>
              <w:jc w:val="right"/>
              <w:rPr>
                <w:sz w:val="20"/>
              </w:rPr>
            </w:pPr>
            <w:r>
              <w:rPr>
                <w:sz w:val="20"/>
              </w:rPr>
              <w:t>13</w:t>
            </w:r>
          </w:p>
        </w:tc>
      </w:tr>
      <w:tr>
        <w:trPr/>
        <w:tc>
          <w:tcPr>
            <w:tcW w:w="1108" w:type="dxa"/>
            <w:tcBorders/>
            <w:vAlign w:val="center"/>
          </w:tcPr>
          <w:p>
            <w:pPr>
              <w:pStyle w:val="TableContents"/>
              <w:bidi w:val="0"/>
              <w:spacing w:before="0" w:after="283"/>
              <w:jc w:val="left"/>
              <w:rPr>
                <w:sz w:val="20"/>
              </w:rPr>
            </w:pPr>
            <w:r>
              <w:rPr>
                <w:sz w:val="20"/>
              </w:rPr>
              <w:t>Section 2.9</w:t>
            </w:r>
          </w:p>
        </w:tc>
        <w:tc>
          <w:tcPr>
            <w:tcW w:w="4716" w:type="dxa"/>
            <w:tcBorders/>
            <w:vAlign w:val="center"/>
          </w:tcPr>
          <w:p>
            <w:pPr>
              <w:pStyle w:val="TableContents"/>
              <w:bidi w:val="0"/>
              <w:spacing w:before="0" w:after="283"/>
              <w:jc w:val="left"/>
              <w:rPr>
                <w:sz w:val="20"/>
              </w:rPr>
            </w:pPr>
            <w:r>
              <w:rPr>
                <w:sz w:val="20"/>
              </w:rPr>
              <w:t>Outstanding Securities</w:t>
            </w:r>
          </w:p>
        </w:tc>
        <w:tc>
          <w:tcPr>
            <w:tcW w:w="530" w:type="dxa"/>
            <w:tcBorders/>
            <w:vAlign w:val="center"/>
          </w:tcPr>
          <w:p>
            <w:pPr>
              <w:pStyle w:val="TableContents"/>
              <w:bidi w:val="0"/>
              <w:spacing w:before="0" w:after="283"/>
              <w:jc w:val="right"/>
              <w:rPr>
                <w:sz w:val="20"/>
              </w:rPr>
            </w:pPr>
            <w:r>
              <w:rPr>
                <w:sz w:val="20"/>
              </w:rPr>
              <w:t>14</w:t>
            </w:r>
          </w:p>
        </w:tc>
      </w:tr>
      <w:tr>
        <w:trPr/>
        <w:tc>
          <w:tcPr>
            <w:tcW w:w="1108" w:type="dxa"/>
            <w:tcBorders/>
            <w:vAlign w:val="center"/>
          </w:tcPr>
          <w:p>
            <w:pPr>
              <w:pStyle w:val="TableContents"/>
              <w:bidi w:val="0"/>
              <w:spacing w:before="0" w:after="283"/>
              <w:jc w:val="left"/>
              <w:rPr>
                <w:sz w:val="20"/>
              </w:rPr>
            </w:pPr>
            <w:r>
              <w:rPr>
                <w:sz w:val="20"/>
              </w:rPr>
              <w:t>Section 2.10</w:t>
            </w:r>
          </w:p>
        </w:tc>
        <w:tc>
          <w:tcPr>
            <w:tcW w:w="4716" w:type="dxa"/>
            <w:tcBorders/>
            <w:vAlign w:val="center"/>
          </w:tcPr>
          <w:p>
            <w:pPr>
              <w:pStyle w:val="TableContents"/>
              <w:bidi w:val="0"/>
              <w:spacing w:before="0" w:after="283"/>
              <w:jc w:val="left"/>
              <w:rPr>
                <w:sz w:val="20"/>
              </w:rPr>
            </w:pPr>
            <w:r>
              <w:rPr>
                <w:sz w:val="20"/>
              </w:rPr>
              <w:t>Treasury Securities</w:t>
            </w:r>
          </w:p>
        </w:tc>
        <w:tc>
          <w:tcPr>
            <w:tcW w:w="530" w:type="dxa"/>
            <w:tcBorders/>
            <w:vAlign w:val="center"/>
          </w:tcPr>
          <w:p>
            <w:pPr>
              <w:pStyle w:val="TableContents"/>
              <w:bidi w:val="0"/>
              <w:spacing w:before="0" w:after="283"/>
              <w:jc w:val="right"/>
              <w:rPr>
                <w:sz w:val="20"/>
              </w:rPr>
            </w:pPr>
            <w:r>
              <w:rPr>
                <w:sz w:val="20"/>
              </w:rPr>
              <w:t>14</w:t>
            </w:r>
          </w:p>
        </w:tc>
      </w:tr>
      <w:tr>
        <w:trPr/>
        <w:tc>
          <w:tcPr>
            <w:tcW w:w="1108" w:type="dxa"/>
            <w:tcBorders/>
            <w:vAlign w:val="center"/>
          </w:tcPr>
          <w:p>
            <w:pPr>
              <w:pStyle w:val="TableContents"/>
              <w:bidi w:val="0"/>
              <w:spacing w:before="0" w:after="283"/>
              <w:jc w:val="left"/>
              <w:rPr>
                <w:sz w:val="20"/>
              </w:rPr>
            </w:pPr>
            <w:r>
              <w:rPr>
                <w:sz w:val="20"/>
              </w:rPr>
              <w:t>Section 2.11</w:t>
            </w:r>
          </w:p>
        </w:tc>
        <w:tc>
          <w:tcPr>
            <w:tcW w:w="4716" w:type="dxa"/>
            <w:tcBorders/>
            <w:vAlign w:val="center"/>
          </w:tcPr>
          <w:p>
            <w:pPr>
              <w:pStyle w:val="TableContents"/>
              <w:bidi w:val="0"/>
              <w:spacing w:before="0" w:after="283"/>
              <w:jc w:val="left"/>
              <w:rPr>
                <w:sz w:val="20"/>
              </w:rPr>
            </w:pPr>
            <w:r>
              <w:rPr>
                <w:sz w:val="20"/>
              </w:rPr>
              <w:t>Temporary Securities</w:t>
            </w:r>
          </w:p>
        </w:tc>
        <w:tc>
          <w:tcPr>
            <w:tcW w:w="530" w:type="dxa"/>
            <w:tcBorders/>
            <w:vAlign w:val="center"/>
          </w:tcPr>
          <w:p>
            <w:pPr>
              <w:pStyle w:val="TableContents"/>
              <w:bidi w:val="0"/>
              <w:spacing w:before="0" w:after="283"/>
              <w:jc w:val="right"/>
              <w:rPr>
                <w:sz w:val="20"/>
              </w:rPr>
            </w:pPr>
            <w:r>
              <w:rPr>
                <w:sz w:val="20"/>
              </w:rPr>
              <w:t>15</w:t>
            </w:r>
          </w:p>
        </w:tc>
      </w:tr>
      <w:tr>
        <w:trPr/>
        <w:tc>
          <w:tcPr>
            <w:tcW w:w="1108" w:type="dxa"/>
            <w:tcBorders/>
            <w:vAlign w:val="center"/>
          </w:tcPr>
          <w:p>
            <w:pPr>
              <w:pStyle w:val="TableContents"/>
              <w:bidi w:val="0"/>
              <w:spacing w:before="0" w:after="283"/>
              <w:jc w:val="left"/>
              <w:rPr>
                <w:sz w:val="20"/>
              </w:rPr>
            </w:pPr>
            <w:r>
              <w:rPr>
                <w:sz w:val="20"/>
              </w:rPr>
              <w:t>Section 2.12</w:t>
            </w:r>
          </w:p>
        </w:tc>
        <w:tc>
          <w:tcPr>
            <w:tcW w:w="4716" w:type="dxa"/>
            <w:tcBorders/>
            <w:vAlign w:val="center"/>
          </w:tcPr>
          <w:p>
            <w:pPr>
              <w:pStyle w:val="TableContents"/>
              <w:bidi w:val="0"/>
              <w:spacing w:before="0" w:after="283"/>
              <w:jc w:val="left"/>
              <w:rPr>
                <w:sz w:val="20"/>
              </w:rPr>
            </w:pPr>
            <w:r>
              <w:rPr>
                <w:sz w:val="20"/>
              </w:rPr>
              <w:t>Cancellation</w:t>
            </w:r>
          </w:p>
        </w:tc>
        <w:tc>
          <w:tcPr>
            <w:tcW w:w="530" w:type="dxa"/>
            <w:tcBorders/>
            <w:vAlign w:val="center"/>
          </w:tcPr>
          <w:p>
            <w:pPr>
              <w:pStyle w:val="TableContents"/>
              <w:bidi w:val="0"/>
              <w:spacing w:before="0" w:after="283"/>
              <w:jc w:val="right"/>
              <w:rPr>
                <w:sz w:val="20"/>
              </w:rPr>
            </w:pPr>
            <w:r>
              <w:rPr>
                <w:sz w:val="20"/>
              </w:rPr>
              <w:t>15</w:t>
            </w:r>
          </w:p>
        </w:tc>
      </w:tr>
      <w:tr>
        <w:trPr/>
        <w:tc>
          <w:tcPr>
            <w:tcW w:w="1108" w:type="dxa"/>
            <w:tcBorders/>
            <w:vAlign w:val="center"/>
          </w:tcPr>
          <w:p>
            <w:pPr>
              <w:pStyle w:val="TableContents"/>
              <w:bidi w:val="0"/>
              <w:spacing w:before="0" w:after="283"/>
              <w:jc w:val="left"/>
              <w:rPr>
                <w:sz w:val="20"/>
              </w:rPr>
            </w:pPr>
            <w:r>
              <w:rPr>
                <w:sz w:val="20"/>
              </w:rPr>
              <w:t>Section 2.13</w:t>
            </w:r>
          </w:p>
        </w:tc>
        <w:tc>
          <w:tcPr>
            <w:tcW w:w="4716" w:type="dxa"/>
            <w:tcBorders/>
            <w:vAlign w:val="center"/>
          </w:tcPr>
          <w:p>
            <w:pPr>
              <w:pStyle w:val="TableContents"/>
              <w:bidi w:val="0"/>
              <w:spacing w:before="0" w:after="283"/>
              <w:jc w:val="left"/>
              <w:rPr>
                <w:sz w:val="20"/>
              </w:rPr>
            </w:pPr>
            <w:r>
              <w:rPr>
                <w:sz w:val="20"/>
              </w:rPr>
              <w:t>Defaulted Interest</w:t>
            </w:r>
          </w:p>
        </w:tc>
        <w:tc>
          <w:tcPr>
            <w:tcW w:w="530" w:type="dxa"/>
            <w:tcBorders/>
            <w:vAlign w:val="center"/>
          </w:tcPr>
          <w:p>
            <w:pPr>
              <w:pStyle w:val="TableContents"/>
              <w:bidi w:val="0"/>
              <w:spacing w:before="0" w:after="283"/>
              <w:jc w:val="right"/>
              <w:rPr>
                <w:sz w:val="20"/>
              </w:rPr>
            </w:pPr>
            <w:r>
              <w:rPr>
                <w:sz w:val="20"/>
              </w:rPr>
              <w:t>15</w:t>
            </w:r>
          </w:p>
        </w:tc>
      </w:tr>
      <w:tr>
        <w:trPr/>
        <w:tc>
          <w:tcPr>
            <w:tcW w:w="1108" w:type="dxa"/>
            <w:tcBorders/>
            <w:vAlign w:val="center"/>
          </w:tcPr>
          <w:p>
            <w:pPr>
              <w:pStyle w:val="TableContents"/>
              <w:bidi w:val="0"/>
              <w:spacing w:before="0" w:after="283"/>
              <w:jc w:val="left"/>
              <w:rPr>
                <w:sz w:val="20"/>
              </w:rPr>
            </w:pPr>
            <w:r>
              <w:rPr>
                <w:sz w:val="20"/>
              </w:rPr>
              <w:t>Section 2.14</w:t>
            </w:r>
          </w:p>
        </w:tc>
        <w:tc>
          <w:tcPr>
            <w:tcW w:w="4716" w:type="dxa"/>
            <w:tcBorders/>
            <w:vAlign w:val="center"/>
          </w:tcPr>
          <w:p>
            <w:pPr>
              <w:pStyle w:val="TableContents"/>
              <w:bidi w:val="0"/>
              <w:spacing w:before="0" w:after="283"/>
              <w:jc w:val="left"/>
              <w:rPr>
                <w:sz w:val="20"/>
              </w:rPr>
            </w:pPr>
            <w:r>
              <w:rPr>
                <w:sz w:val="20"/>
              </w:rPr>
              <w:t>Global Securities</w:t>
            </w:r>
          </w:p>
        </w:tc>
        <w:tc>
          <w:tcPr>
            <w:tcW w:w="530" w:type="dxa"/>
            <w:tcBorders/>
            <w:vAlign w:val="center"/>
          </w:tcPr>
          <w:p>
            <w:pPr>
              <w:pStyle w:val="TableContents"/>
              <w:bidi w:val="0"/>
              <w:spacing w:before="0" w:after="283"/>
              <w:jc w:val="right"/>
              <w:rPr>
                <w:sz w:val="20"/>
              </w:rPr>
            </w:pPr>
            <w:r>
              <w:rPr>
                <w:sz w:val="20"/>
              </w:rPr>
              <w:t>15</w:t>
            </w:r>
          </w:p>
        </w:tc>
      </w:tr>
      <w:tr>
        <w:trPr/>
        <w:tc>
          <w:tcPr>
            <w:tcW w:w="1108" w:type="dxa"/>
            <w:tcBorders/>
            <w:vAlign w:val="center"/>
          </w:tcPr>
          <w:p>
            <w:pPr>
              <w:pStyle w:val="TableContents"/>
              <w:bidi w:val="0"/>
              <w:spacing w:before="0" w:after="283"/>
              <w:jc w:val="left"/>
              <w:rPr>
                <w:sz w:val="20"/>
              </w:rPr>
            </w:pPr>
            <w:r>
              <w:rPr>
                <w:sz w:val="20"/>
              </w:rPr>
              <w:t>Section 2.15</w:t>
            </w:r>
          </w:p>
        </w:tc>
        <w:tc>
          <w:tcPr>
            <w:tcW w:w="4716" w:type="dxa"/>
            <w:tcBorders/>
            <w:vAlign w:val="center"/>
          </w:tcPr>
          <w:p>
            <w:pPr>
              <w:pStyle w:val="TableContents"/>
              <w:bidi w:val="0"/>
              <w:spacing w:before="0" w:after="283"/>
              <w:jc w:val="left"/>
              <w:rPr>
                <w:sz w:val="20"/>
              </w:rPr>
            </w:pPr>
            <w:r>
              <w:rPr>
                <w:sz w:val="20"/>
              </w:rPr>
              <w:t>CUSIP Numbers</w:t>
            </w:r>
          </w:p>
        </w:tc>
        <w:tc>
          <w:tcPr>
            <w:tcW w:w="530" w:type="dxa"/>
            <w:tcBorders/>
            <w:vAlign w:val="center"/>
          </w:tcPr>
          <w:p>
            <w:pPr>
              <w:pStyle w:val="TableContents"/>
              <w:bidi w:val="0"/>
              <w:spacing w:before="0" w:after="283"/>
              <w:jc w:val="right"/>
              <w:rPr>
                <w:sz w:val="20"/>
              </w:rPr>
            </w:pPr>
            <w:r>
              <w:rPr>
                <w:sz w:val="20"/>
              </w:rPr>
              <w:t>17</w:t>
            </w:r>
          </w:p>
        </w:tc>
      </w:tr>
      <w:tr>
        <w:trPr/>
        <w:tc>
          <w:tcPr>
            <w:tcW w:w="1108"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824" w:type="dxa"/>
            <w:gridSpan w:val="2"/>
            <w:tcBorders/>
            <w:vAlign w:val="center"/>
          </w:tcPr>
          <w:p>
            <w:pPr>
              <w:pStyle w:val="TableContents"/>
              <w:bidi w:val="0"/>
              <w:spacing w:before="0" w:after="283"/>
              <w:jc w:val="left"/>
              <w:rPr/>
            </w:pPr>
            <w:r>
              <w:rPr>
                <w:sz w:val="20"/>
              </w:rPr>
              <w:t>ARTICLE III. REDEMPTION</w:t>
            </w:r>
            <w:r>
              <w:rPr/>
              <w:t xml:space="preserve"> </w:t>
            </w:r>
          </w:p>
        </w:tc>
        <w:tc>
          <w:tcPr>
            <w:tcW w:w="530" w:type="dxa"/>
            <w:tcBorders/>
            <w:vAlign w:val="center"/>
          </w:tcPr>
          <w:p>
            <w:pPr>
              <w:pStyle w:val="TableContents"/>
              <w:bidi w:val="0"/>
              <w:spacing w:before="0" w:after="283"/>
              <w:jc w:val="right"/>
              <w:rPr>
                <w:sz w:val="20"/>
              </w:rPr>
            </w:pPr>
            <w:r>
              <w:rPr>
                <w:sz w:val="20"/>
              </w:rPr>
              <w:t>17</w:t>
            </w:r>
          </w:p>
        </w:tc>
      </w:tr>
      <w:tr>
        <w:trPr/>
        <w:tc>
          <w:tcPr>
            <w:tcW w:w="1108"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08" w:type="dxa"/>
            <w:tcBorders/>
            <w:vAlign w:val="center"/>
          </w:tcPr>
          <w:p>
            <w:pPr>
              <w:pStyle w:val="TableContents"/>
              <w:bidi w:val="0"/>
              <w:spacing w:before="0" w:after="283"/>
              <w:jc w:val="left"/>
              <w:rPr>
                <w:sz w:val="20"/>
              </w:rPr>
            </w:pPr>
            <w:r>
              <w:rPr>
                <w:sz w:val="20"/>
              </w:rPr>
              <w:t>Section 3.1</w:t>
            </w:r>
          </w:p>
        </w:tc>
        <w:tc>
          <w:tcPr>
            <w:tcW w:w="4716" w:type="dxa"/>
            <w:tcBorders/>
            <w:vAlign w:val="center"/>
          </w:tcPr>
          <w:p>
            <w:pPr>
              <w:pStyle w:val="TableContents"/>
              <w:bidi w:val="0"/>
              <w:spacing w:before="0" w:after="283"/>
              <w:jc w:val="left"/>
              <w:rPr>
                <w:sz w:val="20"/>
              </w:rPr>
            </w:pPr>
            <w:r>
              <w:rPr>
                <w:sz w:val="20"/>
              </w:rPr>
              <w:t>Notice to Trustee</w:t>
            </w:r>
          </w:p>
        </w:tc>
        <w:tc>
          <w:tcPr>
            <w:tcW w:w="530" w:type="dxa"/>
            <w:tcBorders/>
            <w:vAlign w:val="center"/>
          </w:tcPr>
          <w:p>
            <w:pPr>
              <w:pStyle w:val="TableContents"/>
              <w:bidi w:val="0"/>
              <w:spacing w:before="0" w:after="283"/>
              <w:jc w:val="right"/>
              <w:rPr>
                <w:sz w:val="20"/>
              </w:rPr>
            </w:pPr>
            <w:r>
              <w:rPr>
                <w:sz w:val="20"/>
              </w:rPr>
              <w:t>17</w:t>
            </w:r>
          </w:p>
        </w:tc>
      </w:tr>
      <w:tr>
        <w:trPr/>
        <w:tc>
          <w:tcPr>
            <w:tcW w:w="1108" w:type="dxa"/>
            <w:tcBorders/>
            <w:vAlign w:val="center"/>
          </w:tcPr>
          <w:p>
            <w:pPr>
              <w:pStyle w:val="TableContents"/>
              <w:bidi w:val="0"/>
              <w:spacing w:before="0" w:after="283"/>
              <w:jc w:val="left"/>
              <w:rPr>
                <w:sz w:val="20"/>
              </w:rPr>
            </w:pPr>
            <w:r>
              <w:rPr>
                <w:sz w:val="20"/>
              </w:rPr>
              <w:t>Section 3.2</w:t>
            </w:r>
          </w:p>
        </w:tc>
        <w:tc>
          <w:tcPr>
            <w:tcW w:w="4716" w:type="dxa"/>
            <w:tcBorders/>
            <w:vAlign w:val="center"/>
          </w:tcPr>
          <w:p>
            <w:pPr>
              <w:pStyle w:val="TableContents"/>
              <w:bidi w:val="0"/>
              <w:spacing w:before="0" w:after="283"/>
              <w:jc w:val="left"/>
              <w:rPr>
                <w:sz w:val="20"/>
              </w:rPr>
            </w:pPr>
            <w:r>
              <w:rPr>
                <w:sz w:val="20"/>
              </w:rPr>
              <w:t>Selection of Securities to be Redeemed or Repurchased</w:t>
            </w:r>
          </w:p>
        </w:tc>
        <w:tc>
          <w:tcPr>
            <w:tcW w:w="530" w:type="dxa"/>
            <w:tcBorders/>
            <w:vAlign w:val="center"/>
          </w:tcPr>
          <w:p>
            <w:pPr>
              <w:pStyle w:val="TableContents"/>
              <w:bidi w:val="0"/>
              <w:spacing w:before="0" w:after="283"/>
              <w:jc w:val="right"/>
              <w:rPr>
                <w:sz w:val="20"/>
              </w:rPr>
            </w:pPr>
            <w:r>
              <w:rPr>
                <w:sz w:val="20"/>
              </w:rPr>
              <w:t>17</w:t>
            </w:r>
          </w:p>
        </w:tc>
      </w:tr>
      <w:tr>
        <w:trPr/>
        <w:tc>
          <w:tcPr>
            <w:tcW w:w="1108" w:type="dxa"/>
            <w:tcBorders/>
            <w:vAlign w:val="center"/>
          </w:tcPr>
          <w:p>
            <w:pPr>
              <w:pStyle w:val="TableContents"/>
              <w:bidi w:val="0"/>
              <w:spacing w:before="0" w:after="283"/>
              <w:jc w:val="left"/>
              <w:rPr>
                <w:sz w:val="20"/>
              </w:rPr>
            </w:pPr>
            <w:r>
              <w:rPr>
                <w:sz w:val="20"/>
              </w:rPr>
              <w:t>Section 3.3</w:t>
            </w:r>
          </w:p>
        </w:tc>
        <w:tc>
          <w:tcPr>
            <w:tcW w:w="4716" w:type="dxa"/>
            <w:tcBorders/>
            <w:vAlign w:val="center"/>
          </w:tcPr>
          <w:p>
            <w:pPr>
              <w:pStyle w:val="TableContents"/>
              <w:bidi w:val="0"/>
              <w:spacing w:before="0" w:after="283"/>
              <w:jc w:val="left"/>
              <w:rPr>
                <w:sz w:val="20"/>
              </w:rPr>
            </w:pPr>
            <w:r>
              <w:rPr>
                <w:sz w:val="20"/>
              </w:rPr>
              <w:t>Notice of Redemption</w:t>
            </w:r>
          </w:p>
        </w:tc>
        <w:tc>
          <w:tcPr>
            <w:tcW w:w="530" w:type="dxa"/>
            <w:tcBorders/>
            <w:vAlign w:val="center"/>
          </w:tcPr>
          <w:p>
            <w:pPr>
              <w:pStyle w:val="TableContents"/>
              <w:bidi w:val="0"/>
              <w:spacing w:before="0" w:after="283"/>
              <w:jc w:val="right"/>
              <w:rPr>
                <w:sz w:val="20"/>
              </w:rPr>
            </w:pPr>
            <w:r>
              <w:rPr>
                <w:sz w:val="20"/>
              </w:rPr>
              <w:t>18</w:t>
            </w:r>
          </w:p>
        </w:tc>
      </w:tr>
      <w:tr>
        <w:trPr/>
        <w:tc>
          <w:tcPr>
            <w:tcW w:w="1108" w:type="dxa"/>
            <w:tcBorders/>
            <w:vAlign w:val="center"/>
          </w:tcPr>
          <w:p>
            <w:pPr>
              <w:pStyle w:val="TableContents"/>
              <w:bidi w:val="0"/>
              <w:spacing w:before="0" w:after="283"/>
              <w:jc w:val="left"/>
              <w:rPr>
                <w:sz w:val="20"/>
              </w:rPr>
            </w:pPr>
            <w:r>
              <w:rPr>
                <w:sz w:val="20"/>
              </w:rPr>
              <w:t>Section 3.4</w:t>
            </w:r>
          </w:p>
        </w:tc>
        <w:tc>
          <w:tcPr>
            <w:tcW w:w="4716" w:type="dxa"/>
            <w:tcBorders/>
            <w:vAlign w:val="center"/>
          </w:tcPr>
          <w:p>
            <w:pPr>
              <w:pStyle w:val="TableContents"/>
              <w:bidi w:val="0"/>
              <w:spacing w:before="0" w:after="283"/>
              <w:jc w:val="left"/>
              <w:rPr>
                <w:sz w:val="20"/>
              </w:rPr>
            </w:pPr>
            <w:r>
              <w:rPr>
                <w:sz w:val="20"/>
              </w:rPr>
              <w:t>Effect of Notice of Redemption</w:t>
            </w:r>
          </w:p>
        </w:tc>
        <w:tc>
          <w:tcPr>
            <w:tcW w:w="530" w:type="dxa"/>
            <w:tcBorders/>
            <w:vAlign w:val="center"/>
          </w:tcPr>
          <w:p>
            <w:pPr>
              <w:pStyle w:val="TableContents"/>
              <w:bidi w:val="0"/>
              <w:spacing w:before="0" w:after="283"/>
              <w:jc w:val="right"/>
              <w:rPr>
                <w:sz w:val="20"/>
              </w:rPr>
            </w:pPr>
            <w:r>
              <w:rPr>
                <w:sz w:val="20"/>
              </w:rPr>
              <w:t>19</w:t>
            </w:r>
          </w:p>
        </w:tc>
      </w:tr>
      <w:tr>
        <w:trPr/>
        <w:tc>
          <w:tcPr>
            <w:tcW w:w="1108" w:type="dxa"/>
            <w:tcBorders/>
            <w:vAlign w:val="center"/>
          </w:tcPr>
          <w:p>
            <w:pPr>
              <w:pStyle w:val="TableContents"/>
              <w:bidi w:val="0"/>
              <w:spacing w:before="0" w:after="283"/>
              <w:jc w:val="left"/>
              <w:rPr>
                <w:sz w:val="20"/>
              </w:rPr>
            </w:pPr>
            <w:r>
              <w:rPr>
                <w:sz w:val="20"/>
              </w:rPr>
              <w:t>Section 3.5</w:t>
            </w:r>
          </w:p>
        </w:tc>
        <w:tc>
          <w:tcPr>
            <w:tcW w:w="4716" w:type="dxa"/>
            <w:tcBorders/>
            <w:vAlign w:val="center"/>
          </w:tcPr>
          <w:p>
            <w:pPr>
              <w:pStyle w:val="TableContents"/>
              <w:bidi w:val="0"/>
              <w:spacing w:before="0" w:after="283"/>
              <w:jc w:val="left"/>
              <w:rPr>
                <w:sz w:val="20"/>
              </w:rPr>
            </w:pPr>
            <w:r>
              <w:rPr>
                <w:sz w:val="20"/>
              </w:rPr>
              <w:t>Deposit of Redemption Price</w:t>
            </w:r>
          </w:p>
        </w:tc>
        <w:tc>
          <w:tcPr>
            <w:tcW w:w="530" w:type="dxa"/>
            <w:tcBorders/>
            <w:vAlign w:val="center"/>
          </w:tcPr>
          <w:p>
            <w:pPr>
              <w:pStyle w:val="TableContents"/>
              <w:bidi w:val="0"/>
              <w:spacing w:before="0" w:after="283"/>
              <w:jc w:val="right"/>
              <w:rPr>
                <w:sz w:val="20"/>
              </w:rPr>
            </w:pPr>
            <w:r>
              <w:rPr>
                <w:sz w:val="20"/>
              </w:rPr>
              <w:t>19</w:t>
            </w:r>
          </w:p>
        </w:tc>
      </w:tr>
      <w:tr>
        <w:trPr/>
        <w:tc>
          <w:tcPr>
            <w:tcW w:w="1108" w:type="dxa"/>
            <w:tcBorders/>
            <w:vAlign w:val="center"/>
          </w:tcPr>
          <w:p>
            <w:pPr>
              <w:pStyle w:val="TableContents"/>
              <w:bidi w:val="0"/>
              <w:spacing w:before="0" w:after="283"/>
              <w:jc w:val="left"/>
              <w:rPr>
                <w:sz w:val="20"/>
              </w:rPr>
            </w:pPr>
            <w:r>
              <w:rPr>
                <w:sz w:val="20"/>
              </w:rPr>
              <w:t>Section 3.6</w:t>
            </w:r>
          </w:p>
        </w:tc>
        <w:tc>
          <w:tcPr>
            <w:tcW w:w="4716" w:type="dxa"/>
            <w:tcBorders/>
            <w:vAlign w:val="center"/>
          </w:tcPr>
          <w:p>
            <w:pPr>
              <w:pStyle w:val="TableContents"/>
              <w:bidi w:val="0"/>
              <w:spacing w:before="0" w:after="283"/>
              <w:jc w:val="left"/>
              <w:rPr>
                <w:sz w:val="20"/>
              </w:rPr>
            </w:pPr>
            <w:r>
              <w:rPr>
                <w:sz w:val="20"/>
              </w:rPr>
              <w:t>Securities Redeemed in Part</w:t>
            </w:r>
          </w:p>
        </w:tc>
        <w:tc>
          <w:tcPr>
            <w:tcW w:w="530" w:type="dxa"/>
            <w:tcBorders/>
            <w:vAlign w:val="center"/>
          </w:tcPr>
          <w:p>
            <w:pPr>
              <w:pStyle w:val="TableContents"/>
              <w:bidi w:val="0"/>
              <w:spacing w:before="0" w:after="283"/>
              <w:jc w:val="right"/>
              <w:rPr>
                <w:sz w:val="20"/>
              </w:rPr>
            </w:pPr>
            <w:r>
              <w:rPr>
                <w:sz w:val="20"/>
              </w:rPr>
              <w:t>19</w:t>
            </w:r>
          </w:p>
        </w:tc>
      </w:tr>
      <w:tr>
        <w:trPr/>
        <w:tc>
          <w:tcPr>
            <w:tcW w:w="1108"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824" w:type="dxa"/>
            <w:gridSpan w:val="2"/>
            <w:tcBorders/>
            <w:vAlign w:val="center"/>
          </w:tcPr>
          <w:p>
            <w:pPr>
              <w:pStyle w:val="TableContents"/>
              <w:bidi w:val="0"/>
              <w:spacing w:before="0" w:after="283"/>
              <w:jc w:val="left"/>
              <w:rPr/>
            </w:pPr>
            <w:r>
              <w:rPr>
                <w:sz w:val="20"/>
              </w:rPr>
              <w:t>ARTICLE IV. COVENANTS</w:t>
            </w:r>
            <w:r>
              <w:rPr/>
              <w:t xml:space="preserve"> </w:t>
            </w:r>
          </w:p>
        </w:tc>
        <w:tc>
          <w:tcPr>
            <w:tcW w:w="530" w:type="dxa"/>
            <w:tcBorders/>
            <w:vAlign w:val="center"/>
          </w:tcPr>
          <w:p>
            <w:pPr>
              <w:pStyle w:val="TableContents"/>
              <w:bidi w:val="0"/>
              <w:spacing w:before="0" w:after="283"/>
              <w:jc w:val="right"/>
              <w:rPr>
                <w:sz w:val="20"/>
              </w:rPr>
            </w:pPr>
            <w:r>
              <w:rPr>
                <w:sz w:val="20"/>
              </w:rPr>
              <w:t>20</w:t>
            </w:r>
          </w:p>
        </w:tc>
      </w:tr>
      <w:tr>
        <w:trPr/>
        <w:tc>
          <w:tcPr>
            <w:tcW w:w="1108"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08" w:type="dxa"/>
            <w:tcBorders/>
            <w:vAlign w:val="center"/>
          </w:tcPr>
          <w:p>
            <w:pPr>
              <w:pStyle w:val="TableContents"/>
              <w:bidi w:val="0"/>
              <w:spacing w:before="0" w:after="283"/>
              <w:jc w:val="left"/>
              <w:rPr>
                <w:sz w:val="20"/>
              </w:rPr>
            </w:pPr>
            <w:r>
              <w:rPr>
                <w:sz w:val="20"/>
              </w:rPr>
              <w:t>Section 4.1</w:t>
            </w:r>
          </w:p>
        </w:tc>
        <w:tc>
          <w:tcPr>
            <w:tcW w:w="4716" w:type="dxa"/>
            <w:tcBorders/>
            <w:vAlign w:val="center"/>
          </w:tcPr>
          <w:p>
            <w:pPr>
              <w:pStyle w:val="TableContents"/>
              <w:bidi w:val="0"/>
              <w:spacing w:before="0" w:after="283"/>
              <w:jc w:val="left"/>
              <w:rPr>
                <w:sz w:val="20"/>
              </w:rPr>
            </w:pPr>
            <w:r>
              <w:rPr>
                <w:sz w:val="20"/>
              </w:rPr>
              <w:t>Payment of Principal and Interest</w:t>
            </w:r>
          </w:p>
        </w:tc>
        <w:tc>
          <w:tcPr>
            <w:tcW w:w="530" w:type="dxa"/>
            <w:tcBorders/>
            <w:vAlign w:val="center"/>
          </w:tcPr>
          <w:p>
            <w:pPr>
              <w:pStyle w:val="TableContents"/>
              <w:bidi w:val="0"/>
              <w:spacing w:before="0" w:after="283"/>
              <w:jc w:val="right"/>
              <w:rPr/>
            </w:pPr>
            <w:r>
              <w:rPr/>
              <w:t>20</w:t>
            </w:r>
          </w:p>
        </w:tc>
      </w:tr>
      <w:tr>
        <w:trPr/>
        <w:tc>
          <w:tcPr>
            <w:tcW w:w="1108" w:type="dxa"/>
            <w:tcBorders/>
            <w:vAlign w:val="center"/>
          </w:tcPr>
          <w:p>
            <w:pPr>
              <w:pStyle w:val="TableContents"/>
              <w:bidi w:val="0"/>
              <w:spacing w:before="0" w:after="283"/>
              <w:jc w:val="left"/>
              <w:rPr>
                <w:sz w:val="20"/>
              </w:rPr>
            </w:pPr>
            <w:r>
              <w:rPr>
                <w:sz w:val="20"/>
              </w:rPr>
              <w:t>Section 4.2</w:t>
            </w:r>
          </w:p>
        </w:tc>
        <w:tc>
          <w:tcPr>
            <w:tcW w:w="4716" w:type="dxa"/>
            <w:tcBorders/>
            <w:vAlign w:val="center"/>
          </w:tcPr>
          <w:p>
            <w:pPr>
              <w:pStyle w:val="TableContents"/>
              <w:bidi w:val="0"/>
              <w:spacing w:before="0" w:after="283"/>
              <w:jc w:val="left"/>
              <w:rPr>
                <w:sz w:val="20"/>
              </w:rPr>
            </w:pPr>
            <w:r>
              <w:rPr>
                <w:sz w:val="20"/>
              </w:rPr>
              <w:t>Maintenance of Office or Agency</w:t>
            </w:r>
          </w:p>
        </w:tc>
        <w:tc>
          <w:tcPr>
            <w:tcW w:w="530" w:type="dxa"/>
            <w:tcBorders/>
            <w:vAlign w:val="center"/>
          </w:tcPr>
          <w:p>
            <w:pPr>
              <w:pStyle w:val="TableContents"/>
              <w:bidi w:val="0"/>
              <w:spacing w:before="0" w:after="283"/>
              <w:jc w:val="right"/>
              <w:rPr>
                <w:sz w:val="20"/>
              </w:rPr>
            </w:pPr>
            <w:r>
              <w:rPr>
                <w:sz w:val="20"/>
              </w:rPr>
              <w:t>20</w:t>
            </w:r>
          </w:p>
        </w:tc>
      </w:tr>
      <w:tr>
        <w:trPr/>
        <w:tc>
          <w:tcPr>
            <w:tcW w:w="1108" w:type="dxa"/>
            <w:tcBorders/>
            <w:vAlign w:val="center"/>
          </w:tcPr>
          <w:p>
            <w:pPr>
              <w:pStyle w:val="TableContents"/>
              <w:bidi w:val="0"/>
              <w:spacing w:before="0" w:after="283"/>
              <w:jc w:val="left"/>
              <w:rPr>
                <w:sz w:val="20"/>
              </w:rPr>
            </w:pPr>
            <w:r>
              <w:rPr>
                <w:sz w:val="20"/>
              </w:rPr>
              <w:t>Section 4.3</w:t>
            </w:r>
          </w:p>
        </w:tc>
        <w:tc>
          <w:tcPr>
            <w:tcW w:w="4716" w:type="dxa"/>
            <w:tcBorders/>
            <w:vAlign w:val="center"/>
          </w:tcPr>
          <w:p>
            <w:pPr>
              <w:pStyle w:val="TableContents"/>
              <w:bidi w:val="0"/>
              <w:spacing w:before="0" w:after="283"/>
              <w:jc w:val="left"/>
              <w:rPr>
                <w:sz w:val="20"/>
              </w:rPr>
            </w:pPr>
            <w:r>
              <w:rPr>
                <w:sz w:val="20"/>
              </w:rPr>
              <w:t>Reports</w:t>
            </w:r>
          </w:p>
        </w:tc>
        <w:tc>
          <w:tcPr>
            <w:tcW w:w="530" w:type="dxa"/>
            <w:tcBorders/>
            <w:vAlign w:val="center"/>
          </w:tcPr>
          <w:p>
            <w:pPr>
              <w:pStyle w:val="TableContents"/>
              <w:bidi w:val="0"/>
              <w:spacing w:before="0" w:after="283"/>
              <w:jc w:val="right"/>
              <w:rPr>
                <w:sz w:val="20"/>
              </w:rPr>
            </w:pPr>
            <w:r>
              <w:rPr>
                <w:sz w:val="20"/>
              </w:rPr>
              <w:t>20</w:t>
            </w:r>
          </w:p>
        </w:tc>
      </w:tr>
      <w:tr>
        <w:trPr/>
        <w:tc>
          <w:tcPr>
            <w:tcW w:w="1108" w:type="dxa"/>
            <w:tcBorders/>
            <w:vAlign w:val="center"/>
          </w:tcPr>
          <w:p>
            <w:pPr>
              <w:pStyle w:val="TableContents"/>
              <w:bidi w:val="0"/>
              <w:spacing w:before="0" w:after="283"/>
              <w:jc w:val="left"/>
              <w:rPr>
                <w:sz w:val="20"/>
              </w:rPr>
            </w:pPr>
            <w:r>
              <w:rPr>
                <w:sz w:val="20"/>
              </w:rPr>
              <w:t>Section 4.4</w:t>
            </w:r>
          </w:p>
        </w:tc>
        <w:tc>
          <w:tcPr>
            <w:tcW w:w="4716" w:type="dxa"/>
            <w:tcBorders/>
            <w:vAlign w:val="center"/>
          </w:tcPr>
          <w:p>
            <w:pPr>
              <w:pStyle w:val="TableContents"/>
              <w:bidi w:val="0"/>
              <w:spacing w:before="0" w:after="283"/>
              <w:jc w:val="left"/>
              <w:rPr>
                <w:sz w:val="20"/>
              </w:rPr>
            </w:pPr>
            <w:r>
              <w:rPr>
                <w:sz w:val="20"/>
              </w:rPr>
              <w:t>Compliance Certificate</w:t>
            </w:r>
          </w:p>
        </w:tc>
        <w:tc>
          <w:tcPr>
            <w:tcW w:w="530" w:type="dxa"/>
            <w:tcBorders/>
            <w:vAlign w:val="center"/>
          </w:tcPr>
          <w:p>
            <w:pPr>
              <w:pStyle w:val="TableContents"/>
              <w:bidi w:val="0"/>
              <w:spacing w:before="0" w:after="283"/>
              <w:jc w:val="right"/>
              <w:rPr>
                <w:sz w:val="20"/>
              </w:rPr>
            </w:pPr>
            <w:r>
              <w:rPr>
                <w:sz w:val="20"/>
              </w:rPr>
              <w:t>20</w:t>
            </w:r>
          </w:p>
        </w:tc>
      </w:tr>
      <w:tr>
        <w:trPr/>
        <w:tc>
          <w:tcPr>
            <w:tcW w:w="1108" w:type="dxa"/>
            <w:tcBorders/>
            <w:vAlign w:val="center"/>
          </w:tcPr>
          <w:p>
            <w:pPr>
              <w:pStyle w:val="TableContents"/>
              <w:bidi w:val="0"/>
              <w:spacing w:before="0" w:after="283"/>
              <w:jc w:val="left"/>
              <w:rPr>
                <w:sz w:val="20"/>
              </w:rPr>
            </w:pPr>
            <w:r>
              <w:rPr>
                <w:sz w:val="20"/>
              </w:rPr>
              <w:t>Section 4.5</w:t>
            </w:r>
          </w:p>
        </w:tc>
        <w:tc>
          <w:tcPr>
            <w:tcW w:w="4716" w:type="dxa"/>
            <w:tcBorders/>
            <w:vAlign w:val="center"/>
          </w:tcPr>
          <w:p>
            <w:pPr>
              <w:pStyle w:val="TableContents"/>
              <w:bidi w:val="0"/>
              <w:spacing w:before="0" w:after="283"/>
              <w:jc w:val="left"/>
              <w:rPr>
                <w:sz w:val="20"/>
              </w:rPr>
            </w:pPr>
            <w:r>
              <w:rPr>
                <w:sz w:val="20"/>
              </w:rPr>
              <w:t>Taxes</w:t>
            </w:r>
          </w:p>
        </w:tc>
        <w:tc>
          <w:tcPr>
            <w:tcW w:w="530" w:type="dxa"/>
            <w:tcBorders/>
            <w:vAlign w:val="center"/>
          </w:tcPr>
          <w:p>
            <w:pPr>
              <w:pStyle w:val="TableContents"/>
              <w:bidi w:val="0"/>
              <w:spacing w:before="0" w:after="283"/>
              <w:jc w:val="right"/>
              <w:rPr>
                <w:sz w:val="20"/>
              </w:rPr>
            </w:pPr>
            <w:r>
              <w:rPr>
                <w:sz w:val="20"/>
              </w:rPr>
              <w:t>21</w:t>
            </w:r>
          </w:p>
        </w:tc>
      </w:tr>
      <w:tr>
        <w:trPr/>
        <w:tc>
          <w:tcPr>
            <w:tcW w:w="1108" w:type="dxa"/>
            <w:tcBorders/>
            <w:vAlign w:val="center"/>
          </w:tcPr>
          <w:p>
            <w:pPr>
              <w:pStyle w:val="TableContents"/>
              <w:bidi w:val="0"/>
              <w:spacing w:before="0" w:after="283"/>
              <w:jc w:val="left"/>
              <w:rPr>
                <w:sz w:val="20"/>
              </w:rPr>
            </w:pPr>
            <w:r>
              <w:rPr>
                <w:sz w:val="20"/>
              </w:rPr>
              <w:t>Section 4.6</w:t>
            </w:r>
          </w:p>
        </w:tc>
        <w:tc>
          <w:tcPr>
            <w:tcW w:w="4716" w:type="dxa"/>
            <w:tcBorders/>
            <w:vAlign w:val="center"/>
          </w:tcPr>
          <w:p>
            <w:pPr>
              <w:pStyle w:val="TableContents"/>
              <w:bidi w:val="0"/>
              <w:spacing w:before="0" w:after="283"/>
              <w:jc w:val="left"/>
              <w:rPr>
                <w:sz w:val="20"/>
              </w:rPr>
            </w:pPr>
            <w:r>
              <w:rPr>
                <w:sz w:val="20"/>
              </w:rPr>
              <w:t>Stay, Extension and Usury Laws</w:t>
            </w:r>
          </w:p>
        </w:tc>
        <w:tc>
          <w:tcPr>
            <w:tcW w:w="530" w:type="dxa"/>
            <w:tcBorders/>
            <w:vAlign w:val="center"/>
          </w:tcPr>
          <w:p>
            <w:pPr>
              <w:pStyle w:val="TableContents"/>
              <w:bidi w:val="0"/>
              <w:spacing w:before="0" w:after="283"/>
              <w:jc w:val="right"/>
              <w:rPr>
                <w:sz w:val="20"/>
              </w:rPr>
            </w:pPr>
            <w:r>
              <w:rPr>
                <w:sz w:val="20"/>
              </w:rPr>
              <w:t>21</w:t>
            </w:r>
          </w:p>
        </w:tc>
      </w:tr>
      <w:tr>
        <w:trPr/>
        <w:tc>
          <w:tcPr>
            <w:tcW w:w="1108" w:type="dxa"/>
            <w:tcBorders/>
            <w:vAlign w:val="center"/>
          </w:tcPr>
          <w:p>
            <w:pPr>
              <w:pStyle w:val="TableContents"/>
              <w:bidi w:val="0"/>
              <w:spacing w:before="0" w:after="283"/>
              <w:jc w:val="left"/>
              <w:rPr>
                <w:sz w:val="20"/>
              </w:rPr>
            </w:pPr>
            <w:r>
              <w:rPr>
                <w:sz w:val="20"/>
              </w:rPr>
              <w:t>Section 4.7</w:t>
            </w:r>
          </w:p>
        </w:tc>
        <w:tc>
          <w:tcPr>
            <w:tcW w:w="4716" w:type="dxa"/>
            <w:tcBorders/>
            <w:vAlign w:val="center"/>
          </w:tcPr>
          <w:p>
            <w:pPr>
              <w:pStyle w:val="TableContents"/>
              <w:bidi w:val="0"/>
              <w:spacing w:before="0" w:after="283"/>
              <w:jc w:val="left"/>
              <w:rPr/>
            </w:pPr>
            <w:r>
              <w:rPr/>
              <w:t>Existence</w:t>
            </w:r>
          </w:p>
        </w:tc>
        <w:tc>
          <w:tcPr>
            <w:tcW w:w="530" w:type="dxa"/>
            <w:tcBorders/>
            <w:vAlign w:val="center"/>
          </w:tcPr>
          <w:p>
            <w:pPr>
              <w:pStyle w:val="TableContents"/>
              <w:bidi w:val="0"/>
              <w:spacing w:before="0" w:after="283"/>
              <w:jc w:val="right"/>
              <w:rPr>
                <w:sz w:val="20"/>
              </w:rPr>
            </w:pPr>
            <w:r>
              <w:rPr>
                <w:sz w:val="20"/>
              </w:rPr>
              <w:t>21</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9255" w:type="dxa"/>
        <w:jc w:val="left"/>
        <w:tblInd w:w="0" w:type="dxa"/>
        <w:tblLayout w:type="fixed"/>
        <w:tblCellMar>
          <w:top w:w="0" w:type="dxa"/>
          <w:left w:w="0" w:type="dxa"/>
          <w:bottom w:w="0" w:type="dxa"/>
          <w:right w:w="0" w:type="dxa"/>
        </w:tblCellMar>
      </w:tblPr>
      <w:tblGrid>
        <w:gridCol w:w="1055"/>
        <w:gridCol w:w="7955"/>
        <w:gridCol w:w="245"/>
      </w:tblGrid>
      <w:tr>
        <w:trPr/>
        <w:tc>
          <w:tcPr>
            <w:tcW w:w="9010" w:type="dxa"/>
            <w:gridSpan w:val="2"/>
            <w:tcBorders/>
            <w:vAlign w:val="center"/>
          </w:tcPr>
          <w:p>
            <w:pPr>
              <w:pStyle w:val="TableContents"/>
              <w:bidi w:val="0"/>
              <w:spacing w:before="0" w:after="283"/>
              <w:jc w:val="left"/>
              <w:rPr/>
            </w:pPr>
            <w:r>
              <w:rPr>
                <w:sz w:val="20"/>
              </w:rPr>
              <w:t>ARTICLE V. SUCCESSORS</w:t>
            </w:r>
            <w:r>
              <w:rPr/>
              <w:t xml:space="preserve"> </w:t>
            </w:r>
          </w:p>
        </w:tc>
        <w:tc>
          <w:tcPr>
            <w:tcW w:w="245" w:type="dxa"/>
            <w:tcBorders/>
            <w:vAlign w:val="center"/>
          </w:tcPr>
          <w:p>
            <w:pPr>
              <w:pStyle w:val="TableContents"/>
              <w:bidi w:val="0"/>
              <w:spacing w:before="0" w:after="283"/>
              <w:jc w:val="right"/>
              <w:rPr>
                <w:sz w:val="20"/>
              </w:rPr>
            </w:pPr>
            <w:r>
              <w:rPr>
                <w:sz w:val="20"/>
              </w:rPr>
              <w:t>22</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sz w:val="20"/>
              </w:rPr>
            </w:pPr>
            <w:r>
              <w:rPr>
                <w:sz w:val="20"/>
              </w:rPr>
              <w:t>Section 5.1</w:t>
            </w:r>
          </w:p>
        </w:tc>
        <w:tc>
          <w:tcPr>
            <w:tcW w:w="7955" w:type="dxa"/>
            <w:tcBorders/>
            <w:vAlign w:val="center"/>
          </w:tcPr>
          <w:p>
            <w:pPr>
              <w:pStyle w:val="TableContents"/>
              <w:bidi w:val="0"/>
              <w:spacing w:before="0" w:after="283"/>
              <w:jc w:val="left"/>
              <w:rPr>
                <w:sz w:val="20"/>
              </w:rPr>
            </w:pPr>
            <w:r>
              <w:rPr>
                <w:sz w:val="20"/>
              </w:rPr>
              <w:t>Merger, Consolidation, or Sale of Assets</w:t>
            </w:r>
          </w:p>
        </w:tc>
        <w:tc>
          <w:tcPr>
            <w:tcW w:w="245" w:type="dxa"/>
            <w:tcBorders/>
            <w:vAlign w:val="center"/>
          </w:tcPr>
          <w:p>
            <w:pPr>
              <w:pStyle w:val="TableContents"/>
              <w:bidi w:val="0"/>
              <w:spacing w:before="0" w:after="283"/>
              <w:jc w:val="right"/>
              <w:rPr>
                <w:sz w:val="20"/>
              </w:rPr>
            </w:pPr>
            <w:r>
              <w:rPr>
                <w:sz w:val="20"/>
              </w:rPr>
              <w:t>22</w:t>
            </w:r>
          </w:p>
        </w:tc>
      </w:tr>
      <w:tr>
        <w:trPr/>
        <w:tc>
          <w:tcPr>
            <w:tcW w:w="1055" w:type="dxa"/>
            <w:tcBorders/>
            <w:vAlign w:val="center"/>
          </w:tcPr>
          <w:p>
            <w:pPr>
              <w:pStyle w:val="TableContents"/>
              <w:bidi w:val="0"/>
              <w:spacing w:before="0" w:after="283"/>
              <w:jc w:val="left"/>
              <w:rPr>
                <w:sz w:val="20"/>
              </w:rPr>
            </w:pPr>
            <w:r>
              <w:rPr>
                <w:sz w:val="20"/>
              </w:rPr>
              <w:t>Section 5.2</w:t>
            </w:r>
          </w:p>
        </w:tc>
        <w:tc>
          <w:tcPr>
            <w:tcW w:w="7955" w:type="dxa"/>
            <w:tcBorders/>
            <w:vAlign w:val="center"/>
          </w:tcPr>
          <w:p>
            <w:pPr>
              <w:pStyle w:val="TableContents"/>
              <w:bidi w:val="0"/>
              <w:spacing w:before="0" w:after="283"/>
              <w:jc w:val="left"/>
              <w:rPr>
                <w:sz w:val="20"/>
              </w:rPr>
            </w:pPr>
            <w:r>
              <w:rPr>
                <w:sz w:val="20"/>
              </w:rPr>
              <w:t>Successor Corporation Substituted</w:t>
            </w:r>
          </w:p>
        </w:tc>
        <w:tc>
          <w:tcPr>
            <w:tcW w:w="245" w:type="dxa"/>
            <w:tcBorders/>
            <w:vAlign w:val="center"/>
          </w:tcPr>
          <w:p>
            <w:pPr>
              <w:pStyle w:val="TableContents"/>
              <w:bidi w:val="0"/>
              <w:spacing w:before="0" w:after="283"/>
              <w:jc w:val="right"/>
              <w:rPr>
                <w:sz w:val="20"/>
              </w:rPr>
            </w:pPr>
            <w:r>
              <w:rPr>
                <w:sz w:val="20"/>
              </w:rPr>
              <w:t>22</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010" w:type="dxa"/>
            <w:gridSpan w:val="2"/>
            <w:tcBorders/>
            <w:vAlign w:val="center"/>
          </w:tcPr>
          <w:p>
            <w:pPr>
              <w:pStyle w:val="TableContents"/>
              <w:bidi w:val="0"/>
              <w:spacing w:before="0" w:after="283"/>
              <w:jc w:val="left"/>
              <w:rPr/>
            </w:pPr>
            <w:r>
              <w:rPr>
                <w:sz w:val="20"/>
              </w:rPr>
              <w:t>ARTICLE VI. DEFAULTS AND REMEDIES</w:t>
            </w:r>
            <w:r>
              <w:rPr/>
              <w:t xml:space="preserve"> </w:t>
            </w:r>
          </w:p>
        </w:tc>
        <w:tc>
          <w:tcPr>
            <w:tcW w:w="245" w:type="dxa"/>
            <w:tcBorders/>
            <w:vAlign w:val="center"/>
          </w:tcPr>
          <w:p>
            <w:pPr>
              <w:pStyle w:val="TableContents"/>
              <w:bidi w:val="0"/>
              <w:spacing w:before="0" w:after="283"/>
              <w:jc w:val="right"/>
              <w:rPr>
                <w:sz w:val="20"/>
              </w:rPr>
            </w:pPr>
            <w:r>
              <w:rPr>
                <w:sz w:val="20"/>
              </w:rPr>
              <w:t>23</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sz w:val="20"/>
              </w:rPr>
            </w:pPr>
            <w:r>
              <w:rPr>
                <w:sz w:val="20"/>
              </w:rPr>
              <w:t>Section 6.1</w:t>
            </w:r>
          </w:p>
        </w:tc>
        <w:tc>
          <w:tcPr>
            <w:tcW w:w="7955" w:type="dxa"/>
            <w:tcBorders/>
            <w:vAlign w:val="center"/>
          </w:tcPr>
          <w:p>
            <w:pPr>
              <w:pStyle w:val="TableContents"/>
              <w:bidi w:val="0"/>
              <w:spacing w:before="0" w:after="283"/>
              <w:jc w:val="left"/>
              <w:rPr>
                <w:sz w:val="20"/>
              </w:rPr>
            </w:pPr>
            <w:r>
              <w:rPr>
                <w:sz w:val="20"/>
              </w:rPr>
              <w:t>Events of Default</w:t>
            </w:r>
          </w:p>
        </w:tc>
        <w:tc>
          <w:tcPr>
            <w:tcW w:w="245" w:type="dxa"/>
            <w:tcBorders/>
            <w:vAlign w:val="center"/>
          </w:tcPr>
          <w:p>
            <w:pPr>
              <w:pStyle w:val="TableContents"/>
              <w:bidi w:val="0"/>
              <w:spacing w:before="0" w:after="283"/>
              <w:jc w:val="right"/>
              <w:rPr>
                <w:sz w:val="20"/>
              </w:rPr>
            </w:pPr>
            <w:r>
              <w:rPr>
                <w:sz w:val="20"/>
              </w:rPr>
              <w:t>23</w:t>
            </w:r>
          </w:p>
        </w:tc>
      </w:tr>
      <w:tr>
        <w:trPr/>
        <w:tc>
          <w:tcPr>
            <w:tcW w:w="1055" w:type="dxa"/>
            <w:tcBorders/>
            <w:vAlign w:val="center"/>
          </w:tcPr>
          <w:p>
            <w:pPr>
              <w:pStyle w:val="TableContents"/>
              <w:bidi w:val="0"/>
              <w:spacing w:before="0" w:after="283"/>
              <w:jc w:val="left"/>
              <w:rPr>
                <w:sz w:val="20"/>
              </w:rPr>
            </w:pPr>
            <w:r>
              <w:rPr>
                <w:sz w:val="20"/>
              </w:rPr>
              <w:t>Section 6.2</w:t>
            </w:r>
          </w:p>
        </w:tc>
        <w:tc>
          <w:tcPr>
            <w:tcW w:w="7955" w:type="dxa"/>
            <w:tcBorders/>
            <w:vAlign w:val="center"/>
          </w:tcPr>
          <w:p>
            <w:pPr>
              <w:pStyle w:val="TableContents"/>
              <w:bidi w:val="0"/>
              <w:spacing w:before="0" w:after="283"/>
              <w:jc w:val="left"/>
              <w:rPr>
                <w:sz w:val="20"/>
              </w:rPr>
            </w:pPr>
            <w:r>
              <w:rPr>
                <w:sz w:val="20"/>
              </w:rPr>
              <w:t>Acceleration</w:t>
            </w:r>
          </w:p>
        </w:tc>
        <w:tc>
          <w:tcPr>
            <w:tcW w:w="245" w:type="dxa"/>
            <w:tcBorders/>
            <w:vAlign w:val="center"/>
          </w:tcPr>
          <w:p>
            <w:pPr>
              <w:pStyle w:val="TableContents"/>
              <w:bidi w:val="0"/>
              <w:spacing w:before="0" w:after="283"/>
              <w:jc w:val="right"/>
              <w:rPr>
                <w:sz w:val="20"/>
              </w:rPr>
            </w:pPr>
            <w:r>
              <w:rPr>
                <w:sz w:val="20"/>
              </w:rPr>
              <w:t>24</w:t>
            </w:r>
          </w:p>
        </w:tc>
      </w:tr>
      <w:tr>
        <w:trPr/>
        <w:tc>
          <w:tcPr>
            <w:tcW w:w="1055" w:type="dxa"/>
            <w:tcBorders/>
            <w:vAlign w:val="center"/>
          </w:tcPr>
          <w:p>
            <w:pPr>
              <w:pStyle w:val="TableContents"/>
              <w:bidi w:val="0"/>
              <w:spacing w:before="0" w:after="283"/>
              <w:jc w:val="left"/>
              <w:rPr>
                <w:sz w:val="20"/>
              </w:rPr>
            </w:pPr>
            <w:r>
              <w:rPr>
                <w:sz w:val="20"/>
              </w:rPr>
              <w:t>Section 6.3</w:t>
            </w:r>
          </w:p>
        </w:tc>
        <w:tc>
          <w:tcPr>
            <w:tcW w:w="7955" w:type="dxa"/>
            <w:tcBorders/>
            <w:vAlign w:val="center"/>
          </w:tcPr>
          <w:p>
            <w:pPr>
              <w:pStyle w:val="TableContents"/>
              <w:bidi w:val="0"/>
              <w:spacing w:before="0" w:after="283"/>
              <w:jc w:val="left"/>
              <w:rPr>
                <w:sz w:val="20"/>
              </w:rPr>
            </w:pPr>
            <w:r>
              <w:rPr>
                <w:sz w:val="20"/>
              </w:rPr>
              <w:t>Other Remedies</w:t>
            </w:r>
          </w:p>
        </w:tc>
        <w:tc>
          <w:tcPr>
            <w:tcW w:w="245" w:type="dxa"/>
            <w:tcBorders/>
            <w:vAlign w:val="center"/>
          </w:tcPr>
          <w:p>
            <w:pPr>
              <w:pStyle w:val="TableContents"/>
              <w:bidi w:val="0"/>
              <w:spacing w:before="0" w:after="283"/>
              <w:jc w:val="right"/>
              <w:rPr>
                <w:sz w:val="20"/>
              </w:rPr>
            </w:pPr>
            <w:r>
              <w:rPr>
                <w:sz w:val="20"/>
              </w:rPr>
              <w:t>24</w:t>
            </w:r>
          </w:p>
        </w:tc>
      </w:tr>
      <w:tr>
        <w:trPr/>
        <w:tc>
          <w:tcPr>
            <w:tcW w:w="1055" w:type="dxa"/>
            <w:tcBorders/>
            <w:vAlign w:val="center"/>
          </w:tcPr>
          <w:p>
            <w:pPr>
              <w:pStyle w:val="TableContents"/>
              <w:bidi w:val="0"/>
              <w:spacing w:before="0" w:after="283"/>
              <w:jc w:val="left"/>
              <w:rPr>
                <w:sz w:val="20"/>
              </w:rPr>
            </w:pPr>
            <w:r>
              <w:rPr>
                <w:sz w:val="20"/>
              </w:rPr>
              <w:t>Section 6.4</w:t>
            </w:r>
          </w:p>
        </w:tc>
        <w:tc>
          <w:tcPr>
            <w:tcW w:w="7955" w:type="dxa"/>
            <w:tcBorders/>
            <w:vAlign w:val="center"/>
          </w:tcPr>
          <w:p>
            <w:pPr>
              <w:pStyle w:val="TableContents"/>
              <w:bidi w:val="0"/>
              <w:spacing w:before="0" w:after="283"/>
              <w:jc w:val="left"/>
              <w:rPr>
                <w:sz w:val="20"/>
              </w:rPr>
            </w:pPr>
            <w:r>
              <w:rPr>
                <w:sz w:val="20"/>
              </w:rPr>
              <w:t>Waiver of Past Defaults</w:t>
            </w:r>
          </w:p>
        </w:tc>
        <w:tc>
          <w:tcPr>
            <w:tcW w:w="245" w:type="dxa"/>
            <w:tcBorders/>
            <w:vAlign w:val="center"/>
          </w:tcPr>
          <w:p>
            <w:pPr>
              <w:pStyle w:val="TableContents"/>
              <w:bidi w:val="0"/>
              <w:spacing w:before="0" w:after="283"/>
              <w:jc w:val="right"/>
              <w:rPr>
                <w:sz w:val="20"/>
              </w:rPr>
            </w:pPr>
            <w:r>
              <w:rPr>
                <w:sz w:val="20"/>
              </w:rPr>
              <w:t>25</w:t>
            </w:r>
          </w:p>
        </w:tc>
      </w:tr>
      <w:tr>
        <w:trPr/>
        <w:tc>
          <w:tcPr>
            <w:tcW w:w="1055" w:type="dxa"/>
            <w:tcBorders/>
            <w:vAlign w:val="center"/>
          </w:tcPr>
          <w:p>
            <w:pPr>
              <w:pStyle w:val="TableContents"/>
              <w:bidi w:val="0"/>
              <w:spacing w:before="0" w:after="283"/>
              <w:jc w:val="left"/>
              <w:rPr>
                <w:sz w:val="20"/>
              </w:rPr>
            </w:pPr>
            <w:r>
              <w:rPr>
                <w:sz w:val="20"/>
              </w:rPr>
              <w:t>Section 6.5</w:t>
            </w:r>
          </w:p>
        </w:tc>
        <w:tc>
          <w:tcPr>
            <w:tcW w:w="7955" w:type="dxa"/>
            <w:tcBorders/>
            <w:vAlign w:val="center"/>
          </w:tcPr>
          <w:p>
            <w:pPr>
              <w:pStyle w:val="TableContents"/>
              <w:bidi w:val="0"/>
              <w:spacing w:before="0" w:after="283"/>
              <w:jc w:val="left"/>
              <w:rPr>
                <w:sz w:val="20"/>
              </w:rPr>
            </w:pPr>
            <w:r>
              <w:rPr>
                <w:sz w:val="20"/>
              </w:rPr>
              <w:t>Control by Majority</w:t>
            </w:r>
          </w:p>
        </w:tc>
        <w:tc>
          <w:tcPr>
            <w:tcW w:w="245" w:type="dxa"/>
            <w:tcBorders/>
            <w:vAlign w:val="center"/>
          </w:tcPr>
          <w:p>
            <w:pPr>
              <w:pStyle w:val="TableContents"/>
              <w:bidi w:val="0"/>
              <w:spacing w:before="0" w:after="283"/>
              <w:jc w:val="right"/>
              <w:rPr>
                <w:sz w:val="20"/>
              </w:rPr>
            </w:pPr>
            <w:r>
              <w:rPr>
                <w:sz w:val="20"/>
              </w:rPr>
              <w:t>25</w:t>
            </w:r>
          </w:p>
        </w:tc>
      </w:tr>
      <w:tr>
        <w:trPr/>
        <w:tc>
          <w:tcPr>
            <w:tcW w:w="1055" w:type="dxa"/>
            <w:tcBorders/>
            <w:vAlign w:val="center"/>
          </w:tcPr>
          <w:p>
            <w:pPr>
              <w:pStyle w:val="TableContents"/>
              <w:bidi w:val="0"/>
              <w:spacing w:before="0" w:after="283"/>
              <w:jc w:val="left"/>
              <w:rPr>
                <w:sz w:val="20"/>
              </w:rPr>
            </w:pPr>
            <w:r>
              <w:rPr>
                <w:sz w:val="20"/>
              </w:rPr>
              <w:t>Section 6.6</w:t>
            </w:r>
          </w:p>
        </w:tc>
        <w:tc>
          <w:tcPr>
            <w:tcW w:w="7955" w:type="dxa"/>
            <w:tcBorders/>
            <w:vAlign w:val="center"/>
          </w:tcPr>
          <w:p>
            <w:pPr>
              <w:pStyle w:val="TableContents"/>
              <w:bidi w:val="0"/>
              <w:spacing w:before="0" w:after="283"/>
              <w:jc w:val="left"/>
              <w:rPr>
                <w:sz w:val="20"/>
              </w:rPr>
            </w:pPr>
            <w:r>
              <w:rPr>
                <w:sz w:val="20"/>
              </w:rPr>
              <w:t>Limitation on Suits</w:t>
            </w:r>
          </w:p>
        </w:tc>
        <w:tc>
          <w:tcPr>
            <w:tcW w:w="245" w:type="dxa"/>
            <w:tcBorders/>
            <w:vAlign w:val="center"/>
          </w:tcPr>
          <w:p>
            <w:pPr>
              <w:pStyle w:val="TableContents"/>
              <w:bidi w:val="0"/>
              <w:spacing w:before="0" w:after="283"/>
              <w:jc w:val="right"/>
              <w:rPr>
                <w:sz w:val="20"/>
              </w:rPr>
            </w:pPr>
            <w:r>
              <w:rPr>
                <w:sz w:val="20"/>
              </w:rPr>
              <w:t>25</w:t>
            </w:r>
          </w:p>
        </w:tc>
      </w:tr>
      <w:tr>
        <w:trPr/>
        <w:tc>
          <w:tcPr>
            <w:tcW w:w="1055" w:type="dxa"/>
            <w:tcBorders/>
            <w:vAlign w:val="center"/>
          </w:tcPr>
          <w:p>
            <w:pPr>
              <w:pStyle w:val="TableContents"/>
              <w:bidi w:val="0"/>
              <w:spacing w:before="0" w:after="283"/>
              <w:jc w:val="left"/>
              <w:rPr>
                <w:sz w:val="20"/>
              </w:rPr>
            </w:pPr>
            <w:r>
              <w:rPr>
                <w:sz w:val="20"/>
              </w:rPr>
              <w:t>Section 6.7</w:t>
            </w:r>
          </w:p>
        </w:tc>
        <w:tc>
          <w:tcPr>
            <w:tcW w:w="7955" w:type="dxa"/>
            <w:tcBorders/>
            <w:vAlign w:val="center"/>
          </w:tcPr>
          <w:p>
            <w:pPr>
              <w:pStyle w:val="TableContents"/>
              <w:bidi w:val="0"/>
              <w:spacing w:before="0" w:after="283"/>
              <w:jc w:val="left"/>
              <w:rPr>
                <w:sz w:val="20"/>
              </w:rPr>
            </w:pPr>
            <w:r>
              <w:rPr>
                <w:sz w:val="20"/>
              </w:rPr>
              <w:t>Rights of Holders of Security to Receive Payment</w:t>
            </w:r>
          </w:p>
        </w:tc>
        <w:tc>
          <w:tcPr>
            <w:tcW w:w="245" w:type="dxa"/>
            <w:tcBorders/>
            <w:vAlign w:val="center"/>
          </w:tcPr>
          <w:p>
            <w:pPr>
              <w:pStyle w:val="TableContents"/>
              <w:bidi w:val="0"/>
              <w:spacing w:before="0" w:after="283"/>
              <w:jc w:val="right"/>
              <w:rPr>
                <w:sz w:val="20"/>
              </w:rPr>
            </w:pPr>
            <w:r>
              <w:rPr>
                <w:sz w:val="20"/>
              </w:rPr>
              <w:t>26</w:t>
            </w:r>
          </w:p>
        </w:tc>
      </w:tr>
      <w:tr>
        <w:trPr/>
        <w:tc>
          <w:tcPr>
            <w:tcW w:w="1055" w:type="dxa"/>
            <w:tcBorders/>
            <w:vAlign w:val="center"/>
          </w:tcPr>
          <w:p>
            <w:pPr>
              <w:pStyle w:val="TableContents"/>
              <w:bidi w:val="0"/>
              <w:spacing w:before="0" w:after="283"/>
              <w:jc w:val="left"/>
              <w:rPr>
                <w:sz w:val="20"/>
              </w:rPr>
            </w:pPr>
            <w:r>
              <w:rPr>
                <w:sz w:val="20"/>
              </w:rPr>
              <w:t>Section 6.8</w:t>
            </w:r>
          </w:p>
        </w:tc>
        <w:tc>
          <w:tcPr>
            <w:tcW w:w="7955" w:type="dxa"/>
            <w:tcBorders/>
            <w:vAlign w:val="center"/>
          </w:tcPr>
          <w:p>
            <w:pPr>
              <w:pStyle w:val="TableContents"/>
              <w:bidi w:val="0"/>
              <w:spacing w:before="0" w:after="283"/>
              <w:jc w:val="left"/>
              <w:rPr>
                <w:sz w:val="20"/>
              </w:rPr>
            </w:pPr>
            <w:r>
              <w:rPr>
                <w:sz w:val="20"/>
              </w:rPr>
              <w:t>Collection Suit by Trustee</w:t>
            </w:r>
          </w:p>
        </w:tc>
        <w:tc>
          <w:tcPr>
            <w:tcW w:w="245" w:type="dxa"/>
            <w:tcBorders/>
            <w:vAlign w:val="center"/>
          </w:tcPr>
          <w:p>
            <w:pPr>
              <w:pStyle w:val="TableContents"/>
              <w:bidi w:val="0"/>
              <w:spacing w:before="0" w:after="283"/>
              <w:jc w:val="right"/>
              <w:rPr>
                <w:sz w:val="20"/>
              </w:rPr>
            </w:pPr>
            <w:r>
              <w:rPr>
                <w:sz w:val="20"/>
              </w:rPr>
              <w:t>26</w:t>
            </w:r>
          </w:p>
        </w:tc>
      </w:tr>
      <w:tr>
        <w:trPr/>
        <w:tc>
          <w:tcPr>
            <w:tcW w:w="1055" w:type="dxa"/>
            <w:tcBorders/>
            <w:vAlign w:val="center"/>
          </w:tcPr>
          <w:p>
            <w:pPr>
              <w:pStyle w:val="TableContents"/>
              <w:bidi w:val="0"/>
              <w:spacing w:before="0" w:after="283"/>
              <w:jc w:val="left"/>
              <w:rPr>
                <w:sz w:val="20"/>
              </w:rPr>
            </w:pPr>
            <w:r>
              <w:rPr>
                <w:sz w:val="20"/>
              </w:rPr>
              <w:t>Section 6.9</w:t>
            </w:r>
          </w:p>
        </w:tc>
        <w:tc>
          <w:tcPr>
            <w:tcW w:w="7955" w:type="dxa"/>
            <w:tcBorders/>
            <w:vAlign w:val="center"/>
          </w:tcPr>
          <w:p>
            <w:pPr>
              <w:pStyle w:val="TableContents"/>
              <w:bidi w:val="0"/>
              <w:spacing w:before="0" w:after="283"/>
              <w:jc w:val="left"/>
              <w:rPr>
                <w:sz w:val="20"/>
              </w:rPr>
            </w:pPr>
            <w:r>
              <w:rPr>
                <w:sz w:val="20"/>
              </w:rPr>
              <w:t>Trustee May File Proofs of Claim</w:t>
            </w:r>
          </w:p>
        </w:tc>
        <w:tc>
          <w:tcPr>
            <w:tcW w:w="245" w:type="dxa"/>
            <w:tcBorders/>
            <w:vAlign w:val="center"/>
          </w:tcPr>
          <w:p>
            <w:pPr>
              <w:pStyle w:val="TableContents"/>
              <w:bidi w:val="0"/>
              <w:spacing w:before="0" w:after="283"/>
              <w:jc w:val="right"/>
              <w:rPr>
                <w:sz w:val="20"/>
              </w:rPr>
            </w:pPr>
            <w:r>
              <w:rPr>
                <w:sz w:val="20"/>
              </w:rPr>
              <w:t>26</w:t>
            </w:r>
          </w:p>
        </w:tc>
      </w:tr>
      <w:tr>
        <w:trPr/>
        <w:tc>
          <w:tcPr>
            <w:tcW w:w="1055" w:type="dxa"/>
            <w:tcBorders/>
            <w:vAlign w:val="center"/>
          </w:tcPr>
          <w:p>
            <w:pPr>
              <w:pStyle w:val="TableContents"/>
              <w:bidi w:val="0"/>
              <w:spacing w:before="0" w:after="283"/>
              <w:jc w:val="left"/>
              <w:rPr>
                <w:sz w:val="20"/>
              </w:rPr>
            </w:pPr>
            <w:r>
              <w:rPr>
                <w:sz w:val="20"/>
              </w:rPr>
              <w:t>Section 6.10</w:t>
            </w:r>
          </w:p>
        </w:tc>
        <w:tc>
          <w:tcPr>
            <w:tcW w:w="7955" w:type="dxa"/>
            <w:tcBorders/>
            <w:vAlign w:val="center"/>
          </w:tcPr>
          <w:p>
            <w:pPr>
              <w:pStyle w:val="TableContents"/>
              <w:bidi w:val="0"/>
              <w:spacing w:before="0" w:after="283"/>
              <w:jc w:val="left"/>
              <w:rPr>
                <w:sz w:val="20"/>
              </w:rPr>
            </w:pPr>
            <w:r>
              <w:rPr>
                <w:sz w:val="20"/>
              </w:rPr>
              <w:t>Priorities</w:t>
            </w:r>
          </w:p>
        </w:tc>
        <w:tc>
          <w:tcPr>
            <w:tcW w:w="245" w:type="dxa"/>
            <w:tcBorders/>
            <w:vAlign w:val="center"/>
          </w:tcPr>
          <w:p>
            <w:pPr>
              <w:pStyle w:val="TableContents"/>
              <w:bidi w:val="0"/>
              <w:spacing w:before="0" w:after="283"/>
              <w:jc w:val="right"/>
              <w:rPr>
                <w:sz w:val="20"/>
              </w:rPr>
            </w:pPr>
            <w:r>
              <w:rPr>
                <w:sz w:val="20"/>
              </w:rPr>
              <w:t>27</w:t>
            </w:r>
          </w:p>
        </w:tc>
      </w:tr>
      <w:tr>
        <w:trPr/>
        <w:tc>
          <w:tcPr>
            <w:tcW w:w="1055" w:type="dxa"/>
            <w:tcBorders/>
            <w:vAlign w:val="center"/>
          </w:tcPr>
          <w:p>
            <w:pPr>
              <w:pStyle w:val="TableContents"/>
              <w:bidi w:val="0"/>
              <w:spacing w:before="0" w:after="283"/>
              <w:jc w:val="left"/>
              <w:rPr>
                <w:sz w:val="20"/>
              </w:rPr>
            </w:pPr>
            <w:r>
              <w:rPr>
                <w:sz w:val="20"/>
              </w:rPr>
              <w:t>Section 6.11</w:t>
            </w:r>
          </w:p>
        </w:tc>
        <w:tc>
          <w:tcPr>
            <w:tcW w:w="7955" w:type="dxa"/>
            <w:tcBorders/>
            <w:vAlign w:val="center"/>
          </w:tcPr>
          <w:p>
            <w:pPr>
              <w:pStyle w:val="TableContents"/>
              <w:bidi w:val="0"/>
              <w:spacing w:before="0" w:after="283"/>
              <w:jc w:val="left"/>
              <w:rPr>
                <w:sz w:val="20"/>
              </w:rPr>
            </w:pPr>
            <w:r>
              <w:rPr>
                <w:sz w:val="20"/>
              </w:rPr>
              <w:t>Undertaking for Costs</w:t>
            </w:r>
          </w:p>
        </w:tc>
        <w:tc>
          <w:tcPr>
            <w:tcW w:w="245" w:type="dxa"/>
            <w:tcBorders/>
            <w:vAlign w:val="center"/>
          </w:tcPr>
          <w:p>
            <w:pPr>
              <w:pStyle w:val="TableContents"/>
              <w:bidi w:val="0"/>
              <w:spacing w:before="0" w:after="283"/>
              <w:jc w:val="right"/>
              <w:rPr>
                <w:sz w:val="20"/>
              </w:rPr>
            </w:pPr>
            <w:r>
              <w:rPr>
                <w:sz w:val="20"/>
              </w:rPr>
              <w:t>27</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010" w:type="dxa"/>
            <w:gridSpan w:val="2"/>
            <w:tcBorders/>
            <w:vAlign w:val="center"/>
          </w:tcPr>
          <w:p>
            <w:pPr>
              <w:pStyle w:val="TableContents"/>
              <w:bidi w:val="0"/>
              <w:spacing w:before="0" w:after="283"/>
              <w:jc w:val="left"/>
              <w:rPr/>
            </w:pPr>
            <w:r>
              <w:rPr>
                <w:sz w:val="20"/>
              </w:rPr>
              <w:t>ARTICLE VII. TRUSTEE</w:t>
            </w:r>
            <w:r>
              <w:rPr/>
              <w:t xml:space="preserve"> </w:t>
            </w:r>
          </w:p>
        </w:tc>
        <w:tc>
          <w:tcPr>
            <w:tcW w:w="245" w:type="dxa"/>
            <w:tcBorders/>
            <w:vAlign w:val="center"/>
          </w:tcPr>
          <w:p>
            <w:pPr>
              <w:pStyle w:val="TableContents"/>
              <w:bidi w:val="0"/>
              <w:spacing w:before="0" w:after="283"/>
              <w:jc w:val="right"/>
              <w:rPr>
                <w:sz w:val="20"/>
              </w:rPr>
            </w:pPr>
            <w:r>
              <w:rPr>
                <w:sz w:val="20"/>
              </w:rPr>
              <w:t>28</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sz w:val="20"/>
              </w:rPr>
            </w:pPr>
            <w:r>
              <w:rPr>
                <w:sz w:val="20"/>
              </w:rPr>
              <w:t>Section 7.1</w:t>
            </w:r>
          </w:p>
        </w:tc>
        <w:tc>
          <w:tcPr>
            <w:tcW w:w="7955" w:type="dxa"/>
            <w:tcBorders/>
            <w:vAlign w:val="center"/>
          </w:tcPr>
          <w:p>
            <w:pPr>
              <w:pStyle w:val="TableContents"/>
              <w:bidi w:val="0"/>
              <w:spacing w:before="0" w:after="283"/>
              <w:jc w:val="left"/>
              <w:rPr>
                <w:sz w:val="20"/>
              </w:rPr>
            </w:pPr>
            <w:r>
              <w:rPr>
                <w:sz w:val="20"/>
              </w:rPr>
              <w:t>Duties of Trustee</w:t>
            </w:r>
          </w:p>
        </w:tc>
        <w:tc>
          <w:tcPr>
            <w:tcW w:w="245" w:type="dxa"/>
            <w:tcBorders/>
            <w:vAlign w:val="center"/>
          </w:tcPr>
          <w:p>
            <w:pPr>
              <w:pStyle w:val="TableContents"/>
              <w:bidi w:val="0"/>
              <w:spacing w:before="0" w:after="283"/>
              <w:jc w:val="right"/>
              <w:rPr>
                <w:sz w:val="20"/>
              </w:rPr>
            </w:pPr>
            <w:r>
              <w:rPr>
                <w:sz w:val="20"/>
              </w:rPr>
              <w:t>28</w:t>
            </w:r>
          </w:p>
        </w:tc>
      </w:tr>
      <w:tr>
        <w:trPr/>
        <w:tc>
          <w:tcPr>
            <w:tcW w:w="1055" w:type="dxa"/>
            <w:tcBorders/>
            <w:vAlign w:val="center"/>
          </w:tcPr>
          <w:p>
            <w:pPr>
              <w:pStyle w:val="TableContents"/>
              <w:bidi w:val="0"/>
              <w:spacing w:before="0" w:after="283"/>
              <w:jc w:val="left"/>
              <w:rPr>
                <w:sz w:val="20"/>
              </w:rPr>
            </w:pPr>
            <w:r>
              <w:rPr>
                <w:sz w:val="20"/>
              </w:rPr>
              <w:t>Section 7.2</w:t>
            </w:r>
          </w:p>
        </w:tc>
        <w:tc>
          <w:tcPr>
            <w:tcW w:w="7955" w:type="dxa"/>
            <w:tcBorders/>
            <w:vAlign w:val="center"/>
          </w:tcPr>
          <w:p>
            <w:pPr>
              <w:pStyle w:val="TableContents"/>
              <w:bidi w:val="0"/>
              <w:spacing w:before="0" w:after="283"/>
              <w:jc w:val="left"/>
              <w:rPr>
                <w:sz w:val="20"/>
              </w:rPr>
            </w:pPr>
            <w:r>
              <w:rPr>
                <w:sz w:val="20"/>
              </w:rPr>
              <w:t>Rights of Trustee</w:t>
            </w:r>
          </w:p>
        </w:tc>
        <w:tc>
          <w:tcPr>
            <w:tcW w:w="245" w:type="dxa"/>
            <w:tcBorders/>
            <w:vAlign w:val="center"/>
          </w:tcPr>
          <w:p>
            <w:pPr>
              <w:pStyle w:val="TableContents"/>
              <w:bidi w:val="0"/>
              <w:spacing w:before="0" w:after="283"/>
              <w:jc w:val="right"/>
              <w:rPr>
                <w:sz w:val="20"/>
              </w:rPr>
            </w:pPr>
            <w:r>
              <w:rPr>
                <w:sz w:val="20"/>
              </w:rPr>
              <w:t>29</w:t>
            </w:r>
          </w:p>
        </w:tc>
      </w:tr>
      <w:tr>
        <w:trPr/>
        <w:tc>
          <w:tcPr>
            <w:tcW w:w="1055" w:type="dxa"/>
            <w:tcBorders/>
            <w:vAlign w:val="center"/>
          </w:tcPr>
          <w:p>
            <w:pPr>
              <w:pStyle w:val="TableContents"/>
              <w:bidi w:val="0"/>
              <w:spacing w:before="0" w:after="283"/>
              <w:jc w:val="left"/>
              <w:rPr>
                <w:sz w:val="20"/>
              </w:rPr>
            </w:pPr>
            <w:r>
              <w:rPr>
                <w:sz w:val="20"/>
              </w:rPr>
              <w:t>Section 7.3</w:t>
            </w:r>
          </w:p>
        </w:tc>
        <w:tc>
          <w:tcPr>
            <w:tcW w:w="7955" w:type="dxa"/>
            <w:tcBorders/>
            <w:vAlign w:val="center"/>
          </w:tcPr>
          <w:p>
            <w:pPr>
              <w:pStyle w:val="TableContents"/>
              <w:bidi w:val="0"/>
              <w:spacing w:before="0" w:after="283"/>
              <w:jc w:val="left"/>
              <w:rPr>
                <w:sz w:val="20"/>
              </w:rPr>
            </w:pPr>
            <w:r>
              <w:rPr>
                <w:sz w:val="20"/>
              </w:rPr>
              <w:t>Individual Rights of Trustee</w:t>
            </w:r>
          </w:p>
        </w:tc>
        <w:tc>
          <w:tcPr>
            <w:tcW w:w="245" w:type="dxa"/>
            <w:tcBorders/>
            <w:vAlign w:val="center"/>
          </w:tcPr>
          <w:p>
            <w:pPr>
              <w:pStyle w:val="TableContents"/>
              <w:bidi w:val="0"/>
              <w:spacing w:before="0" w:after="283"/>
              <w:jc w:val="right"/>
              <w:rPr>
                <w:sz w:val="20"/>
              </w:rPr>
            </w:pPr>
            <w:r>
              <w:rPr>
                <w:sz w:val="20"/>
              </w:rPr>
              <w:t>31</w:t>
            </w:r>
          </w:p>
        </w:tc>
      </w:tr>
      <w:tr>
        <w:trPr/>
        <w:tc>
          <w:tcPr>
            <w:tcW w:w="1055" w:type="dxa"/>
            <w:tcBorders/>
            <w:vAlign w:val="center"/>
          </w:tcPr>
          <w:p>
            <w:pPr>
              <w:pStyle w:val="TableContents"/>
              <w:bidi w:val="0"/>
              <w:spacing w:before="0" w:after="283"/>
              <w:jc w:val="left"/>
              <w:rPr>
                <w:sz w:val="20"/>
              </w:rPr>
            </w:pPr>
            <w:r>
              <w:rPr>
                <w:sz w:val="20"/>
              </w:rPr>
              <w:t>Section 7.4</w:t>
            </w:r>
          </w:p>
        </w:tc>
        <w:tc>
          <w:tcPr>
            <w:tcW w:w="7955" w:type="dxa"/>
            <w:tcBorders/>
            <w:vAlign w:val="center"/>
          </w:tcPr>
          <w:p>
            <w:pPr>
              <w:pStyle w:val="TableContents"/>
              <w:bidi w:val="0"/>
              <w:spacing w:before="0" w:after="283"/>
              <w:jc w:val="left"/>
              <w:rPr>
                <w:sz w:val="20"/>
              </w:rPr>
            </w:pPr>
            <w:r>
              <w:rPr>
                <w:sz w:val="20"/>
              </w:rPr>
              <w:t>Trustee’s Disclaimer</w:t>
            </w:r>
          </w:p>
        </w:tc>
        <w:tc>
          <w:tcPr>
            <w:tcW w:w="245" w:type="dxa"/>
            <w:tcBorders/>
            <w:vAlign w:val="center"/>
          </w:tcPr>
          <w:p>
            <w:pPr>
              <w:pStyle w:val="TableContents"/>
              <w:bidi w:val="0"/>
              <w:spacing w:before="0" w:after="283"/>
              <w:jc w:val="right"/>
              <w:rPr>
                <w:sz w:val="20"/>
              </w:rPr>
            </w:pPr>
            <w:r>
              <w:rPr>
                <w:sz w:val="20"/>
              </w:rPr>
              <w:t>31</w:t>
            </w:r>
          </w:p>
        </w:tc>
      </w:tr>
      <w:tr>
        <w:trPr/>
        <w:tc>
          <w:tcPr>
            <w:tcW w:w="1055" w:type="dxa"/>
            <w:tcBorders/>
            <w:vAlign w:val="center"/>
          </w:tcPr>
          <w:p>
            <w:pPr>
              <w:pStyle w:val="TableContents"/>
              <w:bidi w:val="0"/>
              <w:spacing w:before="0" w:after="283"/>
              <w:jc w:val="left"/>
              <w:rPr>
                <w:sz w:val="20"/>
              </w:rPr>
            </w:pPr>
            <w:r>
              <w:rPr>
                <w:sz w:val="20"/>
              </w:rPr>
              <w:t>Section 7.5</w:t>
            </w:r>
          </w:p>
        </w:tc>
        <w:tc>
          <w:tcPr>
            <w:tcW w:w="7955" w:type="dxa"/>
            <w:tcBorders/>
            <w:vAlign w:val="center"/>
          </w:tcPr>
          <w:p>
            <w:pPr>
              <w:pStyle w:val="TableContents"/>
              <w:bidi w:val="0"/>
              <w:spacing w:before="0" w:after="283"/>
              <w:jc w:val="left"/>
              <w:rPr>
                <w:sz w:val="20"/>
              </w:rPr>
            </w:pPr>
            <w:r>
              <w:rPr>
                <w:sz w:val="20"/>
              </w:rPr>
              <w:t>Notice of Defaults</w:t>
            </w:r>
          </w:p>
        </w:tc>
        <w:tc>
          <w:tcPr>
            <w:tcW w:w="245" w:type="dxa"/>
            <w:tcBorders/>
            <w:vAlign w:val="center"/>
          </w:tcPr>
          <w:p>
            <w:pPr>
              <w:pStyle w:val="TableContents"/>
              <w:bidi w:val="0"/>
              <w:spacing w:before="0" w:after="283"/>
              <w:jc w:val="right"/>
              <w:rPr>
                <w:sz w:val="20"/>
              </w:rPr>
            </w:pPr>
            <w:r>
              <w:rPr>
                <w:sz w:val="20"/>
              </w:rPr>
              <w:t>31</w:t>
            </w:r>
          </w:p>
        </w:tc>
      </w:tr>
      <w:tr>
        <w:trPr/>
        <w:tc>
          <w:tcPr>
            <w:tcW w:w="1055" w:type="dxa"/>
            <w:tcBorders/>
            <w:vAlign w:val="center"/>
          </w:tcPr>
          <w:p>
            <w:pPr>
              <w:pStyle w:val="TableContents"/>
              <w:bidi w:val="0"/>
              <w:spacing w:before="0" w:after="283"/>
              <w:jc w:val="left"/>
              <w:rPr>
                <w:sz w:val="20"/>
              </w:rPr>
            </w:pPr>
            <w:r>
              <w:rPr>
                <w:sz w:val="20"/>
              </w:rPr>
              <w:t>Section 7.6</w:t>
            </w:r>
          </w:p>
        </w:tc>
        <w:tc>
          <w:tcPr>
            <w:tcW w:w="7955" w:type="dxa"/>
            <w:tcBorders/>
            <w:vAlign w:val="center"/>
          </w:tcPr>
          <w:p>
            <w:pPr>
              <w:pStyle w:val="TableContents"/>
              <w:bidi w:val="0"/>
              <w:spacing w:before="0" w:after="283"/>
              <w:jc w:val="left"/>
              <w:rPr>
                <w:sz w:val="20"/>
              </w:rPr>
            </w:pPr>
            <w:r>
              <w:rPr>
                <w:sz w:val="20"/>
              </w:rPr>
              <w:t>Reports by Trustee to Holders</w:t>
            </w:r>
          </w:p>
        </w:tc>
        <w:tc>
          <w:tcPr>
            <w:tcW w:w="245" w:type="dxa"/>
            <w:tcBorders/>
            <w:vAlign w:val="center"/>
          </w:tcPr>
          <w:p>
            <w:pPr>
              <w:pStyle w:val="TableContents"/>
              <w:bidi w:val="0"/>
              <w:spacing w:before="0" w:after="283"/>
              <w:jc w:val="right"/>
              <w:rPr>
                <w:sz w:val="20"/>
              </w:rPr>
            </w:pPr>
            <w:r>
              <w:rPr>
                <w:sz w:val="20"/>
              </w:rPr>
              <w:t>31</w:t>
            </w:r>
          </w:p>
        </w:tc>
      </w:tr>
      <w:tr>
        <w:trPr/>
        <w:tc>
          <w:tcPr>
            <w:tcW w:w="1055" w:type="dxa"/>
            <w:tcBorders/>
            <w:vAlign w:val="center"/>
          </w:tcPr>
          <w:p>
            <w:pPr>
              <w:pStyle w:val="TableContents"/>
              <w:bidi w:val="0"/>
              <w:spacing w:before="0" w:after="283"/>
              <w:jc w:val="left"/>
              <w:rPr>
                <w:sz w:val="20"/>
              </w:rPr>
            </w:pPr>
            <w:r>
              <w:rPr>
                <w:sz w:val="20"/>
              </w:rPr>
              <w:t>Section 7.7</w:t>
            </w:r>
          </w:p>
        </w:tc>
        <w:tc>
          <w:tcPr>
            <w:tcW w:w="7955" w:type="dxa"/>
            <w:tcBorders/>
            <w:vAlign w:val="center"/>
          </w:tcPr>
          <w:p>
            <w:pPr>
              <w:pStyle w:val="TableContents"/>
              <w:bidi w:val="0"/>
              <w:spacing w:before="0" w:after="283"/>
              <w:jc w:val="left"/>
              <w:rPr>
                <w:sz w:val="20"/>
              </w:rPr>
            </w:pPr>
            <w:r>
              <w:rPr>
                <w:sz w:val="20"/>
              </w:rPr>
              <w:t>Compensation and Indemnity</w:t>
            </w:r>
          </w:p>
        </w:tc>
        <w:tc>
          <w:tcPr>
            <w:tcW w:w="245" w:type="dxa"/>
            <w:tcBorders/>
            <w:vAlign w:val="center"/>
          </w:tcPr>
          <w:p>
            <w:pPr>
              <w:pStyle w:val="TableContents"/>
              <w:bidi w:val="0"/>
              <w:spacing w:before="0" w:after="283"/>
              <w:jc w:val="right"/>
              <w:rPr>
                <w:sz w:val="20"/>
              </w:rPr>
            </w:pPr>
            <w:r>
              <w:rPr>
                <w:sz w:val="20"/>
              </w:rPr>
              <w:t>32</w:t>
            </w:r>
          </w:p>
        </w:tc>
      </w:tr>
      <w:tr>
        <w:trPr/>
        <w:tc>
          <w:tcPr>
            <w:tcW w:w="1055" w:type="dxa"/>
            <w:tcBorders/>
            <w:vAlign w:val="center"/>
          </w:tcPr>
          <w:p>
            <w:pPr>
              <w:pStyle w:val="TableContents"/>
              <w:bidi w:val="0"/>
              <w:spacing w:before="0" w:after="283"/>
              <w:jc w:val="left"/>
              <w:rPr>
                <w:sz w:val="20"/>
              </w:rPr>
            </w:pPr>
            <w:r>
              <w:rPr>
                <w:sz w:val="20"/>
              </w:rPr>
              <w:t>Section 7.8</w:t>
            </w:r>
          </w:p>
        </w:tc>
        <w:tc>
          <w:tcPr>
            <w:tcW w:w="7955" w:type="dxa"/>
            <w:tcBorders/>
            <w:vAlign w:val="center"/>
          </w:tcPr>
          <w:p>
            <w:pPr>
              <w:pStyle w:val="TableContents"/>
              <w:bidi w:val="0"/>
              <w:spacing w:before="0" w:after="283"/>
              <w:jc w:val="left"/>
              <w:rPr>
                <w:sz w:val="20"/>
              </w:rPr>
            </w:pPr>
            <w:r>
              <w:rPr>
                <w:sz w:val="20"/>
              </w:rPr>
              <w:t>Replacement of Trustee</w:t>
            </w:r>
          </w:p>
        </w:tc>
        <w:tc>
          <w:tcPr>
            <w:tcW w:w="245" w:type="dxa"/>
            <w:tcBorders/>
            <w:vAlign w:val="center"/>
          </w:tcPr>
          <w:p>
            <w:pPr>
              <w:pStyle w:val="TableContents"/>
              <w:bidi w:val="0"/>
              <w:spacing w:before="0" w:after="283"/>
              <w:jc w:val="right"/>
              <w:rPr>
                <w:sz w:val="20"/>
              </w:rPr>
            </w:pPr>
            <w:r>
              <w:rPr>
                <w:sz w:val="20"/>
              </w:rPr>
              <w:t>32</w:t>
            </w:r>
          </w:p>
        </w:tc>
      </w:tr>
      <w:tr>
        <w:trPr/>
        <w:tc>
          <w:tcPr>
            <w:tcW w:w="1055" w:type="dxa"/>
            <w:tcBorders/>
            <w:vAlign w:val="center"/>
          </w:tcPr>
          <w:p>
            <w:pPr>
              <w:pStyle w:val="TableContents"/>
              <w:bidi w:val="0"/>
              <w:spacing w:before="0" w:after="283"/>
              <w:jc w:val="left"/>
              <w:rPr>
                <w:sz w:val="20"/>
              </w:rPr>
            </w:pPr>
            <w:r>
              <w:rPr>
                <w:sz w:val="20"/>
              </w:rPr>
              <w:t>Section 7.9</w:t>
            </w:r>
          </w:p>
        </w:tc>
        <w:tc>
          <w:tcPr>
            <w:tcW w:w="7955" w:type="dxa"/>
            <w:tcBorders/>
            <w:vAlign w:val="center"/>
          </w:tcPr>
          <w:p>
            <w:pPr>
              <w:pStyle w:val="TableContents"/>
              <w:bidi w:val="0"/>
              <w:spacing w:before="0" w:after="283"/>
              <w:jc w:val="left"/>
              <w:rPr>
                <w:sz w:val="20"/>
              </w:rPr>
            </w:pPr>
            <w:r>
              <w:rPr>
                <w:sz w:val="20"/>
              </w:rPr>
              <w:t>Successor Trustee by Merger, etc.</w:t>
            </w:r>
          </w:p>
        </w:tc>
        <w:tc>
          <w:tcPr>
            <w:tcW w:w="245" w:type="dxa"/>
            <w:tcBorders/>
            <w:vAlign w:val="center"/>
          </w:tcPr>
          <w:p>
            <w:pPr>
              <w:pStyle w:val="TableContents"/>
              <w:bidi w:val="0"/>
              <w:spacing w:before="0" w:after="283"/>
              <w:jc w:val="right"/>
              <w:rPr>
                <w:sz w:val="20"/>
              </w:rPr>
            </w:pPr>
            <w:r>
              <w:rPr>
                <w:sz w:val="20"/>
              </w:rPr>
              <w:t>33</w:t>
            </w:r>
          </w:p>
        </w:tc>
      </w:tr>
      <w:tr>
        <w:trPr/>
        <w:tc>
          <w:tcPr>
            <w:tcW w:w="1055" w:type="dxa"/>
            <w:tcBorders/>
            <w:vAlign w:val="center"/>
          </w:tcPr>
          <w:p>
            <w:pPr>
              <w:pStyle w:val="TableContents"/>
              <w:bidi w:val="0"/>
              <w:spacing w:before="0" w:after="283"/>
              <w:jc w:val="left"/>
              <w:rPr>
                <w:sz w:val="20"/>
              </w:rPr>
            </w:pPr>
            <w:r>
              <w:rPr>
                <w:sz w:val="20"/>
              </w:rPr>
              <w:t>Section 7.10</w:t>
            </w:r>
          </w:p>
        </w:tc>
        <w:tc>
          <w:tcPr>
            <w:tcW w:w="7955" w:type="dxa"/>
            <w:tcBorders/>
            <w:vAlign w:val="center"/>
          </w:tcPr>
          <w:p>
            <w:pPr>
              <w:pStyle w:val="TableContents"/>
              <w:bidi w:val="0"/>
              <w:spacing w:before="0" w:after="283"/>
              <w:jc w:val="left"/>
              <w:rPr>
                <w:sz w:val="20"/>
              </w:rPr>
            </w:pPr>
            <w:r>
              <w:rPr>
                <w:sz w:val="20"/>
              </w:rPr>
              <w:t>Eligibility; Disqualification</w:t>
            </w:r>
          </w:p>
        </w:tc>
        <w:tc>
          <w:tcPr>
            <w:tcW w:w="245" w:type="dxa"/>
            <w:tcBorders/>
            <w:vAlign w:val="center"/>
          </w:tcPr>
          <w:p>
            <w:pPr>
              <w:pStyle w:val="TableContents"/>
              <w:bidi w:val="0"/>
              <w:spacing w:before="0" w:after="283"/>
              <w:jc w:val="right"/>
              <w:rPr>
                <w:sz w:val="20"/>
              </w:rPr>
            </w:pPr>
            <w:r>
              <w:rPr>
                <w:sz w:val="20"/>
              </w:rPr>
              <w:t>33</w:t>
            </w:r>
          </w:p>
        </w:tc>
      </w:tr>
      <w:tr>
        <w:trPr/>
        <w:tc>
          <w:tcPr>
            <w:tcW w:w="1055" w:type="dxa"/>
            <w:tcBorders/>
            <w:vAlign w:val="center"/>
          </w:tcPr>
          <w:p>
            <w:pPr>
              <w:pStyle w:val="TableContents"/>
              <w:bidi w:val="0"/>
              <w:spacing w:before="0" w:after="283"/>
              <w:jc w:val="left"/>
              <w:rPr>
                <w:sz w:val="20"/>
              </w:rPr>
            </w:pPr>
            <w:r>
              <w:rPr>
                <w:sz w:val="20"/>
              </w:rPr>
              <w:t>Section 7.11</w:t>
            </w:r>
          </w:p>
        </w:tc>
        <w:tc>
          <w:tcPr>
            <w:tcW w:w="7955" w:type="dxa"/>
            <w:tcBorders/>
            <w:vAlign w:val="center"/>
          </w:tcPr>
          <w:p>
            <w:pPr>
              <w:pStyle w:val="TableContents"/>
              <w:bidi w:val="0"/>
              <w:spacing w:before="0" w:after="283"/>
              <w:jc w:val="left"/>
              <w:rPr>
                <w:sz w:val="20"/>
              </w:rPr>
            </w:pPr>
            <w:r>
              <w:rPr>
                <w:sz w:val="20"/>
              </w:rPr>
              <w:t>Preferential Collection of Claims Against Company</w:t>
            </w:r>
          </w:p>
        </w:tc>
        <w:tc>
          <w:tcPr>
            <w:tcW w:w="245" w:type="dxa"/>
            <w:tcBorders/>
            <w:vAlign w:val="center"/>
          </w:tcPr>
          <w:p>
            <w:pPr>
              <w:pStyle w:val="TableContents"/>
              <w:bidi w:val="0"/>
              <w:spacing w:before="0" w:after="283"/>
              <w:jc w:val="right"/>
              <w:rPr>
                <w:sz w:val="20"/>
              </w:rPr>
            </w:pPr>
            <w:r>
              <w:rPr>
                <w:sz w:val="20"/>
              </w:rPr>
              <w:t>34</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010" w:type="dxa"/>
            <w:gridSpan w:val="2"/>
            <w:tcBorders/>
            <w:vAlign w:val="center"/>
          </w:tcPr>
          <w:p>
            <w:pPr>
              <w:pStyle w:val="TableContents"/>
              <w:bidi w:val="0"/>
              <w:spacing w:before="0" w:after="283"/>
              <w:jc w:val="left"/>
              <w:rPr/>
            </w:pPr>
            <w:r>
              <w:rPr>
                <w:sz w:val="20"/>
              </w:rPr>
              <w:t>ARTICLE VIII. LEGAL DEFEASANCE AND COVENANT DEFEASANCE</w:t>
            </w:r>
            <w:r>
              <w:rPr/>
              <w:t xml:space="preserve"> </w:t>
            </w:r>
          </w:p>
        </w:tc>
        <w:tc>
          <w:tcPr>
            <w:tcW w:w="245" w:type="dxa"/>
            <w:tcBorders/>
            <w:vAlign w:val="center"/>
          </w:tcPr>
          <w:p>
            <w:pPr>
              <w:pStyle w:val="TableContents"/>
              <w:bidi w:val="0"/>
              <w:spacing w:before="0" w:after="283"/>
              <w:jc w:val="right"/>
              <w:rPr>
                <w:sz w:val="20"/>
              </w:rPr>
            </w:pPr>
            <w:r>
              <w:rPr>
                <w:sz w:val="20"/>
              </w:rPr>
              <w:t>34</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sz w:val="20"/>
              </w:rPr>
            </w:pPr>
            <w:r>
              <w:rPr>
                <w:sz w:val="20"/>
              </w:rPr>
              <w:t>Section 8.1</w:t>
            </w:r>
          </w:p>
        </w:tc>
        <w:tc>
          <w:tcPr>
            <w:tcW w:w="7955" w:type="dxa"/>
            <w:tcBorders/>
            <w:vAlign w:val="center"/>
          </w:tcPr>
          <w:p>
            <w:pPr>
              <w:pStyle w:val="TableContents"/>
              <w:bidi w:val="0"/>
              <w:spacing w:before="0" w:after="283"/>
              <w:jc w:val="left"/>
              <w:rPr>
                <w:sz w:val="20"/>
              </w:rPr>
            </w:pPr>
            <w:r>
              <w:rPr>
                <w:sz w:val="20"/>
              </w:rPr>
              <w:t>Option to Effect Legal Defeasance or Covenant Defeasance</w:t>
            </w:r>
          </w:p>
        </w:tc>
        <w:tc>
          <w:tcPr>
            <w:tcW w:w="245" w:type="dxa"/>
            <w:tcBorders/>
            <w:vAlign w:val="center"/>
          </w:tcPr>
          <w:p>
            <w:pPr>
              <w:pStyle w:val="TableContents"/>
              <w:bidi w:val="0"/>
              <w:spacing w:before="0" w:after="283"/>
              <w:jc w:val="right"/>
              <w:rPr>
                <w:sz w:val="20"/>
              </w:rPr>
            </w:pPr>
            <w:r>
              <w:rPr>
                <w:sz w:val="20"/>
              </w:rPr>
              <w:t>34</w:t>
            </w:r>
          </w:p>
        </w:tc>
      </w:tr>
      <w:tr>
        <w:trPr/>
        <w:tc>
          <w:tcPr>
            <w:tcW w:w="1055" w:type="dxa"/>
            <w:tcBorders/>
            <w:vAlign w:val="center"/>
          </w:tcPr>
          <w:p>
            <w:pPr>
              <w:pStyle w:val="TableContents"/>
              <w:bidi w:val="0"/>
              <w:spacing w:before="0" w:after="283"/>
              <w:jc w:val="left"/>
              <w:rPr>
                <w:sz w:val="20"/>
              </w:rPr>
            </w:pPr>
            <w:r>
              <w:rPr>
                <w:sz w:val="20"/>
              </w:rPr>
              <w:t>Section 8.2</w:t>
            </w:r>
          </w:p>
        </w:tc>
        <w:tc>
          <w:tcPr>
            <w:tcW w:w="7955" w:type="dxa"/>
            <w:tcBorders/>
            <w:vAlign w:val="center"/>
          </w:tcPr>
          <w:p>
            <w:pPr>
              <w:pStyle w:val="TableContents"/>
              <w:bidi w:val="0"/>
              <w:spacing w:before="0" w:after="283"/>
              <w:jc w:val="left"/>
              <w:rPr>
                <w:sz w:val="20"/>
              </w:rPr>
            </w:pPr>
            <w:r>
              <w:rPr>
                <w:sz w:val="20"/>
              </w:rPr>
              <w:t>Legal Defeasance and Discharge</w:t>
            </w:r>
          </w:p>
        </w:tc>
        <w:tc>
          <w:tcPr>
            <w:tcW w:w="245" w:type="dxa"/>
            <w:tcBorders/>
            <w:vAlign w:val="center"/>
          </w:tcPr>
          <w:p>
            <w:pPr>
              <w:pStyle w:val="TableContents"/>
              <w:bidi w:val="0"/>
              <w:spacing w:before="0" w:after="283"/>
              <w:jc w:val="right"/>
              <w:rPr>
                <w:sz w:val="20"/>
              </w:rPr>
            </w:pPr>
            <w:r>
              <w:rPr>
                <w:sz w:val="20"/>
              </w:rPr>
              <w:t>34</w:t>
            </w:r>
          </w:p>
        </w:tc>
      </w:tr>
      <w:tr>
        <w:trPr/>
        <w:tc>
          <w:tcPr>
            <w:tcW w:w="1055" w:type="dxa"/>
            <w:tcBorders/>
            <w:vAlign w:val="center"/>
          </w:tcPr>
          <w:p>
            <w:pPr>
              <w:pStyle w:val="TableContents"/>
              <w:bidi w:val="0"/>
              <w:spacing w:before="0" w:after="283"/>
              <w:jc w:val="left"/>
              <w:rPr>
                <w:sz w:val="20"/>
              </w:rPr>
            </w:pPr>
            <w:r>
              <w:rPr>
                <w:sz w:val="20"/>
              </w:rPr>
              <w:t>Section 8.3</w:t>
            </w:r>
          </w:p>
        </w:tc>
        <w:tc>
          <w:tcPr>
            <w:tcW w:w="7955" w:type="dxa"/>
            <w:tcBorders/>
            <w:vAlign w:val="center"/>
          </w:tcPr>
          <w:p>
            <w:pPr>
              <w:pStyle w:val="TableContents"/>
              <w:bidi w:val="0"/>
              <w:spacing w:before="0" w:after="283"/>
              <w:jc w:val="left"/>
              <w:rPr>
                <w:sz w:val="20"/>
              </w:rPr>
            </w:pPr>
            <w:r>
              <w:rPr>
                <w:sz w:val="20"/>
              </w:rPr>
              <w:t>Covenant Defeasance</w:t>
            </w:r>
          </w:p>
        </w:tc>
        <w:tc>
          <w:tcPr>
            <w:tcW w:w="245" w:type="dxa"/>
            <w:tcBorders/>
            <w:vAlign w:val="center"/>
          </w:tcPr>
          <w:p>
            <w:pPr>
              <w:pStyle w:val="TableContents"/>
              <w:bidi w:val="0"/>
              <w:spacing w:before="0" w:after="283"/>
              <w:jc w:val="right"/>
              <w:rPr>
                <w:sz w:val="20"/>
              </w:rPr>
            </w:pPr>
            <w:r>
              <w:rPr>
                <w:sz w:val="20"/>
              </w:rPr>
              <w:t>35</w:t>
            </w:r>
          </w:p>
        </w:tc>
      </w:tr>
      <w:tr>
        <w:trPr/>
        <w:tc>
          <w:tcPr>
            <w:tcW w:w="1055" w:type="dxa"/>
            <w:tcBorders/>
            <w:vAlign w:val="center"/>
          </w:tcPr>
          <w:p>
            <w:pPr>
              <w:pStyle w:val="TableContents"/>
              <w:bidi w:val="0"/>
              <w:spacing w:before="0" w:after="283"/>
              <w:jc w:val="left"/>
              <w:rPr>
                <w:sz w:val="20"/>
              </w:rPr>
            </w:pPr>
            <w:r>
              <w:rPr>
                <w:sz w:val="20"/>
              </w:rPr>
              <w:t>Section 8.4</w:t>
            </w:r>
          </w:p>
        </w:tc>
        <w:tc>
          <w:tcPr>
            <w:tcW w:w="7955" w:type="dxa"/>
            <w:tcBorders/>
            <w:vAlign w:val="center"/>
          </w:tcPr>
          <w:p>
            <w:pPr>
              <w:pStyle w:val="TableContents"/>
              <w:bidi w:val="0"/>
              <w:spacing w:before="0" w:after="283"/>
              <w:jc w:val="left"/>
              <w:rPr>
                <w:sz w:val="20"/>
              </w:rPr>
            </w:pPr>
            <w:r>
              <w:rPr>
                <w:sz w:val="20"/>
              </w:rPr>
              <w:t>Conditions to Legal or Covenant Defeasance</w:t>
            </w:r>
          </w:p>
        </w:tc>
        <w:tc>
          <w:tcPr>
            <w:tcW w:w="245" w:type="dxa"/>
            <w:tcBorders/>
            <w:vAlign w:val="center"/>
          </w:tcPr>
          <w:p>
            <w:pPr>
              <w:pStyle w:val="TableContents"/>
              <w:bidi w:val="0"/>
              <w:spacing w:before="0" w:after="283"/>
              <w:jc w:val="right"/>
              <w:rPr>
                <w:sz w:val="20"/>
              </w:rPr>
            </w:pPr>
            <w:r>
              <w:rPr>
                <w:sz w:val="20"/>
              </w:rPr>
              <w:t>35</w:t>
            </w:r>
          </w:p>
        </w:tc>
      </w:tr>
      <w:tr>
        <w:trPr/>
        <w:tc>
          <w:tcPr>
            <w:tcW w:w="1055" w:type="dxa"/>
            <w:tcBorders/>
            <w:vAlign w:val="center"/>
          </w:tcPr>
          <w:p>
            <w:pPr>
              <w:pStyle w:val="TableContents"/>
              <w:bidi w:val="0"/>
              <w:spacing w:before="0" w:after="283"/>
              <w:jc w:val="left"/>
              <w:rPr>
                <w:sz w:val="20"/>
              </w:rPr>
            </w:pPr>
            <w:r>
              <w:rPr>
                <w:sz w:val="20"/>
              </w:rPr>
              <w:t>Section 8.5</w:t>
            </w:r>
          </w:p>
        </w:tc>
        <w:tc>
          <w:tcPr>
            <w:tcW w:w="7955" w:type="dxa"/>
            <w:tcBorders/>
            <w:vAlign w:val="center"/>
          </w:tcPr>
          <w:p>
            <w:pPr>
              <w:pStyle w:val="TableContents"/>
              <w:bidi w:val="0"/>
              <w:spacing w:before="0" w:after="283"/>
              <w:jc w:val="left"/>
              <w:rPr>
                <w:sz w:val="20"/>
              </w:rPr>
            </w:pPr>
            <w:r>
              <w:rPr>
                <w:sz w:val="20"/>
              </w:rPr>
              <w:t>Deposited Money and Government Securities to be Held in Trust; Other Miscellaneous Provisions</w:t>
            </w:r>
          </w:p>
        </w:tc>
        <w:tc>
          <w:tcPr>
            <w:tcW w:w="245" w:type="dxa"/>
            <w:tcBorders/>
            <w:vAlign w:val="center"/>
          </w:tcPr>
          <w:p>
            <w:pPr>
              <w:pStyle w:val="TableContents"/>
              <w:bidi w:val="0"/>
              <w:spacing w:before="0" w:after="283"/>
              <w:jc w:val="right"/>
              <w:rPr>
                <w:sz w:val="20"/>
              </w:rPr>
            </w:pPr>
            <w:r>
              <w:rPr>
                <w:sz w:val="20"/>
              </w:rPr>
              <w:t>36</w:t>
            </w:r>
          </w:p>
        </w:tc>
      </w:tr>
      <w:tr>
        <w:trPr/>
        <w:tc>
          <w:tcPr>
            <w:tcW w:w="1055" w:type="dxa"/>
            <w:tcBorders/>
            <w:vAlign w:val="center"/>
          </w:tcPr>
          <w:p>
            <w:pPr>
              <w:pStyle w:val="TableContents"/>
              <w:bidi w:val="0"/>
              <w:spacing w:before="0" w:after="283"/>
              <w:jc w:val="left"/>
              <w:rPr>
                <w:sz w:val="20"/>
              </w:rPr>
            </w:pPr>
            <w:r>
              <w:rPr>
                <w:sz w:val="20"/>
              </w:rPr>
              <w:t>Section 8.6</w:t>
            </w:r>
          </w:p>
        </w:tc>
        <w:tc>
          <w:tcPr>
            <w:tcW w:w="7955" w:type="dxa"/>
            <w:tcBorders/>
            <w:vAlign w:val="center"/>
          </w:tcPr>
          <w:p>
            <w:pPr>
              <w:pStyle w:val="TableContents"/>
              <w:bidi w:val="0"/>
              <w:spacing w:before="0" w:after="283"/>
              <w:jc w:val="left"/>
              <w:rPr>
                <w:sz w:val="20"/>
              </w:rPr>
            </w:pPr>
            <w:r>
              <w:rPr>
                <w:sz w:val="20"/>
              </w:rPr>
              <w:t>Repayment to Company</w:t>
            </w:r>
          </w:p>
        </w:tc>
        <w:tc>
          <w:tcPr>
            <w:tcW w:w="245" w:type="dxa"/>
            <w:tcBorders/>
            <w:vAlign w:val="center"/>
          </w:tcPr>
          <w:p>
            <w:pPr>
              <w:pStyle w:val="TableContents"/>
              <w:bidi w:val="0"/>
              <w:spacing w:before="0" w:after="283"/>
              <w:jc w:val="right"/>
              <w:rPr>
                <w:sz w:val="20"/>
              </w:rPr>
            </w:pPr>
            <w:r>
              <w:rPr>
                <w:sz w:val="20"/>
              </w:rPr>
              <w:t>37</w:t>
            </w:r>
          </w:p>
        </w:tc>
      </w:tr>
      <w:tr>
        <w:trPr/>
        <w:tc>
          <w:tcPr>
            <w:tcW w:w="1055" w:type="dxa"/>
            <w:tcBorders/>
            <w:vAlign w:val="center"/>
          </w:tcPr>
          <w:p>
            <w:pPr>
              <w:pStyle w:val="TableContents"/>
              <w:bidi w:val="0"/>
              <w:spacing w:before="0" w:after="283"/>
              <w:jc w:val="left"/>
              <w:rPr>
                <w:sz w:val="20"/>
              </w:rPr>
            </w:pPr>
            <w:r>
              <w:rPr>
                <w:sz w:val="20"/>
              </w:rPr>
              <w:t>Section 8.7</w:t>
            </w:r>
          </w:p>
        </w:tc>
        <w:tc>
          <w:tcPr>
            <w:tcW w:w="7955" w:type="dxa"/>
            <w:tcBorders/>
            <w:vAlign w:val="center"/>
          </w:tcPr>
          <w:p>
            <w:pPr>
              <w:pStyle w:val="TableContents"/>
              <w:bidi w:val="0"/>
              <w:spacing w:before="0" w:after="283"/>
              <w:jc w:val="left"/>
              <w:rPr>
                <w:sz w:val="20"/>
              </w:rPr>
            </w:pPr>
            <w:r>
              <w:rPr>
                <w:sz w:val="20"/>
              </w:rPr>
              <w:t>Reinstatement</w:t>
            </w:r>
          </w:p>
        </w:tc>
        <w:tc>
          <w:tcPr>
            <w:tcW w:w="245" w:type="dxa"/>
            <w:tcBorders/>
            <w:vAlign w:val="center"/>
          </w:tcPr>
          <w:p>
            <w:pPr>
              <w:pStyle w:val="TableContents"/>
              <w:bidi w:val="0"/>
              <w:spacing w:before="0" w:after="283"/>
              <w:jc w:val="right"/>
              <w:rPr>
                <w:sz w:val="20"/>
              </w:rPr>
            </w:pPr>
            <w:r>
              <w:rPr>
                <w:sz w:val="20"/>
              </w:rPr>
              <w:t>37</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010" w:type="dxa"/>
            <w:gridSpan w:val="2"/>
            <w:tcBorders/>
            <w:vAlign w:val="center"/>
          </w:tcPr>
          <w:p>
            <w:pPr>
              <w:pStyle w:val="TableContents"/>
              <w:bidi w:val="0"/>
              <w:spacing w:before="0" w:after="283"/>
              <w:jc w:val="left"/>
              <w:rPr/>
            </w:pPr>
            <w:r>
              <w:rPr>
                <w:sz w:val="20"/>
              </w:rPr>
              <w:t>ARTICLE IX. AMENDMENTS AND WAIVERS</w:t>
            </w:r>
            <w:r>
              <w:rPr/>
              <w:t xml:space="preserve"> </w:t>
            </w:r>
          </w:p>
        </w:tc>
        <w:tc>
          <w:tcPr>
            <w:tcW w:w="245" w:type="dxa"/>
            <w:tcBorders/>
            <w:vAlign w:val="center"/>
          </w:tcPr>
          <w:p>
            <w:pPr>
              <w:pStyle w:val="TableContents"/>
              <w:bidi w:val="0"/>
              <w:spacing w:before="0" w:after="283"/>
              <w:jc w:val="right"/>
              <w:rPr>
                <w:sz w:val="20"/>
              </w:rPr>
            </w:pPr>
            <w:r>
              <w:rPr>
                <w:sz w:val="20"/>
              </w:rPr>
              <w:t>38</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sz w:val="20"/>
              </w:rPr>
            </w:pPr>
            <w:r>
              <w:rPr>
                <w:sz w:val="20"/>
              </w:rPr>
              <w:t>Section 9.1</w:t>
            </w:r>
          </w:p>
        </w:tc>
        <w:tc>
          <w:tcPr>
            <w:tcW w:w="7955" w:type="dxa"/>
            <w:tcBorders/>
            <w:vAlign w:val="center"/>
          </w:tcPr>
          <w:p>
            <w:pPr>
              <w:pStyle w:val="TableContents"/>
              <w:bidi w:val="0"/>
              <w:spacing w:before="0" w:after="283"/>
              <w:jc w:val="left"/>
              <w:rPr>
                <w:sz w:val="20"/>
              </w:rPr>
            </w:pPr>
            <w:r>
              <w:rPr>
                <w:sz w:val="20"/>
              </w:rPr>
              <w:t>Without Consent of Holders</w:t>
            </w:r>
          </w:p>
        </w:tc>
        <w:tc>
          <w:tcPr>
            <w:tcW w:w="245" w:type="dxa"/>
            <w:tcBorders/>
            <w:vAlign w:val="center"/>
          </w:tcPr>
          <w:p>
            <w:pPr>
              <w:pStyle w:val="TableContents"/>
              <w:bidi w:val="0"/>
              <w:spacing w:before="0" w:after="283"/>
              <w:jc w:val="right"/>
              <w:rPr>
                <w:sz w:val="20"/>
              </w:rPr>
            </w:pPr>
            <w:r>
              <w:rPr>
                <w:sz w:val="20"/>
              </w:rPr>
              <w:t>38</w:t>
            </w:r>
          </w:p>
        </w:tc>
      </w:tr>
      <w:tr>
        <w:trPr/>
        <w:tc>
          <w:tcPr>
            <w:tcW w:w="1055" w:type="dxa"/>
            <w:tcBorders/>
            <w:vAlign w:val="center"/>
          </w:tcPr>
          <w:p>
            <w:pPr>
              <w:pStyle w:val="TableContents"/>
              <w:bidi w:val="0"/>
              <w:spacing w:before="0" w:after="283"/>
              <w:jc w:val="left"/>
              <w:rPr>
                <w:sz w:val="20"/>
              </w:rPr>
            </w:pPr>
            <w:r>
              <w:rPr>
                <w:sz w:val="20"/>
              </w:rPr>
              <w:t>Section 9.2</w:t>
            </w:r>
          </w:p>
        </w:tc>
        <w:tc>
          <w:tcPr>
            <w:tcW w:w="7955" w:type="dxa"/>
            <w:tcBorders/>
            <w:vAlign w:val="center"/>
          </w:tcPr>
          <w:p>
            <w:pPr>
              <w:pStyle w:val="TableContents"/>
              <w:bidi w:val="0"/>
              <w:spacing w:before="0" w:after="283"/>
              <w:jc w:val="left"/>
              <w:rPr>
                <w:sz w:val="20"/>
              </w:rPr>
            </w:pPr>
            <w:r>
              <w:rPr>
                <w:sz w:val="20"/>
              </w:rPr>
              <w:t>With Consent of Holders</w:t>
            </w:r>
          </w:p>
        </w:tc>
        <w:tc>
          <w:tcPr>
            <w:tcW w:w="245" w:type="dxa"/>
            <w:tcBorders/>
            <w:vAlign w:val="center"/>
          </w:tcPr>
          <w:p>
            <w:pPr>
              <w:pStyle w:val="TableContents"/>
              <w:bidi w:val="0"/>
              <w:spacing w:before="0" w:after="283"/>
              <w:jc w:val="right"/>
              <w:rPr>
                <w:sz w:val="20"/>
              </w:rPr>
            </w:pPr>
            <w:r>
              <w:rPr>
                <w:sz w:val="20"/>
              </w:rPr>
              <w:t>39</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430" w:type="dxa"/>
        <w:jc w:val="left"/>
        <w:tblInd w:w="0" w:type="dxa"/>
        <w:tblLayout w:type="fixed"/>
        <w:tblCellMar>
          <w:top w:w="0" w:type="dxa"/>
          <w:left w:w="0" w:type="dxa"/>
          <w:bottom w:w="0" w:type="dxa"/>
          <w:right w:w="0" w:type="dxa"/>
        </w:tblCellMar>
      </w:tblPr>
      <w:tblGrid>
        <w:gridCol w:w="1160"/>
        <w:gridCol w:w="7025"/>
        <w:gridCol w:w="245"/>
      </w:tblGrid>
      <w:tr>
        <w:trPr/>
        <w:tc>
          <w:tcPr>
            <w:tcW w:w="1160" w:type="dxa"/>
            <w:tcBorders/>
            <w:vAlign w:val="center"/>
          </w:tcPr>
          <w:p>
            <w:pPr>
              <w:pStyle w:val="TableContents"/>
              <w:bidi w:val="0"/>
              <w:spacing w:before="0" w:after="283"/>
              <w:jc w:val="left"/>
              <w:rPr>
                <w:sz w:val="20"/>
              </w:rPr>
            </w:pPr>
            <w:r>
              <w:rPr>
                <w:sz w:val="20"/>
              </w:rPr>
              <w:t>Section 9.3</w:t>
            </w:r>
          </w:p>
        </w:tc>
        <w:tc>
          <w:tcPr>
            <w:tcW w:w="7025" w:type="dxa"/>
            <w:tcBorders/>
            <w:vAlign w:val="center"/>
          </w:tcPr>
          <w:p>
            <w:pPr>
              <w:pStyle w:val="TableContents"/>
              <w:bidi w:val="0"/>
              <w:spacing w:before="0" w:after="283"/>
              <w:jc w:val="left"/>
              <w:rPr>
                <w:sz w:val="20"/>
              </w:rPr>
            </w:pPr>
            <w:r>
              <w:rPr>
                <w:sz w:val="20"/>
              </w:rPr>
              <w:t>Limitations</w:t>
            </w:r>
          </w:p>
        </w:tc>
        <w:tc>
          <w:tcPr>
            <w:tcW w:w="245" w:type="dxa"/>
            <w:tcBorders/>
            <w:vAlign w:val="center"/>
          </w:tcPr>
          <w:p>
            <w:pPr>
              <w:pStyle w:val="TableContents"/>
              <w:bidi w:val="0"/>
              <w:spacing w:before="0" w:after="283"/>
              <w:jc w:val="right"/>
              <w:rPr>
                <w:sz w:val="20"/>
              </w:rPr>
            </w:pPr>
            <w:r>
              <w:rPr>
                <w:sz w:val="20"/>
              </w:rPr>
              <w:t>39</w:t>
            </w:r>
          </w:p>
        </w:tc>
      </w:tr>
      <w:tr>
        <w:trPr/>
        <w:tc>
          <w:tcPr>
            <w:tcW w:w="1160" w:type="dxa"/>
            <w:tcBorders/>
            <w:vAlign w:val="center"/>
          </w:tcPr>
          <w:p>
            <w:pPr>
              <w:pStyle w:val="TableContents"/>
              <w:bidi w:val="0"/>
              <w:spacing w:before="0" w:after="283"/>
              <w:jc w:val="left"/>
              <w:rPr>
                <w:sz w:val="20"/>
              </w:rPr>
            </w:pPr>
            <w:r>
              <w:rPr>
                <w:sz w:val="20"/>
              </w:rPr>
              <w:t>Section 9.4</w:t>
            </w:r>
          </w:p>
        </w:tc>
        <w:tc>
          <w:tcPr>
            <w:tcW w:w="7025" w:type="dxa"/>
            <w:tcBorders/>
            <w:vAlign w:val="center"/>
          </w:tcPr>
          <w:p>
            <w:pPr>
              <w:pStyle w:val="TableContents"/>
              <w:bidi w:val="0"/>
              <w:spacing w:before="0" w:after="283"/>
              <w:jc w:val="left"/>
              <w:rPr>
                <w:sz w:val="20"/>
              </w:rPr>
            </w:pPr>
            <w:r>
              <w:rPr>
                <w:sz w:val="20"/>
              </w:rPr>
              <w:t>Compliance with Trust Indenture Act</w:t>
            </w:r>
          </w:p>
        </w:tc>
        <w:tc>
          <w:tcPr>
            <w:tcW w:w="245" w:type="dxa"/>
            <w:tcBorders/>
            <w:vAlign w:val="center"/>
          </w:tcPr>
          <w:p>
            <w:pPr>
              <w:pStyle w:val="TableContents"/>
              <w:bidi w:val="0"/>
              <w:spacing w:before="0" w:after="283"/>
              <w:jc w:val="right"/>
              <w:rPr>
                <w:sz w:val="20"/>
              </w:rPr>
            </w:pPr>
            <w:r>
              <w:rPr>
                <w:sz w:val="20"/>
              </w:rPr>
              <w:t>40</w:t>
            </w:r>
          </w:p>
        </w:tc>
      </w:tr>
      <w:tr>
        <w:trPr/>
        <w:tc>
          <w:tcPr>
            <w:tcW w:w="1160" w:type="dxa"/>
            <w:tcBorders/>
            <w:vAlign w:val="center"/>
          </w:tcPr>
          <w:p>
            <w:pPr>
              <w:pStyle w:val="TableContents"/>
              <w:bidi w:val="0"/>
              <w:spacing w:before="0" w:after="283"/>
              <w:jc w:val="left"/>
              <w:rPr>
                <w:sz w:val="20"/>
              </w:rPr>
            </w:pPr>
            <w:r>
              <w:rPr>
                <w:sz w:val="20"/>
              </w:rPr>
              <w:t>Section 9.5</w:t>
            </w:r>
          </w:p>
        </w:tc>
        <w:tc>
          <w:tcPr>
            <w:tcW w:w="7025" w:type="dxa"/>
            <w:tcBorders/>
            <w:vAlign w:val="center"/>
          </w:tcPr>
          <w:p>
            <w:pPr>
              <w:pStyle w:val="TableContents"/>
              <w:bidi w:val="0"/>
              <w:spacing w:before="0" w:after="283"/>
              <w:jc w:val="left"/>
              <w:rPr>
                <w:sz w:val="20"/>
              </w:rPr>
            </w:pPr>
            <w:r>
              <w:rPr>
                <w:sz w:val="20"/>
              </w:rPr>
              <w:t>Revocation and Effect of Consents</w:t>
            </w:r>
          </w:p>
        </w:tc>
        <w:tc>
          <w:tcPr>
            <w:tcW w:w="245" w:type="dxa"/>
            <w:tcBorders/>
            <w:vAlign w:val="center"/>
          </w:tcPr>
          <w:p>
            <w:pPr>
              <w:pStyle w:val="TableContents"/>
              <w:bidi w:val="0"/>
              <w:spacing w:before="0" w:after="283"/>
              <w:jc w:val="right"/>
              <w:rPr>
                <w:sz w:val="20"/>
              </w:rPr>
            </w:pPr>
            <w:r>
              <w:rPr>
                <w:sz w:val="20"/>
              </w:rPr>
              <w:t>40</w:t>
            </w:r>
          </w:p>
        </w:tc>
      </w:tr>
      <w:tr>
        <w:trPr/>
        <w:tc>
          <w:tcPr>
            <w:tcW w:w="1160" w:type="dxa"/>
            <w:tcBorders/>
            <w:vAlign w:val="center"/>
          </w:tcPr>
          <w:p>
            <w:pPr>
              <w:pStyle w:val="TableContents"/>
              <w:bidi w:val="0"/>
              <w:spacing w:before="0" w:after="283"/>
              <w:jc w:val="left"/>
              <w:rPr>
                <w:sz w:val="20"/>
              </w:rPr>
            </w:pPr>
            <w:r>
              <w:rPr>
                <w:sz w:val="20"/>
              </w:rPr>
              <w:t>Section 9.6</w:t>
            </w:r>
          </w:p>
        </w:tc>
        <w:tc>
          <w:tcPr>
            <w:tcW w:w="7025" w:type="dxa"/>
            <w:tcBorders/>
            <w:vAlign w:val="center"/>
          </w:tcPr>
          <w:p>
            <w:pPr>
              <w:pStyle w:val="TableContents"/>
              <w:bidi w:val="0"/>
              <w:spacing w:before="0" w:after="283"/>
              <w:jc w:val="left"/>
              <w:rPr>
                <w:sz w:val="20"/>
              </w:rPr>
            </w:pPr>
            <w:r>
              <w:rPr>
                <w:sz w:val="20"/>
              </w:rPr>
              <w:t>Notation on or Exchange of Securities</w:t>
            </w:r>
          </w:p>
        </w:tc>
        <w:tc>
          <w:tcPr>
            <w:tcW w:w="245" w:type="dxa"/>
            <w:tcBorders/>
            <w:vAlign w:val="center"/>
          </w:tcPr>
          <w:p>
            <w:pPr>
              <w:pStyle w:val="TableContents"/>
              <w:bidi w:val="0"/>
              <w:spacing w:before="0" w:after="283"/>
              <w:jc w:val="right"/>
              <w:rPr>
                <w:sz w:val="20"/>
              </w:rPr>
            </w:pPr>
            <w:r>
              <w:rPr>
                <w:sz w:val="20"/>
              </w:rPr>
              <w:t>40</w:t>
            </w:r>
          </w:p>
        </w:tc>
      </w:tr>
      <w:tr>
        <w:trPr/>
        <w:tc>
          <w:tcPr>
            <w:tcW w:w="1160" w:type="dxa"/>
            <w:tcBorders/>
            <w:vAlign w:val="center"/>
          </w:tcPr>
          <w:p>
            <w:pPr>
              <w:pStyle w:val="TableContents"/>
              <w:bidi w:val="0"/>
              <w:spacing w:before="0" w:after="283"/>
              <w:jc w:val="left"/>
              <w:rPr>
                <w:sz w:val="20"/>
              </w:rPr>
            </w:pPr>
            <w:r>
              <w:rPr>
                <w:sz w:val="20"/>
              </w:rPr>
              <w:t>Section 9.7</w:t>
            </w:r>
          </w:p>
        </w:tc>
        <w:tc>
          <w:tcPr>
            <w:tcW w:w="7025" w:type="dxa"/>
            <w:tcBorders/>
            <w:vAlign w:val="center"/>
          </w:tcPr>
          <w:p>
            <w:pPr>
              <w:pStyle w:val="TableContents"/>
              <w:bidi w:val="0"/>
              <w:spacing w:before="0" w:after="283"/>
              <w:jc w:val="left"/>
              <w:rPr>
                <w:sz w:val="20"/>
              </w:rPr>
            </w:pPr>
            <w:r>
              <w:rPr>
                <w:sz w:val="20"/>
              </w:rPr>
              <w:t>Trustee Protected</w:t>
            </w:r>
          </w:p>
        </w:tc>
        <w:tc>
          <w:tcPr>
            <w:tcW w:w="245" w:type="dxa"/>
            <w:tcBorders/>
            <w:vAlign w:val="center"/>
          </w:tcPr>
          <w:p>
            <w:pPr>
              <w:pStyle w:val="TableContents"/>
              <w:bidi w:val="0"/>
              <w:spacing w:before="0" w:after="283"/>
              <w:jc w:val="right"/>
              <w:rPr>
                <w:sz w:val="20"/>
              </w:rPr>
            </w:pPr>
            <w:r>
              <w:rPr>
                <w:sz w:val="20"/>
              </w:rPr>
              <w:t>40</w:t>
            </w:r>
          </w:p>
        </w:tc>
      </w:tr>
      <w:tr>
        <w:trPr/>
        <w:tc>
          <w:tcPr>
            <w:tcW w:w="11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185" w:type="dxa"/>
            <w:gridSpan w:val="2"/>
            <w:tcBorders/>
            <w:vAlign w:val="center"/>
          </w:tcPr>
          <w:p>
            <w:pPr>
              <w:pStyle w:val="TableContents"/>
              <w:bidi w:val="0"/>
              <w:spacing w:before="0" w:after="283"/>
              <w:jc w:val="left"/>
              <w:rPr/>
            </w:pPr>
            <w:r>
              <w:rPr>
                <w:sz w:val="20"/>
              </w:rPr>
              <w:t>ARTICLE X. SATISFACTION AND DISCHARGE</w:t>
            </w:r>
            <w:r>
              <w:rPr/>
              <w:t xml:space="preserve"> </w:t>
            </w:r>
          </w:p>
        </w:tc>
        <w:tc>
          <w:tcPr>
            <w:tcW w:w="245" w:type="dxa"/>
            <w:tcBorders/>
            <w:vAlign w:val="center"/>
          </w:tcPr>
          <w:p>
            <w:pPr>
              <w:pStyle w:val="TableContents"/>
              <w:bidi w:val="0"/>
              <w:spacing w:before="0" w:after="283"/>
              <w:jc w:val="right"/>
              <w:rPr>
                <w:sz w:val="20"/>
              </w:rPr>
            </w:pPr>
            <w:r>
              <w:rPr>
                <w:sz w:val="20"/>
              </w:rPr>
              <w:t>41</w:t>
            </w:r>
          </w:p>
        </w:tc>
      </w:tr>
      <w:tr>
        <w:trPr/>
        <w:tc>
          <w:tcPr>
            <w:tcW w:w="11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sz w:val="20"/>
              </w:rPr>
            </w:pPr>
            <w:r>
              <w:rPr>
                <w:sz w:val="20"/>
              </w:rPr>
              <w:t>Section 10.1</w:t>
            </w:r>
          </w:p>
        </w:tc>
        <w:tc>
          <w:tcPr>
            <w:tcW w:w="7025" w:type="dxa"/>
            <w:tcBorders/>
            <w:vAlign w:val="center"/>
          </w:tcPr>
          <w:p>
            <w:pPr>
              <w:pStyle w:val="TableContents"/>
              <w:bidi w:val="0"/>
              <w:spacing w:before="0" w:after="283"/>
              <w:jc w:val="left"/>
              <w:rPr>
                <w:sz w:val="20"/>
              </w:rPr>
            </w:pPr>
            <w:r>
              <w:rPr>
                <w:sz w:val="20"/>
              </w:rPr>
              <w:t>Satisfaction and Discharge</w:t>
            </w:r>
          </w:p>
        </w:tc>
        <w:tc>
          <w:tcPr>
            <w:tcW w:w="245" w:type="dxa"/>
            <w:tcBorders/>
            <w:vAlign w:val="center"/>
          </w:tcPr>
          <w:p>
            <w:pPr>
              <w:pStyle w:val="TableContents"/>
              <w:bidi w:val="0"/>
              <w:spacing w:before="0" w:after="283"/>
              <w:jc w:val="right"/>
              <w:rPr>
                <w:sz w:val="20"/>
              </w:rPr>
            </w:pPr>
            <w:r>
              <w:rPr>
                <w:sz w:val="20"/>
              </w:rPr>
              <w:t>41</w:t>
            </w:r>
          </w:p>
        </w:tc>
      </w:tr>
      <w:tr>
        <w:trPr/>
        <w:tc>
          <w:tcPr>
            <w:tcW w:w="1160" w:type="dxa"/>
            <w:tcBorders/>
            <w:vAlign w:val="center"/>
          </w:tcPr>
          <w:p>
            <w:pPr>
              <w:pStyle w:val="TableContents"/>
              <w:bidi w:val="0"/>
              <w:spacing w:before="0" w:after="283"/>
              <w:jc w:val="left"/>
              <w:rPr>
                <w:sz w:val="20"/>
              </w:rPr>
            </w:pPr>
            <w:r>
              <w:rPr>
                <w:sz w:val="20"/>
              </w:rPr>
              <w:t>Section 10.2</w:t>
            </w:r>
          </w:p>
        </w:tc>
        <w:tc>
          <w:tcPr>
            <w:tcW w:w="7025" w:type="dxa"/>
            <w:tcBorders/>
            <w:vAlign w:val="center"/>
          </w:tcPr>
          <w:p>
            <w:pPr>
              <w:pStyle w:val="TableContents"/>
              <w:bidi w:val="0"/>
              <w:spacing w:before="0" w:after="283"/>
              <w:jc w:val="left"/>
              <w:rPr>
                <w:sz w:val="20"/>
              </w:rPr>
            </w:pPr>
            <w:r>
              <w:rPr>
                <w:sz w:val="20"/>
              </w:rPr>
              <w:t>Application of Trust Money</w:t>
            </w:r>
          </w:p>
        </w:tc>
        <w:tc>
          <w:tcPr>
            <w:tcW w:w="245" w:type="dxa"/>
            <w:tcBorders/>
            <w:vAlign w:val="center"/>
          </w:tcPr>
          <w:p>
            <w:pPr>
              <w:pStyle w:val="TableContents"/>
              <w:bidi w:val="0"/>
              <w:spacing w:before="0" w:after="283"/>
              <w:jc w:val="right"/>
              <w:rPr>
                <w:sz w:val="20"/>
              </w:rPr>
            </w:pPr>
            <w:r>
              <w:rPr>
                <w:sz w:val="20"/>
              </w:rPr>
              <w:t>42</w:t>
            </w:r>
          </w:p>
        </w:tc>
      </w:tr>
      <w:tr>
        <w:trPr/>
        <w:tc>
          <w:tcPr>
            <w:tcW w:w="11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185" w:type="dxa"/>
            <w:gridSpan w:val="2"/>
            <w:tcBorders/>
            <w:vAlign w:val="center"/>
          </w:tcPr>
          <w:p>
            <w:pPr>
              <w:pStyle w:val="TableContents"/>
              <w:bidi w:val="0"/>
              <w:spacing w:before="0" w:after="283"/>
              <w:jc w:val="left"/>
              <w:rPr/>
            </w:pPr>
            <w:r>
              <w:rPr>
                <w:sz w:val="20"/>
              </w:rPr>
              <w:t>ARTICLE XI. MISCELLANEOUS</w:t>
            </w:r>
            <w:r>
              <w:rPr/>
              <w:t xml:space="preserve"> </w:t>
            </w:r>
          </w:p>
        </w:tc>
        <w:tc>
          <w:tcPr>
            <w:tcW w:w="245" w:type="dxa"/>
            <w:tcBorders/>
            <w:vAlign w:val="center"/>
          </w:tcPr>
          <w:p>
            <w:pPr>
              <w:pStyle w:val="TableContents"/>
              <w:bidi w:val="0"/>
              <w:spacing w:before="0" w:after="283"/>
              <w:jc w:val="right"/>
              <w:rPr>
                <w:sz w:val="20"/>
              </w:rPr>
            </w:pPr>
            <w:r>
              <w:rPr>
                <w:sz w:val="20"/>
              </w:rPr>
              <w:t>42</w:t>
            </w:r>
          </w:p>
        </w:tc>
      </w:tr>
      <w:tr>
        <w:trPr/>
        <w:tc>
          <w:tcPr>
            <w:tcW w:w="11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sz w:val="20"/>
              </w:rPr>
            </w:pPr>
            <w:r>
              <w:rPr>
                <w:sz w:val="20"/>
              </w:rPr>
              <w:t>Section 11.1</w:t>
            </w:r>
          </w:p>
        </w:tc>
        <w:tc>
          <w:tcPr>
            <w:tcW w:w="7025" w:type="dxa"/>
            <w:tcBorders/>
            <w:vAlign w:val="center"/>
          </w:tcPr>
          <w:p>
            <w:pPr>
              <w:pStyle w:val="TableContents"/>
              <w:bidi w:val="0"/>
              <w:spacing w:before="0" w:after="283"/>
              <w:jc w:val="left"/>
              <w:rPr>
                <w:sz w:val="20"/>
              </w:rPr>
            </w:pPr>
            <w:r>
              <w:rPr>
                <w:sz w:val="20"/>
              </w:rPr>
              <w:t>Trust Indenture Act Controls</w:t>
            </w:r>
          </w:p>
        </w:tc>
        <w:tc>
          <w:tcPr>
            <w:tcW w:w="245" w:type="dxa"/>
            <w:tcBorders/>
            <w:vAlign w:val="center"/>
          </w:tcPr>
          <w:p>
            <w:pPr>
              <w:pStyle w:val="TableContents"/>
              <w:bidi w:val="0"/>
              <w:spacing w:before="0" w:after="283"/>
              <w:jc w:val="right"/>
              <w:rPr>
                <w:sz w:val="20"/>
              </w:rPr>
            </w:pPr>
            <w:r>
              <w:rPr>
                <w:sz w:val="20"/>
              </w:rPr>
              <w:t>42</w:t>
            </w:r>
          </w:p>
        </w:tc>
      </w:tr>
      <w:tr>
        <w:trPr/>
        <w:tc>
          <w:tcPr>
            <w:tcW w:w="1160" w:type="dxa"/>
            <w:tcBorders/>
            <w:vAlign w:val="center"/>
          </w:tcPr>
          <w:p>
            <w:pPr>
              <w:pStyle w:val="TableContents"/>
              <w:bidi w:val="0"/>
              <w:spacing w:before="0" w:after="283"/>
              <w:jc w:val="left"/>
              <w:rPr>
                <w:sz w:val="20"/>
              </w:rPr>
            </w:pPr>
            <w:r>
              <w:rPr>
                <w:sz w:val="20"/>
              </w:rPr>
              <w:t>Section 11.2</w:t>
            </w:r>
          </w:p>
        </w:tc>
        <w:tc>
          <w:tcPr>
            <w:tcW w:w="7025" w:type="dxa"/>
            <w:tcBorders/>
            <w:vAlign w:val="center"/>
          </w:tcPr>
          <w:p>
            <w:pPr>
              <w:pStyle w:val="TableContents"/>
              <w:bidi w:val="0"/>
              <w:spacing w:before="0" w:after="283"/>
              <w:jc w:val="left"/>
              <w:rPr>
                <w:sz w:val="20"/>
              </w:rPr>
            </w:pPr>
            <w:r>
              <w:rPr>
                <w:sz w:val="20"/>
              </w:rPr>
              <w:t>Notices</w:t>
            </w:r>
          </w:p>
        </w:tc>
        <w:tc>
          <w:tcPr>
            <w:tcW w:w="245" w:type="dxa"/>
            <w:tcBorders/>
            <w:vAlign w:val="center"/>
          </w:tcPr>
          <w:p>
            <w:pPr>
              <w:pStyle w:val="TableContents"/>
              <w:bidi w:val="0"/>
              <w:spacing w:before="0" w:after="283"/>
              <w:jc w:val="right"/>
              <w:rPr>
                <w:sz w:val="20"/>
              </w:rPr>
            </w:pPr>
            <w:r>
              <w:rPr>
                <w:sz w:val="20"/>
              </w:rPr>
              <w:t>42</w:t>
            </w:r>
          </w:p>
        </w:tc>
      </w:tr>
      <w:tr>
        <w:trPr/>
        <w:tc>
          <w:tcPr>
            <w:tcW w:w="1160" w:type="dxa"/>
            <w:tcBorders/>
            <w:vAlign w:val="center"/>
          </w:tcPr>
          <w:p>
            <w:pPr>
              <w:pStyle w:val="TableContents"/>
              <w:bidi w:val="0"/>
              <w:spacing w:before="0" w:after="283"/>
              <w:jc w:val="left"/>
              <w:rPr>
                <w:sz w:val="20"/>
              </w:rPr>
            </w:pPr>
            <w:r>
              <w:rPr>
                <w:sz w:val="20"/>
              </w:rPr>
              <w:t>Section 11.3</w:t>
            </w:r>
          </w:p>
        </w:tc>
        <w:tc>
          <w:tcPr>
            <w:tcW w:w="7025" w:type="dxa"/>
            <w:tcBorders/>
            <w:vAlign w:val="center"/>
          </w:tcPr>
          <w:p>
            <w:pPr>
              <w:pStyle w:val="TableContents"/>
              <w:bidi w:val="0"/>
              <w:spacing w:before="0" w:after="283"/>
              <w:jc w:val="left"/>
              <w:rPr>
                <w:sz w:val="20"/>
              </w:rPr>
            </w:pPr>
            <w:r>
              <w:rPr>
                <w:sz w:val="20"/>
              </w:rPr>
              <w:t>Communication by Holders with Other Holders</w:t>
            </w:r>
          </w:p>
        </w:tc>
        <w:tc>
          <w:tcPr>
            <w:tcW w:w="245" w:type="dxa"/>
            <w:tcBorders/>
            <w:vAlign w:val="center"/>
          </w:tcPr>
          <w:p>
            <w:pPr>
              <w:pStyle w:val="TableContents"/>
              <w:bidi w:val="0"/>
              <w:spacing w:before="0" w:after="283"/>
              <w:jc w:val="right"/>
              <w:rPr>
                <w:sz w:val="20"/>
              </w:rPr>
            </w:pPr>
            <w:r>
              <w:rPr>
                <w:sz w:val="20"/>
              </w:rPr>
              <w:t>43</w:t>
            </w:r>
          </w:p>
        </w:tc>
      </w:tr>
      <w:tr>
        <w:trPr/>
        <w:tc>
          <w:tcPr>
            <w:tcW w:w="1160" w:type="dxa"/>
            <w:tcBorders/>
            <w:vAlign w:val="center"/>
          </w:tcPr>
          <w:p>
            <w:pPr>
              <w:pStyle w:val="TableContents"/>
              <w:bidi w:val="0"/>
              <w:spacing w:before="0" w:after="283"/>
              <w:jc w:val="left"/>
              <w:rPr>
                <w:sz w:val="20"/>
              </w:rPr>
            </w:pPr>
            <w:r>
              <w:rPr>
                <w:sz w:val="20"/>
              </w:rPr>
              <w:t>Section 11.4</w:t>
            </w:r>
          </w:p>
        </w:tc>
        <w:tc>
          <w:tcPr>
            <w:tcW w:w="7025" w:type="dxa"/>
            <w:tcBorders/>
            <w:vAlign w:val="center"/>
          </w:tcPr>
          <w:p>
            <w:pPr>
              <w:pStyle w:val="TableContents"/>
              <w:bidi w:val="0"/>
              <w:spacing w:before="0" w:after="283"/>
              <w:jc w:val="left"/>
              <w:rPr>
                <w:sz w:val="20"/>
              </w:rPr>
            </w:pPr>
            <w:r>
              <w:rPr>
                <w:sz w:val="20"/>
              </w:rPr>
              <w:t>Certificate and Opinion as to Conditions Precedent</w:t>
            </w:r>
          </w:p>
        </w:tc>
        <w:tc>
          <w:tcPr>
            <w:tcW w:w="245" w:type="dxa"/>
            <w:tcBorders/>
            <w:vAlign w:val="center"/>
          </w:tcPr>
          <w:p>
            <w:pPr>
              <w:pStyle w:val="TableContents"/>
              <w:bidi w:val="0"/>
              <w:spacing w:before="0" w:after="283"/>
              <w:jc w:val="right"/>
              <w:rPr>
                <w:sz w:val="20"/>
              </w:rPr>
            </w:pPr>
            <w:r>
              <w:rPr>
                <w:sz w:val="20"/>
              </w:rPr>
              <w:t>43</w:t>
            </w:r>
          </w:p>
        </w:tc>
      </w:tr>
      <w:tr>
        <w:trPr/>
        <w:tc>
          <w:tcPr>
            <w:tcW w:w="1160" w:type="dxa"/>
            <w:tcBorders/>
            <w:vAlign w:val="center"/>
          </w:tcPr>
          <w:p>
            <w:pPr>
              <w:pStyle w:val="TableContents"/>
              <w:bidi w:val="0"/>
              <w:spacing w:before="0" w:after="283"/>
              <w:jc w:val="left"/>
              <w:rPr>
                <w:sz w:val="20"/>
              </w:rPr>
            </w:pPr>
            <w:r>
              <w:rPr>
                <w:sz w:val="20"/>
              </w:rPr>
              <w:t>Section 11.5</w:t>
            </w:r>
          </w:p>
        </w:tc>
        <w:tc>
          <w:tcPr>
            <w:tcW w:w="7025" w:type="dxa"/>
            <w:tcBorders/>
            <w:vAlign w:val="center"/>
          </w:tcPr>
          <w:p>
            <w:pPr>
              <w:pStyle w:val="TableContents"/>
              <w:bidi w:val="0"/>
              <w:spacing w:before="0" w:after="283"/>
              <w:jc w:val="left"/>
              <w:rPr>
                <w:sz w:val="20"/>
              </w:rPr>
            </w:pPr>
            <w:r>
              <w:rPr>
                <w:sz w:val="20"/>
              </w:rPr>
              <w:t>Statements Required in Certificate or Opinion</w:t>
            </w:r>
          </w:p>
        </w:tc>
        <w:tc>
          <w:tcPr>
            <w:tcW w:w="245" w:type="dxa"/>
            <w:tcBorders/>
            <w:vAlign w:val="center"/>
          </w:tcPr>
          <w:p>
            <w:pPr>
              <w:pStyle w:val="TableContents"/>
              <w:bidi w:val="0"/>
              <w:spacing w:before="0" w:after="283"/>
              <w:jc w:val="right"/>
              <w:rPr>
                <w:sz w:val="20"/>
              </w:rPr>
            </w:pPr>
            <w:r>
              <w:rPr>
                <w:sz w:val="20"/>
              </w:rPr>
              <w:t>43</w:t>
            </w:r>
          </w:p>
        </w:tc>
      </w:tr>
      <w:tr>
        <w:trPr/>
        <w:tc>
          <w:tcPr>
            <w:tcW w:w="1160" w:type="dxa"/>
            <w:tcBorders/>
            <w:vAlign w:val="center"/>
          </w:tcPr>
          <w:p>
            <w:pPr>
              <w:pStyle w:val="TableContents"/>
              <w:bidi w:val="0"/>
              <w:spacing w:before="0" w:after="283"/>
              <w:jc w:val="left"/>
              <w:rPr>
                <w:sz w:val="20"/>
              </w:rPr>
            </w:pPr>
            <w:r>
              <w:rPr>
                <w:sz w:val="20"/>
              </w:rPr>
              <w:t>Section 11.6</w:t>
            </w:r>
          </w:p>
        </w:tc>
        <w:tc>
          <w:tcPr>
            <w:tcW w:w="7025" w:type="dxa"/>
            <w:tcBorders/>
            <w:vAlign w:val="center"/>
          </w:tcPr>
          <w:p>
            <w:pPr>
              <w:pStyle w:val="TableContents"/>
              <w:bidi w:val="0"/>
              <w:spacing w:before="0" w:after="283"/>
              <w:jc w:val="left"/>
              <w:rPr>
                <w:sz w:val="20"/>
              </w:rPr>
            </w:pPr>
            <w:r>
              <w:rPr>
                <w:sz w:val="20"/>
              </w:rPr>
              <w:t>Rules by Trustee and Agents</w:t>
            </w:r>
          </w:p>
        </w:tc>
        <w:tc>
          <w:tcPr>
            <w:tcW w:w="245" w:type="dxa"/>
            <w:tcBorders/>
            <w:vAlign w:val="center"/>
          </w:tcPr>
          <w:p>
            <w:pPr>
              <w:pStyle w:val="TableContents"/>
              <w:bidi w:val="0"/>
              <w:spacing w:before="0" w:after="283"/>
              <w:jc w:val="right"/>
              <w:rPr>
                <w:sz w:val="20"/>
              </w:rPr>
            </w:pPr>
            <w:r>
              <w:rPr>
                <w:sz w:val="20"/>
              </w:rPr>
              <w:t>44</w:t>
            </w:r>
          </w:p>
        </w:tc>
      </w:tr>
      <w:tr>
        <w:trPr/>
        <w:tc>
          <w:tcPr>
            <w:tcW w:w="1160" w:type="dxa"/>
            <w:tcBorders/>
            <w:vAlign w:val="center"/>
          </w:tcPr>
          <w:p>
            <w:pPr>
              <w:pStyle w:val="TableContents"/>
              <w:bidi w:val="0"/>
              <w:spacing w:before="0" w:after="283"/>
              <w:jc w:val="left"/>
              <w:rPr>
                <w:sz w:val="20"/>
              </w:rPr>
            </w:pPr>
            <w:r>
              <w:rPr>
                <w:sz w:val="20"/>
              </w:rPr>
              <w:t>Section 11.7</w:t>
            </w:r>
          </w:p>
        </w:tc>
        <w:tc>
          <w:tcPr>
            <w:tcW w:w="7025" w:type="dxa"/>
            <w:tcBorders/>
            <w:vAlign w:val="center"/>
          </w:tcPr>
          <w:p>
            <w:pPr>
              <w:pStyle w:val="TableContents"/>
              <w:bidi w:val="0"/>
              <w:spacing w:before="0" w:after="283"/>
              <w:jc w:val="left"/>
              <w:rPr>
                <w:sz w:val="20"/>
              </w:rPr>
            </w:pPr>
            <w:r>
              <w:rPr>
                <w:sz w:val="20"/>
              </w:rPr>
              <w:t>Legal Holidays</w:t>
            </w:r>
          </w:p>
        </w:tc>
        <w:tc>
          <w:tcPr>
            <w:tcW w:w="245" w:type="dxa"/>
            <w:tcBorders/>
            <w:vAlign w:val="center"/>
          </w:tcPr>
          <w:p>
            <w:pPr>
              <w:pStyle w:val="TableContents"/>
              <w:bidi w:val="0"/>
              <w:spacing w:before="0" w:after="283"/>
              <w:jc w:val="right"/>
              <w:rPr>
                <w:sz w:val="20"/>
              </w:rPr>
            </w:pPr>
            <w:r>
              <w:rPr>
                <w:sz w:val="20"/>
              </w:rPr>
              <w:t>44</w:t>
            </w:r>
          </w:p>
        </w:tc>
      </w:tr>
      <w:tr>
        <w:trPr/>
        <w:tc>
          <w:tcPr>
            <w:tcW w:w="1160" w:type="dxa"/>
            <w:tcBorders/>
            <w:vAlign w:val="center"/>
          </w:tcPr>
          <w:p>
            <w:pPr>
              <w:pStyle w:val="TableContents"/>
              <w:bidi w:val="0"/>
              <w:spacing w:before="0" w:after="283"/>
              <w:jc w:val="left"/>
              <w:rPr>
                <w:sz w:val="20"/>
              </w:rPr>
            </w:pPr>
            <w:r>
              <w:rPr>
                <w:sz w:val="20"/>
              </w:rPr>
              <w:t>Section 11.8</w:t>
            </w:r>
          </w:p>
        </w:tc>
        <w:tc>
          <w:tcPr>
            <w:tcW w:w="7025" w:type="dxa"/>
            <w:tcBorders/>
            <w:vAlign w:val="center"/>
          </w:tcPr>
          <w:p>
            <w:pPr>
              <w:pStyle w:val="TableContents"/>
              <w:bidi w:val="0"/>
              <w:spacing w:before="0" w:after="283"/>
              <w:jc w:val="left"/>
              <w:rPr>
                <w:sz w:val="20"/>
              </w:rPr>
            </w:pPr>
            <w:r>
              <w:rPr>
                <w:sz w:val="20"/>
              </w:rPr>
              <w:t>No Recourse Against Others</w:t>
            </w:r>
          </w:p>
        </w:tc>
        <w:tc>
          <w:tcPr>
            <w:tcW w:w="245" w:type="dxa"/>
            <w:tcBorders/>
            <w:vAlign w:val="center"/>
          </w:tcPr>
          <w:p>
            <w:pPr>
              <w:pStyle w:val="TableContents"/>
              <w:bidi w:val="0"/>
              <w:spacing w:before="0" w:after="283"/>
              <w:jc w:val="right"/>
              <w:rPr>
                <w:sz w:val="20"/>
              </w:rPr>
            </w:pPr>
            <w:r>
              <w:rPr>
                <w:sz w:val="20"/>
              </w:rPr>
              <w:t>44</w:t>
            </w:r>
          </w:p>
        </w:tc>
      </w:tr>
      <w:tr>
        <w:trPr/>
        <w:tc>
          <w:tcPr>
            <w:tcW w:w="1160" w:type="dxa"/>
            <w:tcBorders/>
            <w:vAlign w:val="center"/>
          </w:tcPr>
          <w:p>
            <w:pPr>
              <w:pStyle w:val="TableContents"/>
              <w:bidi w:val="0"/>
              <w:spacing w:before="0" w:after="283"/>
              <w:jc w:val="left"/>
              <w:rPr>
                <w:sz w:val="20"/>
              </w:rPr>
            </w:pPr>
            <w:r>
              <w:rPr>
                <w:sz w:val="20"/>
              </w:rPr>
              <w:t>Section 11.9</w:t>
            </w:r>
          </w:p>
        </w:tc>
        <w:tc>
          <w:tcPr>
            <w:tcW w:w="7025" w:type="dxa"/>
            <w:tcBorders/>
            <w:vAlign w:val="center"/>
          </w:tcPr>
          <w:p>
            <w:pPr>
              <w:pStyle w:val="TableContents"/>
              <w:bidi w:val="0"/>
              <w:spacing w:before="0" w:after="283"/>
              <w:jc w:val="left"/>
              <w:rPr>
                <w:sz w:val="20"/>
              </w:rPr>
            </w:pPr>
            <w:r>
              <w:rPr>
                <w:sz w:val="20"/>
              </w:rPr>
              <w:t>Counterparts; Electronic Signatures</w:t>
            </w:r>
          </w:p>
        </w:tc>
        <w:tc>
          <w:tcPr>
            <w:tcW w:w="245" w:type="dxa"/>
            <w:tcBorders/>
            <w:vAlign w:val="center"/>
          </w:tcPr>
          <w:p>
            <w:pPr>
              <w:pStyle w:val="TableContents"/>
              <w:bidi w:val="0"/>
              <w:spacing w:before="0" w:after="283"/>
              <w:jc w:val="right"/>
              <w:rPr>
                <w:sz w:val="20"/>
              </w:rPr>
            </w:pPr>
            <w:r>
              <w:rPr>
                <w:sz w:val="20"/>
              </w:rPr>
              <w:t>44</w:t>
            </w:r>
          </w:p>
        </w:tc>
      </w:tr>
      <w:tr>
        <w:trPr/>
        <w:tc>
          <w:tcPr>
            <w:tcW w:w="1160" w:type="dxa"/>
            <w:tcBorders/>
            <w:vAlign w:val="center"/>
          </w:tcPr>
          <w:p>
            <w:pPr>
              <w:pStyle w:val="TableContents"/>
              <w:bidi w:val="0"/>
              <w:spacing w:before="0" w:after="283"/>
              <w:jc w:val="left"/>
              <w:rPr>
                <w:sz w:val="20"/>
              </w:rPr>
            </w:pPr>
            <w:r>
              <w:rPr>
                <w:sz w:val="20"/>
              </w:rPr>
              <w:t>Section 11.10</w:t>
            </w:r>
          </w:p>
        </w:tc>
        <w:tc>
          <w:tcPr>
            <w:tcW w:w="7025" w:type="dxa"/>
            <w:tcBorders/>
            <w:vAlign w:val="center"/>
          </w:tcPr>
          <w:p>
            <w:pPr>
              <w:pStyle w:val="TableContents"/>
              <w:bidi w:val="0"/>
              <w:spacing w:before="0" w:after="283"/>
              <w:jc w:val="left"/>
              <w:rPr>
                <w:sz w:val="20"/>
              </w:rPr>
            </w:pPr>
            <w:r>
              <w:rPr>
                <w:sz w:val="20"/>
              </w:rPr>
              <w:t>Governing Laws</w:t>
            </w:r>
          </w:p>
        </w:tc>
        <w:tc>
          <w:tcPr>
            <w:tcW w:w="245" w:type="dxa"/>
            <w:tcBorders/>
            <w:vAlign w:val="center"/>
          </w:tcPr>
          <w:p>
            <w:pPr>
              <w:pStyle w:val="TableContents"/>
              <w:bidi w:val="0"/>
              <w:spacing w:before="0" w:after="283"/>
              <w:jc w:val="right"/>
              <w:rPr>
                <w:sz w:val="20"/>
              </w:rPr>
            </w:pPr>
            <w:r>
              <w:rPr>
                <w:sz w:val="20"/>
              </w:rPr>
              <w:t>45</w:t>
            </w:r>
          </w:p>
        </w:tc>
      </w:tr>
      <w:tr>
        <w:trPr/>
        <w:tc>
          <w:tcPr>
            <w:tcW w:w="1160" w:type="dxa"/>
            <w:tcBorders/>
            <w:vAlign w:val="center"/>
          </w:tcPr>
          <w:p>
            <w:pPr>
              <w:pStyle w:val="TableContents"/>
              <w:bidi w:val="0"/>
              <w:spacing w:before="0" w:after="283"/>
              <w:jc w:val="left"/>
              <w:rPr>
                <w:sz w:val="20"/>
              </w:rPr>
            </w:pPr>
            <w:r>
              <w:rPr>
                <w:sz w:val="20"/>
              </w:rPr>
              <w:t>Section 11.11</w:t>
            </w:r>
          </w:p>
        </w:tc>
        <w:tc>
          <w:tcPr>
            <w:tcW w:w="7025" w:type="dxa"/>
            <w:tcBorders/>
            <w:vAlign w:val="center"/>
          </w:tcPr>
          <w:p>
            <w:pPr>
              <w:pStyle w:val="TableContents"/>
              <w:bidi w:val="0"/>
              <w:spacing w:before="0" w:after="283"/>
              <w:jc w:val="left"/>
              <w:rPr>
                <w:sz w:val="20"/>
              </w:rPr>
            </w:pPr>
            <w:r>
              <w:rPr>
                <w:sz w:val="20"/>
              </w:rPr>
              <w:t>No Adverse Interpretation of Other Agreements</w:t>
            </w:r>
          </w:p>
        </w:tc>
        <w:tc>
          <w:tcPr>
            <w:tcW w:w="245" w:type="dxa"/>
            <w:tcBorders/>
            <w:vAlign w:val="center"/>
          </w:tcPr>
          <w:p>
            <w:pPr>
              <w:pStyle w:val="TableContents"/>
              <w:bidi w:val="0"/>
              <w:spacing w:before="0" w:after="283"/>
              <w:jc w:val="right"/>
              <w:rPr>
                <w:sz w:val="20"/>
              </w:rPr>
            </w:pPr>
            <w:r>
              <w:rPr>
                <w:sz w:val="20"/>
              </w:rPr>
              <w:t>45</w:t>
            </w:r>
          </w:p>
        </w:tc>
      </w:tr>
      <w:tr>
        <w:trPr/>
        <w:tc>
          <w:tcPr>
            <w:tcW w:w="1160" w:type="dxa"/>
            <w:tcBorders/>
            <w:vAlign w:val="center"/>
          </w:tcPr>
          <w:p>
            <w:pPr>
              <w:pStyle w:val="TableContents"/>
              <w:bidi w:val="0"/>
              <w:spacing w:before="0" w:after="283"/>
              <w:jc w:val="left"/>
              <w:rPr>
                <w:sz w:val="20"/>
              </w:rPr>
            </w:pPr>
            <w:r>
              <w:rPr>
                <w:sz w:val="20"/>
              </w:rPr>
              <w:t>Section 11.12</w:t>
            </w:r>
          </w:p>
        </w:tc>
        <w:tc>
          <w:tcPr>
            <w:tcW w:w="7025" w:type="dxa"/>
            <w:tcBorders/>
            <w:vAlign w:val="center"/>
          </w:tcPr>
          <w:p>
            <w:pPr>
              <w:pStyle w:val="TableContents"/>
              <w:bidi w:val="0"/>
              <w:spacing w:before="0" w:after="283"/>
              <w:jc w:val="left"/>
              <w:rPr>
                <w:sz w:val="20"/>
              </w:rPr>
            </w:pPr>
            <w:r>
              <w:rPr>
                <w:sz w:val="20"/>
              </w:rPr>
              <w:t>Successors</w:t>
            </w:r>
          </w:p>
        </w:tc>
        <w:tc>
          <w:tcPr>
            <w:tcW w:w="245" w:type="dxa"/>
            <w:tcBorders/>
            <w:vAlign w:val="center"/>
          </w:tcPr>
          <w:p>
            <w:pPr>
              <w:pStyle w:val="TableContents"/>
              <w:bidi w:val="0"/>
              <w:spacing w:before="0" w:after="283"/>
              <w:jc w:val="right"/>
              <w:rPr>
                <w:sz w:val="20"/>
              </w:rPr>
            </w:pPr>
            <w:r>
              <w:rPr>
                <w:sz w:val="20"/>
              </w:rPr>
              <w:t>45</w:t>
            </w:r>
          </w:p>
        </w:tc>
      </w:tr>
      <w:tr>
        <w:trPr/>
        <w:tc>
          <w:tcPr>
            <w:tcW w:w="1160" w:type="dxa"/>
            <w:tcBorders/>
            <w:vAlign w:val="center"/>
          </w:tcPr>
          <w:p>
            <w:pPr>
              <w:pStyle w:val="TableContents"/>
              <w:bidi w:val="0"/>
              <w:spacing w:before="0" w:after="283"/>
              <w:jc w:val="left"/>
              <w:rPr>
                <w:sz w:val="20"/>
              </w:rPr>
            </w:pPr>
            <w:r>
              <w:rPr>
                <w:sz w:val="20"/>
              </w:rPr>
              <w:t>Section 11.13</w:t>
            </w:r>
          </w:p>
        </w:tc>
        <w:tc>
          <w:tcPr>
            <w:tcW w:w="7025" w:type="dxa"/>
            <w:tcBorders/>
            <w:vAlign w:val="center"/>
          </w:tcPr>
          <w:p>
            <w:pPr>
              <w:pStyle w:val="TableContents"/>
              <w:bidi w:val="0"/>
              <w:spacing w:before="0" w:after="283"/>
              <w:jc w:val="left"/>
              <w:rPr>
                <w:sz w:val="20"/>
              </w:rPr>
            </w:pPr>
            <w:r>
              <w:rPr>
                <w:sz w:val="20"/>
              </w:rPr>
              <w:t>Severability</w:t>
            </w:r>
          </w:p>
        </w:tc>
        <w:tc>
          <w:tcPr>
            <w:tcW w:w="245" w:type="dxa"/>
            <w:tcBorders/>
            <w:vAlign w:val="center"/>
          </w:tcPr>
          <w:p>
            <w:pPr>
              <w:pStyle w:val="TableContents"/>
              <w:bidi w:val="0"/>
              <w:spacing w:before="0" w:after="283"/>
              <w:jc w:val="right"/>
              <w:rPr>
                <w:sz w:val="20"/>
              </w:rPr>
            </w:pPr>
            <w:r>
              <w:rPr>
                <w:sz w:val="20"/>
              </w:rPr>
              <w:t>45</w:t>
            </w:r>
          </w:p>
        </w:tc>
      </w:tr>
      <w:tr>
        <w:trPr/>
        <w:tc>
          <w:tcPr>
            <w:tcW w:w="1160" w:type="dxa"/>
            <w:tcBorders/>
            <w:vAlign w:val="center"/>
          </w:tcPr>
          <w:p>
            <w:pPr>
              <w:pStyle w:val="TableContents"/>
              <w:bidi w:val="0"/>
              <w:spacing w:before="0" w:after="283"/>
              <w:jc w:val="left"/>
              <w:rPr>
                <w:sz w:val="20"/>
              </w:rPr>
            </w:pPr>
            <w:r>
              <w:rPr>
                <w:sz w:val="20"/>
              </w:rPr>
              <w:t>Section 11.14</w:t>
            </w:r>
          </w:p>
        </w:tc>
        <w:tc>
          <w:tcPr>
            <w:tcW w:w="7025" w:type="dxa"/>
            <w:tcBorders/>
            <w:vAlign w:val="center"/>
          </w:tcPr>
          <w:p>
            <w:pPr>
              <w:pStyle w:val="TableContents"/>
              <w:bidi w:val="0"/>
              <w:spacing w:before="0" w:after="283"/>
              <w:jc w:val="left"/>
              <w:rPr>
                <w:sz w:val="20"/>
              </w:rPr>
            </w:pPr>
            <w:r>
              <w:rPr>
                <w:sz w:val="20"/>
              </w:rPr>
              <w:t>Table of Contents, Headings, Etc.</w:t>
            </w:r>
          </w:p>
        </w:tc>
        <w:tc>
          <w:tcPr>
            <w:tcW w:w="245" w:type="dxa"/>
            <w:tcBorders/>
            <w:vAlign w:val="center"/>
          </w:tcPr>
          <w:p>
            <w:pPr>
              <w:pStyle w:val="TableContents"/>
              <w:bidi w:val="0"/>
              <w:spacing w:before="0" w:after="283"/>
              <w:jc w:val="right"/>
              <w:rPr>
                <w:sz w:val="20"/>
              </w:rPr>
            </w:pPr>
            <w:r>
              <w:rPr>
                <w:sz w:val="20"/>
              </w:rPr>
              <w:t>45</w:t>
            </w:r>
          </w:p>
        </w:tc>
      </w:tr>
      <w:tr>
        <w:trPr/>
        <w:tc>
          <w:tcPr>
            <w:tcW w:w="11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185" w:type="dxa"/>
            <w:gridSpan w:val="2"/>
            <w:tcBorders/>
            <w:vAlign w:val="center"/>
          </w:tcPr>
          <w:p>
            <w:pPr>
              <w:pStyle w:val="TableContents"/>
              <w:bidi w:val="0"/>
              <w:spacing w:before="0" w:after="283"/>
              <w:jc w:val="left"/>
              <w:rPr/>
            </w:pPr>
            <w:r>
              <w:rPr>
                <w:sz w:val="20"/>
              </w:rPr>
              <w:t>ARTICLE XII. SINKING FUNDS</w:t>
            </w:r>
            <w:r>
              <w:rPr/>
              <w:t xml:space="preserve"> </w:t>
            </w:r>
          </w:p>
        </w:tc>
        <w:tc>
          <w:tcPr>
            <w:tcW w:w="245" w:type="dxa"/>
            <w:tcBorders/>
            <w:vAlign w:val="center"/>
          </w:tcPr>
          <w:p>
            <w:pPr>
              <w:pStyle w:val="TableContents"/>
              <w:bidi w:val="0"/>
              <w:spacing w:before="0" w:after="283"/>
              <w:jc w:val="right"/>
              <w:rPr>
                <w:sz w:val="20"/>
              </w:rPr>
            </w:pPr>
            <w:r>
              <w:rPr>
                <w:sz w:val="20"/>
              </w:rPr>
              <w:t>46</w:t>
            </w:r>
          </w:p>
        </w:tc>
      </w:tr>
      <w:tr>
        <w:trPr/>
        <w:tc>
          <w:tcPr>
            <w:tcW w:w="11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sz w:val="20"/>
              </w:rPr>
            </w:pPr>
            <w:r>
              <w:rPr>
                <w:sz w:val="20"/>
              </w:rPr>
              <w:t>Section 12.1</w:t>
            </w:r>
          </w:p>
        </w:tc>
        <w:tc>
          <w:tcPr>
            <w:tcW w:w="7025" w:type="dxa"/>
            <w:tcBorders/>
            <w:vAlign w:val="center"/>
          </w:tcPr>
          <w:p>
            <w:pPr>
              <w:pStyle w:val="TableContents"/>
              <w:bidi w:val="0"/>
              <w:spacing w:before="0" w:after="283"/>
              <w:jc w:val="left"/>
              <w:rPr>
                <w:sz w:val="20"/>
              </w:rPr>
            </w:pPr>
            <w:r>
              <w:rPr>
                <w:sz w:val="20"/>
              </w:rPr>
              <w:t>Applicability of Article</w:t>
            </w:r>
          </w:p>
        </w:tc>
        <w:tc>
          <w:tcPr>
            <w:tcW w:w="245" w:type="dxa"/>
            <w:tcBorders/>
            <w:vAlign w:val="center"/>
          </w:tcPr>
          <w:p>
            <w:pPr>
              <w:pStyle w:val="TableContents"/>
              <w:bidi w:val="0"/>
              <w:spacing w:before="0" w:after="283"/>
              <w:jc w:val="right"/>
              <w:rPr>
                <w:sz w:val="20"/>
              </w:rPr>
            </w:pPr>
            <w:r>
              <w:rPr>
                <w:sz w:val="20"/>
              </w:rPr>
              <w:t>46</w:t>
            </w:r>
          </w:p>
        </w:tc>
      </w:tr>
      <w:tr>
        <w:trPr/>
        <w:tc>
          <w:tcPr>
            <w:tcW w:w="1160" w:type="dxa"/>
            <w:tcBorders/>
            <w:vAlign w:val="center"/>
          </w:tcPr>
          <w:p>
            <w:pPr>
              <w:pStyle w:val="TableContents"/>
              <w:bidi w:val="0"/>
              <w:spacing w:before="0" w:after="283"/>
              <w:jc w:val="left"/>
              <w:rPr>
                <w:sz w:val="20"/>
              </w:rPr>
            </w:pPr>
            <w:r>
              <w:rPr>
                <w:sz w:val="20"/>
              </w:rPr>
              <w:t>Section 12.2</w:t>
            </w:r>
          </w:p>
        </w:tc>
        <w:tc>
          <w:tcPr>
            <w:tcW w:w="7025" w:type="dxa"/>
            <w:tcBorders/>
            <w:vAlign w:val="center"/>
          </w:tcPr>
          <w:p>
            <w:pPr>
              <w:pStyle w:val="TableContents"/>
              <w:bidi w:val="0"/>
              <w:spacing w:before="0" w:after="283"/>
              <w:jc w:val="left"/>
              <w:rPr>
                <w:sz w:val="20"/>
              </w:rPr>
            </w:pPr>
            <w:r>
              <w:rPr>
                <w:sz w:val="20"/>
              </w:rPr>
              <w:t>Satisfaction of Sinking Fund Payments with Securities</w:t>
            </w:r>
          </w:p>
        </w:tc>
        <w:tc>
          <w:tcPr>
            <w:tcW w:w="245" w:type="dxa"/>
            <w:tcBorders/>
            <w:vAlign w:val="center"/>
          </w:tcPr>
          <w:p>
            <w:pPr>
              <w:pStyle w:val="TableContents"/>
              <w:bidi w:val="0"/>
              <w:spacing w:before="0" w:after="283"/>
              <w:jc w:val="right"/>
              <w:rPr>
                <w:sz w:val="20"/>
              </w:rPr>
            </w:pPr>
            <w:r>
              <w:rPr>
                <w:sz w:val="20"/>
              </w:rPr>
              <w:t>46</w:t>
            </w:r>
          </w:p>
        </w:tc>
      </w:tr>
      <w:tr>
        <w:trPr/>
        <w:tc>
          <w:tcPr>
            <w:tcW w:w="1160" w:type="dxa"/>
            <w:tcBorders/>
            <w:vAlign w:val="center"/>
          </w:tcPr>
          <w:p>
            <w:pPr>
              <w:pStyle w:val="TableContents"/>
              <w:bidi w:val="0"/>
              <w:spacing w:before="0" w:after="283"/>
              <w:jc w:val="left"/>
              <w:rPr>
                <w:sz w:val="20"/>
              </w:rPr>
            </w:pPr>
            <w:r>
              <w:rPr>
                <w:sz w:val="20"/>
              </w:rPr>
              <w:t>Section 12.3</w:t>
            </w:r>
          </w:p>
        </w:tc>
        <w:tc>
          <w:tcPr>
            <w:tcW w:w="7025" w:type="dxa"/>
            <w:tcBorders/>
            <w:vAlign w:val="center"/>
          </w:tcPr>
          <w:p>
            <w:pPr>
              <w:pStyle w:val="TableContents"/>
              <w:bidi w:val="0"/>
              <w:spacing w:before="0" w:after="283"/>
              <w:jc w:val="left"/>
              <w:rPr>
                <w:sz w:val="20"/>
              </w:rPr>
            </w:pPr>
            <w:r>
              <w:rPr>
                <w:sz w:val="20"/>
              </w:rPr>
              <w:t>Redemption of Securities for Sinking Fund</w:t>
            </w:r>
          </w:p>
        </w:tc>
        <w:tc>
          <w:tcPr>
            <w:tcW w:w="245" w:type="dxa"/>
            <w:tcBorders/>
            <w:vAlign w:val="center"/>
          </w:tcPr>
          <w:p>
            <w:pPr>
              <w:pStyle w:val="TableContents"/>
              <w:bidi w:val="0"/>
              <w:spacing w:before="0" w:after="283"/>
              <w:jc w:val="right"/>
              <w:rPr>
                <w:sz w:val="20"/>
              </w:rPr>
            </w:pPr>
            <w:r>
              <w:rPr>
                <w:sz w:val="20"/>
              </w:rPr>
              <w:t>47</w:t>
            </w:r>
          </w:p>
        </w:tc>
      </w:tr>
      <w:tr>
        <w:trPr/>
        <w:tc>
          <w:tcPr>
            <w:tcW w:w="1160" w:type="dxa"/>
            <w:tcBorders/>
            <w:vAlign w:val="center"/>
          </w:tcPr>
          <w:p>
            <w:pPr>
              <w:pStyle w:val="TableContents"/>
              <w:bidi w:val="0"/>
              <w:spacing w:before="0" w:after="283"/>
              <w:jc w:val="left"/>
              <w:rPr>
                <w:sz w:val="20"/>
              </w:rPr>
            </w:pPr>
            <w:r>
              <w:rPr>
                <w:sz w:val="20"/>
              </w:rPr>
              <w:t>Section 12.4</w:t>
            </w:r>
          </w:p>
        </w:tc>
        <w:tc>
          <w:tcPr>
            <w:tcW w:w="7025" w:type="dxa"/>
            <w:tcBorders/>
            <w:vAlign w:val="center"/>
          </w:tcPr>
          <w:p>
            <w:pPr>
              <w:pStyle w:val="TableContents"/>
              <w:bidi w:val="0"/>
              <w:spacing w:before="0" w:after="283"/>
              <w:jc w:val="left"/>
              <w:rPr>
                <w:sz w:val="20"/>
              </w:rPr>
            </w:pPr>
            <w:r>
              <w:rPr>
                <w:sz w:val="20"/>
              </w:rPr>
              <w:t>Compliance with Applicable Anti-Terrorism and Anti-Money Laundering Regulations</w:t>
            </w:r>
          </w:p>
        </w:tc>
        <w:tc>
          <w:tcPr>
            <w:tcW w:w="245" w:type="dxa"/>
            <w:tcBorders/>
            <w:vAlign w:val="center"/>
          </w:tcPr>
          <w:p>
            <w:pPr>
              <w:pStyle w:val="TableContents"/>
              <w:bidi w:val="0"/>
              <w:spacing w:before="0" w:after="283"/>
              <w:jc w:val="right"/>
              <w:rPr>
                <w:sz w:val="20"/>
              </w:rPr>
            </w:pPr>
            <w:r>
              <w:rPr>
                <w:sz w:val="20"/>
              </w:rPr>
              <w:t>47</w:t>
            </w:r>
          </w:p>
        </w:tc>
      </w:tr>
    </w:tbl>
    <w:p>
      <w:pPr>
        <w:pStyle w:val="TextBody"/>
        <w:bidi w:val="0"/>
        <w:spacing w:before="0" w:after="0"/>
        <w:ind w:left="0" w:right="0" w:hanging="0"/>
        <w:jc w:val="center"/>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CLEARWAY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and tie between Trust Indenture Act of 1939 and</w:t>
        <w:br/>
        <w:t>Indenture, dated as of ,</w:t>
      </w:r>
    </w:p>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890"/>
        <w:gridCol w:w="60"/>
        <w:gridCol w:w="1280"/>
      </w:tblGrid>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§310(a)(1)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311(a)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312(a)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314(a)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4.3, 11.5</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315(a)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§317(a)(1)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318(a)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reconciliation and tie shall not, for any purpose, be deemed to be part of this Indenture.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_____________, _______, between Clearway Energy, Inc., a Delaware corporation (“Company”), and CSC Delaware Trust Company, as trustee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as follows for the benefit of the other party and for the equal and ratable benefit of the Holders of the Securities issued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I.</w:t>
      </w:r>
      <w:r>
        <w:rPr>
          <w:rFonts w:ascii="Times New Roman;Times;Serif" w:hAnsi="Times New Roman;Times;Serif"/>
          <w:b w:val="false"/>
          <w:i w:val="false"/>
          <w:caps w:val="false"/>
          <w:smallCaps w:val="false"/>
          <w:sz w:val="20"/>
          <w:u w:val="single"/>
        </w:rPr>
        <w:br/>
      </w:r>
      <w:r>
        <w:rPr>
          <w:rFonts w:ascii="Times New Roman;Times;Serif" w:hAnsi="Times New Roman;Times;Serif"/>
          <w:b w:val="false"/>
          <w:i w:val="false"/>
          <w:caps w:val="false"/>
          <w:smallCaps w:val="false"/>
          <w:sz w:val="20"/>
        </w:rPr>
        <w:t>DEFINITIONS AND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            </w:t>
      </w: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Amounts</w:t>
      </w:r>
      <w:r>
        <w:rPr>
          <w:rFonts w:ascii="Times New Roman;Times;Serif" w:hAnsi="Times New Roman;Times;Serif"/>
          <w:b w:val="false"/>
          <w:i w:val="false"/>
          <w:caps w:val="false"/>
          <w:smallCaps w:val="false"/>
          <w:sz w:val="20"/>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purposes of this definition,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under common control with</w:t>
      </w:r>
      <w:r>
        <w:rPr>
          <w:rFonts w:ascii="Times New Roman;Times;Serif" w:hAnsi="Times New Roman;Times;Serif"/>
          <w:b w:val="false"/>
          <w:i w:val="false"/>
          <w:caps w:val="false"/>
          <w:smallCaps w:val="false"/>
          <w:sz w:val="20"/>
        </w:rPr>
        <w:t>” have correlative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means any Registrar, Paying Agent or Service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Attributable Debt</w:t>
      </w:r>
      <w:r>
        <w:rPr>
          <w:rFonts w:ascii="Times New Roman;Times;Serif" w:hAnsi="Times New Roman;Times;Serif"/>
          <w:b w:val="false"/>
          <w:i w:val="false"/>
          <w:caps w:val="false"/>
          <w:smallCaps w:val="false"/>
          <w:sz w:val="20"/>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will be determined in accordance with the definition of “Capital Lease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a corporation, the board of directors of the corporation or any committee thereof duly authorized to act on behalf of such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a partnership, the Board of Directors of the general partner of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 respect to a limited liability company, the managing member or members or any controlling committee of managing members thereof; and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with respect to any other person, the board or committee of such person serving a similar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 Saturday, Sunday or a legal holiday in The City of New York on which banking institutions are authorized or required by law, regulation or executive order to close and any other day expressly provided for as a “Business Day” in a Board Resolution, Officers’ Certificate or supplemental indenture hereto for a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 Obligation</w:t>
      </w:r>
      <w:r>
        <w:rPr>
          <w:rFonts w:ascii="Times New Roman;Times;Serif" w:hAnsi="Times New Roman;Times;Serif"/>
          <w:b w:val="false"/>
          <w:i w:val="false"/>
          <w:caps w:val="false"/>
          <w:smallCaps w:val="false"/>
          <w:sz w:val="20"/>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corporation, corporate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an association or business entity, any and all shares, interests, participations, rights or other equivalents (however designated) of corporate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partnership or limited liability company, partnership interests (whether general or limited) or membership interests;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the party named as such above until a successor replaces it and thereafter means the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Order</w:t>
      </w:r>
      <w:r>
        <w:rPr>
          <w:rFonts w:ascii="Times New Roman;Times;Serif" w:hAnsi="Times New Roman;Times;Serif"/>
          <w:b w:val="false"/>
          <w:i w:val="false"/>
          <w:caps w:val="false"/>
          <w:smallCaps w:val="false"/>
          <w:sz w:val="20"/>
        </w:rPr>
        <w:t>” means a written order signed in the name of the Company by two Officers, one of whom must be the Company’s principal executive officer, principal financial officer or principal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shall be principally administered.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that is, or with the passage of time or the giving of notice or both would be, an Event of Default.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Discount Security</w:t>
      </w:r>
      <w:r>
        <w:rPr>
          <w:rFonts w:ascii="Times New Roman;Times;Serif" w:hAnsi="Times New Roman;Times;Serif"/>
          <w:b w:val="false"/>
          <w:i w:val="false"/>
          <w:caps w:val="false"/>
          <w:smallCaps w:val="false"/>
          <w:sz w:val="20"/>
        </w:rPr>
        <w:t>” means any Security that provides for an amount less than the stated principal amount thereof to be due and payable upon declaration of acceleration of the maturity thereof pursuant to Section 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means the currency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ECU</w:t>
      </w:r>
      <w:r>
        <w:rPr>
          <w:rFonts w:ascii="Times New Roman;Times;Serif" w:hAnsi="Times New Roman;Times;Serif"/>
          <w:b w:val="false"/>
          <w:i w:val="false"/>
          <w:caps w:val="false"/>
          <w:smallCaps w:val="false"/>
          <w:sz w:val="20"/>
        </w:rPr>
        <w:t>” means the European Currency Unit as determined by the Commission of the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 means the SEC’s Electronic Data Gathering, Analysis and Retrieval system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Capital Stock and all warrants, options or other rights to acquire Capital Stock (but excluding any debt security that is convertible into, or exchangeable for,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Currency</w:t>
      </w:r>
      <w:r>
        <w:rPr>
          <w:rFonts w:ascii="Times New Roman;Times;Serif" w:hAnsi="Times New Roman;Times;Serif"/>
          <w:b w:val="false"/>
          <w:i w:val="false"/>
          <w:caps w:val="false"/>
          <w:smallCaps w:val="false"/>
          <w:sz w:val="20"/>
        </w:rPr>
        <w:t>” means any currency or currency unit issued by a government other than the government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Security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Global Securities</w:t>
      </w:r>
      <w:r>
        <w:rPr>
          <w:rFonts w:ascii="Times New Roman;Times;Serif" w:hAnsi="Times New Roman;Times;Serif"/>
          <w:b w:val="false"/>
          <w:i w:val="false"/>
          <w:caps w:val="false"/>
          <w:smallCaps w:val="false"/>
          <w:sz w:val="20"/>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Securities</w:t>
      </w:r>
      <w:r>
        <w:rPr>
          <w:rFonts w:ascii="Times New Roman;Times;Serif" w:hAnsi="Times New Roman;Times;Serif"/>
          <w:b w:val="false"/>
          <w:i w:val="false"/>
          <w:caps w:val="false"/>
          <w:smallCaps w:val="false"/>
          <w:sz w:val="20"/>
        </w:rPr>
        <w:t>” means direct obligations of, or obligations guaranteed by, the United States of America (including any agency or instrumentality thereof) for the payment of which obligations or guarantees the full faith and credit of the United States of America is pledged and which are not callable or redeemable at the issuer’s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Hedging Obligations</w:t>
      </w:r>
      <w:r>
        <w:rPr>
          <w:rFonts w:ascii="Times New Roman;Times;Serif" w:hAnsi="Times New Roman;Times;Serif"/>
          <w:b w:val="false"/>
          <w:i w:val="false"/>
          <w:caps w:val="false"/>
          <w:smallCaps w:val="false"/>
          <w:sz w:val="20"/>
        </w:rPr>
        <w:t>” means, with respect to any specified person, the obligations of such person 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currency exchange, interest rate or commodity swap agreements, currency exchange, interest rate or commodity cap agreements and currency exchange, interest rate or commodity collar agreements;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Securityholder</w:t>
      </w:r>
      <w:r>
        <w:rPr>
          <w:rFonts w:ascii="Times New Roman;Times;Serif" w:hAnsi="Times New Roman;Times;Serif"/>
          <w:b w:val="false"/>
          <w:i w:val="false"/>
          <w:caps w:val="false"/>
          <w:smallCaps w:val="false"/>
          <w:sz w:val="20"/>
        </w:rPr>
        <w:t>” means a person in whose name a Security is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specified person, any indebtedness of such person (excluding accrued expenses and trade payables, except as provided in clause (5) below, and surety bonds), whether or not contingent: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respect of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evidenced by bonds, notes, debentures or similar instruments or letters of credit (or reimbursement agreements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respect of banker’s acceptances;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representing Capital Lease Obligations or Attributable Debt in respect of sale and leaseback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representing the balance of deferred and unpaid purchase price of any property or services with a scheduled due date more than six months after such property is acquired or such services are completed;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representing the net amount owing under any Hedging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provided, that the amount of such Indebtedness shall be deemed not to exceed the lesser of the amount secured by such Lien and the value of the person’s property securing such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means this Indenture as amended or supplemented from time to time and shall include the form and terms of particular Series of Securities established as contemplated 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with respect to any Discount Security which by its terms bears interest only after Maturity, means interest payable after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mortgage, deed of trust, deed to secure debt, lien (statutory or otherwise), pledge, hypothecation, encumbrance, restriction, collateral assignment, charge or security interest in, on or of such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interest of a vendor or a lessor under any conditional sale agreement, capital lease or title retention agreement (or any financing lease having substantially the same economic effect as any of the foregoing) relating to such asset;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Equity Interests or debt securities, any purchase option, call or similar right of a third party with respect to such Equity Interests or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notice of option to elect repayment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with respect to any person, the Chairman of the Board of Directors, the Chief Executive Officer, the President, the Chief Operating Officer, the Chief Financial Officer, the Chief Accounting Officer, the Treasurer, any Assistant Treasurer, the Secretary, the Controller, Assistant Secretary or any Vice President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means a certificate signed on behalf of the Company by two Officers of the Company, one of whom must be the principal executive officer, the principal financial officer, the treasurer or the principal accounting officer of the Company, that meets the requirements of Section 11.5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means an opinion from legal counsel who is reasonably acceptable to the Trustee, that meets the requirements of Section 11.5 hereof. The counsel may be an employee of or counsel to the Company, any Subsidiary of the Company or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joint venture, association, joint-stock company, trust, unincorporated organization, limited liability company or government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w:t>
      </w:r>
      <w:r>
        <w:rPr>
          <w:rFonts w:ascii="Times New Roman;Times;Serif" w:hAnsi="Times New Roman;Times;Serif"/>
          <w:b w:val="false"/>
          <w:i w:val="false"/>
          <w:caps w:val="false"/>
          <w:smallCaps w:val="false"/>
          <w:sz w:val="20"/>
        </w:rPr>
        <w:t>” of a Security means the principal of the Security plus, when appropriate, the premium, if any, on, and any Additional Amounts in respect of, the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when used with respect to the Trustee,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debentures, notes or other debt instruments of the Company of any Series authenticated and delivered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Series of Securities</w:t>
      </w:r>
      <w:r>
        <w:rPr>
          <w:rFonts w:ascii="Times New Roman;Times;Serif" w:hAnsi="Times New Roman;Times;Serif"/>
          <w:b w:val="false"/>
          <w:i w:val="false"/>
          <w:caps w:val="false"/>
          <w:smallCaps w:val="false"/>
          <w:sz w:val="20"/>
        </w:rPr>
        <w:t>” means each series of Securities created pursuant to Sections 2.1 and 2.2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means, with respect to any installment of interest or principal on any series of Indebtedness, the date on which the payment of interest or principal was scheduled to be paid in the documentation governing such Indebtedness as of the first date it was incurred in compliance with the terms of this Indenture, and will not include any contingent obligations to repay, redeem or repurchase any such interest or principal prior to the date originally scheduled for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specified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partnership (a) the sole general partner or the managing general partner of which is such person or a Subsidiary of such person or (b) the only general partners of which are that person or one or more Subsidiaries of that person (or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means the Trust Indenture Act of 1939 (15 U.S. Code §§ 77aaa-77bbbb) as in effect on the date of this Indenture; provided, however, that in the event the Trust Indenture Act of 1939 is amended after such date, “TIA” means, to the extent required by any such amendment, the Trust Indenture Act as so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means the person named as the “Trustee” in the first paragraph of this instrument until a successor Trustee shall have become such pursuant to the applicable provisions of this Indenture, and thereafter “Trustee” shall mean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of any person as of any date means the Capital Stock of such person that is at the time entitled to vote in the election of the Board of Directors of such person.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            </w:t>
      </w:r>
      <w:r>
        <w:rPr>
          <w:rFonts w:ascii="Times New Roman;Times;Serif" w:hAnsi="Times New Roman;Times;Serif"/>
          <w:b w:val="false"/>
          <w:i w:val="false"/>
          <w:caps w:val="false"/>
          <w:smallCaps w:val="false"/>
          <w:sz w:val="20"/>
          <w:u w:val="single"/>
        </w:rPr>
        <w:t>Other Definitions.</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2930"/>
        <w:gridCol w:w="60"/>
        <w:gridCol w:w="1205"/>
      </w:tblGrid>
      <w:tr>
        <w:trPr/>
        <w:tc>
          <w:tcPr>
            <w:tcW w:w="2930" w:type="dxa"/>
            <w:tcBorders>
              <w:bottom w:val="single" w:sz="8" w:space="0" w:color="000000"/>
            </w:tcBorders>
            <w:vAlign w:val="center"/>
          </w:tcPr>
          <w:p>
            <w:pPr>
              <w:pStyle w:val="TableContents"/>
              <w:bidi w:val="0"/>
              <w:spacing w:before="0" w:after="283"/>
              <w:jc w:val="both"/>
              <w:rPr>
                <w:b/>
                <w:sz w:val="20"/>
              </w:rPr>
            </w:pPr>
            <w:r>
              <w:rPr>
                <w:b/>
                <w:sz w:val="20"/>
              </w:rPr>
              <w:t>TERM</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center"/>
              <w:rPr>
                <w:b/>
                <w:sz w:val="20"/>
              </w:rPr>
            </w:pPr>
            <w:r>
              <w:rPr>
                <w:b/>
                <w:sz w:val="20"/>
              </w:rPr>
              <w:t xml:space="preserve">DEFINED IN </w:t>
              <w:br/>
              <w:t>SECTION</w:t>
            </w:r>
          </w:p>
        </w:tc>
      </w:tr>
      <w:tr>
        <w:trPr/>
        <w:tc>
          <w:tcPr>
            <w:tcW w:w="2930" w:type="dxa"/>
            <w:tcBorders/>
            <w:shd w:fill="CCEEFF" w:val="clear"/>
            <w:tcMar>
              <w:bottom w:w="0" w:type="dxa"/>
            </w:tcMar>
            <w:vAlign w:val="center"/>
          </w:tcPr>
          <w:p>
            <w:pPr>
              <w:pStyle w:val="TableContents"/>
              <w:bidi w:val="0"/>
              <w:spacing w:before="0" w:after="283"/>
              <w:jc w:val="both"/>
              <w:rPr/>
            </w:pPr>
            <w:r>
              <w:rPr/>
              <w:t>“</w:t>
            </w:r>
            <w:r>
              <w:rPr>
                <w:sz w:val="20"/>
              </w:rPr>
              <w:t>Bankruptcy Law”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sz w:val="20"/>
              </w:rPr>
            </w:pPr>
            <w:r>
              <w:rPr>
                <w:sz w:val="20"/>
              </w:rPr>
              <w:t>6.1</w:t>
            </w:r>
          </w:p>
        </w:tc>
      </w:tr>
      <w:tr>
        <w:trPr/>
        <w:tc>
          <w:tcPr>
            <w:tcW w:w="2930" w:type="dxa"/>
            <w:tcBorders/>
            <w:shd w:fill="FFFFFF" w:val="clear"/>
            <w:tcMar>
              <w:bottom w:w="0" w:type="dxa"/>
            </w:tcMar>
            <w:vAlign w:val="center"/>
          </w:tcPr>
          <w:p>
            <w:pPr>
              <w:pStyle w:val="TableContents"/>
              <w:bidi w:val="0"/>
              <w:spacing w:before="0" w:after="283"/>
              <w:jc w:val="both"/>
              <w:rPr/>
            </w:pPr>
            <w:r>
              <w:rPr/>
              <w:t>“</w:t>
            </w:r>
            <w:r>
              <w:rPr>
                <w:sz w:val="20"/>
              </w:rPr>
              <w:t>Custodian”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sz w:val="20"/>
              </w:rPr>
            </w:pPr>
            <w:r>
              <w:rPr>
                <w:sz w:val="20"/>
              </w:rPr>
              <w:t>6.1</w:t>
            </w:r>
          </w:p>
        </w:tc>
      </w:tr>
      <w:tr>
        <w:trPr/>
        <w:tc>
          <w:tcPr>
            <w:tcW w:w="2930" w:type="dxa"/>
            <w:tcBorders/>
            <w:shd w:fill="CCEEFF" w:val="clear"/>
            <w:tcMar>
              <w:bottom w:w="0" w:type="dxa"/>
            </w:tcMar>
            <w:vAlign w:val="center"/>
          </w:tcPr>
          <w:p>
            <w:pPr>
              <w:pStyle w:val="TableContents"/>
              <w:bidi w:val="0"/>
              <w:spacing w:before="0" w:after="283"/>
              <w:jc w:val="both"/>
              <w:rPr/>
            </w:pPr>
            <w:r>
              <w:rPr/>
              <w:t>“</w:t>
            </w:r>
            <w:r>
              <w:rPr>
                <w:sz w:val="20"/>
              </w:rPr>
              <w:t>Event of Default”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sz w:val="20"/>
              </w:rPr>
            </w:pPr>
            <w:r>
              <w:rPr>
                <w:sz w:val="20"/>
              </w:rPr>
              <w:t>6.1</w:t>
            </w:r>
          </w:p>
        </w:tc>
      </w:tr>
      <w:tr>
        <w:trPr/>
        <w:tc>
          <w:tcPr>
            <w:tcW w:w="2930" w:type="dxa"/>
            <w:tcBorders/>
            <w:shd w:fill="FFFFFF" w:val="clear"/>
            <w:tcMar>
              <w:bottom w:w="0" w:type="dxa"/>
            </w:tcMar>
            <w:vAlign w:val="center"/>
          </w:tcPr>
          <w:p>
            <w:pPr>
              <w:pStyle w:val="TableContents"/>
              <w:bidi w:val="0"/>
              <w:spacing w:before="0" w:after="283"/>
              <w:jc w:val="both"/>
              <w:rPr/>
            </w:pPr>
            <w:r>
              <w:rPr/>
              <w:t>“</w:t>
            </w:r>
            <w:r>
              <w:rPr>
                <w:sz w:val="20"/>
              </w:rPr>
              <w:t>Legal Holiday”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sz w:val="20"/>
              </w:rPr>
            </w:pPr>
            <w:r>
              <w:rPr>
                <w:sz w:val="20"/>
              </w:rPr>
              <w:t>11.7</w:t>
            </w:r>
          </w:p>
        </w:tc>
      </w:tr>
      <w:tr>
        <w:trPr/>
        <w:tc>
          <w:tcPr>
            <w:tcW w:w="2930" w:type="dxa"/>
            <w:tcBorders/>
            <w:shd w:fill="CCEEFF" w:val="clear"/>
            <w:tcMar>
              <w:bottom w:w="0" w:type="dxa"/>
            </w:tcMar>
            <w:vAlign w:val="center"/>
          </w:tcPr>
          <w:p>
            <w:pPr>
              <w:pStyle w:val="TableContents"/>
              <w:bidi w:val="0"/>
              <w:spacing w:before="0" w:after="283"/>
              <w:jc w:val="left"/>
              <w:rPr/>
            </w:pPr>
            <w:r>
              <w:rPr/>
              <w:t>“</w:t>
            </w:r>
            <w:r>
              <w:rPr>
                <w:sz w:val="20"/>
              </w:rPr>
              <w:t>mandatory sinking fund payment”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sz w:val="20"/>
              </w:rPr>
            </w:pPr>
            <w:r>
              <w:rPr>
                <w:sz w:val="20"/>
              </w:rPr>
              <w:t>12.1</w:t>
            </w:r>
          </w:p>
        </w:tc>
      </w:tr>
      <w:tr>
        <w:trPr/>
        <w:tc>
          <w:tcPr>
            <w:tcW w:w="2930" w:type="dxa"/>
            <w:tcBorders/>
            <w:shd w:fill="FFFFFF" w:val="clear"/>
            <w:tcMar>
              <w:bottom w:w="0" w:type="dxa"/>
            </w:tcMar>
            <w:vAlign w:val="center"/>
          </w:tcPr>
          <w:p>
            <w:pPr>
              <w:pStyle w:val="TableContents"/>
              <w:bidi w:val="0"/>
              <w:spacing w:before="0" w:after="283"/>
              <w:jc w:val="left"/>
              <w:rPr/>
            </w:pPr>
            <w:r>
              <w:rPr/>
              <w:t>“</w:t>
            </w:r>
            <w:r>
              <w:rPr>
                <w:sz w:val="20"/>
              </w:rPr>
              <w:t>optional sinking fund payment”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sz w:val="20"/>
              </w:rPr>
            </w:pPr>
            <w:r>
              <w:rPr>
                <w:sz w:val="20"/>
              </w:rPr>
              <w:t>12.1</w:t>
            </w:r>
          </w:p>
        </w:tc>
      </w:tr>
      <w:tr>
        <w:trPr/>
        <w:tc>
          <w:tcPr>
            <w:tcW w:w="2930" w:type="dxa"/>
            <w:tcBorders/>
            <w:shd w:fill="CCEEFF" w:val="clear"/>
            <w:tcMar>
              <w:bottom w:w="0" w:type="dxa"/>
            </w:tcMar>
            <w:vAlign w:val="center"/>
          </w:tcPr>
          <w:p>
            <w:pPr>
              <w:pStyle w:val="TableContents"/>
              <w:bidi w:val="0"/>
              <w:spacing w:before="0" w:after="283"/>
              <w:jc w:val="left"/>
              <w:rPr/>
            </w:pPr>
            <w:r>
              <w:rPr/>
              <w:t>“</w:t>
            </w:r>
            <w:r>
              <w:rPr>
                <w:sz w:val="20"/>
              </w:rPr>
              <w:t>Paying Agent”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sz w:val="20"/>
              </w:rPr>
            </w:pPr>
            <w:r>
              <w:rPr>
                <w:sz w:val="20"/>
              </w:rPr>
              <w:t>2.4</w:t>
            </w:r>
          </w:p>
        </w:tc>
      </w:tr>
      <w:tr>
        <w:trPr/>
        <w:tc>
          <w:tcPr>
            <w:tcW w:w="2930" w:type="dxa"/>
            <w:tcBorders/>
            <w:shd w:fill="FFFFFF" w:val="clear"/>
            <w:tcMar>
              <w:bottom w:w="0" w:type="dxa"/>
            </w:tcMar>
            <w:vAlign w:val="center"/>
          </w:tcPr>
          <w:p>
            <w:pPr>
              <w:pStyle w:val="TableContents"/>
              <w:bidi w:val="0"/>
              <w:spacing w:before="0" w:after="283"/>
              <w:jc w:val="left"/>
              <w:rPr/>
            </w:pPr>
            <w:r>
              <w:rPr/>
              <w:t>“</w:t>
            </w:r>
            <w:r>
              <w:rPr>
                <w:sz w:val="20"/>
              </w:rPr>
              <w:t>Registrar”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sz w:val="20"/>
              </w:rPr>
            </w:pPr>
            <w:r>
              <w:rPr>
                <w:sz w:val="20"/>
              </w:rPr>
              <w:t>2.4</w:t>
            </w:r>
          </w:p>
        </w:tc>
      </w:tr>
      <w:tr>
        <w:trPr/>
        <w:tc>
          <w:tcPr>
            <w:tcW w:w="2930" w:type="dxa"/>
            <w:tcBorders/>
            <w:shd w:fill="CCEEFF" w:val="clear"/>
            <w:tcMar>
              <w:bottom w:w="0" w:type="dxa"/>
            </w:tcMar>
            <w:vAlign w:val="center"/>
          </w:tcPr>
          <w:p>
            <w:pPr>
              <w:pStyle w:val="TableContents"/>
              <w:bidi w:val="0"/>
              <w:spacing w:before="0" w:after="283"/>
              <w:jc w:val="left"/>
              <w:rPr/>
            </w:pPr>
            <w:r>
              <w:rPr/>
              <w:t>“</w:t>
            </w:r>
            <w:r>
              <w:rPr>
                <w:sz w:val="20"/>
              </w:rPr>
              <w:t>Service Agent”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sz w:val="20"/>
              </w:rPr>
            </w:pPr>
            <w:r>
              <w:rPr>
                <w:sz w:val="20"/>
              </w:rPr>
              <w:t>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1.3            </w:t>
      </w:r>
      <w:r>
        <w:rPr>
          <w:rFonts w:ascii="Times New Roman;Times;Serif" w:hAnsi="Times New Roman;Times;Serif"/>
          <w:b w:val="false"/>
          <w:i w:val="false"/>
          <w:caps w:val="false"/>
          <w:smallCaps w:val="false"/>
          <w:sz w:val="20"/>
          <w:u w:val="single"/>
        </w:rPr>
        <w:t>Incorporation by Reference of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this Indenture refers to a provision of the TIA, the provision is incorporated by reference in and made a part of this Indenture. The following TIA terms used in this Indenture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 securities</w:t>
      </w:r>
      <w:r>
        <w:rPr>
          <w:rFonts w:ascii="Times New Roman;Times;Serif" w:hAnsi="Times New Roman;Times;Serif"/>
          <w:b w:val="false"/>
          <w:i w:val="false"/>
          <w:caps w:val="false"/>
          <w:smallCaps w:val="false"/>
          <w:sz w:val="20"/>
        </w:rPr>
        <w:t>” means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 security holder</w:t>
      </w:r>
      <w:r>
        <w:rPr>
          <w:rFonts w:ascii="Times New Roman;Times;Serif" w:hAnsi="Times New Roman;Times;Serif"/>
          <w:b w:val="false"/>
          <w:i w:val="false"/>
          <w:caps w:val="false"/>
          <w:smallCaps w:val="false"/>
          <w:sz w:val="20"/>
        </w:rPr>
        <w:t>” means a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 to be qualified</w:t>
      </w:r>
      <w:r>
        <w:rPr>
          <w:rFonts w:ascii="Times New Roman;Times;Serif" w:hAnsi="Times New Roman;Times;Serif"/>
          <w:b w:val="false"/>
          <w:i w:val="false"/>
          <w:caps w:val="false"/>
          <w:smallCaps w:val="false"/>
          <w:sz w:val="20"/>
        </w:rPr>
        <w:t>” means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 trustee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institutional trustee</w:t>
      </w:r>
      <w:r>
        <w:rPr>
          <w:rFonts w:ascii="Times New Roman;Times;Serif" w:hAnsi="Times New Roman;Times;Serif"/>
          <w:b w:val="false"/>
          <w:i w:val="false"/>
          <w:caps w:val="false"/>
          <w:smallCaps w:val="false"/>
          <w:sz w:val="20"/>
        </w:rPr>
        <w:t>” means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obligor</w:t>
      </w:r>
      <w:r>
        <w:rPr>
          <w:rFonts w:ascii="Times New Roman;Times;Serif" w:hAnsi="Times New Roman;Times;Serif"/>
          <w:b w:val="false"/>
          <w:i w:val="false"/>
          <w:caps w:val="false"/>
          <w:smallCaps w:val="false"/>
          <w:sz w:val="20"/>
        </w:rPr>
        <w:t>” on the indenture securities means the Company and any successor obligor upon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TIA, defined by TIA reference to another statute or defined by SEC rule under the TIA and not otherwise defined herein are used herein as so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            </w:t>
      </w:r>
      <w:r>
        <w:rPr>
          <w:rFonts w:ascii="Times New Roman;Times;Serif" w:hAnsi="Times New Roman;Times;Serif"/>
          <w:b w:val="false"/>
          <w:i w:val="false"/>
          <w:caps w:val="false"/>
          <w:smallCaps w:val="false"/>
          <w:sz w:val="20"/>
          <w:u w:val="single"/>
        </w:rPr>
        <w:t>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 term has the meaning assigned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an accounting term not otherwise defined has the meaning assigned to it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references to “generally accepted accounting principles” and “GAAP” shall mean generally accepted accounting principles in effect as of the time when and for the period as to which such accounting principles are to be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“or” is not exclusive;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words in the singular include the plural, and in the plural include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“will” shall be interpreted to express a command;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“including” is not limiting;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provisions apply to successive events and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II.</w:t>
      </w:r>
      <w:r>
        <w:rPr>
          <w:rFonts w:ascii="Times New Roman;Times;Serif" w:hAnsi="Times New Roman;Times;Serif"/>
          <w:b w:val="false"/>
          <w:i w:val="false"/>
          <w:caps w:val="false"/>
          <w:smallCaps w:val="false"/>
          <w:sz w:val="20"/>
          <w:u w:val="single"/>
        </w:rPr>
        <w:br/>
      </w:r>
      <w:r>
        <w:rPr>
          <w:rFonts w:ascii="Times New Roman;Times;Serif" w:hAnsi="Times New Roman;Times;Serif"/>
          <w:b w:val="false"/>
          <w:i w:val="false"/>
          <w:caps w:val="false"/>
          <w:smallCaps w:val="false"/>
          <w:sz w:val="20"/>
        </w:rPr>
        <w:t>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            </w:t>
      </w:r>
      <w:r>
        <w:rPr>
          <w:rFonts w:ascii="Times New Roman;Times;Serif" w:hAnsi="Times New Roman;Times;Serif"/>
          <w:b w:val="false"/>
          <w:i w:val="false"/>
          <w:caps w:val="false"/>
          <w:smallCaps w:val="false"/>
          <w:sz w:val="20"/>
          <w:u w:val="single"/>
        </w:rPr>
        <w:t>Issuable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that may be authenticated and delivered under this Indenture is unlimited.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2.2            </w:t>
      </w:r>
      <w:r>
        <w:rPr>
          <w:rFonts w:ascii="Times New Roman;Times;Serif" w:hAnsi="Times New Roman;Times;Serif"/>
          <w:b w:val="false"/>
          <w:i w:val="false"/>
          <w:caps w:val="false"/>
          <w:smallCaps w:val="false"/>
          <w:sz w:val="20"/>
          <w:u w:val="single"/>
        </w:rPr>
        <w:t>Establishment of Terms of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2.2.21) by or pursuant to a Board Resolution, and set forth or determined in the manner provided in a Board Resolution, supplemental indenture or an Officers’ Certificate pursuant to authority granted under a Board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        </w:t>
      </w:r>
      <w:r>
        <w:rPr>
          <w:rFonts w:ascii="Times New Roman;Times;Serif" w:hAnsi="Times New Roman;Times;Serif"/>
          <w:b w:val="false"/>
          <w:i w:val="false"/>
          <w:caps w:val="false"/>
          <w:smallCaps w:val="false"/>
          <w:sz w:val="20"/>
        </w:rPr>
        <w:t>the title of the Series (which shall distinguish the Securities of that particular Series from the Securities of any other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2.2.2        </w:t>
      </w:r>
      <w:r>
        <w:rPr>
          <w:rFonts w:ascii="Times New Roman;Times;Serif" w:hAnsi="Times New Roman;Times;Serif"/>
          <w:b w:val="false"/>
          <w:i w:val="false"/>
          <w:caps w:val="false"/>
          <w:smallCaps w:val="false"/>
          <w:sz w:val="20"/>
        </w:rPr>
        <w:t>the price or prices (expressed as a percentage of the principal amount thereof) at which the Securities of the Series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2.2.3         </w:t>
      </w:r>
      <w:r>
        <w:rPr>
          <w:rFonts w:ascii="Times New Roman;Times;Serif" w:hAnsi="Times New Roman;Times;Serif"/>
          <w:b w:val="false"/>
          <w:i w:val="false"/>
          <w:caps w:val="false"/>
          <w:smallCaps w:val="false"/>
          <w:sz w:val="20"/>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2.2.4         </w:t>
      </w:r>
      <w:r>
        <w:rPr>
          <w:rFonts w:ascii="Times New Roman;Times;Serif" w:hAnsi="Times New Roman;Times;Serif"/>
          <w:b w:val="false"/>
          <w:i w:val="false"/>
          <w:caps w:val="false"/>
          <w:smallCaps w:val="false"/>
          <w:sz w:val="20"/>
        </w:rPr>
        <w:t>the date or dates on which the principal of the Securities of the Series is payable;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2.2.5        </w:t>
      </w:r>
      <w:r>
        <w:rPr>
          <w:rFonts w:ascii="Times New Roman;Times;Serif" w:hAnsi="Times New Roman;Times;Serif"/>
          <w:b w:val="false"/>
          <w:i w:val="false"/>
          <w:caps w:val="false"/>
          <w:smallCaps w:val="false"/>
          <w:sz w:val="20"/>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 provided, however, that the method used to determine such rate or rates at which Securities of the Series shall bear interest must be administratively feasible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2.2.6         </w:t>
      </w:r>
      <w:r>
        <w:rPr>
          <w:rFonts w:ascii="Times New Roman;Times;Serif" w:hAnsi="Times New Roman;Times;Serif"/>
          <w:b w:val="false"/>
          <w:i w:val="false"/>
          <w:caps w:val="false"/>
          <w:smallCaps w:val="false"/>
          <w:sz w:val="20"/>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2.2.7         </w:t>
      </w:r>
      <w:r>
        <w:rPr>
          <w:rFonts w:ascii="Times New Roman;Times;Serif" w:hAnsi="Times New Roman;Times;Serif"/>
          <w:b w:val="false"/>
          <w:i w:val="false"/>
          <w:caps w:val="false"/>
          <w:smallCaps w:val="false"/>
          <w:sz w:val="20"/>
        </w:rPr>
        <w:t>if applicable, the period or periods within which the price or prices at which and the terms and conditions upon which the Securities of the Series may be redeemed, in whole or in part, at the option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2.2.8         </w:t>
      </w:r>
      <w:r>
        <w:rPr>
          <w:rFonts w:ascii="Times New Roman;Times;Serif" w:hAnsi="Times New Roman;Times;Serif"/>
          <w:b w:val="false"/>
          <w:i w:val="false"/>
          <w:caps w:val="false"/>
          <w:smallCaps w:val="false"/>
          <w:sz w:val="20"/>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2.2.9         </w:t>
      </w:r>
      <w:r>
        <w:rPr>
          <w:rFonts w:ascii="Times New Roman;Times;Serif" w:hAnsi="Times New Roman;Times;Serif"/>
          <w:b w:val="false"/>
          <w:i w:val="false"/>
          <w:caps w:val="false"/>
          <w:smallCaps w:val="false"/>
          <w:sz w:val="20"/>
        </w:rPr>
        <w:t>the dates, if any, on which and the price or prices at which the Securities of the Series will be repurchased by the Company at the option of the Holders thereof and other detailed terms and provisions of such repurchase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2.2.10       </w:t>
      </w:r>
      <w:r>
        <w:rPr>
          <w:rFonts w:ascii="Times New Roman;Times;Serif" w:hAnsi="Times New Roman;Times;Serif"/>
          <w:b w:val="false"/>
          <w:i w:val="false"/>
          <w:caps w:val="false"/>
          <w:smallCaps w:val="false"/>
          <w:sz w:val="20"/>
        </w:rPr>
        <w:t>if other than denominations of $2,000 and any integral multiples of $1,000 in excess thereof, the denominations in which the Securities of the Series shall be issuable;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2.2.11       </w:t>
      </w:r>
      <w:r>
        <w:rPr>
          <w:rFonts w:ascii="Times New Roman;Times;Serif" w:hAnsi="Times New Roman;Times;Serif"/>
          <w:b w:val="false"/>
          <w:i w:val="false"/>
          <w:caps w:val="false"/>
          <w:smallCaps w:val="false"/>
          <w:sz w:val="20"/>
        </w:rPr>
        <w:t>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2.2.12       </w:t>
      </w:r>
      <w:r>
        <w:rPr>
          <w:rFonts w:ascii="Times New Roman;Times;Serif" w:hAnsi="Times New Roman;Times;Serif"/>
          <w:b w:val="false"/>
          <w:i w:val="false"/>
          <w:caps w:val="false"/>
          <w:smallCaps w:val="false"/>
          <w:sz w:val="20"/>
        </w:rPr>
        <w:t>if other than the principal amount thereof, the portion of the principal amount of the Securities of the Series that shall be payable upon declaration of acceleration of the maturity thereof pursuant to Section 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2.2.13       </w:t>
      </w:r>
      <w:r>
        <w:rPr>
          <w:rFonts w:ascii="Times New Roman;Times;Serif" w:hAnsi="Times New Roman;Times;Serif"/>
          <w:b w:val="false"/>
          <w:i w:val="false"/>
          <w:caps w:val="false"/>
          <w:smallCaps w:val="false"/>
          <w:sz w:val="20"/>
        </w:rPr>
        <w:t>the currency of denomination of the Securities of the Series, which may be Dollars or any Foreign Currency, including, but not limited to, the ECU, and if such currency of denomination is a composite currency other than the ECU, the agency or organization, if any, responsible for overseeing such composite currency;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2.2.14       </w:t>
      </w:r>
      <w:r>
        <w:rPr>
          <w:rFonts w:ascii="Times New Roman;Times;Serif" w:hAnsi="Times New Roman;Times;Serif"/>
          <w:b w:val="false"/>
          <w:i w:val="false"/>
          <w:caps w:val="false"/>
          <w:smallCaps w:val="false"/>
          <w:sz w:val="20"/>
        </w:rPr>
        <w:t>the designation of the currency, currencies or currency units in which payment of the principal of and interest, if any, on the Securities of the Series will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2.2.15       </w:t>
      </w:r>
      <w:r>
        <w:rPr>
          <w:rFonts w:ascii="Times New Roman;Times;Serif" w:hAnsi="Times New Roman;Times;Serif"/>
          <w:b w:val="false"/>
          <w:i w:val="false"/>
          <w:caps w:val="false"/>
          <w:smallCaps w:val="false"/>
          <w:sz w:val="20"/>
        </w:rPr>
        <w:t>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2.2.16       </w:t>
      </w:r>
      <w:r>
        <w:rPr>
          <w:rFonts w:ascii="Times New Roman;Times;Serif" w:hAnsi="Times New Roman;Times;Serif"/>
          <w:b w:val="false"/>
          <w:i w:val="false"/>
          <w:caps w:val="false"/>
          <w:smallCaps w:val="false"/>
          <w:sz w:val="20"/>
        </w:rPr>
        <w:t>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2.2.17       </w:t>
      </w:r>
      <w:r>
        <w:rPr>
          <w:rFonts w:ascii="Times New Roman;Times;Serif" w:hAnsi="Times New Roman;Times;Serif"/>
          <w:b w:val="false"/>
          <w:i w:val="false"/>
          <w:caps w:val="false"/>
          <w:smallCaps w:val="false"/>
          <w:sz w:val="20"/>
        </w:rPr>
        <w:t>the provisions, if any, relating to any security or guarantee provided for the Securities of the Series, and any subordination in right of payment, if any, of the Securities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2.2.18       </w:t>
      </w:r>
      <w:r>
        <w:rPr>
          <w:rFonts w:ascii="Times New Roman;Times;Serif" w:hAnsi="Times New Roman;Times;Serif"/>
          <w:b w:val="false"/>
          <w:i w:val="false"/>
          <w:caps w:val="false"/>
          <w:smallCaps w:val="false"/>
          <w:sz w:val="20"/>
        </w:rPr>
        <w:t>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2.2.19       </w:t>
      </w:r>
      <w:r>
        <w:rPr>
          <w:rFonts w:ascii="Times New Roman;Times;Serif" w:hAnsi="Times New Roman;Times;Serif"/>
          <w:b w:val="false"/>
          <w:i w:val="false"/>
          <w:caps w:val="false"/>
          <w:smallCaps w:val="false"/>
          <w:sz w:val="20"/>
        </w:rPr>
        <w:t>any addition to or change in the covenants set forth in Articles IV or V which applies to Securities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2.2.20      </w:t>
      </w:r>
      <w:r>
        <w:rPr>
          <w:rFonts w:ascii="Times New Roman;Times;Serif" w:hAnsi="Times New Roman;Times;Serif"/>
          <w:b w:val="false"/>
          <w:i w:val="false"/>
          <w:caps w:val="false"/>
          <w:smallCaps w:val="false"/>
          <w:sz w:val="20"/>
        </w:rPr>
        <w:t>any other terms of the Securities of the Series (which may modify or delete any provision of this Indenture insofar as it applies to such Series);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2.2.21      </w:t>
      </w:r>
      <w:r>
        <w:rPr>
          <w:rFonts w:ascii="Times New Roman;Times;Serif" w:hAnsi="Times New Roman;Times;Serif"/>
          <w:b w:val="false"/>
          <w:i w:val="false"/>
          <w:caps w:val="false"/>
          <w:smallCaps w:val="false"/>
          <w:sz w:val="20"/>
        </w:rPr>
        <w:t>any depositories, interest rate calculation agents, exchange rate calculation agents or other agents with respect to Securities of such Series if other than those appointed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and the authorized principal amount of any Series may not be increased to provide for issuances of additional Securities of such Series, unless otherwise provided in such Board Resolution, supplemental indenture or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2.3            </w:t>
      </w:r>
      <w:r>
        <w:rPr>
          <w:rFonts w:ascii="Times New Roman;Times;Serif" w:hAnsi="Times New Roman;Times;Serif"/>
          <w:b w:val="false"/>
          <w:i w:val="false"/>
          <w:caps w:val="false"/>
          <w:smallCaps w:val="false"/>
          <w:sz w:val="20"/>
          <w:u w:val="single"/>
        </w:rPr>
        <w:t>Execution and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Officer shall sign the Securities for the Company by manual or facsimile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Security no longer holds that office at the time the Security is authenticated, the Security shall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by the manual signature of the Trustee or an authenticating agent. The signature shall be conclusive evidence that the Security has been authenticated under this Indenture.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unless otherwise provided by a Board Resolution, a supplemental indenture hereto or an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11.4, and (c) an Opinion of Counsel complying with Section 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any Securities of such Series: (a) if the Trustee, being advised by counsel, determines that such action may not be taken lawfully; or (b) if the Trustee in good faith shall determine that such action could expose the Trustee to personal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Holders, the Company or an Affiliate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2.4            </w:t>
      </w:r>
      <w:r>
        <w:rPr>
          <w:rFonts w:ascii="Times New Roman;Times;Serif" w:hAnsi="Times New Roman;Times;Serif"/>
          <w:b w:val="false"/>
          <w:i w:val="false"/>
          <w:caps w:val="false"/>
          <w:smallCaps w:val="false"/>
          <w:sz w:val="20"/>
          <w:u w:val="single"/>
        </w:rPr>
        <w:t>Registrar and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where Securities of such Series may be surrendered for registration of transfer or exchange (“</w:t>
      </w:r>
      <w:r>
        <w:rPr>
          <w:rFonts w:ascii="Times New Roman;Times;Serif" w:hAnsi="Times New Roman;Times;Serif"/>
          <w:b w:val="false"/>
          <w:i w:val="false"/>
          <w:caps w:val="false"/>
          <w:smallCaps w:val="false"/>
          <w:sz w:val="20"/>
          <w:u w:val="single"/>
        </w:rPr>
        <w:t>Registrar</w:t>
      </w:r>
      <w:r>
        <w:rPr>
          <w:rFonts w:ascii="Times New Roman;Times;Serif" w:hAnsi="Times New Roman;Times;Serif"/>
          <w:b w:val="false"/>
          <w:i w:val="false"/>
          <w:caps w:val="false"/>
          <w:smallCaps w:val="false"/>
          <w:sz w:val="20"/>
        </w:rPr>
        <w:t>”) and where notices and demands to or upon the Company in respect of the Securities of such Series and this Indenture may be served (“</w:t>
      </w:r>
      <w:r>
        <w:rPr>
          <w:rFonts w:ascii="Times New Roman;Times;Serif" w:hAnsi="Times New Roman;Times;Serif"/>
          <w:b w:val="false"/>
          <w:i w:val="false"/>
          <w:caps w:val="false"/>
          <w:smallCaps w:val="false"/>
          <w:sz w:val="20"/>
          <w:u w:val="single"/>
        </w:rPr>
        <w:t>Service Agent</w:t>
      </w:r>
      <w:r>
        <w:rPr>
          <w:rFonts w:ascii="Times New Roman;Times;Serif" w:hAnsi="Times New Roman;Times;Serif"/>
          <w:b w:val="false"/>
          <w:i w:val="false"/>
          <w:caps w:val="false"/>
          <w:smallCaps w:val="false"/>
          <w:sz w:val="20"/>
        </w:rPr>
        <w:t>”). The Registrar shall keep a register with respect to each Series of Securities and to their transfer and exchange. The Company will give prompt written notice to the Trustee of the name and address, and any change in the name or address, of each Registrar, Paying Agent or Service Agent. If at any time the Company shall fail to maintain any such required Registrar, Paying Agent or Service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provided, however, that the Trustee shall not serve as an agent or officer for the purpose of service of process on behalf of the Company.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also from time to time designate one or more co-registrars, additional paying agents or additional service agents and may from time to time rescind such designations;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designation or rescission shall in any manner relieve the Company of its obligations to maintain a Registrar, Paying Agent and Service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service agent. The term “Registrar” includes any co-registrar; the term “Paying Agent” includes any additional paying agent; and the term “Service Agent” includes any additional service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appoints the Trustee as the initial Registrar, Paying Agent and Service Agent for each Series unless another Registrar, Paying Agent or Service Agent, as the case may be, is appointed prior to the time Securities of that Series are first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2.5            </w:t>
      </w:r>
      <w:r>
        <w:rPr>
          <w:rFonts w:ascii="Times New Roman;Times;Serif" w:hAnsi="Times New Roman;Times;Serif"/>
          <w:b w:val="false"/>
          <w:i w:val="false"/>
          <w:caps w:val="false"/>
          <w:smallCaps w:val="false"/>
          <w:sz w:val="20"/>
          <w:u w:val="single"/>
        </w:rPr>
        <w:t>Paying Agent to Hold Money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2.6            </w:t>
      </w:r>
      <w:r>
        <w:rPr>
          <w:rFonts w:ascii="Times New Roman;Times;Serif" w:hAnsi="Times New Roman;Times;Serif"/>
          <w:b w:val="false"/>
          <w:i w:val="false"/>
          <w:caps w:val="false"/>
          <w:smallCaps w:val="false"/>
          <w:sz w:val="20"/>
          <w:u w:val="single"/>
        </w:rPr>
        <w:t>Securityholder Lists.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2.7            </w:t>
      </w:r>
      <w:r>
        <w:rPr>
          <w:rFonts w:ascii="Times New Roman;Times;Serif" w:hAnsi="Times New Roman;Times;Serif"/>
          <w:b w:val="false"/>
          <w:i w:val="false"/>
          <w:caps w:val="false"/>
          <w:smallCaps w:val="false"/>
          <w:sz w:val="20"/>
          <w:u w:val="single"/>
        </w:rPr>
        <w:t>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Securities of a Series are presented to the Registrar or a co-registrar with a request to register a transfer or to exchange them for an equal principal amount of Securities of the same Series, the Registrar shall register the transfer or make the exchange if the requirements set forth in this Indenture and the Board Resolution, supplemental indenture hereto or Officers’ Certificate applicable to such Series of Securities are met with respect to such transfer or exchange.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neither the Trustee nor the Registrar shall have any obligation or duty to monitor, determine or inquire as to compliance with any restrictions on transfer imposed under this Indenture, any Board Resolution, any supplemental indenture hereto, any Officers’ Certificate, any Securities or under applicable law with respect to any transfer of any interest in any Securities other than to require delivery of such certificates and other documentation or evidence as are expressly required by, and to do so if and when expressly required by the terms of, this Indenture or the Board Resolution, supplemental indenture hereto or Officers’ Certificate applicable to such Series of Securities, and to examine the same to determine substantial compliance as to form with the express requirements hereof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2.8            </w:t>
      </w:r>
      <w:r>
        <w:rPr>
          <w:rFonts w:ascii="Times New Roman;Times;Serif" w:hAnsi="Times New Roman;Times;Serif"/>
          <w:b w:val="false"/>
          <w:i w:val="false"/>
          <w:caps w:val="false"/>
          <w:smallCaps w:val="false"/>
          <w:sz w:val="20"/>
          <w:u w:val="single"/>
        </w:rPr>
        <w:t>Mutilated, Destroyed, Lost and Stolen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Security is surrendered to the Trustee, the Company shall execute and the Trustee shall authenticate and make available for delivery in exchange therefor a new Security of the same Series and of like tenor and principal amount and bearing a number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upon Company Order the Trustee shall authenticate and make available for delivery, in lieu of any such destroyed, lost or stolen Security, a new Security of the same Series and of like tenor and principal amount and bearing a number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Security has become or is about to become due and payable, the Company in its discretion may, instead of issuing a new Security, pay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are exclusive and shall preclude (to the extent lawful) all other rights and remedies with respect to the replacement or payment of mutilated, destroyed, lost or stolen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2.9            </w:t>
      </w:r>
      <w:r>
        <w:rPr>
          <w:rFonts w:ascii="Times New Roman;Times;Serif" w:hAnsi="Times New Roman;Times;Serif"/>
          <w:b w:val="false"/>
          <w:i w:val="false"/>
          <w:caps w:val="false"/>
          <w:smallCaps w:val="false"/>
          <w:sz w:val="20"/>
          <w:u w:val="single"/>
        </w:rPr>
        <w:t>Outstanding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2.10, 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2.8, it ceases to be outstanding until the Trustee receives proof satisfactory to it that the replaced Security is held by a bona fide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Company, a Subsidiary of the Company or an Affiliate of the Company) holds on a redemption date or the Maturity of Securities of a Series money sufficient to pay such Securities payable on that date, then on and after that date such Securities of the Series shall cease to be outstanding and interest on such Securities shall cease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2.10, a Security does not cease to be outstanding because the Company or an Affiliate of the Company holds the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2.10            </w:t>
      </w:r>
      <w:r>
        <w:rPr>
          <w:rFonts w:ascii="Times New Roman;Times;Serif" w:hAnsi="Times New Roman;Times;Serif"/>
          <w:b w:val="false"/>
          <w:i w:val="false"/>
          <w:caps w:val="false"/>
          <w:smallCaps w:val="false"/>
          <w:sz w:val="20"/>
          <w:u w:val="single"/>
        </w:rPr>
        <w:t>Treasury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Securities of a Series have concurred in any request, demand, authorization, direction, notice, consent or waiver Securities of a Series owned by the Company or an Affiliate of the Company shall be disregarded, except that for the purposes of determining whether the Trustee shall be protected in relying on any such request, demand, authorization, direction, notice, consent or waiver only Securities of a Series that the Trustee has received written notice from the Company, certifying that the relevant Securities of such Series are owned by the Company or an Affiliate of the Company shall be so disregarded.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the Trustee, the Company shall promptly furnish to the Trustee an Officers’ Certificate listing and identifying all Securities, if any, known by the Company to be owned or held by or for the account of the Company or an Affiliate of the Company, and the Trustee shall be entitled to accept such Officers’ Certificate as conclusive evidence of the facts therein set forth and of the fact that all Securities not listed therein are outstanding for the purpose of any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2.11            </w:t>
      </w:r>
      <w:r>
        <w:rPr>
          <w:rFonts w:ascii="Times New Roman;Times;Serif" w:hAnsi="Times New Roman;Times;Serif"/>
          <w:b w:val="false"/>
          <w:i w:val="false"/>
          <w:caps w:val="false"/>
          <w:smallCaps w:val="false"/>
          <w:sz w:val="20"/>
          <w:u w:val="single"/>
        </w:rPr>
        <w:t>Temporary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2.12            </w:t>
      </w:r>
      <w:r>
        <w:rPr>
          <w:rFonts w:ascii="Times New Roman;Times;Serif" w:hAnsi="Times New Roman;Times;Serif"/>
          <w:b w:val="false"/>
          <w:i w:val="false"/>
          <w:caps w:val="false"/>
          <w:smallCaps w:val="false"/>
          <w:sz w:val="20"/>
          <w:u w:val="single"/>
        </w:rPr>
        <w:t>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any time may deliver Securities to the Trustee for cancellation. The Registrar and the Paying Agent shall forward to the Trustee any Securities surrendered to them for registration of transfer, exchange or payment. Upon receipt of written direction from the Company, the Trustee shall cancel all Securities surrendered for transfer, exchange, payment, replacement or cancellation and shall destroy canceled Securities (subject to the record retention requirements of the Exchange Act). Confirmation of the destruction of all canceled Securities shall be delivered to the Company upon reasonable written request by the Company. The Company may not issue new Securities to replace Securities that it has paid or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2.13            </w:t>
      </w:r>
      <w:r>
        <w:rPr>
          <w:rFonts w:ascii="Times New Roman;Times;Serif" w:hAnsi="Times New Roman;Times;Serif"/>
          <w:b w:val="false"/>
          <w:i w:val="false"/>
          <w:caps w:val="false"/>
          <w:smallCaps w:val="false"/>
          <w:sz w:val="20"/>
          <w:u w:val="single"/>
        </w:rPr>
        <w:t>Defaulted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or cause to be fixed the special record date and payment date. At least 10 days before the special record date, the Company (or, upon the written request of the Company, the Trustee in the name and at the expense of the Company) shall mail or cause to be mailed or delivered electronically to each Securityholder of the Series a notice that states the special record date, the related payment date and the amount of interest to be paid. The Company may pay defaulted interest in any other lawful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2.14            </w:t>
      </w:r>
      <w:r>
        <w:rPr>
          <w:rFonts w:ascii="Times New Roman;Times;Serif" w:hAnsi="Times New Roman;Times;Serif"/>
          <w:b w:val="false"/>
          <w:i w:val="false"/>
          <w:caps w:val="false"/>
          <w:smallCaps w:val="false"/>
          <w:sz w:val="20"/>
          <w:u w:val="single"/>
        </w:rPr>
        <w:t>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2.14.1       </w:t>
      </w:r>
      <w:r>
        <w:rPr>
          <w:rFonts w:ascii="Times New Roman;Times;Serif" w:hAnsi="Times New Roman;Times;Serif"/>
          <w:b w:val="false"/>
          <w:i w:val="false"/>
          <w:caps w:val="false"/>
          <w:smallCaps w:val="false"/>
          <w:sz w:val="20"/>
          <w:u w:val="single"/>
        </w:rPr>
        <w:t>Terms of Securities</w:t>
      </w:r>
      <w:r>
        <w:rPr>
          <w:rFonts w:ascii="Times New Roman;Times;Serif" w:hAnsi="Times New Roman;Times;Serif"/>
          <w:b w:val="false"/>
          <w:i w:val="false"/>
          <w:caps w:val="false"/>
          <w:smallCaps w:val="false"/>
          <w:sz w:val="20"/>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2.14.2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 Notwithstanding any provisions to the contrary contained in Section 2.7 of this Indenture and in addition thereto, any Global Security shall be exchangeable pursuant to Section 2.7 of this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(ii) the Company executes and delivers to the Trustee an Officers’ Certificate to the effect that such Global Security shall be so exchangeable or (iii) an Event of Default with respect to the Securities represented by such Global Security shall have happened and be continuing.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2.14.3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Any Global Security issued hereunder shall bear a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2.14.4       </w:t>
      </w:r>
      <w:r>
        <w:rPr>
          <w:rFonts w:ascii="Times New Roman;Times;Serif" w:hAnsi="Times New Roman;Times;Serif"/>
          <w:b w:val="false"/>
          <w:i w:val="false"/>
          <w:caps w:val="false"/>
          <w:smallCaps w:val="false"/>
          <w:sz w:val="20"/>
          <w:u w:val="single"/>
        </w:rPr>
        <w:t>Acts of Holders</w:t>
      </w:r>
      <w:r>
        <w:rPr>
          <w:rFonts w:ascii="Times New Roman;Times;Serif" w:hAnsi="Times New Roman;Times;Serif"/>
          <w:b w:val="false"/>
          <w:i w:val="false"/>
          <w:caps w:val="false"/>
          <w:smallCaps w:val="false"/>
          <w:sz w:val="20"/>
        </w:rPr>
        <w:t>. The Depositary, as a Holder, may appoint agents and otherwise authorize participants to give or take any request, demand, authorization, direction, notice, consent, waiver or other action which a Holder is entitled to give or take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2.14.5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Notwithstanding the other provisions of this Indenture, unless otherwise specified as contemplated by Section 2.2, payment of the principal of and interest, if any, on any Global Security shall be made to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2.14.6       </w:t>
      </w:r>
      <w:r>
        <w:rPr>
          <w:rFonts w:ascii="Times New Roman;Times;Serif" w:hAnsi="Times New Roman;Times;Serif"/>
          <w:b w:val="false"/>
          <w:i w:val="false"/>
          <w:caps w:val="false"/>
          <w:smallCaps w:val="false"/>
          <w:sz w:val="20"/>
          <w:u w:val="single"/>
        </w:rPr>
        <w:t>Consents, Declaration and Directions</w:t>
      </w:r>
      <w:r>
        <w:rPr>
          <w:rFonts w:ascii="Times New Roman;Times;Serif" w:hAnsi="Times New Roman;Times;Serif"/>
          <w:b w:val="false"/>
          <w:i w:val="false"/>
          <w:caps w:val="false"/>
          <w:smallCaps w:val="false"/>
          <w:sz w:val="20"/>
        </w:rPr>
        <w:t>. Except as provided in Section 2.14.5,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2.14.7       </w:t>
      </w:r>
      <w:r>
        <w:rPr>
          <w:rFonts w:ascii="Times New Roman;Times;Serif" w:hAnsi="Times New Roman;Times;Serif"/>
          <w:b w:val="false"/>
          <w:i w:val="false"/>
          <w:caps w:val="false"/>
          <w:smallCaps w:val="false"/>
          <w:sz w:val="20"/>
          <w:u w:val="single"/>
        </w:rPr>
        <w:t>General Provisions for Book-Entry Securities</w:t>
      </w:r>
      <w:r>
        <w:rPr>
          <w:rFonts w:ascii="Times New Roman;Times;Serif" w:hAnsi="Times New Roman;Times;Serif"/>
          <w:b w:val="false"/>
          <w:i w:val="false"/>
          <w:caps w:val="false"/>
          <w:smallCaps w:val="false"/>
          <w:sz w:val="20"/>
        </w:rPr>
        <w:t>. Members of, or participants in, the Depositary (“</w:t>
      </w:r>
      <w:r>
        <w:rPr>
          <w:rFonts w:ascii="Times New Roman;Times;Serif" w:hAnsi="Times New Roman;Times;Serif"/>
          <w:b w:val="false"/>
          <w:i w:val="false"/>
          <w:caps w:val="false"/>
          <w:smallCaps w:val="false"/>
          <w:sz w:val="20"/>
          <w:u w:val="single"/>
        </w:rPr>
        <w:t>Participants</w:t>
      </w:r>
      <w:r>
        <w:rPr>
          <w:rFonts w:ascii="Times New Roman;Times;Serif" w:hAnsi="Times New Roman;Times;Serif"/>
          <w:b w:val="false"/>
          <w:i w:val="false"/>
          <w:caps w:val="false"/>
          <w:smallCaps w:val="false"/>
          <w:sz w:val="20"/>
        </w:rPr>
        <w:t>”) shall have no rights under this Indenture with respect to any Global Security held on their behalf by the Depositary, or the Trustee as its custodian, or under the Global Security, and the Depositary may be treated by the Company, the Trustee and any agent of the Company or the Trustee as the absolute owner of the Global Security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Participants, the operation of customary practices governing the exercise of the rights of a Holder of any Global Security. All notices and communications to be given to the Holders and all payments to be made to Holders in respect of the Global Securities shall be given or made only to or upon the order of the registered Holders (which shall be the Depositary or its nominee). The rights of beneficial owners in any Global Security shall be exercised only through the Depositary, subject to its applicable rules and procedures. The Trustee, Registrar, Paying Agent and Service Agent may each rely and shall be fully protected in relying upon information furnished by the Depositary with respect to its agent members and other members, participants and any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2.15          </w:t>
      </w:r>
      <w:r>
        <w:rPr>
          <w:rFonts w:ascii="Times New Roman;Times;Serif" w:hAnsi="Times New Roman;Times;Serif"/>
          <w:b w:val="false"/>
          <w:i w:val="false"/>
          <w:caps w:val="false"/>
          <w:smallCaps w:val="false"/>
          <w:sz w:val="20"/>
          <w:u w:val="single"/>
        </w:rPr>
        <w:t>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III.</w:t>
      </w:r>
      <w:r>
        <w:rPr>
          <w:rFonts w:ascii="Times New Roman;Times;Serif" w:hAnsi="Times New Roman;Times;Serif"/>
          <w:b w:val="false"/>
          <w:i w:val="false"/>
          <w:caps w:val="false"/>
          <w:smallCaps w:val="false"/>
          <w:sz w:val="20"/>
          <w:u w:val="single"/>
        </w:rPr>
        <w:b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3.1            </w:t>
      </w:r>
      <w:r>
        <w:rPr>
          <w:rFonts w:ascii="Times New Roman;Times;Serif" w:hAnsi="Times New Roman;Times;Serif"/>
          <w:b w:val="false"/>
          <w:i w:val="false"/>
          <w:caps w:val="false"/>
          <w:smallCaps w:val="false"/>
          <w:sz w:val="20"/>
          <w:u w:val="single"/>
        </w:rPr>
        <w:t>Notice to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notice at least 10 days, but not more than 60 days, before the redemption date (or such shorter notice as may be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3.2            </w:t>
      </w:r>
      <w:r>
        <w:rPr>
          <w:rFonts w:ascii="Times New Roman;Times;Serif" w:hAnsi="Times New Roman;Times;Serif"/>
          <w:b w:val="false"/>
          <w:i w:val="false"/>
          <w:caps w:val="false"/>
          <w:smallCaps w:val="false"/>
          <w:sz w:val="20"/>
          <w:u w:val="single"/>
        </w:rPr>
        <w:t>Selection of Securities to be Redeemed or Repurchased.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indicated for a particular Series by a Board Resolution, a supplemental indenture or an Officers’ Certificate, if less than all the Securities of a Series are to be redeemed or repurchased, the Trustee shall select the Securities of the Series to be redeemed or repurchased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unless otherwise required by law, rules of the applicable Depositary or applicable stock exchange requirements.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partial redemption or purchase by lot, the Trustee shall make the selection from Securities of the Series outstanding not previously called for redemption or repurchase. The Trustee may select for redemption or repurchase portions of the principal of Securities of the Series that have denominations larger than $2,000. Securities of the Series and portions of them it selects shall be in amounts of $2,000 or whole multiples of $1,000 in excess of $2,000 or, with respect to Securities of any Series issuable in other denominations pursuant to Section 2.2.10, the minimum principal denomination for each Series and integral multiples thereof. Provisions of this Indenture that apply to Securities of a Series called for redemption or repurchase also apply to portions of Securities of that Series called for redemption or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3.3            </w:t>
      </w:r>
      <w:r>
        <w:rPr>
          <w:rFonts w:ascii="Times New Roman;Times;Serif" w:hAnsi="Times New Roman;Times;Serif"/>
          <w:b w:val="false"/>
          <w:i w:val="false"/>
          <w:caps w:val="false"/>
          <w:smallCaps w:val="false"/>
          <w:sz w:val="20"/>
          <w:u w:val="single"/>
        </w:rPr>
        <w:t>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10 days but not more than 60 days before a redemption date, the Company shall mail or cause to be mailed, by first-class mail or delivered electronically, a notice of redemption to each Holder whose Securities are to be redeemed, except that redemption notices may be mailed or delivered more than 60 days prior to a redemption date if the notice is issued in connection with a defeasance of the Securities or a satisfaction and discharge of this Indenture pursuant to Articles VIII or X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identify the Securities of the Series to be redeemed and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redemption date or, where the redemption price cannot be calculated at the time of such notice, the method of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name and address of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that Securities of the Series called for redemption must be surrendered to the Paying Agent to collect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if any Security is being redeemed in part, the portion of the principal amount of such Security to be redeemed and that, after the redemption date upon surrender of such Security, a new Security or Securities in principal amount equal to the unredeemed portion will be issued upon cancellation of the original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that interest on Securities of the Series called for redemption ceases to accrue on and after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the CUSIP number, if 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any other information as may be required by the terms of the particular Series or the Securities of a Series being redeemed.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request, the Trustee shall give the notice of redemption in the Company’s name and at its expense; provided, however, that the Company has delivered to the Trustee, at least four Business Days prior to the date on which notice of redemption is to be delivered to the Holders pursuant to this Section 3.3 (or such shorter period as the Trustee in its sole discretion may allow), a written request by an Officer requesting that the Trustee give such notice and setting forth the information to be stated in such notice as provided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3.4            </w:t>
      </w:r>
      <w:r>
        <w:rPr>
          <w:rFonts w:ascii="Times New Roman;Times;Serif" w:hAnsi="Times New Roman;Times;Serif"/>
          <w:b w:val="false"/>
          <w:i w:val="false"/>
          <w:caps w:val="false"/>
          <w:smallCaps w:val="false"/>
          <w:sz w:val="20"/>
          <w:u w:val="single"/>
        </w:rPr>
        <w:t>Effect of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notice of redemption is mailed or delivered as provided in Section 3.3, Securities of a Series called for redemption become, subject to any conditions precedent set forth in the notice of redemption, due and payable on the redemption date and at the redemption price. Notwithstanding the foregoing, any redemption and notice thereof may, in the Company’s discretion, be subject to the satisfaction of one or more conditions precedent. If a redemption notice is subject to satisfaction of one or more conditions precedent, such notice will state that, at the Company’s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to the Paying Agent, such Securities shall be paid at the redemption price plus accrued interest to the redemption date; provided that installments of interest whose Stated Maturity is on or prior to the redemption date shall be payable to the Holders of such Securities (or one or more predecessor Securities) registered at the close of business on the relevant record date therefor according to their terms and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3.5            </w:t>
      </w:r>
      <w:r>
        <w:rPr>
          <w:rFonts w:ascii="Times New Roman;Times;Serif" w:hAnsi="Times New Roman;Times;Serif"/>
          <w:b w:val="false"/>
          <w:i w:val="false"/>
          <w:caps w:val="false"/>
          <w:smallCaps w:val="false"/>
          <w:sz w:val="20"/>
          <w:u w:val="single"/>
        </w:rPr>
        <w:t>Deposit of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10:00 a.m. Eastern time on the redemption date, the Company shall deposit with the Trustee or the Paying Agent money sufficient to pay the redemption price of and accrued interest, if any, on all Securities to be redeemed on that date. Promptly after the Company’s written request, the Trustee or the Paying Agent shall promptly return to the Company any money deposited with the Trustee or the Paying Agent by the Company in excess of the amounts necessary to pay the redemption price of and accrued interest, if any, on all Securities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3.6            </w:t>
      </w:r>
      <w:r>
        <w:rPr>
          <w:rFonts w:ascii="Times New Roman;Times;Serif" w:hAnsi="Times New Roman;Times;Serif"/>
          <w:b w:val="false"/>
          <w:i w:val="false"/>
          <w:caps w:val="false"/>
          <w:smallCaps w:val="false"/>
          <w:sz w:val="20"/>
          <w:u w:val="single"/>
        </w:rPr>
        <w:t>Securities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a Security that is redeemed in part, the Trustee shall authenticate for the Holder a new Security of the same Series and the same maturity equal in principal amount to the unredeemed portion of the Security surrendered.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IV.</w:t>
      </w:r>
      <w:r>
        <w:rPr>
          <w:rFonts w:ascii="Times New Roman;Times;Serif" w:hAnsi="Times New Roman;Times;Serif"/>
          <w:b w:val="false"/>
          <w:i w:val="false"/>
          <w:caps w:val="false"/>
          <w:smallCaps w:val="false"/>
          <w:sz w:val="20"/>
          <w:u w:val="single"/>
        </w:rPr>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4.1            </w:t>
      </w:r>
      <w:r>
        <w:rPr>
          <w:rFonts w:ascii="Times New Roman;Times;Serif" w:hAnsi="Times New Roman;Times;Serif"/>
          <w:b w:val="false"/>
          <w:i w:val="false"/>
          <w:caps w:val="false"/>
          <w:smallCaps w:val="false"/>
          <w:sz w:val="20"/>
          <w:u w:val="single"/>
        </w:rPr>
        <w:t>Payment of Principal and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or cause to be paid the principal of, premium, if any, and interest on, the Securities of that Series on the dates and in the manner provided in such Securities. Principal, premium, if any, and interest on any Series of Securities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4.2            </w:t>
      </w:r>
      <w:r>
        <w:rPr>
          <w:rFonts w:ascii="Times New Roman;Times;Serif" w:hAnsi="Times New Roman;Times;Serif"/>
          <w:b w:val="false"/>
          <w:i w:val="false"/>
          <w:caps w:val="false"/>
          <w:smallCaps w:val="false"/>
          <w:sz w:val="20"/>
          <w:u w:val="single"/>
        </w:rPr>
        <w:t>Maintenance of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maintain an office or agency (which may be an office of the Trustee for such Securities or an Affiliate of such Trustee, Registrar for such Securities or co-registrar) where such Securities may be surrendered for registration of transfer or for exchange and where notices and demands to or upon the Company in respect of such Securities and this Indenture may be served. The Company will give prompt written notice to the Trustee for such Securities of the location, and any change in the location, of such office or agency. If at any time the Company fails to maintain any such required office or agency or fails to furnish such Trustee with the address thereof, such presentations, surrenders, notices and demands may be made or served at the Corporate Trust Office of such Trustee; provided, however, that the Trustee shall not serve as an agent or officer for the purpose of service of process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other offices or agencies where Securities may be presented or surrendered for any or all such purposes and may from time to time rescind such designations; provided, however, that no such designation or rescission will in any manner relieve the Company of its obligation described in the preceding paragraph. The Company will give prompt written notice to the Trustee for such Series of Securities of any such designation or rescission and of any change in the location of any such other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each Series of Securities, the Company hereby designates the Corporate Trust Office of the Trustee as one such office or agency of the Company in accordance with Section 2.4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4.3            </w:t>
      </w:r>
      <w:r>
        <w:rPr>
          <w:rFonts w:ascii="Times New Roman;Times;Serif" w:hAnsi="Times New Roman;Times;Serif"/>
          <w:b w:val="false"/>
          <w:i w:val="false"/>
          <w:caps w:val="false"/>
          <w:smallCaps w:val="false"/>
          <w:sz w:val="20"/>
          <w:u w:val="single"/>
        </w:rPr>
        <w:t>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file with the Trustee and the SEC, and transmit to Holders, such information, documents and other reports, and such summaries thereof, as may be required pursuant to the TIA at the times and in the manner provided in the TIA; provided that, unless available on EDGAR, any such information, documents or reports required to be filed with the SEC pursuant to Section 13 or 15(d) of the Exchange Act shall be filed with the Trustee within 30 days after the same is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4.4            </w:t>
      </w:r>
      <w:r>
        <w:rPr>
          <w:rFonts w:ascii="Times New Roman;Times;Serif" w:hAnsi="Times New Roman;Times;Serif"/>
          <w:b w:val="false"/>
          <w:i w:val="false"/>
          <w:caps w:val="false"/>
          <w:smallCaps w:val="false"/>
          <w:sz w:val="20"/>
          <w:u w:val="single"/>
        </w:rPr>
        <w:t>Compliance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Company and each guarantor of any Series of Securities (to the extent that such guarantor is so required under the TIA) shall deliver to the Trustee with respect to such Series,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whether or not to the best of his or her knowledge the Company is in default in the performance and observance of any of the terms, provisions and conditions of this Indenture, and if the Company shall be in default, specifying all such Defaults or Events of Default and the nature and status thereof of which they may have knowledge and what action the Company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So long as any of Series of Securities are outstanding, the Company will deliver to the Trustee with respect to such Series, promptly after any Officer becoming aware of any Default or Event of Default, an Officers’ Certificate specifying such Default or Event of Default and what action the Company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4.5            </w:t>
      </w:r>
      <w:r>
        <w:rPr>
          <w:rFonts w:ascii="Times New Roman;Times;Serif" w:hAnsi="Times New Roman;Times;Serif"/>
          <w:b w:val="false"/>
          <w:i w:val="false"/>
          <w:caps w:val="false"/>
          <w:smallCaps w:val="false"/>
          <w:sz w:val="20"/>
          <w:u w:val="single"/>
        </w:rPr>
        <w:t>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and will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4.6            </w:t>
      </w:r>
      <w:r>
        <w:rPr>
          <w:rFonts w:ascii="Times New Roman;Times;Serif" w:hAnsi="Times New Roman;Times;Serif"/>
          <w:b w:val="false"/>
          <w:i w:val="false"/>
          <w:caps w:val="false"/>
          <w:smallCaps w:val="false"/>
          <w:sz w:val="20"/>
          <w:u w:val="single"/>
        </w:rPr>
        <w:t>Stay, Extension and Usury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(to the extent that it may lawfully do so), that it will not, and each guarantor of such Securities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such guarantors (to the extent that it may lawfully do so), as applicable, hereby expressly waives all benefit or advantage of any such law, and covenants that it will not, by resort to any such law, hinder, delay or impede the execution of any power herein granted to the Trustee for such Securities, but will suffer and permit the execution of every such power as though no such law has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4.7            </w:t>
      </w:r>
      <w:r>
        <w:rPr>
          <w:rFonts w:ascii="Times New Roman;Times;Serif" w:hAnsi="Times New Roman;Times;Serif"/>
          <w:b w:val="false"/>
          <w:i w:val="false"/>
          <w:caps w:val="false"/>
          <w:smallCaps w:val="false"/>
          <w:sz w:val="20"/>
          <w:u w:val="single"/>
        </w:rPr>
        <w:t>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V hereof, the Company shall do or cause to be done all things necessary to preserve and keep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its corporate, partnership or other existence, and the corporate, partnership or other existence of each of its Subsidiaries, in accordance with the respective organizational documents (as the same may be amended from time to time) of the Company or any such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the rights (charter and statutory), licenses and franchises of the Company and its Subsidiaries; provided, however, that the Company shall not be required to preserve any such right, license or franchise, or the corporate, partnership or other existence of any of its Subsidiaries, if the Company shall determine that the preservation thereof is no longer desirable in the conduct of the business of the Company and its Subsidiaries, taken as a whole, and that the loss thereof is not adverse in any material respect to the Holders of such Securities.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V.</w:t>
      </w:r>
      <w:r>
        <w:rPr>
          <w:rFonts w:ascii="Times New Roman;Times;Serif" w:hAnsi="Times New Roman;Times;Serif"/>
          <w:b w:val="false"/>
          <w:i w:val="false"/>
          <w:caps w:val="false"/>
          <w:smallCaps w:val="false"/>
          <w:sz w:val="20"/>
          <w:u w:val="single"/>
        </w:rPr>
        <w:b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5.1            </w:t>
      </w:r>
      <w:r>
        <w:rPr>
          <w:rFonts w:ascii="Times New Roman;Times;Serif" w:hAnsi="Times New Roman;Times;Serif"/>
          <w:b w:val="false"/>
          <w:i w:val="false"/>
          <w:caps w:val="false"/>
          <w:smallCaps w:val="false"/>
          <w:sz w:val="20"/>
          <w:u w:val="single"/>
        </w:rPr>
        <w:t>Merger, Consolidation, or Sale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directly or indirectly: (i) consolidate or merge with or into another person (whether or not the Company is the surviving person); or (ii) sell, assign, transfer, convey or otherwise dispose of all or substantially all of the properties or assets of the Company and its Subsidiaries taken as a whole, in one or more related transactions, to another person,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Company is the surviving person;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person formed by or surviving any such consolidation or merger (if other than the Company) or to which such sale, assignment, transfer, conveyance or other disposition has been made is a corporation, partnership or limited liability company organized or existing under the laws of the United States, any state of the United States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the person formed by or surviving any such consolidation or merger (if other than the Company) or the person to which such sale, assignment, transfer, conveyance or other disposition has been made assumes all the obligations of the Company under such Securities and this Indenture pursuant to agreements reasonably satisfactory to the Trustee for such Securities;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immediately after such transaction, no Default or Event of Default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will not, directly or indirectly, lease all or substantially all of its and its Subsidiaries’ properties or assets, taken as a whole, in one or more related transactions, to any other person. This Section 5.1 will not apply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a merger of the Company with an Affiliate solely for the purpose of reincorporating the Company in another jurisdiction or forming a direct or indirect holding company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any sale, transfer, assignment, conveyance, lease or other disposition of assets between or among the Company and its Subsidiaries, including by way of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5.2            </w:t>
      </w:r>
      <w:r>
        <w:rPr>
          <w:rFonts w:ascii="Times New Roman;Times;Serif" w:hAnsi="Times New Roman;Times;Serif"/>
          <w:b w:val="false"/>
          <w:i w:val="false"/>
          <w:caps w:val="false"/>
          <w:smallCaps w:val="false"/>
          <w:sz w:val="20"/>
          <w:u w:val="single"/>
        </w:rPr>
        <w:t>Successor Corporation Substituted.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consolidation or merger, or any sale, assignment, transfer, lease, conveyance or other disposition of all or substantially all of the properties or assets of the Company and its Subsidiaries, taken as a whole, in a transaction that is subject to, and that complies with the provisions of, Section 5.1 hereof,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provided, however, that the predecessor Company shall not be relieved from the obligation to pay the principal of and interest on any Series of Securities except in the case of a sale of all of the Company’s assets in a transaction that is subject to, and that complies with the provisions of, Section 5.1 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VI.</w:t>
      </w:r>
      <w:r>
        <w:rPr>
          <w:rFonts w:ascii="Times New Roman;Times;Serif" w:hAnsi="Times New Roman;Times;Serif"/>
          <w:b w:val="false"/>
          <w:i w:val="false"/>
          <w:caps w:val="false"/>
          <w:smallCaps w:val="false"/>
          <w:sz w:val="20"/>
          <w:u w:val="single"/>
        </w:rPr>
        <w:b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6.1            </w:t>
      </w:r>
      <w:r>
        <w:rPr>
          <w:rFonts w:ascii="Times New Roman;Times;Serif" w:hAnsi="Times New Roman;Times;Serif"/>
          <w:b w:val="false"/>
          <w:i w:val="false"/>
          <w:caps w:val="false"/>
          <w:smallCaps w:val="false"/>
          <w:sz w:val="20"/>
          <w:u w:val="single"/>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default in the payment of any interest on any Security of that Series when it becomes due and payable, and continuance of such default for a period of 60 days;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default in payment when due of the principal of, or premium, if any, on any Security of that Series;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default in the deposit of any sinking fund payment, when and as due in respect of any Security of that Series;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default in the performance or breach of any covenant or warranty of the Company in this Indenture (other than a covenant or warranty that has been included in this Indenture solely for the benefit of Series of Securities other than that Series), which default continues uncured for a period of 90 days after written notice given by the Trustee for such Securities or Holders of such Securities;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Company pursuant to or within the meaning of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commences a 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consents to the entry of an order for relief against it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consents to the appointment of a Custodian of it or for all or substantially all of its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makes a general assignment for the benefit of its creditors; 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a court of competent jurisdiction enters an order or decree under any Bankruptcy Law (which such order or decree remains unstayed and in effect for 90 days)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is for relief against the Company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appoints a Custodian of the Company or for all or substantially all of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orders the liquidation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any other Event of Default provided with respect to Securities of that Series, which is specified in a Board Resolution, a supplemental indenture hereto or an Officers’ Certificate, in accordance with Section 2.2.18.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Bankruptcy Law</w:t>
      </w:r>
      <w:r>
        <w:rPr>
          <w:rFonts w:ascii="Times New Roman;Times;Serif" w:hAnsi="Times New Roman;Times;Serif"/>
          <w:b w:val="false"/>
          <w:i w:val="false"/>
          <w:caps w:val="false"/>
          <w:smallCaps w:val="false"/>
          <w:sz w:val="20"/>
        </w:rPr>
        <w:t>” means title 11, U.S. Code or any similar Federal or State law for the relief of debtors. The term “</w:t>
      </w:r>
      <w:r>
        <w:rPr>
          <w:rFonts w:ascii="Times New Roman;Times;Serif" w:hAnsi="Times New Roman;Times;Serif"/>
          <w:b w:val="false"/>
          <w:i w:val="false"/>
          <w:caps w:val="false"/>
          <w:smallCaps w:val="false"/>
          <w:sz w:val="20"/>
          <w:u w:val="single"/>
        </w:rPr>
        <w:t>Custodian</w:t>
      </w:r>
      <w:r>
        <w:rPr>
          <w:rFonts w:ascii="Times New Roman;Times;Serif" w:hAnsi="Times New Roman;Times;Serif"/>
          <w:b w:val="false"/>
          <w:i w:val="false"/>
          <w:caps w:val="false"/>
          <w:smallCaps w:val="false"/>
          <w:sz w:val="20"/>
        </w:rPr>
        <w:t>” means any receiver, trustee, assignee, liquidator or similar official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6.2            </w:t>
      </w:r>
      <w:r>
        <w:rPr>
          <w:rFonts w:ascii="Times New Roman;Times;Serif" w:hAnsi="Times New Roman;Times;Serif"/>
          <w:b w:val="false"/>
          <w:i w:val="false"/>
          <w:caps w:val="false"/>
          <w:smallCaps w:val="false"/>
          <w:sz w:val="20"/>
          <w:u w:val="single"/>
        </w:rPr>
        <w:t>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any Series at the time outstanding occurs and is continuing (other than an Event of Default referred to in Section 6.1(e) or (f)) then in every such case the Trustee or the Holders of not less than 30% in aggregate principal amount of the then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6.1(e) or (f) shall occur, the principal amount (or specified amount) of and accrued and unpaid interest, if any, on all outstanding Securities shall ipso facto become and be immediately due and payable without any declaration or other act on the part of the Trustee or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such a declaration of acceleration with respect to any Series has been made, the Holders of a majority in principal amount of the outstanding Securities of that Series, by written notice to the Company and the Trustee, may rescind and annul such declaration and its consequences if the rescission would not conflict with any judgment or decree and if all existing Events of Default (except nonpayment of principal, interest or premium that has become due solely because of the acceleration) have been cured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shall affect any subsequent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6.3            </w:t>
      </w:r>
      <w:r>
        <w:rPr>
          <w:rFonts w:ascii="Times New Roman;Times;Serif" w:hAnsi="Times New Roman;Times;Serif"/>
          <w:b w:val="false"/>
          <w:i w:val="false"/>
          <w:caps w:val="false"/>
          <w:smallCaps w:val="false"/>
          <w:sz w:val="20"/>
          <w:u w:val="single"/>
        </w:rPr>
        <w:t>Other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any Series at the time outstanding occurs and is continuing, the Trustee may pursue any available remedy to collect the payment of principal, premium, if any, and interest on such Securities or to enforce the performance of any provision of such Securities or this Indenture.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for such Securities may maintain a proceeding even if it does not possess any of such Securities or does not produce any of them in the proceeding. A delay or omission by the Trustee or any Holder of Securities in exercising any right or remedy accruing upon an Event of Default shall not impair the right or remedy or constitute a waiver of or acquiescence in the Event of Default. All remedies are cumulative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6.4            </w:t>
      </w:r>
      <w:r>
        <w:rPr>
          <w:rFonts w:ascii="Times New Roman;Times;Serif" w:hAnsi="Times New Roman;Times;Serif"/>
          <w:b w:val="false"/>
          <w:i w:val="false"/>
          <w:caps w:val="false"/>
          <w:smallCaps w:val="false"/>
          <w:sz w:val="20"/>
          <w:u w:val="single"/>
        </w:rPr>
        <w:t>Waiver of Past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not less than a majority in aggregate principal amount of the then outstanding Securities of any Series by notice to the Trustee for such Securities may on behalf of the Holders of all Securities of such Series waive an existing Default or Event of Default with respect to the Securities of such Series and its consequences hereunder, except a continuing Default or Event of Default in the payment of the principal of, premium, if any, or interest on, such Securities (including in connection with an offer to purchase); provided, however, that the Holders of a majority in aggregate principal amount of the then outstanding Securities of any Series may rescind an acceleration of the Securities of such Series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6.5            </w:t>
      </w:r>
      <w:r>
        <w:rPr>
          <w:rFonts w:ascii="Times New Roman;Times;Serif" w:hAnsi="Times New Roman;Times;Serif"/>
          <w:b w:val="false"/>
          <w:i w:val="false"/>
          <w:caps w:val="false"/>
          <w:smallCaps w:val="false"/>
          <w:sz w:val="20"/>
          <w:u w:val="single"/>
        </w:rPr>
        <w:t>Control by Majority.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not less than a majority in aggregate principal amount of the then outstanding Securities of any Series may direct the time, method and place of conducting any proceeding for exercising any remedy available to the Trustee for such Securities or exercising any trust or power conferred on it. However, the Trustee for any Series of Securities may refuse to follow any direction that conflicts with law or this Indenture that such Trustee determines may be unduly prejudicial to the rights of other Holders of such Securities or that may involve the Trustee in personal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6.6            </w:t>
      </w:r>
      <w:r>
        <w:rPr>
          <w:rFonts w:ascii="Times New Roman;Times;Serif" w:hAnsi="Times New Roman;Times;Serif"/>
          <w:b w:val="false"/>
          <w:i w:val="false"/>
          <w:caps w:val="false"/>
          <w:smallCaps w:val="false"/>
          <w:sz w:val="20"/>
          <w:u w:val="single"/>
        </w:rPr>
        <w:t>Limitation on 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any Series of Securities may pursue a remedy with respect to this Indenture or such Securities only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such Holder gives to the Trustee for such Securities written notice that an Event of Default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Holders of at least 30% in aggregate principal amount of the then outstanding Securities of such Series make a written request to the Trustee for such Securities to pursue the remedy;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such Holder or Holders offer and, if requested, provide to the Trustee for such Securities security or indemnity reasonably satisfactory to such Trustee against any loss, liability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such Trustee does not comply with the request within 60 days after receipt of the request and the offer of security or indemnity;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during such 60-day period, Holders of a majority in aggregate principal amount of the then outstanding Securities of such Series do not give such Trustee a direction inconsistent with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any Series of Securities may not use this Indenture to prejudice the rights of another Holder of such Series of Securities or to obtain a preference or priority over another Holder of a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6.7            </w:t>
      </w:r>
      <w:r>
        <w:rPr>
          <w:rFonts w:ascii="Times New Roman;Times;Serif" w:hAnsi="Times New Roman;Times;Serif"/>
          <w:b w:val="false"/>
          <w:i w:val="false"/>
          <w:caps w:val="false"/>
          <w:smallCaps w:val="false"/>
          <w:sz w:val="20"/>
          <w:u w:val="single"/>
        </w:rPr>
        <w:t>Rights of Holders of Security to Receive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the right of any Holder of a Security of any Series to receive payment of principal, premium, if any, and interest on such Securities, on or after the respective due dates expressed in such Securities (including, if applicable, in connection with an offer to purchase), or to bring suit for the enforcement of any such payment on or after such respective dates, shall not be impaired or affected without the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6.8            </w:t>
      </w:r>
      <w:r>
        <w:rPr>
          <w:rFonts w:ascii="Times New Roman;Times;Serif" w:hAnsi="Times New Roman;Times;Serif"/>
          <w:b w:val="false"/>
          <w:i w:val="false"/>
          <w:caps w:val="false"/>
          <w:smallCaps w:val="false"/>
          <w:sz w:val="20"/>
          <w:u w:val="single"/>
        </w:rPr>
        <w:t>Collection Suit by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specified in Section 6.1(a), (b) or (c) hereof with respect to Securities of any Series occurs and is continuing, the Trustee for such Securities is authorized to recover judgment in its own name and as trustee of an express trust against the Company for the whole amount of principal of, premium, if any, and interest remaining unpaid on, such Securities and interest on overdue principal and, to the extent lawful, interest and such further amount as shall be sufficient to cover the costs and expenses of collection, including the reasonable compensation, expenses, disbursements and advances of such Trustee, its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6.9            </w:t>
      </w:r>
      <w:r>
        <w:rPr>
          <w:rFonts w:ascii="Times New Roman;Times;Serif" w:hAnsi="Times New Roman;Times;Serif"/>
          <w:b w:val="false"/>
          <w:i w:val="false"/>
          <w:caps w:val="false"/>
          <w:smallCaps w:val="false"/>
          <w:sz w:val="20"/>
          <w:u w:val="single"/>
        </w:rPr>
        <w:t>Trustee May File Proofs of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for each Series of Securities is authorized to file such proofs of claim and other papers or documents as may be necessary or advisable in order to have the claims of such Trustee (including any claim for the reasonable compensation, expenses, disbursements and advances of such Trustee, its agents and counsel) and the Holders of the Securities for which it acts as trustee allowed in any judicial proceedings relative to the Company (or any other obligor upon such Securities), its creditors or its property and shall be entitled and empowered to collect, receive and distribute any money or other property payable or deliverable on any such claims and any Custodian in any such judicial proceeding is hereby authorized by each Holder of such Securities to make such payments to such Trustee, and in the event that such Trustee shall consent to the making of such payments directly to such Holders, to pay to such Trustee any amount due to it for the reasonable compensation, expenses, disbursements and advances of such Trustee, its agents and counsel, and any other amounts due to such Trustee under this Indenture. To the extent that the payment of any such compensation, expenses, disbursements and advances of such Trustee, its agents and counsel, and any other amounts due to such Trustee under this Indenture (including, without limitation, under Section 7.7 hereof) out of the estate in any such proceeding, shall be denied for any reason, payment of the same shall be secured by a Lien on, and shall be paid out of, any and all distributions, dividends, money, securities and other properties that such Holders may be entitled to receive in such proceeding whether in liquidation or under any plan of reorganization or arrangement or otherwise. Nothing herein contained shall be deemed to authorize such Trustee to authorize or consent to or accept or adopt on behalf of any Holder for which it acts as trustee any plan of reorganization, arrangement, adjustment or composition affecting the Securities or the rights of such Holder, or to authorize such Trustee to vote in respect of the claim of any such Holder in any such proceeding.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6.10            </w:t>
      </w:r>
      <w:r>
        <w:rPr>
          <w:rFonts w:ascii="Times New Roman;Times;Serif" w:hAnsi="Times New Roman;Times;Serif"/>
          <w:b w:val="false"/>
          <w:i w:val="false"/>
          <w:caps w:val="false"/>
          <w:smallCaps w:val="false"/>
          <w:sz w:val="20"/>
          <w:u w:val="single"/>
        </w:rPr>
        <w:t>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of any Series of Securities collects any money pursuant to this Article VI, it shall pay out the money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the Trustee, its agents and attorneys for amounts due under this Indenture, including payment of all reasonable compensation, expenses, indemnities and liabilities incurred, and all advances made, by the Trustee and the costs and expenses of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Holders of such Securities for amounts due and unpaid on such Securities for principal, premium, if any, and interest, ratably, without preference or priority of any kind, according to the amounts due and payable on such Securities for principal, premium, if any and interest, respectively;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to the Company or to such party as a court of competent jurisdiction shall direct.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to Holders of Securities pursuant to this Section 6.10.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6.11            </w:t>
      </w:r>
      <w:r>
        <w:rPr>
          <w:rFonts w:ascii="Times New Roman;Times;Serif" w:hAnsi="Times New Roman;Times;Serif"/>
          <w:b w:val="false"/>
          <w:i w:val="false"/>
          <w:caps w:val="false"/>
          <w:smallCaps w:val="false"/>
          <w:sz w:val="20"/>
          <w:u w:val="single"/>
        </w:rPr>
        <w:t>Undertaking for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suit for the enforcement of any right or remedy under this Indenture or in any suit against any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Security pursuant to Section 6.7 hereof, or a suit by Holders of more than 10% in aggregate principal amount of the then outstanding Securities of any Series.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VII.</w:t>
      </w:r>
      <w:r>
        <w:rPr>
          <w:rFonts w:ascii="Times New Roman;Times;Serif" w:hAnsi="Times New Roman;Times;Serif"/>
          <w:b w:val="false"/>
          <w:i w:val="false"/>
          <w:caps w:val="false"/>
          <w:smallCaps w:val="false"/>
          <w:sz w:val="20"/>
          <w:u w:val="single"/>
        </w:rPr>
        <w:b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7.1            </w:t>
      </w:r>
      <w:r>
        <w:rPr>
          <w:rFonts w:ascii="Times New Roman;Times;Serif" w:hAnsi="Times New Roman;Times;Serif"/>
          <w:b w:val="false"/>
          <w:i w:val="false"/>
          <w:caps w:val="false"/>
          <w:smallCaps w:val="false"/>
          <w:sz w:val="20"/>
          <w:u w:val="single"/>
        </w:rPr>
        <w:t>Duties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If an Event of Default with respect to any Series of Securities has occurred and is continuing, of which a Responsible Officer of the Trustee has actual knowledge, the Trustee shall exercise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Except during the continuance of an Event of Default of which a Responsible Officer of the Trustee has actual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Trustee need perform only those duties that are specifically set forth in this Indenture and no others, and no implied covenants or obligations shall be read into this Indenture against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Trustee may not be relieved from liability for its own negligent action, its own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This paragraph does not limit the effect of paragraph (b)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Trustee shall not be liable for any error of judgment made in good faith by a Responsible Officer, unless it is proved that the Trustee was negligent in ascertaining the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Every provision of this Indenture that in any way relates to the Trustee is subject to this 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Trustee may refuse to perform any duty or exercise any right or power at the request or direction of any Holder(s) unless it receives indemnity satisfactory to it against any loss, liability or expense.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The Trustee shall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The Paying Agent, the Registrar, the Service Agent and any authenticating agent shall be entitled to the same protections, indemnities and immunities as are set forth in this Article VII with respect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7.2            </w:t>
      </w:r>
      <w:r>
        <w:rPr>
          <w:rFonts w:ascii="Times New Roman;Times;Serif" w:hAnsi="Times New Roman;Times;Serif"/>
          <w:b w:val="false"/>
          <w:i w:val="false"/>
          <w:caps w:val="false"/>
          <w:smallCaps w:val="false"/>
          <w:sz w:val="20"/>
          <w:u w:val="single"/>
        </w:rPr>
        <w:t>Rights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Trustee may conclusively rely on and shall be fully protected in acting or refraining from acting upon any document believed by it to be genuine and to have been signed or presented by the proper person. The Trustee need not investigate any fact or matter stated in the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Before the Trustee acts or refrains from acting, it may require an Officers’ Certificate. The Trustee shall not be liable for any action it takes or omits to take in good faith in reliance on such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Trustee may act through agents, attorneys, custodians or nominees and shall not be responsible for the supervision of or any misconduct or negligence of any agent, attorney, custodian or nominee appointed with due care. No Depositary shall be deemed an agent, attorney, custodian or nominee of the Trustee and the Trustee shall not be responsible for any act or omission by any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Trustee shall not be liable for any action it takes or omits to take in good faith which it believes to be authorized or within its rights or powers, provided that the Trustee’s conduct does not constitute negligence or bad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The Trustee may consult with counsel of its selection and the advice of such counsel or any Opinion of Counsel shall be full and complete authorization and protection in respect of any action taken, suffered or omitted by it hereunder without negligence and in good faith and in reliance thereon.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In no event shall the Trustee be liable for the selection of investments or for investment losses incurred thereon. The Trustee shall have no liability in respect of losses incurred as a result of the liquidation of any investment prior to its stated maturity or failure to provide timely written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In no event shall the Trustee be liable for special, indirect, punitive or consequential loss or damage of any kind whatsoever (including, but not limited to, loss of profit), even if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In no event shall the Trustee be liable for any failure or delay in the performance of its obligations under this Indenture or any related documents because of circumstances beyond the Trustee’s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Indenture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Delivery of reports and other financial information related to the Company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conclusively on Officers’ Certificates).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The right of the Trustee to perform any discretionary act enumerated in this Indenture or any related document shall not be construed as a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Trustee may earn compensation in the form of short-term interest on items like uncashed distribution checks (from the date issued until the date cashed), funds that the Trustee is directed not to invest, deposits awaiting investment direction or received too late to be invested overnight in previously directed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7.3            </w:t>
      </w:r>
      <w:r>
        <w:rPr>
          <w:rFonts w:ascii="Times New Roman;Times;Serif" w:hAnsi="Times New Roman;Times;Serif"/>
          <w:b w:val="false"/>
          <w:i w:val="false"/>
          <w:caps w:val="false"/>
          <w:smallCaps w:val="false"/>
          <w:sz w:val="20"/>
          <w:u w:val="single"/>
        </w:rPr>
        <w:t>Individual Rights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or any other capacity may become the owner or pledgee of Securities and may otherwise deal with the Company or an Affiliate of the Company with the same rights it would have if it were not Trustee. However, in the event the Trustee acquires any conflicting interest, it must eliminate such conflict within 90 days or resign. Any Agent may do the same with like rights. The Trustee is also subject to Sections 7.10 and 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7.4            </w:t>
      </w:r>
      <w:r>
        <w:rPr>
          <w:rFonts w:ascii="Times New Roman;Times;Serif" w:hAnsi="Times New Roman;Times;Serif"/>
          <w:b w:val="false"/>
          <w:i w:val="false"/>
          <w:caps w:val="false"/>
          <w:smallCaps w:val="false"/>
          <w:sz w:val="20"/>
          <w:u w:val="single"/>
        </w:rPr>
        <w:t>Trustee’s Disclaimer.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responsible for and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7.5            </w:t>
      </w:r>
      <w:r>
        <w:rPr>
          <w:rFonts w:ascii="Times New Roman;Times;Serif" w:hAnsi="Times New Roman;Times;Serif"/>
          <w:b w:val="false"/>
          <w:i w:val="false"/>
          <w:caps w:val="false"/>
          <w:smallCaps w:val="false"/>
          <w:sz w:val="20"/>
          <w:u w:val="single"/>
        </w:rPr>
        <w:t>Notice of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Event of Default occurs and is continuing with respect to the Securities of any Series and if it is known to a Responsible Officer of the Trustee, the Trustee shall mail to each Securityholder of the Securities of that Series notice of such Default or Event of Default within 90 days after a Responsible Officer of the Trustee has knowledge of such Default or Event of Default. Except in the case of a Default or Event of Default in payment of principal of or interest on any Security of any Series, the Trustee may withhold the notice if it in good faith determines that withholding the notice is in the interests of Securityholders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7.6            </w:t>
      </w:r>
      <w:r>
        <w:rPr>
          <w:rFonts w:ascii="Times New Roman;Times;Serif" w:hAnsi="Times New Roman;Times;Serif"/>
          <w:b w:val="false"/>
          <w:i w:val="false"/>
          <w:caps w:val="false"/>
          <w:smallCaps w:val="false"/>
          <w:sz w:val="20"/>
          <w:u w:val="single"/>
        </w:rPr>
        <w:t>Reports by Trustee to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60 days after May 15 in each year, and for so long as any Securities remain outstanding, the Trustee shall transmit by mail to all Securityholders, as their names and addresses appear on the register kept by the Registrar a brief report dated as of such May 15, in accordance with, and to the extent required under, TIA § 313(a) (but if no event described in TIA §313(a) has occurred within the twelve months preceding the reporting date, no report need be transmitted). The Trustee also will comply with TIA §313(b)(2) and transmit by mail all reports as required by TIA §313(c).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report at the time of its mailing to Securityholders of any Series shall be mailed by the Trustee to the Company and filed by the Company with the SEC and each stock exchange on which the Securities of that Series are listed. The Company shall promptly notify the Trustee when Securities of any Series are listed on any stock exchange.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7.7            </w:t>
      </w:r>
      <w:r>
        <w:rPr>
          <w:rFonts w:ascii="Times New Roman;Times;Serif" w:hAnsi="Times New Roman;Times;Serif"/>
          <w:b w:val="false"/>
          <w:i w:val="false"/>
          <w:caps w:val="false"/>
          <w:smallCaps w:val="false"/>
          <w:sz w:val="20"/>
          <w:u w:val="single"/>
        </w:rPr>
        <w:t>Compensation and 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Trustee from time to time compensation for its services hereunder as the Company and the Trustee shall from time to time agree upon in writing. The Trustee’s compensation shall not be limited by any law on compensation of a trustee of an express trust. The Company shall reimburse the Trustee promptly upon request for all reasonable out-of-pocket expenses incurred by it in addition to the compensation for its services. Such expenses shall include the reasonable compensation and expenses of the Trustee’s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each of the Trustee, any predecessor Trustee (including the cost of defending itself) and each of their respective officers, directors, employees, shareholders and agents (collectively, the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against any loss, liability or expense, including taxes (other than taxes based upon, measured by or determined by the income of the Trustee) incurred by such Indemnified Parties directly or indirectly arising out of or in connection with the acceptance or administration of its duties under this Indenture as Trustee or Agent; provided, however, that the Company shall not be required to indemnify for any such loss, liability or expense resulting directly from an Indemnified Party’s negligence, bad faith or willful misconduct as determined by a final judgment issued by a court of competent jurisdiction. An Indemnified Party shall notify the Company promptly of any claim for which it may seek indemnity, provided however that failure by such Indemnified Party to so notify the Company shall not relieve the Company of its obligations hereunder. The Company shall defend the claim and the Indemnified Party shall cooperate in the defense. Each Indemnified Party may have one separate counsel and the Company shall pay the reasonable fees and expenses of such counsel. The Company need not pay for any settlement made without its consent, which consent shall not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Company’s payment obligations in this Section 7.7, the Trustee shall have a lien prior to the Securities of any Series on all money or property held or collected by the Trustee, except that held in trust to pay principal of and interest on particular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after an Event of Default specified in Section 6.1(e) or (f) occurs, the expenses and the compensation for the services are intended to constitute expenses of administration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7.7 shall survive the termination of this Indenture or the earlier resignation or removal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7.8            </w:t>
      </w:r>
      <w:r>
        <w:rPr>
          <w:rFonts w:ascii="Times New Roman;Times;Serif" w:hAnsi="Times New Roman;Times;Serif"/>
          <w:b w:val="false"/>
          <w:i w:val="false"/>
          <w:caps w:val="false"/>
          <w:smallCaps w:val="false"/>
          <w:sz w:val="20"/>
          <w:u w:val="single"/>
        </w:rPr>
        <w:t>Replacement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resignation or removal of the Trustee and appointment of a successor Trustee shall become effective only upon the successor Trustee’s acceptance of appointment as provided in this Section 7.8.</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with respect to the Securities of one or more Series by so notifying the Company at least 30 days prior to the date of the proposed resignation. The Holders of a majority in aggregate principal amount of the then outstanding Securities of any Series may remove the Trustee with respect to that Series by so notifying the Trustee and the Company. The Company may remove the Trustee with respect to Securities of one or more Series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Trustee fails to comply with Section 7.10;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Trustee is adjudged a bankrupt or an insolvent or an order for relief is entered with respect to the Trustee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 Custodian or public officer takes charge of the Trustee or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Trustee becomes incapable of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for any reason, the Company shall promptly appoint a successor Trustee. Within one year after the successor Trustee takes office, the Holders of a majority in aggregate principal amount of the then outstanding Securities may appoint a successor Trustee to replace the successor Trustee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with respect to the Securities of any one or more Series does not take office within 60 days after the retiring Trustee resigns or is removed, the retiring Trustee, the Company or the Holders of at least 10% in aggregate principal amount of the then outstanding Securities of the applicable Series may petition any court of competent jurisdiction for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Upon payment of all amounts owing to retiring Trustee hereunder, the retiring Trustee shall immediately transfer all property held by it as Trustee to the successor Trustee subject to the lien provided for in Section 7.7, and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prior to such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7.9            </w:t>
      </w:r>
      <w:r>
        <w:rPr>
          <w:rFonts w:ascii="Times New Roman;Times;Serif" w:hAnsi="Times New Roman;Times;Serif"/>
          <w:b w:val="false"/>
          <w:i w:val="false"/>
          <w:caps w:val="false"/>
          <w:smallCaps w:val="false"/>
          <w:sz w:val="20"/>
          <w:u w:val="single"/>
        </w:rPr>
        <w:t>Successor Trustee by Merger,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consolidates with, merges or converts into, or transfers all or substantially all of its corporate trust business to, another corporation, the successor corporation without any further act shall be the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7.10            </w:t>
      </w:r>
      <w:r>
        <w:rPr>
          <w:rFonts w:ascii="Times New Roman;Times;Serif" w:hAnsi="Times New Roman;Times;Serif"/>
          <w:b w:val="false"/>
          <w:i w:val="false"/>
          <w:caps w:val="false"/>
          <w:smallCaps w:val="false"/>
          <w:sz w:val="20"/>
          <w:u w:val="single"/>
        </w:rPr>
        <w:t>Eligibility; Disqualification.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7.11            </w:t>
      </w:r>
      <w:r>
        <w:rPr>
          <w:rFonts w:ascii="Times New Roman;Times;Serif" w:hAnsi="Times New Roman;Times;Serif"/>
          <w:b w:val="false"/>
          <w:i w:val="false"/>
          <w:caps w:val="false"/>
          <w:smallCaps w:val="false"/>
          <w:sz w:val="20"/>
          <w:u w:val="single"/>
        </w:rPr>
        <w:t>Preferential Collection of Claims Against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subject to TIA § 311(a), excluding any creditor relationship listed in TIA § 311(b). A Trustee who has resigned or been removed shall be subject to TIA § 311(a) to the extent indicated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VIII.</w:t>
      </w:r>
      <w:r>
        <w:rPr>
          <w:rFonts w:ascii="Times New Roman;Times;Serif" w:hAnsi="Times New Roman;Times;Serif"/>
          <w:b w:val="false"/>
          <w:i w:val="false"/>
          <w:caps w:val="false"/>
          <w:smallCaps w:val="false"/>
          <w:sz w:val="20"/>
          <w:u w:val="single"/>
        </w:rPr>
        <w:br/>
        <w:t>LEGAL DEFEASANCE AND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8.1            </w:t>
      </w:r>
      <w:r>
        <w:rPr>
          <w:rFonts w:ascii="Times New Roman;Times;Serif" w:hAnsi="Times New Roman;Times;Serif"/>
          <w:b w:val="false"/>
          <w:i w:val="false"/>
          <w:caps w:val="false"/>
          <w:smallCaps w:val="false"/>
          <w:sz w:val="20"/>
          <w:u w:val="single"/>
        </w:rPr>
        <w:t>Option to Effect Legal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as evidenced by an Officers’ Certificate, elect to have either Section 8.2 or 8.3 hereof be applied to all outstanding Securities of any Series upon compliance with the conditions set forth below in this Article 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8.2            </w:t>
      </w:r>
      <w:r>
        <w:rPr>
          <w:rFonts w:ascii="Times New Roman;Times;Serif" w:hAnsi="Times New Roman;Times;Serif"/>
          <w:b w:val="false"/>
          <w:i w:val="false"/>
          <w:caps w:val="false"/>
          <w:smallCaps w:val="false"/>
          <w:sz w:val="20"/>
          <w:u w:val="single"/>
        </w:rPr>
        <w:t>Legal Defeasance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exercise under Section 8.1 hereof of the option applicable to this Section 8.2, the Company and each guarantor, if any, of such Securities will, subject to the satisfaction of the conditions set forth in Section 8.4 hereof, be deemed to have been discharged from its or their obligations with respect to all outstanding Securities of such Series (including the related guarantees, if any) on the date the conditions set forth below are satisfied (hereinafter, “</w:t>
      </w:r>
      <w:r>
        <w:rPr>
          <w:rFonts w:ascii="Times New Roman;Times;Serif" w:hAnsi="Times New Roman;Times;Serif"/>
          <w:b w:val="false"/>
          <w:i w:val="false"/>
          <w:caps w:val="false"/>
          <w:smallCaps w:val="false"/>
          <w:sz w:val="20"/>
          <w:u w:val="single"/>
        </w:rPr>
        <w:t>Legal Defeasance</w:t>
      </w:r>
      <w:r>
        <w:rPr>
          <w:rFonts w:ascii="Times New Roman;Times;Serif" w:hAnsi="Times New Roman;Times;Serif"/>
          <w:b w:val="false"/>
          <w:i w:val="false"/>
          <w:caps w:val="false"/>
          <w:smallCaps w:val="false"/>
          <w:sz w:val="20"/>
        </w:rPr>
        <w:t>”). For this purpose, Legal Defeasance means that the Company and such guarantors, if any, will be deemed to have paid and discharged the entire Indebtedness represented by the outstanding Securities of such Series (including the related guarantees, if any), which will thereafter be deemed to be “outstanding” only for the purposes of Section 8.5 hereof and the other Sections of this Indenture referred to in clauses (1) and (2) below, and to have satisfied all its or their other obligations under such Securities, such guarantees, if any, and this Indenture (and the Trustee for such Securities, on demand of and at the expense of the Company, shall execute proper instruments acknowledging the same), except for the following provisions which will survive until otherwise terminated or discharged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the rights of Holders of outstanding Securities of such Series to receive payments in respect of the principal of, or interest or premium, if any, on, such Securities when such payments are due from the trust referred to in Section 8.4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the Company’s obligations with respect to such Securities under Article II and Section 4.2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the rights, powers, trusts, duties, indemnities and immunities of the Trustee for such Securities hereunder and the Company’s and the guarantors’, if any, obligations in connection therewith;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this Article 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compliance with this Article VIII, the Company may exercise its option under this Section 8.2 notwithstanding the prior exercise of its option under Section 8.3 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8.3            </w:t>
      </w:r>
      <w:r>
        <w:rPr>
          <w:rFonts w:ascii="Times New Roman;Times;Serif" w:hAnsi="Times New Roman;Times;Serif"/>
          <w:b w:val="false"/>
          <w:i w:val="false"/>
          <w:caps w:val="false"/>
          <w:smallCaps w:val="false"/>
          <w:sz w:val="20"/>
          <w:u w:val="single"/>
        </w:rPr>
        <w:t>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exercise under Section 8.1 hereof of the option applicable to this Section 8.3, the Company and each of the guarantors, if any, will, subject to the satisfaction of the conditions set forth in Section 8.4 hereof, be released from each of their or its obligations under the covenants specified in a Board Resolution, a supplemental indenture hereto or an Officers’ Certificate, in accordance with Section 2.2.18, with respect to the outstanding Securities of the applicable Series on and after the date the conditions set forth in Section 8.4 hereof are satisfied (hereinafter,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and such Securities will thereafter be deemed not “outstanding” for the purposes of any direction, waiver, consent or declaration or act of Holders of such Securities (and the consequences of any thereof) in connection with such covenants, but will continue to be deemed “outstanding” for all other purposes hereunder (it being understood that such Securities will not be deemed outstanding for accounting purposes). For this purpose, Covenant Defeasance means that, with respect to the outstanding Securities of such Series, the Company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6.1 hereof, but, except as specified above, the remainder of this Indenture and such Securities will be unaffected thereby. In addition, upon the Company’s exercise under Section 8.1 hereof of the option applicable to this Section 8.3, subject to the satisfaction of the conditions set forth in Section 8.4 hereof, Sections 6.1(d) through (f) hereof will not constitute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8.4            </w:t>
      </w:r>
      <w:r>
        <w:rPr>
          <w:rFonts w:ascii="Times New Roman;Times;Serif" w:hAnsi="Times New Roman;Times;Serif"/>
          <w:b w:val="false"/>
          <w:i w:val="false"/>
          <w:caps w:val="false"/>
          <w:smallCaps w:val="false"/>
          <w:sz w:val="20"/>
          <w:u w:val="single"/>
        </w:rPr>
        <w:t>Conditions to Legal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either Legal Defeasance or Covenant Defeasance under either Section 8.2 or 8.3 hereof with respect to Securities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the Company must irrevocably deposit with the Trustee for such Securities, in trust, for the benefit of the Holders of such Securities,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the outstanding Securities of such Series on the stated date for payment thereof or on the applicable redemption date, as the case may be, and the Company must specify whether such Securities are being defeased to such stated date for payment or to a particular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in the case of an election under Section 8.2 hereof, the Company must deliver to the Trustee for such Securities an Opinion of Counsel confirming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Company has received from, or there has been published by, the Internal Revenue Service a ruling;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since the date of this Indenture, there has been a change in the applicable federal income tax law, 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in the case of an election under Section 8.3 hereof, the Company must deliver to the Trustee for such Securities an Opinion of Counsel confirming that the Holders of such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no Default or Event of Default with respect to such Securities shall have occurred and be continuing on the date of such deposit (other than a Default or Event of Default resulting from the borrowing of funds to be applied to such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or any of its Subsidiaries is a party or by which the Company or any of its Subsidiaries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the Company must deliver to the Trustee for such Securities an Officers’ Certificate stating that the deposit was not made by the Company with the intent of preferring the Holders of such Securities over the other creditors of the Company with the intent of defeating, hindering, delaying or defrauding any creditors of the Company or others;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the Company must deliver to the Trustee for such Securities an Officers’ Certificate and an Opinion of Counsel, each stating that all conditions precedent relating to the Legal Defeasance or the Covenant Defeasance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8.5            </w:t>
      </w:r>
      <w:r>
        <w:rPr>
          <w:rFonts w:ascii="Times New Roman;Times;Serif" w:hAnsi="Times New Roman;Times;Serif"/>
          <w:b w:val="false"/>
          <w:i w:val="false"/>
          <w:caps w:val="false"/>
          <w:smallCaps w:val="false"/>
          <w:sz w:val="20"/>
          <w:u w:val="single"/>
        </w:rPr>
        <w:t>Deposited Money and Government Securities to be Held in Trust; Other 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8.6 hereof, all money and non-callable Government Securities (including the proceeds thereof) deposited with the Trustee (or other qualifying trustee, collectively for purposes of this Section 8.5,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pursuant to Section 8.4 hereof in respect of the outstanding Securities of any Series will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premium, if any, and interest,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and indemnify the Trustee against any tax, fee or other charge imposed on or assessed against the cash or non-callable Government Securities deposited pursuant to Section 8.4 hereof or the principal and interest received in respect thereof other than any such tax, fee or other charge which by law is for the account of the Holders of the outstanding Securities of the applicable Series.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Article VIII to the contrary, the Trustee will deliver or pay to the Company from time to time upon the request of the Company any money or non-callable Government Securities held by it as provided in Section 8.4 hereof which, in the opinion of a nationally recognized firm of independent public accountants expressed in a written certification thereof delivered to the Trustee (which may be the opinion delivered under Section 8.4(1) hereof), are in excess of the amount thereof that would then be required to be deposited to effect an equivalent Legal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8.6            </w:t>
      </w:r>
      <w:r>
        <w:rPr>
          <w:rFonts w:ascii="Times New Roman;Times;Serif" w:hAnsi="Times New Roman;Times;Serif"/>
          <w:b w:val="false"/>
          <w:i w:val="false"/>
          <w:caps w:val="false"/>
          <w:smallCaps w:val="false"/>
          <w:sz w:val="20"/>
          <w:u w:val="single"/>
        </w:rPr>
        <w:t>Repayment to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deposited with the Trustee or any Paying Agent, or then held by the Company, in trust for the payment of the principal of, premium, if any, or interest on, any Series of Securities and remaining unclaimed for two years after such principal, premium, if any, or interest has become due and payable shall be paid to the Company on its request or (if then held by the Company) will be discharged from such trust; and the Holders of such Securities will thereafter be permitted to look only to the Company for payment thereof, and all liability of the Trustee or such Paying Agent with respect to such trust money, and all liability of the Company as trustee thereof, will thereupon cease; provided, however,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8.7            </w:t>
      </w:r>
      <w:r>
        <w:rPr>
          <w:rFonts w:ascii="Times New Roman;Times;Serif" w:hAnsi="Times New Roman;Times;Serif"/>
          <w:b w:val="false"/>
          <w:i w:val="false"/>
          <w:caps w:val="false"/>
          <w:smallCaps w:val="false"/>
          <w:sz w:val="20"/>
          <w:u w:val="single"/>
        </w:rPr>
        <w:t>Reinstatement.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Paying Agent is unable to apply any U.S. dollars or non-callable Government Securities in accordance with Section 8.2 or 8.3 hereof, as the case may be, by reason of any order or judgment of any court or governmental authority enjoining, restraining or otherwise prohibiting such application, then the Company’s and any applicable guarantors’ obligations under this Indenture and the applicable Securities and the guarantees will be revived and reinstated as though no deposit had occurred pursuant to Section 8.2 or 8.3 hereof until such time as the Trustee or Paying Agent is permitted to apply all such money in accordance with Section 8.2 or 8.3 hereof, as the case may be; provided, however, that, if the Company makes any payment of principal of, premium, if any, or interest on, any such Securities following the reinstatement of its obligations, the Company will be subrogated to the rights of the Holders of such Securities to receive such payment from the money held by the Trustee or Paying Agent.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IX.</w:t>
      </w:r>
      <w:r>
        <w:rPr>
          <w:rFonts w:ascii="Times New Roman;Times;Serif" w:hAnsi="Times New Roman;Times;Serif"/>
          <w:b w:val="false"/>
          <w:i w:val="false"/>
          <w:caps w:val="false"/>
          <w:smallCaps w:val="false"/>
          <w:sz w:val="20"/>
          <w:u w:val="single"/>
        </w:rPr>
        <w:br/>
        <w:t>AMENDMENTS AND WAIVERS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9.1            </w:t>
      </w:r>
      <w:r>
        <w:rPr>
          <w:rFonts w:ascii="Times New Roman;Times;Serif" w:hAnsi="Times New Roman;Times;Serif"/>
          <w:b w:val="false"/>
          <w:i w:val="false"/>
          <w:caps w:val="false"/>
          <w:smallCaps w:val="false"/>
          <w:sz w:val="20"/>
          <w:u w:val="single"/>
        </w:rPr>
        <w:t>Without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9.2 of this Indenture, the Company and the Trustee may amend or supplement this Indenture or the Securities of one or more Series without the consent of any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to cure any ambiguity, defect or inconsistency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to provide for uncertificated Securities in addition to or in place of certificated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to provide for the assumption of the Company’s obligations to the Holders of the Securities by a successor to the Company pursuant to Article V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to make any change that would provide any additional rights or benefits to the Holders of Securities or that does not adversely affect the legal rights hereunder of any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to comply with requirements of the SEC in order to effect or maintain the qualification of this Indenture under the TIA;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to add to or change or eliminate any provision of this Indenture as shall be necessary or desirable in accordance with any amendments to the TIA;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to provide for the issuance of and establish the form and terms and conditions of Securities of any Series as permitted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to add guarantors or co-obligors with respect to any Series of Securities or to release guarantors of Securities in accordance with the terms of the applicable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a Board Resolution authorizing the execution of any such amended or supplemental indenture, and upon receipt by the Trustee of the documents described in Section 7.2 hereof, the Trustee will join with the Company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9.2            </w:t>
      </w:r>
      <w:r>
        <w:rPr>
          <w:rFonts w:ascii="Times New Roman;Times;Serif" w:hAnsi="Times New Roman;Times;Serif"/>
          <w:b w:val="false"/>
          <w:i w:val="false"/>
          <w:caps w:val="false"/>
          <w:smallCaps w:val="false"/>
          <w:sz w:val="20"/>
          <w:u w:val="single"/>
        </w:rPr>
        <w:t>With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9.3, the Company and the Trustee may enter into a supplemental indenture with the written consent of the Holders of at least a majority in aggregate principal amount of the then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9.3, the Holders of at least a majority in aggregate principal amount of the then outstanding Securities of each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of Securities under this Section 9.2 to approve the particular form of any proposed supplemental indenture or waiver, but it shall be sufficient if such consent approves the substance thereof. Upon the request of the Company accompanied by a Board Resolution and upon the filing with the Trustee of evidence satisfactory to the Trustee of the consent of the Holders of Securities as aforesaid, and upon receipt by the Trustee of the documents described in Section 9.7 hereof, the Trustee will join with the Company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 supplemental indenture or waiver under this section becomes effective, the Company shall mail or deliver electronically to the Holders of Securities affected thereby a notice briefly describing the supplemental indenture or waiver. Any failure by the Company to mail or deliver such notice, or any defect therein, shall not, however, in any way impair or affect the validity of any such supplemental indenture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9.3            </w:t>
      </w:r>
      <w:r>
        <w:rPr>
          <w:rFonts w:ascii="Times New Roman;Times;Serif" w:hAnsi="Times New Roman;Times;Serif"/>
          <w:b w:val="false"/>
          <w:i w:val="false"/>
          <w:caps w:val="false"/>
          <w:smallCaps w:val="false"/>
          <w:sz w:val="20"/>
          <w:u w:val="single"/>
        </w:rPr>
        <w:t>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each Securityholder affected, an amendment, supplement or waiver may not (with respect to any Securities held by a non-consenting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reduce the amount of Securities whose Holders must consent to an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reduce the rate of or extend the time for payment of interest (including default interest) on any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reduce the principal or change the Stated Maturity of any Security or reduce the amount of, or postpone the date fixed for, the payment of any sinking fund or analogous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reduce the principal amount of Discount Securities payable upon acceleration of the maturity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waive a Default or Event of Default in the payment of the principal of or interest, if any, on any Security (except a rescission of acceleration of the Securities of any Series by the Holders of at least a majority in aggregate principal amount of the then outstanding Securities of such Series and a waiver of the payment default that resulted from such acceleration);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make the principal of or interest, if any, on any Security payable in any currency other than that stated in the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make any change in Sections 6.4 or 9.3 (this sentence);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waive a redemption payment with respect to any Security or change any of the provisions with respect to the redemption of any Securities, except as specifically set forth in the Board Resolution, supplemental indenture hereto or Officers’ Certificate delivered pursuant to Section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9.4            </w:t>
      </w:r>
      <w:r>
        <w:rPr>
          <w:rFonts w:ascii="Times New Roman;Times;Serif" w:hAnsi="Times New Roman;Times;Serif"/>
          <w:b w:val="false"/>
          <w:i w:val="false"/>
          <w:caps w:val="false"/>
          <w:smallCaps w:val="false"/>
          <w:sz w:val="20"/>
          <w:u w:val="single"/>
        </w:rPr>
        <w:t>Compliance with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amendment to this Indenture or the Securities of one or more Series shall be set forth in a supplemental indenture hereto that complies with the TIA as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9.5            </w:t>
      </w:r>
      <w:r>
        <w:rPr>
          <w:rFonts w:ascii="Times New Roman;Times;Serif" w:hAnsi="Times New Roman;Times;Serif"/>
          <w:b w:val="false"/>
          <w:i w:val="false"/>
          <w:caps w:val="false"/>
          <w:smallCaps w:val="false"/>
          <w:sz w:val="20"/>
          <w:u w:val="single"/>
        </w:rPr>
        <w:t>Revocation and Effect of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supplement or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written notice of revocation before the date the amendment, supplement or waiver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supplement or waiver once effective shall bind every Securityholder of each Series affected by such amendment, supplement or waiver unless it is of the type described in any of clauses (a) through (h) of Section 9.3. In that case, the amendment, supplement or waiver shall bind each Holder of a Security who has consented to it and every subsequent Holder of a Security or portion of a Security that evidences the same debt as the consenting Holder’s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9.6            </w:t>
      </w:r>
      <w:r>
        <w:rPr>
          <w:rFonts w:ascii="Times New Roman;Times;Serif" w:hAnsi="Times New Roman;Times;Serif"/>
          <w:b w:val="false"/>
          <w:i w:val="false"/>
          <w:caps w:val="false"/>
          <w:smallCaps w:val="false"/>
          <w:sz w:val="20"/>
          <w:u w:val="single"/>
        </w:rPr>
        <w:t>Notation on or Exchange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place an appropriate notation about an amendment, supplement or waiver on any Security of any Series thereafter authenticated. The Company in exchange for Securities of that Series may issue and the Trustee shall authenticate upon request new Securities of that Series that reflect the amendment, supplement or waiver. Failure to make the appropriate notation or issue a new Security will not affect the validity and effect of such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9.7            </w:t>
      </w:r>
      <w:r>
        <w:rPr>
          <w:rFonts w:ascii="Times New Roman;Times;Serif" w:hAnsi="Times New Roman;Times;Serif"/>
          <w:b w:val="false"/>
          <w:i w:val="false"/>
          <w:caps w:val="false"/>
          <w:smallCaps w:val="false"/>
          <w:sz w:val="20"/>
          <w:u w:val="single"/>
        </w:rPr>
        <w:t>Trustee Protected.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and an Opinion of Counsel each stating that the execution of such supplemental indenture is authorized or permitted by this Indenture. The Trustee shall sign all supplemental indentures, except that the Trustee need not sign any supplemental indenture that adversely affects its rights, duties, liabilities, indemnities or immunities.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X.</w:t>
      </w:r>
      <w:r>
        <w:rPr>
          <w:rFonts w:ascii="Times New Roman;Times;Serif" w:hAnsi="Times New Roman;Times;Serif"/>
          <w:b w:val="false"/>
          <w:i w:val="false"/>
          <w:caps w:val="false"/>
          <w:smallCaps w:val="false"/>
          <w:sz w:val="20"/>
          <w:u w:val="single"/>
        </w:rPr>
        <w:b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10.1          </w:t>
      </w:r>
      <w:r>
        <w:rPr>
          <w:rFonts w:ascii="Times New Roman;Times;Serif" w:hAnsi="Times New Roman;Times;Serif"/>
          <w:b w:val="false"/>
          <w:i w:val="false"/>
          <w:caps w:val="false"/>
          <w:smallCaps w:val="false"/>
          <w:sz w:val="20"/>
          <w:u w:val="single"/>
        </w:rP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will be discharged and will cease to be of further effect as to a Series of Securities issued hereunder, when: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all such Securities that have been authenticated, except lost, stolen or destroyed Securities that have been replaced or paid and Securities for whose payment money has theretofore been deposited in trust and thereafter repaid to the Company, have been delivered to the Trustee for cancellation;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all such Securities that have not been delivered to the Trustee for cancellation have become due and payable by reason of the distribution of a notice of redemption or otherwise or will become due and payable within one year and the Company has irrevocably deposited or caused to be deposited with the Trustee as trust funds in trust solely for the benefit of the Holders of such Securities, cash in U.S. dollars, non-callable Government Securities, or a combination thereof, in such amounts as will be sufficient, without consideration of any reinvestment of interest, to pay and discharge the entire Indebtedness on such Securities not delivered to the Trustee for cancellation for principal, premium, if any, and accrued interest to the date of maturity 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 respect of subclause (ii) of clause (a) of this Section 10.1, 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guarantor, as applicable, of such Securities is a party or by which the Company or any such guarantor, as applicable,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Company or any guarantor of such Securities has paid or caused to be paid all sums payable by it under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Company has delivered irrevocable instructions to the Trustee for such Securities under this Indenture to apply the deposited money toward the payment of such Securities at maturity or on the redemption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must deliver an Officers’ Certificate and an Opinion of Counsel to the Trustee for such Securities stating that all conditions precedent to satisfaction and discharge have been satisfied.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if money has been deposited with the Trustee pursuant to subclause (ii) of clause (a) of this Section 10.1, the provisions of Sections 10.2 and 8.6 hereof will survive. In addition, nothing in this Section 10.1 will be deemed to discharge those provisions of Section 7.7 hereof, that, by their terms, survive the satisfaction and discharge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10.2          </w:t>
      </w:r>
      <w:r>
        <w:rPr>
          <w:rFonts w:ascii="Times New Roman;Times;Serif" w:hAnsi="Times New Roman;Times;Serif"/>
          <w:b w:val="false"/>
          <w:i w:val="false"/>
          <w:caps w:val="false"/>
          <w:smallCaps w:val="false"/>
          <w:sz w:val="20"/>
          <w:u w:val="single"/>
        </w:rPr>
        <w:t>Application of Trust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8.6 hereof, all money deposited with a Trustee pursuant to Section 10.1 hereof shall be held in trust and applied by it, in accordance with the provisions of the Securities with respect to which such deposit was made and this Indenture, to the payment, either directly or through any Paying Agent (including the Company acting as its own Paying Agent) as such Trustee may determine, to the persons entitled thereto, of the principal (and premium, if any) and interest for whose payment such money has been deposited with such Trustee;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XI.</w:t>
      </w:r>
      <w:r>
        <w:rPr>
          <w:rFonts w:ascii="Times New Roman;Times;Serif" w:hAnsi="Times New Roman;Times;Serif"/>
          <w:b w:val="false"/>
          <w:i w:val="false"/>
          <w:caps w:val="false"/>
          <w:smallCaps w:val="false"/>
          <w:sz w:val="20"/>
          <w:u w:val="single"/>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          </w:t>
      </w:r>
      <w:r>
        <w:rPr>
          <w:rFonts w:ascii="Times New Roman;Times;Serif" w:hAnsi="Times New Roman;Times;Serif"/>
          <w:b w:val="false"/>
          <w:i w:val="false"/>
          <w:caps w:val="false"/>
          <w:smallCaps w:val="false"/>
          <w:sz w:val="20"/>
          <w:u w:val="single"/>
        </w:rPr>
        <w:t>Trust Indenture Act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is hereby made subject to, and shall be governed by, the provisions of the TIA required or deemed to be part of and to govern indentures qualified under the TIA. If any provision of this Indenture limits, qualifies, or conflicts with another provision which is required or deemed to be included in this Indenture by the TIA, such required or deemed provision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11.2          </w:t>
      </w:r>
      <w:r>
        <w:rPr>
          <w:rFonts w:ascii="Times New Roman;Times;Serif" w:hAnsi="Times New Roman;Times;Serif"/>
          <w:b w:val="false"/>
          <w:i w:val="false"/>
          <w:caps w:val="false"/>
          <w:smallCaps w:val="false"/>
          <w:sz w:val="20"/>
          <w:u w:val="single"/>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by the Company or the Trustee to the other, or by a Holder to the Company or the Trustee, is duly given if in writing and delivered in person, mailed by first-class mail or by any telecommunication device capable of creating a written record (including electronic mail):</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0" w:type="dxa"/>
          <w:left w:w="0" w:type="dxa"/>
          <w:bottom w:w="0" w:type="dxa"/>
          <w:right w:w="0" w:type="dxa"/>
        </w:tblCellMar>
      </w:tblPr>
      <w:tblGrid>
        <w:gridCol w:w="75"/>
        <w:gridCol w:w="5360"/>
      </w:tblGrid>
      <w:tr>
        <w:trPr/>
        <w:tc>
          <w:tcPr>
            <w:tcW w:w="75"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to the Company:</w:t>
            </w:r>
          </w:p>
        </w:tc>
      </w:tr>
      <w:tr>
        <w:trPr/>
        <w:tc>
          <w:tcPr>
            <w:tcW w:w="75"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w:t>
              <w:br/>
              <w:t>300 Carnegie Center, Suite 300</w:t>
              <w:br/>
              <w:t>Princeton, NJ 08540</w:t>
              <w:br/>
              <w:t>Attention: General Counsel</w:t>
              <w:br/>
              <w:t>Telephone: (609) 608-1525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ogc@clearwayenergy.com</w:t>
            </w:r>
          </w:p>
        </w:tc>
      </w:tr>
      <w:tr>
        <w:trPr/>
        <w:tc>
          <w:tcPr>
            <w:tcW w:w="75"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the Trustee:</w:t>
            </w:r>
          </w:p>
        </w:tc>
      </w:tr>
      <w:tr>
        <w:trPr/>
        <w:tc>
          <w:tcPr>
            <w:tcW w:w="75"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CSC Delaware Trust Company</w:t>
              <w:br/>
              <w:t>251 Little Falls Drive</w:t>
              <w:br/>
              <w:t>Wilmington, DE 19808</w:t>
              <w:br/>
              <w:t>Attention: Corporate Trust Administration – Lici Zhu</w:t>
              <w:br/>
              <w:t>Telephone: 302-485-1380</w:t>
              <w:br/>
              <w:t>Email: Lici.Zhu@cscglobal.com; Jordan.Gardner@cscglobal.com</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notice to the other may designate additional or different addresses for subsequent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or published in the manner provided above, within the time prescribed, it is duly given, whether or not the Securityholder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mails (or delivers electronically) a notice or communication to Securityholders, it shall mail (or deliver electronically) a copy to the Trustee and each Agent at the same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11.3          </w:t>
      </w:r>
      <w:r>
        <w:rPr>
          <w:rFonts w:ascii="Times New Roman;Times;Serif" w:hAnsi="Times New Roman;Times;Serif"/>
          <w:b w:val="false"/>
          <w:i w:val="false"/>
          <w:caps w:val="false"/>
          <w:smallCaps w:val="false"/>
          <w:sz w:val="20"/>
          <w:u w:val="single"/>
        </w:rPr>
        <w:t>Communication by Holders with Other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11.4          </w:t>
      </w:r>
      <w:r>
        <w:rPr>
          <w:rFonts w:ascii="Times New Roman;Times;Serif" w:hAnsi="Times New Roman;Times;Serif"/>
          <w:b w:val="false"/>
          <w:i w:val="false"/>
          <w:caps w:val="false"/>
          <w:smallCaps w:val="false"/>
          <w:sz w:val="20"/>
          <w:u w:val="single"/>
        </w:rPr>
        <w:t>Certificate and Opinion as to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Company to the Trustee to take any action under this Indenture, the Company shall furnish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an Officers’ Certificate stating that, in the opinion of the signers, all conditions precedent, if any, provided for in this Indenture relating to the proposed action have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an Opinion of Counsel stating that, in the opinion of such counsel, all such conditions precedent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11.5          </w:t>
      </w:r>
      <w:r>
        <w:rPr>
          <w:rFonts w:ascii="Times New Roman;Times;Serif" w:hAnsi="Times New Roman;Times;Serif"/>
          <w:b w:val="false"/>
          <w:i w:val="false"/>
          <w:caps w:val="false"/>
          <w:smallCaps w:val="false"/>
          <w:sz w:val="20"/>
          <w:u w:val="single"/>
        </w:rPr>
        <w:t>Statements Required in Certificate 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with respect to compliance with a condition or covenant provided for in this Indenture (other than a certificate provided pursuant to TIA § 314(a)(4)) shall comply with the provisions of TIA § 314(e) and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 statement that the person making such certificate or opinion has read such covenant or condition;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 brief statement as to the nature and scope of the examination or investigation upon which the statements or opinions contained in such certificate or opinion are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 statement that, in the opinion of such person, he or she has made such examination or investigation as is necessary to enable him or her to express an informed opinion as to whether or not such covenant or condition has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a statement as to whether or not, in the opinion of such person, such condition or covenant has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11.6          </w:t>
      </w:r>
      <w:r>
        <w:rPr>
          <w:rFonts w:ascii="Times New Roman;Times;Serif" w:hAnsi="Times New Roman;Times;Serif"/>
          <w:b w:val="false"/>
          <w:i w:val="false"/>
          <w:caps w:val="false"/>
          <w:smallCaps w:val="false"/>
          <w:sz w:val="20"/>
          <w:u w:val="single"/>
        </w:rPr>
        <w:t>Rules by Trustee and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at a meeting of Securityholders of one or more Series. Any Agent may make reasonable rules and set reasonable requirements for its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11.7          </w:t>
      </w:r>
      <w:r>
        <w:rPr>
          <w:rFonts w:ascii="Times New Roman;Times;Serif" w:hAnsi="Times New Roman;Times;Serif"/>
          <w:b w:val="false"/>
          <w:i w:val="false"/>
          <w:caps w:val="false"/>
          <w:smallCaps w:val="false"/>
          <w:sz w:val="20"/>
          <w:u w:val="single"/>
        </w:rPr>
        <w:t>Legal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by Board Resolution, Officers’ Certificate or supplemental indenture hereto for a particular Series, a “</w:t>
      </w:r>
      <w:r>
        <w:rPr>
          <w:rFonts w:ascii="Times New Roman;Times;Serif" w:hAnsi="Times New Roman;Times;Serif"/>
          <w:b w:val="false"/>
          <w:i w:val="false"/>
          <w:caps w:val="false"/>
          <w:smallCaps w:val="false"/>
          <w:sz w:val="20"/>
          <w:u w:val="single"/>
        </w:rPr>
        <w:t>Legal Holiday</w:t>
      </w:r>
      <w:r>
        <w:rPr>
          <w:rFonts w:ascii="Times New Roman;Times;Serif" w:hAnsi="Times New Roman;Times;Serif"/>
          <w:b w:val="false"/>
          <w:i w:val="false"/>
          <w:caps w:val="false"/>
          <w:smallCaps w:val="false"/>
          <w:sz w:val="20"/>
        </w:rPr>
        <w:t>” is any day that is not a Business Day. If a payment date is a Legal Holiday at a place of payment, payment may be made at that place on the next succeeding day that is not a Legal Holiday, and no interest shall accrue for the intervening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11.8          </w:t>
      </w:r>
      <w:r>
        <w:rPr>
          <w:rFonts w:ascii="Times New Roman;Times;Serif" w:hAnsi="Times New Roman;Times;Serif"/>
          <w:b w:val="false"/>
          <w:i w:val="false"/>
          <w:caps w:val="false"/>
          <w:smallCaps w:val="false"/>
          <w:sz w:val="20"/>
          <w:u w:val="single"/>
        </w:rPr>
        <w:t>No Recourse Against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member or unitholder, as such, of the Company or any guarantor, if any, of the Securities shall have any liability for any obligations of the Company or such guarantors under the Securities, the guarantees or this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11.9          </w:t>
      </w:r>
      <w:r>
        <w:rPr>
          <w:rFonts w:ascii="Times New Roman;Times;Serif" w:hAnsi="Times New Roman;Times;Serif"/>
          <w:b w:val="false"/>
          <w:i w:val="false"/>
          <w:caps w:val="false"/>
          <w:smallCaps w:val="false"/>
          <w:sz w:val="20"/>
          <w:u w:val="single"/>
        </w:rPr>
        <w:t>Counterparts; Electronic 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and by the parties hereto in separate counterparts, each of which when so executed shall be deemed to be an original and all of which taken together shall constitute one and the same agreement. Each of the parties agrees on behalf of itself, and any person acting or claiming by, under or through such party, that any written instrument delivered in connection with this Indenture or any related document, including without limitation any notices,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to the Trustee shall be considered signed or executed by such person on behalf of the Company. The Company agrees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11.10        </w:t>
      </w:r>
      <w:r>
        <w:rPr>
          <w:rFonts w:ascii="Times New Roman;Times;Serif" w:hAnsi="Times New Roman;Times;Serif"/>
          <w:b w:val="false"/>
          <w:i w:val="false"/>
          <w:caps w:val="false"/>
          <w:smallCaps w:val="false"/>
          <w:sz w:val="20"/>
          <w:u w:val="single"/>
        </w:rPr>
        <w:t>Governing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INTERNAL LAW OF THE STATE OF NEW YORK WILL GOVERN AND BE USED TO CONSTRUE THIS INDENTURE, THE SECURITIES AND ANY GUARANTEES OF THE SECURITIES WITHOUT GIVING EFFECT TO APPLICABLE PRINCIPLES OF CONFLICTS OF LAW TO THE EXTENT THAT THE APPLICATION OF THE LAWS OF ANOTHER JURISDICTION WOULD BE REQUIRED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11.11        </w:t>
      </w:r>
      <w:r>
        <w:rPr>
          <w:rFonts w:ascii="Times New Roman;Times;Serif" w:hAnsi="Times New Roman;Times;Serif"/>
          <w:b w:val="false"/>
          <w:i w:val="false"/>
          <w:caps w:val="false"/>
          <w:smallCaps w:val="false"/>
          <w:sz w:val="20"/>
          <w:u w:val="single"/>
        </w:rPr>
        <w:t>No Adverse Interpretation of Other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not be used to interpret another indenture, loan or debt agreement of the Company or a Subsidiary of the Company. Any such indenture, loan or debt agreement may not be used to interpret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11.12        </w:t>
      </w:r>
      <w:r>
        <w:rPr>
          <w:rFonts w:ascii="Times New Roman;Times;Serif" w:hAnsi="Times New Roman;Times;Serif"/>
          <w:b w:val="false"/>
          <w:i w:val="false"/>
          <w:caps w:val="false"/>
          <w:smallCaps w:val="false"/>
          <w:sz w:val="20"/>
          <w:u w:val="single"/>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this Indenture and the Securities shall bind its successors. All agreements of the Trustee in this Indenture shall bind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11.13        </w:t>
      </w:r>
      <w:r>
        <w:rPr>
          <w:rFonts w:ascii="Times New Roman;Times;Serif" w:hAnsi="Times New Roman;Times;Serif"/>
          <w:b w:val="false"/>
          <w:i w:val="false"/>
          <w:caps w:val="false"/>
          <w:smallCaps w:val="false"/>
          <w:sz w:val="20"/>
          <w:u w:val="single"/>
        </w:rPr>
        <w:t>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11.14        </w:t>
      </w:r>
      <w:r>
        <w:rPr>
          <w:rFonts w:ascii="Times New Roman;Times;Serif" w:hAnsi="Times New Roman;Times;Serif"/>
          <w:b w:val="false"/>
          <w:i w:val="false"/>
          <w:caps w:val="false"/>
          <w:smallCaps w:val="false"/>
          <w:sz w:val="20"/>
          <w:u w:val="single"/>
        </w:rPr>
        <w:t>Table of Contents, Headings,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Cross-Reference Table,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XII.</w:t>
      </w:r>
      <w:r>
        <w:rPr>
          <w:rFonts w:ascii="Times New Roman;Times;Serif" w:hAnsi="Times New Roman;Times;Serif"/>
          <w:b w:val="false"/>
          <w:i w:val="false"/>
          <w:caps w:val="false"/>
          <w:smallCaps w:val="false"/>
          <w:sz w:val="20"/>
          <w:u w:val="single"/>
        </w:rPr>
        <w:br/>
        <w:t>SINKING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12.1          </w:t>
      </w:r>
      <w:r>
        <w:rPr>
          <w:rFonts w:ascii="Times New Roman;Times;Serif" w:hAnsi="Times New Roman;Times;Serif"/>
          <w:b w:val="false"/>
          <w:i w:val="false"/>
          <w:caps w:val="false"/>
          <w:smallCaps w:val="false"/>
          <w:sz w:val="20"/>
          <w:u w:val="single"/>
        </w:rPr>
        <w:t>Applicability of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shall be applicable to any sinking fund for the retirement of the Securities of a Series, except as otherwise permitted or required by any form of Security of such Series issued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12.2. Each sinking fund payment shall be applied to the redemption of Securities of any Series as provided for by the terms of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12.2          </w:t>
      </w:r>
      <w:r>
        <w:rPr>
          <w:rFonts w:ascii="Times New Roman;Times;Serif" w:hAnsi="Times New Roman;Times;Serif"/>
          <w:b w:val="false"/>
          <w:i w:val="false"/>
          <w:caps w:val="false"/>
          <w:smallCaps w:val="false"/>
          <w:sz w:val="20"/>
          <w:u w:val="single"/>
        </w:rPr>
        <w:t>Satisfaction of Sinking Fund Payments with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12.2,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12.3          </w:t>
      </w:r>
      <w:r>
        <w:rPr>
          <w:rFonts w:ascii="Times New Roman;Times;Serif" w:hAnsi="Times New Roman;Times;Serif"/>
          <w:b w:val="false"/>
          <w:i w:val="false"/>
          <w:caps w:val="false"/>
          <w:smallCaps w:val="false"/>
          <w:sz w:val="20"/>
          <w:u w:val="single"/>
        </w:rPr>
        <w:t>Redemption of Securities for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45 days (unless otherwise indicated in the Board Resolution, supplemental indenture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12.2, and the optional amount, if any, to be added in cash to the next ensuing mandatory sinking fund payment, and the Company shall thereupon be obligated to pay the amount therein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12.4          </w:t>
      </w:r>
      <w:r>
        <w:rPr>
          <w:rFonts w:ascii="Times New Roman;Times;Serif" w:hAnsi="Times New Roman;Times;Serif"/>
          <w:b w:val="false"/>
          <w:i w:val="false"/>
          <w:caps w:val="false"/>
          <w:smallCaps w:val="false"/>
          <w:sz w:val="20"/>
          <w:u w:val="single"/>
        </w:rPr>
        <w:t>Compliance with Applicable Anti-Terrorism and Anti-Money Laundering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laws, rules, regulations and executive orders in effect from time to time applicable to banking institutions, including those relating to the funding of terrorist activities and money laundering (“</w:t>
      </w:r>
      <w:r>
        <w:rPr>
          <w:rFonts w:ascii="Times New Roman;Times;Serif" w:hAnsi="Times New Roman;Times;Serif"/>
          <w:b w:val="false"/>
          <w:i w:val="false"/>
          <w:caps w:val="false"/>
          <w:smallCaps w:val="false"/>
          <w:sz w:val="20"/>
          <w:u w:val="single"/>
        </w:rPr>
        <w:t>Relevant Law</w:t>
      </w:r>
      <w:r>
        <w:rPr>
          <w:rFonts w:ascii="Times New Roman;Times;Serif" w:hAnsi="Times New Roman;Times;Serif"/>
          <w:b w:val="false"/>
          <w:i w:val="false"/>
          <w:caps w:val="false"/>
          <w:smallCaps w:val="false"/>
          <w:sz w:val="20"/>
        </w:rPr>
        <w:t>”), the Trustee is required to obtain, verify and record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Relevant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on following page]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and attested, all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75"/>
        <w:gridCol w:w="826"/>
        <w:gridCol w:w="1593"/>
      </w:tblGrid>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w:t>
            </w:r>
          </w:p>
        </w:tc>
      </w:tr>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9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caps w:val="false"/>
                <w:smallCaps w:val="false"/>
              </w:rPr>
            </w:pPr>
            <w:r>
              <w:rPr>
                <w:caps w:val="false"/>
                <w:smallCaps w:val="false"/>
              </w:rPr>
              <w:t> </w:t>
            </w:r>
          </w:p>
        </w:tc>
        <w:tc>
          <w:tcPr>
            <w:tcW w:w="1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caps w:val="false"/>
                <w:smallCaps w:val="false"/>
              </w:rPr>
            </w:pPr>
            <w:r>
              <w:rPr>
                <w:caps w:val="false"/>
                <w:smallCaps w:val="false"/>
              </w:rPr>
              <w:t> </w:t>
            </w:r>
          </w:p>
        </w:tc>
        <w:tc>
          <w:tcPr>
            <w:tcW w:w="1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8" w:name="tm2622208d2_ex5-1.htm"/>
      <w:bookmarkStart w:id="19" w:name="kstm2622208d2_ex51"/>
      <w:bookmarkEnd w:id="18"/>
      <w:bookmarkEnd w:id="19"/>
      <w:r>
        <w:rPr/>
        <w:t> </w:t>
      </w:r>
      <w:r>
        <w:br w:type="page"/>
      </w:r>
    </w:p>
    <w:p>
      <w:pPr>
        <w:pStyle w:val="TextBody"/>
        <w:bidi w:val="0"/>
        <w:jc w:val="right"/>
        <w:rPr>
          <w:b/>
        </w:rPr>
      </w:pPr>
      <w:r>
        <w:rPr>
          <w:b/>
        </w:rPr>
        <w:t>Exhibit 5.1</w:t>
      </w:r>
    </w:p>
    <w:p>
      <w:pPr>
        <w:pStyle w:val="TextBody"/>
        <w:bidi w:val="0"/>
        <w:spacing w:before="0" w:after="0"/>
        <w:ind w:left="0" w:right="0" w:hanging="0"/>
        <w:jc w:val="left"/>
        <w:rPr>
          <w:caps w:val="false"/>
          <w:smallCaps w:val="false"/>
        </w:rPr>
      </w:pPr>
      <w:r>
        <w:rPr>
          <w:caps w:val="false"/>
          <w:smallCaps w:val="false"/>
        </w:rPr>
        <w:t> </w:t>
      </w:r>
    </w:p>
    <w:tbl>
      <w:tblPr>
        <w:tblW w:w="7530" w:type="dxa"/>
        <w:jc w:val="left"/>
        <w:tblInd w:w="0" w:type="dxa"/>
        <w:tblLayout w:type="fixed"/>
        <w:tblCellMar>
          <w:top w:w="0" w:type="dxa"/>
          <w:left w:w="0" w:type="dxa"/>
          <w:bottom w:w="0" w:type="dxa"/>
          <w:right w:w="0" w:type="dxa"/>
        </w:tblCellMar>
      </w:tblPr>
      <w:tblGrid>
        <w:gridCol w:w="3180"/>
        <w:gridCol w:w="1835"/>
        <w:gridCol w:w="980"/>
        <w:gridCol w:w="1535"/>
      </w:tblGrid>
      <w:tr>
        <w:trPr/>
        <w:tc>
          <w:tcPr>
            <w:tcW w:w="3180" w:type="dxa"/>
            <w:tcBorders/>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drawing>
                <wp:inline distT="0" distB="0" distL="0" distR="0">
                  <wp:extent cx="2009775" cy="266700"/>
                  <wp:effectExtent l="0" t="0" r="0" b="0"/>
                  <wp:docPr id="9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 descr=""/>
                          <pic:cNvPicPr>
                            <a:picLocks noChangeAspect="1" noChangeArrowheads="1"/>
                          </pic:cNvPicPr>
                        </pic:nvPicPr>
                        <pic:blipFill>
                          <a:blip r:embed="rId18"/>
                          <a:stretch>
                            <a:fillRect/>
                          </a:stretch>
                        </pic:blipFill>
                        <pic:spPr bwMode="auto">
                          <a:xfrm>
                            <a:off x="0" y="0"/>
                            <a:ext cx="2009775" cy="266700"/>
                          </a:xfrm>
                          <a:prstGeom prst="rect">
                            <a:avLst/>
                          </a:prstGeom>
                        </pic:spPr>
                      </pic:pic>
                    </a:graphicData>
                  </a:graphic>
                </wp:inline>
              </w:drawing>
            </w:r>
          </w:p>
        </w:tc>
        <w:tc>
          <w:tcPr>
            <w:tcW w:w="1835"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2001 Ross Avenue</w:t>
              <w:br/>
              <w:t>Dallas, Texas</w:t>
              <w:br/>
              <w:t>75201-2980</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+1 214.953.6500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+1 214.953.6503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BakerBotts.com</w:t>
            </w:r>
          </w:p>
        </w:tc>
        <w:tc>
          <w:tcPr>
            <w:tcW w:w="980"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AUSTIN</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Brussels</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DALLAS</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DUBAI</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HOUSTON</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LONDON</w:t>
            </w:r>
          </w:p>
          <w:p>
            <w:pPr>
              <w:pStyle w:val="TableContents"/>
              <w:bidi w:val="0"/>
              <w:spacing w:before="0" w:after="0"/>
              <w:ind w:left="0" w:right="0" w:hanging="0"/>
              <w:jc w:val="left"/>
              <w:rPr>
                <w:caps/>
              </w:rPr>
            </w:pPr>
            <w:r>
              <w:rPr>
                <w:caps/>
              </w:rPr>
              <w:t> </w:t>
            </w:r>
          </w:p>
        </w:tc>
        <w:tc>
          <w:tcPr>
            <w:tcW w:w="1535"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NEW YORK</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PALO ALTO</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RIYADH</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san francisco</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Singapore</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WASHINGTON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Carnegie Center, Suite 300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New Jersey 08540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Clearway Energy,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with respect to certain legal matters in connection with the preparation of the registration statement on Form S-3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to be filed by the Company on or about the date hereof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Registration Statement includes a prospectus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that provides it will be supplemented in the future, if required, by one or more prospectus supplements (each, a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The Registration Statement, including the Base Prospectus (as supplemented from time to time, if required, by one or more Prospectus Supplements), relates to the proposed offer and sale, from time to time, pursuant to Rule 415 of the Securities Act, of an indeterminate amount of (i) shares of Class C common stock, par value $0.01 per share, of the Company (“</w:t>
      </w:r>
      <w:r>
        <w:rPr>
          <w:rFonts w:ascii="Times New Roman;Times;Serif" w:hAnsi="Times New Roman;Times;Serif"/>
          <w:b w:val="false"/>
          <w:i w:val="false"/>
          <w:caps w:val="false"/>
          <w:smallCaps w:val="false"/>
          <w:sz w:val="20"/>
          <w:u w:val="single"/>
        </w:rPr>
        <w:t>Class C Common Stock</w:t>
      </w:r>
      <w:r>
        <w:rPr>
          <w:rFonts w:ascii="Times New Roman;Times;Serif" w:hAnsi="Times New Roman;Times;Serif"/>
          <w:b w:val="false"/>
          <w:i w:val="false"/>
          <w:caps w:val="false"/>
          <w:smallCaps w:val="false"/>
          <w:sz w:val="20"/>
        </w:rPr>
        <w:t>”), (ii) shares of preferred stock, par value $0.01 per share, of the Company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in one or more series and (iii) senior or subordinated debt securities of the Company (“</w:t>
      </w:r>
      <w:r>
        <w:rPr>
          <w:rFonts w:ascii="Times New Roman;Times;Serif" w:hAnsi="Times New Roman;Times;Serif"/>
          <w:b w:val="false"/>
          <w:i w:val="false"/>
          <w:caps w:val="false"/>
          <w:smallCaps w:val="false"/>
          <w:sz w:val="20"/>
          <w:u w:val="single"/>
        </w:rPr>
        <w:t>Debt Securities</w:t>
      </w:r>
      <w:r>
        <w:rPr>
          <w:rFonts w:ascii="Times New Roman;Times;Serif" w:hAnsi="Times New Roman;Times;Serif"/>
          <w:b w:val="false"/>
          <w:i w:val="false"/>
          <w:caps w:val="false"/>
          <w:smallCaps w:val="false"/>
          <w:sz w:val="20"/>
        </w:rPr>
        <w:t>”) in one or more series. The Class C Common Stock, Preferred Stock and Debt Securities are collectively referred to herein as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your request, this opinion letter is being furnished to you for filing as Exhibit 5.1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Debt Securities will be issued pursuant to an indenture, in the form filed as Exhibit 4.3 with the Registration Statement, to be entered into between the Company and CSC Delaware Trust Company, as trustee (as may be amended or supplemented from time to time,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Indenture will be supplemented, in connection with the issuance of each such series of Debt Securities, by a supplemental indenture, officers’ certificate or other writing (each, a “</w:t>
      </w:r>
      <w:r>
        <w:rPr>
          <w:rFonts w:ascii="Times New Roman;Times;Serif" w:hAnsi="Times New Roman;Times;Serif"/>
          <w:b w:val="false"/>
          <w:i w:val="false"/>
          <w:caps w:val="false"/>
          <w:smallCaps w:val="false"/>
          <w:sz w:val="20"/>
          <w:u w:val="single"/>
        </w:rPr>
        <w:t>Supplemental Indenture Document</w:t>
      </w:r>
      <w:r>
        <w:rPr>
          <w:rFonts w:ascii="Times New Roman;Times;Serif" w:hAnsi="Times New Roman;Times;Serif"/>
          <w:b w:val="false"/>
          <w:i w:val="false"/>
          <w:caps w:val="false"/>
          <w:smallCaps w:val="false"/>
          <w:sz w:val="20"/>
        </w:rPr>
        <w:t>”) thereunder establishing the form and terms of such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capacity as your counsel in connection with the matter referred to above and as a basis for the opinions hereinafter expressed, we have examined originals, or copies certified or otherwise identified, of (i) the Restated Certificate of Incorporation of the Company, as amended to date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(ii) the Fourth Amended and Restated Bylaws of the Company, as amended to date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and together with the Certificate of Incorporation, the “</w:t>
      </w:r>
      <w:r>
        <w:rPr>
          <w:rFonts w:ascii="Times New Roman;Times;Serif" w:hAnsi="Times New Roman;Times;Serif"/>
          <w:b w:val="false"/>
          <w:i w:val="false"/>
          <w:caps w:val="false"/>
          <w:smallCaps w:val="false"/>
          <w:sz w:val="20"/>
          <w:u w:val="single"/>
        </w:rPr>
        <w:t>Charter Documents</w:t>
      </w:r>
      <w:r>
        <w:rPr>
          <w:rFonts w:ascii="Times New Roman;Times;Serif" w:hAnsi="Times New Roman;Times;Serif"/>
          <w:b w:val="false"/>
          <w:i w:val="false"/>
          <w:caps w:val="false"/>
          <w:smallCaps w:val="false"/>
          <w:sz w:val="20"/>
        </w:rPr>
        <w:t>”), (iii) the Indenture, (iv) the Registration Statement and the Base Prospectus, (v) corporate records of the Company, including certain resolutions of the Board of Directors of the Company, as furnished to us by the Company, (vi) certificates of governmental and public officials and of officers and other representatives of the Company and (vii) statutes and such other records, certificates, documents and instruments as we have deemed necessary or advisable as a basis for the opinions hereinafter expressed.</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the opinions set forth herein, we have assumed, with your consent and without independent investigation or verification, the legal capacity and competency of all natural persons, that all signatures on documents examined by us are genuine, that all documents submitted to us as originals are authentic and complete, that all documents submitted to us as copies are true, correct and complete copies of the originals of such documents, and that all information submitted to us is accurate and complete. We have also assumed, as to factual matters, with your consent and without independent investigation or verification, the truth and accuracy of the representations and warranties in the Indenture and other documents reviewed by us and the certificates, statements or other representations of officers or other representatives of the Company and of government and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opinions set forth herein, we have assumed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and any amendments thereto (including post-effective amendments) will have become effective and comply with all applicable laws under the Securities Act and such effectiveness will not have been terminated or rescinded;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Prospectus Supplement will have been prepared and filed with the SEC describing the Securities offered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Securities will be offered, issued and sold in compliance with applicable federal and state securities laws and in the manner stated in the Registration Statement (including post-effective amendments) and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Board of Directors of the Company or, to the extent permitted by the Charter Documents, a duly constituted and acting committee thereof (such Board of Directors or committee being hereinafter referred to as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and the stockholders of the Company, will have taken all necessary corporate action to authorize the creation and issuance of the Securities and any other Securities issuable on the conversion, exchange, redemption or exercise thereof, and to authorize the terms of the offering and the issuance and sale of such Securities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definitive purchase agreement, underwriting agreement or similar agreement (each, a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with respect to any Securities offered will have been duly authorized and validly executed and delivered by the Company and the other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securities issuable upon conversion, redemption, exchange or exercise of any Securities being offered will be duly authorized, created and, if appropriate, reserved for issuance upon such conversion, redemption, exchange or exercise;</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Securities, and any certificates in respect thereof, will be delivered either (i) in accordance with the provisions of the applicable Purchase Agreement approved by the Board upon payment of the consideration therefor provided for therein or (ii) upon conversion, exchange, redemption or exercise of any other Security, in accordance with the terms of such Security or the instrument governing such Security providing for such conversion, exchange, redemption or exercise as approved by the Board, for the consideration approved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the case of shares of Class C Common Stock or Preferred Stock, (i) certificates representing such shares will have been duly executed and will have been duly countersigned by a transfer agent and duly registered by a registrar of such stock, or, if uncertificated, valid book-entry notations will have been made in the share register of the Company in accordance with the provisions of the Charter Documents, (ii) there will be sufficient shares of Class C Common Stock or Preferred Stock, as applicable, authorized under the Company’s Charter Documents and not otherwise issued or reserved for issuance and (iii) the purchase price therefor payable to the Company, or if such shares are issuable on the conversion, exchange, redemption or exercise of another Security, the consideration payable to the Company for such conversion, exchange, redemption or exercise, will not be less than the par value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shares of Preferred Stock of any series, the Board will have taken all necessary corporate action to designate and establish the terms of such series and will have caused a certificate of designations respecting such series to be prepared and filed with the Secretary of State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the case of Debt Securities of any series, (i) an indenture substantially in the form of the Indenture will have been duly authorized, executed and delivered by the Company and the trustee thereunder, (ii) the Board will have taken all necessary corporate action to designate and establish the terms of such series of Debt Securities, in accordance with the terms of the Indenture, including, if applicable, the execution and delivery of a Supplemental Indenture Document, and such Debt Securities will be governed by New York law and will not include any provision that is unenforceable, (iii) a Supplemental Indenture Document will have been duly executed and delivered by the Company and the trustee thereunder, (iv) at the time of execution, authentication, issuance and delivery of the Debt Securities, the Indenture will be the valid and binding obligation of the trustee thereunder, enforceable against such party in accordance with its terms, (v) the Indenture will have become duly qualified under the Trust Indenture Act of 1939, as amended, and (vi) forms of Debt Securities complying with the terms of the Indenture and evidencing such Debt Securities will have been duly executed, authenticated, issued and delivered in accordance with the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subject to the exceptions, assumptions, qualifications and limitations set forth herein,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shares of Class C Common Stock and Preferred Stock included in the Securities, when issued, will have been validly issued, fully paid and nonassessable.</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Debt Securities included in the Securities, when issued, will constitute valid and binding obligations of the Company, enforceable against the Company in accordance with their terms and be entitled to the benefits of the Indenture, provided that the enforceability is subject to (i) applicable bankruptcy, insolvency, arrangement, fraudulent transfer or conveyance, reorganization, preference, moratorium, conservatorship and similar laws relating to or affecting creditors’ rights and remedies generally, (ii) general principles of equity (whether considered in a proceeding in equity or at law) and comity, including, without limitation, the possible unavailability of specific performance, injunctive relief or any other equitable remedy, and (iii) public policy, applicable law relating to fiduciary duties and indemnification and contribution, principles of materiality and reasonableness and implied covenants of good faith and fair dealing.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above in this opinion letter are limited in all respects to matters of the contract law of the State of New York and the General Corporation Law of the State of Delaware, in each case as published and in effect on the date hereof, and we express no opinion as to the law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with the SEC as Exhibit 5.1 to the Registration Statement. We also consent to the reference to our Firm under the heading “Legal Matters” in the Base Prospectus forming a part of the Registration Statement. In giving this consent, we do not hereby admit that we are in the category of persons whose consent is required under Section 7 of the Securities Act or the rules and regulations of the SEC thereunder.</w:t>
      </w:r>
    </w:p>
    <w:p>
      <w:pPr>
        <w:pStyle w:val="TextBody"/>
        <w:bidi w:val="0"/>
        <w:spacing w:before="0" w:after="0"/>
        <w:ind w:left="0" w:right="0" w:hanging="0"/>
        <w:jc w:val="left"/>
        <w:rPr>
          <w:caps w:val="false"/>
          <w:smallCaps w:val="false"/>
        </w:rPr>
      </w:pPr>
      <w:r>
        <w:rPr>
          <w:caps w:val="false"/>
          <w:smallCaps w:val="false"/>
        </w:rPr>
        <w:t> </w:t>
      </w:r>
    </w:p>
    <w:tbl>
      <w:tblPr>
        <w:tblW w:w="1835" w:type="dxa"/>
        <w:jc w:val="left"/>
        <w:tblInd w:w="0" w:type="dxa"/>
        <w:tblLayout w:type="fixed"/>
        <w:tblCellMar>
          <w:top w:w="0" w:type="dxa"/>
          <w:left w:w="0" w:type="dxa"/>
          <w:bottom w:w="0" w:type="dxa"/>
          <w:right w:w="0" w:type="dxa"/>
        </w:tblCellMar>
      </w:tblPr>
      <w:tblGrid>
        <w:gridCol w:w="75"/>
        <w:gridCol w:w="1760"/>
      </w:tblGrid>
      <w:tr>
        <w:trPr/>
        <w:tc>
          <w:tcPr>
            <w:tcW w:w="75"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Botts L.L.P.</w:t>
            </w:r>
          </w:p>
        </w:tc>
      </w:tr>
    </w:tbl>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0" w:name="tm2622208d2_ex23-1.htm"/>
      <w:bookmarkStart w:id="21" w:name="kstm2622208d2_ex231"/>
      <w:bookmarkEnd w:id="20"/>
      <w:bookmarkEnd w:id="21"/>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 of Clearway Energy, Inc. of our report dated February 24, 2026 relating to the financial statements, financial statement schedules and the effectiveness of internal control over financial reporting, which appears in Clearway Energy, Inc.'s Annual Report on Form 10-K for the year ended December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Florham Park, New Jersey</w:t>
        <w:br/>
        <w:t>August 6, 2026</w:t>
      </w:r>
    </w:p>
    <w:p>
      <w:pPr>
        <w:pStyle w:val="TextBody"/>
        <w:bidi w:val="0"/>
        <w:spacing w:before="0" w:after="0"/>
        <w:ind w:left="0" w:right="0" w:hanging="0"/>
        <w:jc w:val="left"/>
        <w:rPr>
          <w:caps w:val="false"/>
          <w:smallCaps w:val="false"/>
        </w:rPr>
      </w:pPr>
      <w:r>
        <w:rPr>
          <w:caps w:val="false"/>
          <w:smallCaps w:val="false"/>
        </w:rPr>
        <w:t> </w:t>
      </w:r>
    </w:p>
    <w:tbl>
      <w:tblPr>
        <w:tblW w:w="313" w:type="dxa"/>
        <w:jc w:val="left"/>
        <w:tblInd w:w="0" w:type="dxa"/>
        <w:tblLayout w:type="fixed"/>
        <w:tblCellMar>
          <w:top w:w="0" w:type="dxa"/>
          <w:left w:w="0" w:type="dxa"/>
          <w:bottom w:w="0" w:type="dxa"/>
          <w:right w:w="0" w:type="dxa"/>
        </w:tblCellMar>
      </w:tblPr>
      <w:tblGrid>
        <w:gridCol w:w="75"/>
        <w:gridCol w:w="23"/>
        <w:gridCol w:w="21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right"/>
              <w:rPr/>
            </w:pPr>
            <w:r>
              <w:rPr/>
              <w:t>1 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2208d2_ex23-2.htm"/>
      <w:bookmarkStart w:id="23" w:name="kstm2622208d2_ex232"/>
      <w:bookmarkEnd w:id="22"/>
      <w:bookmarkEnd w:id="23"/>
      <w:r>
        <w:rPr/>
        <w:t> </w:t>
      </w:r>
      <w:r>
        <w:br w:type="page"/>
      </w:r>
    </w:p>
    <w:p>
      <w:pPr>
        <w:pStyle w:val="TextBody"/>
        <w:bidi w:val="0"/>
        <w:jc w:val="right"/>
        <w:rPr>
          <w:b/>
        </w:rPr>
      </w:pPr>
      <w:r>
        <w:rPr>
          <w:b/>
        </w:rPr>
        <w:t>Exhibit 23.2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this Registration Statement (Form S-3) and related Prospectus of Clearway Energy, Inc. for the registration of debt securities, preferred stock and common stock and to the incorporation by reference therein of our report dated February 22, 2024, with respect to the consolidated financial statements of Clearway Energy, Inc., included in its Annual Report (Form 10-K)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24" w:name="tm2622208d2_ex25-1.htm"/>
      <w:bookmarkStart w:id="25" w:name="kstm2622208d2_ex251"/>
      <w:bookmarkEnd w:id="24"/>
      <w:bookmarkEnd w:id="25"/>
      <w:r>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ELIGIBILITY</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TRUST INDENTURE ACT OF 1939 OF A</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 DESIGNATED TO ACT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IF AN APPLICATION TO DETERMINE ELIGIBILITY OF A TRUSTEE PURSUANT TO SECTION 305(b) (2)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CSC Delaware Trust Company</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276" w:type="dxa"/>
        <w:jc w:val="left"/>
        <w:tblInd w:w="0" w:type="dxa"/>
        <w:tblLayout w:type="fixed"/>
        <w:tblCellMar>
          <w:top w:w="0" w:type="dxa"/>
          <w:left w:w="0" w:type="dxa"/>
          <w:bottom w:w="0" w:type="dxa"/>
          <w:right w:w="0" w:type="dxa"/>
        </w:tblCellMar>
      </w:tblPr>
      <w:tblGrid>
        <w:gridCol w:w="901"/>
        <w:gridCol w:w="715"/>
        <w:gridCol w:w="715"/>
        <w:gridCol w:w="715"/>
        <w:gridCol w:w="715"/>
        <w:gridCol w:w="740"/>
        <w:gridCol w:w="1775"/>
      </w:tblGrid>
      <w:tr>
        <w:trPr/>
        <w:tc>
          <w:tcPr>
            <w:tcW w:w="4501" w:type="dxa"/>
            <w:gridSpan w:val="6"/>
            <w:tcBorders/>
            <w:vAlign w:val="center"/>
          </w:tcPr>
          <w:p>
            <w:pPr>
              <w:pStyle w:val="TableContents"/>
              <w:bidi w:val="0"/>
              <w:spacing w:before="0" w:after="283"/>
              <w:jc w:val="center"/>
              <w:rPr>
                <w:b/>
              </w:rPr>
            </w:pPr>
            <w:r>
              <w:rPr>
                <w:b/>
              </w:rPr>
              <w:t>Delaware</w:t>
            </w:r>
          </w:p>
        </w:tc>
        <w:tc>
          <w:tcPr>
            <w:tcW w:w="1775" w:type="dxa"/>
            <w:tcBorders/>
            <w:vAlign w:val="center"/>
          </w:tcPr>
          <w:p>
            <w:pPr>
              <w:pStyle w:val="TableContents"/>
              <w:bidi w:val="0"/>
              <w:spacing w:before="0" w:after="283"/>
              <w:jc w:val="center"/>
              <w:rPr>
                <w:b/>
              </w:rPr>
            </w:pPr>
            <w:r>
              <w:rPr>
                <w:b/>
              </w:rPr>
              <w:t>51-0011500</w:t>
            </w:r>
          </w:p>
        </w:tc>
      </w:tr>
      <w:tr>
        <w:trPr/>
        <w:tc>
          <w:tcPr>
            <w:tcW w:w="4501" w:type="dxa"/>
            <w:gridSpan w:val="6"/>
            <w:tcBorders/>
            <w:vAlign w:val="center"/>
          </w:tcPr>
          <w:p>
            <w:pPr>
              <w:pStyle w:val="TableContents"/>
              <w:bidi w:val="0"/>
              <w:spacing w:before="0" w:after="283"/>
              <w:jc w:val="center"/>
              <w:rPr/>
            </w:pPr>
            <w:r>
              <w:rPr/>
              <w:t xml:space="preserve">(Jurisdiction of incorporation or organization if </w:t>
              <w:br/>
              <w:t>not a U.S. national bank)</w:t>
            </w:r>
          </w:p>
        </w:tc>
        <w:tc>
          <w:tcPr>
            <w:tcW w:w="1775" w:type="dxa"/>
            <w:tcBorders/>
            <w:vAlign w:val="center"/>
          </w:tcPr>
          <w:p>
            <w:pPr>
              <w:pStyle w:val="TableContents"/>
              <w:bidi w:val="0"/>
              <w:spacing w:before="0" w:after="283"/>
              <w:jc w:val="center"/>
              <w:rPr/>
            </w:pPr>
            <w:r>
              <w:rPr/>
              <w:t xml:space="preserve">(I.R.S. Employer </w:t>
              <w:br/>
              <w:t>Identification No.)</w:t>
            </w:r>
          </w:p>
        </w:tc>
      </w:tr>
      <w:tr>
        <w:trPr/>
        <w:tc>
          <w:tcPr>
            <w:tcW w:w="901" w:type="dxa"/>
            <w:tcBorders/>
            <w:vAlign w:val="center"/>
          </w:tcPr>
          <w:p>
            <w:pPr>
              <w:pStyle w:val="TableContents"/>
              <w:bidi w:val="0"/>
              <w:spacing w:before="0" w:after="283"/>
              <w:jc w:val="center"/>
              <w:rPr/>
            </w:pPr>
            <w:r>
              <w:rPr/>
              <w:t> </w:t>
            </w:r>
          </w:p>
        </w:tc>
        <w:tc>
          <w:tcPr>
            <w:tcW w:w="715" w:type="dxa"/>
            <w:tcBorders/>
            <w:vAlign w:val="center"/>
          </w:tcPr>
          <w:p>
            <w:pPr>
              <w:pStyle w:val="TableContents"/>
              <w:bidi w:val="0"/>
              <w:spacing w:before="0" w:after="283"/>
              <w:jc w:val="center"/>
              <w:rPr/>
            </w:pPr>
            <w:r>
              <w:rPr/>
              <w:t> </w:t>
            </w:r>
          </w:p>
        </w:tc>
        <w:tc>
          <w:tcPr>
            <w:tcW w:w="715" w:type="dxa"/>
            <w:tcBorders/>
            <w:vAlign w:val="center"/>
          </w:tcPr>
          <w:p>
            <w:pPr>
              <w:pStyle w:val="TableContents"/>
              <w:bidi w:val="0"/>
              <w:spacing w:before="0" w:after="283"/>
              <w:jc w:val="center"/>
              <w:rPr/>
            </w:pPr>
            <w:r>
              <w:rPr/>
              <w:t> </w:t>
            </w:r>
          </w:p>
        </w:tc>
        <w:tc>
          <w:tcPr>
            <w:tcW w:w="715" w:type="dxa"/>
            <w:tcBorders/>
            <w:vAlign w:val="center"/>
          </w:tcPr>
          <w:p>
            <w:pPr>
              <w:pStyle w:val="TableContents"/>
              <w:bidi w:val="0"/>
              <w:spacing w:before="0" w:after="283"/>
              <w:jc w:val="center"/>
              <w:rPr/>
            </w:pPr>
            <w:r>
              <w:rPr/>
              <w:t> </w:t>
            </w:r>
          </w:p>
        </w:tc>
        <w:tc>
          <w:tcPr>
            <w:tcW w:w="715"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r>
        <w:trPr/>
        <w:tc>
          <w:tcPr>
            <w:tcW w:w="4501" w:type="dxa"/>
            <w:gridSpan w:val="6"/>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 Little Falls Drive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Delaware</w:t>
            </w:r>
          </w:p>
        </w:tc>
        <w:tc>
          <w:tcPr>
            <w:tcW w:w="1775" w:type="dxa"/>
            <w:tcBorders/>
            <w:vAlign w:val="center"/>
          </w:tcPr>
          <w:p>
            <w:pPr>
              <w:pStyle w:val="TableContents"/>
              <w:bidi w:val="0"/>
              <w:spacing w:before="0" w:after="283"/>
              <w:jc w:val="center"/>
              <w:rPr>
                <w:b/>
              </w:rPr>
            </w:pPr>
            <w:r>
              <w:rPr>
                <w:b/>
              </w:rPr>
              <w:t>19808</w:t>
            </w:r>
          </w:p>
        </w:tc>
      </w:tr>
      <w:tr>
        <w:trPr/>
        <w:tc>
          <w:tcPr>
            <w:tcW w:w="4501" w:type="dxa"/>
            <w:gridSpan w:val="6"/>
            <w:tcBorders/>
            <w:vAlign w:val="center"/>
          </w:tcPr>
          <w:p>
            <w:pPr>
              <w:pStyle w:val="TableContents"/>
              <w:bidi w:val="0"/>
              <w:spacing w:before="0" w:after="283"/>
              <w:jc w:val="center"/>
              <w:rPr/>
            </w:pPr>
            <w:r>
              <w:rPr/>
              <w:t>(Address of principal executive offices)</w:t>
            </w:r>
          </w:p>
        </w:tc>
        <w:tc>
          <w:tcPr>
            <w:tcW w:w="1775" w:type="dxa"/>
            <w:tcBorders/>
            <w:vAlign w:val="center"/>
          </w:tcPr>
          <w:p>
            <w:pPr>
              <w:pStyle w:val="TableContents"/>
              <w:bidi w:val="0"/>
              <w:spacing w:before="0" w:after="283"/>
              <w:jc w:val="center"/>
              <w:rPr/>
            </w:pPr>
            <w:r>
              <w:rPr/>
              <w:t>(Zip code)</w:t>
            </w:r>
          </w:p>
        </w:tc>
      </w:tr>
      <w:tr>
        <w:trPr/>
        <w:tc>
          <w:tcPr>
            <w:tcW w:w="901"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Corporation Service Company</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 Little Falls Drive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Delaware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 927-9801</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Clearway Energy,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obligor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829" w:type="dxa"/>
        <w:jc w:val="left"/>
        <w:tblInd w:w="0" w:type="dxa"/>
        <w:tblLayout w:type="fixed"/>
        <w:tblCellMar>
          <w:top w:w="0" w:type="dxa"/>
          <w:left w:w="0" w:type="dxa"/>
          <w:bottom w:w="0" w:type="dxa"/>
          <w:right w:w="0" w:type="dxa"/>
        </w:tblCellMar>
      </w:tblPr>
      <w:tblGrid>
        <w:gridCol w:w="811"/>
        <w:gridCol w:w="645"/>
        <w:gridCol w:w="645"/>
        <w:gridCol w:w="645"/>
        <w:gridCol w:w="645"/>
        <w:gridCol w:w="663"/>
        <w:gridCol w:w="1775"/>
      </w:tblGrid>
      <w:tr>
        <w:trPr/>
        <w:tc>
          <w:tcPr>
            <w:tcW w:w="4054" w:type="dxa"/>
            <w:gridSpan w:val="6"/>
            <w:tcBorders/>
            <w:vAlign w:val="center"/>
          </w:tcPr>
          <w:p>
            <w:pPr>
              <w:pStyle w:val="TableContents"/>
              <w:bidi w:val="0"/>
              <w:spacing w:before="0" w:after="283"/>
              <w:jc w:val="center"/>
              <w:rPr>
                <w:b/>
              </w:rPr>
            </w:pPr>
            <w:r>
              <w:rPr>
                <w:b/>
              </w:rPr>
              <w:t>Delaware</w:t>
            </w:r>
          </w:p>
        </w:tc>
        <w:tc>
          <w:tcPr>
            <w:tcW w:w="1775" w:type="dxa"/>
            <w:tcBorders/>
            <w:vAlign w:val="center"/>
          </w:tcPr>
          <w:p>
            <w:pPr>
              <w:pStyle w:val="TableContents"/>
              <w:bidi w:val="0"/>
              <w:spacing w:before="0" w:after="283"/>
              <w:jc w:val="center"/>
              <w:rPr>
                <w:b/>
              </w:rPr>
            </w:pPr>
            <w:r>
              <w:rPr>
                <w:b/>
              </w:rPr>
              <w:t>46-1777204</w:t>
            </w:r>
          </w:p>
        </w:tc>
      </w:tr>
      <w:tr>
        <w:trPr/>
        <w:tc>
          <w:tcPr>
            <w:tcW w:w="4054" w:type="dxa"/>
            <w:gridSpan w:val="6"/>
            <w:tcBorders/>
            <w:vAlign w:val="center"/>
          </w:tcPr>
          <w:p>
            <w:pPr>
              <w:pStyle w:val="TableContents"/>
              <w:bidi w:val="0"/>
              <w:spacing w:before="0" w:after="283"/>
              <w:jc w:val="center"/>
              <w:rPr/>
            </w:pPr>
            <w:r>
              <w:rPr/>
              <w:t>(State or other jurisdiction of incorporation</w:t>
              <w:br/>
              <w:t>of organization)</w:t>
            </w:r>
          </w:p>
        </w:tc>
        <w:tc>
          <w:tcPr>
            <w:tcW w:w="1775" w:type="dxa"/>
            <w:tcBorders/>
            <w:vAlign w:val="center"/>
          </w:tcPr>
          <w:p>
            <w:pPr>
              <w:pStyle w:val="TableContents"/>
              <w:bidi w:val="0"/>
              <w:spacing w:before="0" w:after="283"/>
              <w:jc w:val="center"/>
              <w:rPr/>
            </w:pPr>
            <w:r>
              <w:rPr/>
              <w:t xml:space="preserve">(I.R.S. Employer </w:t>
              <w:br/>
              <w:t>Identification No.)</w:t>
            </w:r>
          </w:p>
        </w:tc>
      </w:tr>
      <w:tr>
        <w:trPr/>
        <w:tc>
          <w:tcPr>
            <w:tcW w:w="811"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pPr>
            <w:r>
              <w:rPr/>
              <w:t> </w:t>
            </w:r>
          </w:p>
        </w:tc>
        <w:tc>
          <w:tcPr>
            <w:tcW w:w="663"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r>
        <w:trPr/>
        <w:tc>
          <w:tcPr>
            <w:tcW w:w="4054" w:type="dxa"/>
            <w:gridSpan w:val="6"/>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 Carnegie Center, Suite 300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Princeton, NJ </w:t>
            </w:r>
          </w:p>
        </w:tc>
        <w:tc>
          <w:tcPr>
            <w:tcW w:w="1775" w:type="dxa"/>
            <w:tcBorders/>
            <w:vAlign w:val="center"/>
          </w:tcPr>
          <w:p>
            <w:pPr>
              <w:pStyle w:val="TableContents"/>
              <w:bidi w:val="0"/>
              <w:spacing w:before="0" w:after="283"/>
              <w:jc w:val="center"/>
              <w:rPr>
                <w:b/>
              </w:rPr>
            </w:pPr>
            <w:r>
              <w:rPr>
                <w:b/>
              </w:rPr>
              <w:t>08540</w:t>
            </w:r>
          </w:p>
        </w:tc>
      </w:tr>
      <w:tr>
        <w:trPr/>
        <w:tc>
          <w:tcPr>
            <w:tcW w:w="4054" w:type="dxa"/>
            <w:gridSpan w:val="6"/>
            <w:tcBorders/>
            <w:vAlign w:val="center"/>
          </w:tcPr>
          <w:p>
            <w:pPr>
              <w:pStyle w:val="TableContents"/>
              <w:bidi w:val="0"/>
              <w:spacing w:before="0" w:after="283"/>
              <w:jc w:val="center"/>
              <w:rPr/>
            </w:pPr>
            <w:r>
              <w:rPr/>
              <w:t>(Address of principal executive offices)</w:t>
            </w:r>
          </w:p>
        </w:tc>
        <w:tc>
          <w:tcPr>
            <w:tcW w:w="1775" w:type="dxa"/>
            <w:tcBorders/>
            <w:vAlign w:val="center"/>
          </w:tcPr>
          <w:p>
            <w:pPr>
              <w:pStyle w:val="TableContents"/>
              <w:bidi w:val="0"/>
              <w:spacing w:before="0" w:after="283"/>
              <w:jc w:val="center"/>
              <w:rPr/>
            </w:pPr>
            <w:r>
              <w:rPr/>
              <w:t>(Zip Code)</w:t>
            </w:r>
          </w:p>
        </w:tc>
      </w:tr>
      <w:tr>
        <w:trPr/>
        <w:tc>
          <w:tcPr>
            <w:tcW w:w="811"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the indenture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740"/>
        <w:gridCol w:w="290"/>
        <w:gridCol w:w="8495"/>
      </w:tblGrid>
      <w:tr>
        <w:trPr/>
        <w:tc>
          <w:tcPr>
            <w:tcW w:w="740" w:type="dxa"/>
            <w:tcBorders/>
            <w:vAlign w:val="center"/>
          </w:tcPr>
          <w:p>
            <w:pPr>
              <w:pStyle w:val="TableContents"/>
              <w:bidi w:val="0"/>
              <w:spacing w:before="0" w:after="283"/>
              <w:jc w:val="left"/>
              <w:rPr>
                <w:b/>
              </w:rPr>
            </w:pPr>
            <w:r>
              <w:rPr>
                <w:b/>
              </w:rPr>
              <w:t>Item 1.</w:t>
            </w:r>
          </w:p>
        </w:tc>
        <w:tc>
          <w:tcPr>
            <w:tcW w:w="8785" w:type="dxa"/>
            <w:gridSpan w:val="2"/>
            <w:tcBorders/>
            <w:vAlign w:val="center"/>
          </w:tcPr>
          <w:p>
            <w:pPr>
              <w:pStyle w:val="TableContents"/>
              <w:bidi w:val="0"/>
              <w:spacing w:before="0" w:after="283"/>
              <w:jc w:val="both"/>
              <w:rPr>
                <w:b/>
                <w:u w:val="single"/>
              </w:rPr>
            </w:pPr>
            <w:r>
              <w:rPr>
                <w:b/>
                <w:u w:val="single"/>
              </w:rPr>
              <w:t>General Information.</w:t>
            </w:r>
          </w:p>
        </w:tc>
      </w:tr>
      <w:tr>
        <w:trPr/>
        <w:tc>
          <w:tcPr>
            <w:tcW w:w="740" w:type="dxa"/>
            <w:tcBorders/>
            <w:vAlign w:val="center"/>
          </w:tcPr>
          <w:p>
            <w:pPr>
              <w:pStyle w:val="TableContents"/>
              <w:bidi w:val="0"/>
              <w:spacing w:before="0" w:after="283"/>
              <w:jc w:val="both"/>
              <w:rPr/>
            </w:pPr>
            <w:r>
              <w:rPr/>
              <w:t> </w:t>
            </w:r>
          </w:p>
        </w:tc>
        <w:tc>
          <w:tcPr>
            <w:tcW w:w="8785" w:type="dxa"/>
            <w:gridSpan w:val="2"/>
            <w:tcBorders/>
            <w:vAlign w:val="center"/>
          </w:tcPr>
          <w:p>
            <w:pPr>
              <w:pStyle w:val="TableContents"/>
              <w:bidi w:val="0"/>
              <w:spacing w:before="0" w:after="283"/>
              <w:jc w:val="both"/>
              <w:rPr>
                <w:b/>
              </w:rPr>
            </w:pPr>
            <w:r>
              <w:rPr>
                <w:b/>
              </w:rPr>
              <w:t>Furnish the following information as to the trustee:</w:t>
            </w:r>
          </w:p>
        </w:tc>
      </w:tr>
      <w:tr>
        <w:trPr/>
        <w:tc>
          <w:tcPr>
            <w:tcW w:w="74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both"/>
              <w:rPr/>
            </w:pPr>
            <w:r>
              <w:rPr/>
              <w:t> </w:t>
            </w:r>
          </w:p>
        </w:tc>
        <w:tc>
          <w:tcPr>
            <w:tcW w:w="8495" w:type="dxa"/>
            <w:tcBorders/>
            <w:vAlign w:val="center"/>
          </w:tcPr>
          <w:p>
            <w:pPr>
              <w:pStyle w:val="TableContents"/>
              <w:bidi w:val="0"/>
              <w:spacing w:before="0" w:after="283"/>
              <w:jc w:val="both"/>
              <w:rPr/>
            </w:pPr>
            <w:r>
              <w:rPr/>
              <w:t> </w:t>
            </w:r>
          </w:p>
        </w:tc>
      </w:tr>
      <w:tr>
        <w:trPr/>
        <w:tc>
          <w:tcPr>
            <w:tcW w:w="74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both"/>
              <w:rPr>
                <w:b/>
              </w:rPr>
            </w:pPr>
            <w:r>
              <w:rPr>
                <w:b/>
              </w:rPr>
              <w:t>(a)</w:t>
            </w:r>
          </w:p>
        </w:tc>
        <w:tc>
          <w:tcPr>
            <w:tcW w:w="8495" w:type="dxa"/>
            <w:tcBorders/>
            <w:vAlign w:val="center"/>
          </w:tcPr>
          <w:p>
            <w:pPr>
              <w:pStyle w:val="TableContents"/>
              <w:bidi w:val="0"/>
              <w:spacing w:before="0" w:after="283"/>
              <w:jc w:val="both"/>
              <w:rPr>
                <w:b/>
              </w:rPr>
            </w:pPr>
            <w:r>
              <w:rPr>
                <w:b/>
              </w:rPr>
              <w:t>Name and address of each examining or supervising authority to which it is subject.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75"/>
        <w:gridCol w:w="4055"/>
      </w:tblGrid>
      <w:tr>
        <w:trPr/>
        <w:tc>
          <w:tcPr>
            <w:tcW w:w="75" w:type="dxa"/>
            <w:tcBorders/>
            <w:vAlign w:val="center"/>
          </w:tcPr>
          <w:p>
            <w:pPr>
              <w:pStyle w:val="TableContents"/>
              <w:bidi w:val="0"/>
              <w:spacing w:before="0" w:after="283"/>
              <w:jc w:val="both"/>
              <w:rPr/>
            </w:pPr>
            <w:r>
              <w:rPr/>
              <w:t> </w:t>
            </w:r>
          </w:p>
        </w:tc>
        <w:tc>
          <w:tcPr>
            <w:tcW w:w="4055" w:type="dxa"/>
            <w:tcBorders/>
            <w:vAlign w:val="center"/>
          </w:tcPr>
          <w:p>
            <w:pPr>
              <w:pStyle w:val="TableContents"/>
              <w:bidi w:val="0"/>
              <w:spacing w:before="0" w:after="283"/>
              <w:jc w:val="both"/>
              <w:rPr/>
            </w:pPr>
            <w:r>
              <w:rPr/>
              <w:t>Office of the State Banking Commissioner</w:t>
            </w:r>
          </w:p>
        </w:tc>
      </w:tr>
      <w:tr>
        <w:trPr/>
        <w:tc>
          <w:tcPr>
            <w:tcW w:w="75" w:type="dxa"/>
            <w:tcBorders/>
            <w:vAlign w:val="center"/>
          </w:tcPr>
          <w:p>
            <w:pPr>
              <w:pStyle w:val="TableContents"/>
              <w:bidi w:val="0"/>
              <w:spacing w:before="0" w:after="283"/>
              <w:jc w:val="both"/>
              <w:rPr/>
            </w:pPr>
            <w:r>
              <w:rPr/>
              <w:t> </w:t>
            </w:r>
          </w:p>
        </w:tc>
        <w:tc>
          <w:tcPr>
            <w:tcW w:w="4055" w:type="dxa"/>
            <w:tcBorders/>
            <w:vAlign w:val="center"/>
          </w:tcPr>
          <w:p>
            <w:pPr>
              <w:pStyle w:val="TableContents"/>
              <w:bidi w:val="0"/>
              <w:spacing w:before="0" w:after="283"/>
              <w:jc w:val="both"/>
              <w:rPr/>
            </w:pPr>
            <w:r>
              <w:rPr/>
              <w:t>State of Delaware</w:t>
            </w:r>
          </w:p>
        </w:tc>
      </w:tr>
      <w:tr>
        <w:trPr/>
        <w:tc>
          <w:tcPr>
            <w:tcW w:w="75" w:type="dxa"/>
            <w:tcBorders/>
            <w:vAlign w:val="center"/>
          </w:tcPr>
          <w:p>
            <w:pPr>
              <w:pStyle w:val="TableContents"/>
              <w:bidi w:val="0"/>
              <w:spacing w:before="0" w:after="283"/>
              <w:jc w:val="both"/>
              <w:rPr/>
            </w:pPr>
            <w:r>
              <w:rPr/>
              <w:t> </w:t>
            </w:r>
          </w:p>
        </w:tc>
        <w:tc>
          <w:tcPr>
            <w:tcW w:w="4055" w:type="dxa"/>
            <w:tcBorders/>
            <w:vAlign w:val="center"/>
          </w:tcPr>
          <w:p>
            <w:pPr>
              <w:pStyle w:val="TableContents"/>
              <w:bidi w:val="0"/>
              <w:spacing w:before="0" w:after="283"/>
              <w:jc w:val="both"/>
              <w:rPr/>
            </w:pPr>
            <w:r>
              <w:rPr/>
              <w:t>555 East Loockerman Street </w:t>
              <w:br/>
              <w:t>Dover, DE  19901</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75"/>
        <w:gridCol w:w="305"/>
        <w:gridCol w:w="6050"/>
      </w:tblGrid>
      <w:tr>
        <w:trPr/>
        <w:tc>
          <w:tcPr>
            <w:tcW w:w="75"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b/>
              </w:rPr>
            </w:pPr>
            <w:r>
              <w:rPr>
                <w:b/>
              </w:rPr>
              <w:t>(b)</w:t>
            </w:r>
          </w:p>
        </w:tc>
        <w:tc>
          <w:tcPr>
            <w:tcW w:w="6050" w:type="dxa"/>
            <w:tcBorders/>
            <w:vAlign w:val="center"/>
          </w:tcPr>
          <w:p>
            <w:pPr>
              <w:pStyle w:val="TableContents"/>
              <w:bidi w:val="0"/>
              <w:spacing w:before="0" w:after="283"/>
              <w:jc w:val="both"/>
              <w:rPr>
                <w:b/>
              </w:rPr>
            </w:pPr>
            <w:r>
              <w:rPr>
                <w:b/>
              </w:rPr>
              <w:t>Whether it is authorized to exercise corporate trust powers.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705" w:type="dxa"/>
        <w:jc w:val="left"/>
        <w:tblInd w:w="0" w:type="dxa"/>
        <w:tblLayout w:type="fixed"/>
        <w:tblCellMar>
          <w:top w:w="0" w:type="dxa"/>
          <w:left w:w="0" w:type="dxa"/>
          <w:bottom w:w="0" w:type="dxa"/>
          <w:right w:w="0" w:type="dxa"/>
        </w:tblCellMar>
      </w:tblPr>
      <w:tblGrid>
        <w:gridCol w:w="75"/>
        <w:gridCol w:w="5630"/>
      </w:tblGrid>
      <w:tr>
        <w:trPr/>
        <w:tc>
          <w:tcPr>
            <w:tcW w:w="75" w:type="dxa"/>
            <w:tcBorders/>
            <w:vAlign w:val="center"/>
          </w:tcPr>
          <w:p>
            <w:pPr>
              <w:pStyle w:val="TableContents"/>
              <w:bidi w:val="0"/>
              <w:spacing w:before="0" w:after="283"/>
              <w:jc w:val="both"/>
              <w:rPr/>
            </w:pPr>
            <w:r>
              <w:rPr/>
              <w:t> </w:t>
            </w:r>
          </w:p>
        </w:tc>
        <w:tc>
          <w:tcPr>
            <w:tcW w:w="5630" w:type="dxa"/>
            <w:tcBorders/>
            <w:vAlign w:val="center"/>
          </w:tcPr>
          <w:p>
            <w:pPr>
              <w:pStyle w:val="TableContents"/>
              <w:bidi w:val="0"/>
              <w:spacing w:before="0" w:after="283"/>
              <w:jc w:val="both"/>
              <w:rPr/>
            </w:pPr>
            <w:r>
              <w:rPr/>
              <w:t>The trustee is authorized to exercise corporate trust powers.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40"/>
        <w:gridCol w:w="5990"/>
      </w:tblGrid>
      <w:tr>
        <w:trPr/>
        <w:tc>
          <w:tcPr>
            <w:tcW w:w="740" w:type="dxa"/>
            <w:tcBorders/>
            <w:vAlign w:val="center"/>
          </w:tcPr>
          <w:p>
            <w:pPr>
              <w:pStyle w:val="TableContents"/>
              <w:bidi w:val="0"/>
              <w:spacing w:before="0" w:after="283"/>
              <w:jc w:val="both"/>
              <w:rPr>
                <w:b/>
              </w:rPr>
            </w:pPr>
            <w:r>
              <w:rPr>
                <w:b/>
              </w:rPr>
              <w:t>Item 2.</w:t>
            </w:r>
          </w:p>
        </w:tc>
        <w:tc>
          <w:tcPr>
            <w:tcW w:w="599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Affiliations with Obligor.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obligor is an affiliate of the trustee, describe each such affiliation.</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3155" w:type="dxa"/>
        <w:jc w:val="left"/>
        <w:tblInd w:w="0" w:type="dxa"/>
        <w:tblLayout w:type="fixed"/>
        <w:tblCellMar>
          <w:top w:w="0" w:type="dxa"/>
          <w:left w:w="0" w:type="dxa"/>
          <w:bottom w:w="0" w:type="dxa"/>
          <w:right w:w="0" w:type="dxa"/>
        </w:tblCellMar>
      </w:tblPr>
      <w:tblGrid>
        <w:gridCol w:w="75"/>
        <w:gridCol w:w="3080"/>
      </w:tblGrid>
      <w:tr>
        <w:trPr/>
        <w:tc>
          <w:tcPr>
            <w:tcW w:w="75" w:type="dxa"/>
            <w:tcBorders/>
            <w:vAlign w:val="center"/>
          </w:tcPr>
          <w:p>
            <w:pPr>
              <w:pStyle w:val="TableContents"/>
              <w:bidi w:val="0"/>
              <w:spacing w:before="0" w:after="283"/>
              <w:jc w:val="both"/>
              <w:rPr/>
            </w:pPr>
            <w:r>
              <w:rPr/>
              <w:t> </w:t>
            </w:r>
          </w:p>
        </w:tc>
        <w:tc>
          <w:tcPr>
            <w:tcW w:w="3080" w:type="dxa"/>
            <w:tcBorders/>
            <w:vAlign w:val="center"/>
          </w:tcPr>
          <w:p>
            <w:pPr>
              <w:pStyle w:val="TableContents"/>
              <w:bidi w:val="0"/>
              <w:spacing w:before="0" w:after="283"/>
              <w:jc w:val="both"/>
              <w:rPr/>
            </w:pPr>
            <w:r>
              <w:rPr/>
              <w:t>None with respect to the trustee.</w:t>
            </w:r>
          </w:p>
        </w:tc>
      </w:tr>
      <w:tr>
        <w:trPr/>
        <w:tc>
          <w:tcPr>
            <w:tcW w:w="75" w:type="dxa"/>
            <w:tcBorders/>
            <w:vAlign w:val="center"/>
          </w:tcPr>
          <w:p>
            <w:pPr>
              <w:pStyle w:val="TableContents"/>
              <w:bidi w:val="0"/>
              <w:spacing w:before="0" w:after="283"/>
              <w:jc w:val="both"/>
              <w:rPr/>
            </w:pPr>
            <w:r>
              <w:rPr/>
              <w:t> </w:t>
            </w:r>
          </w:p>
        </w:tc>
        <w:tc>
          <w:tcPr>
            <w:tcW w:w="308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091"/>
        <w:gridCol w:w="9114"/>
      </w:tblGrid>
      <w:tr>
        <w:trPr/>
        <w:tc>
          <w:tcPr>
            <w:tcW w:w="1091" w:type="dxa"/>
            <w:tcBorders/>
            <w:vAlign w:val="center"/>
          </w:tcPr>
          <w:p>
            <w:pPr>
              <w:pStyle w:val="TableContents"/>
              <w:bidi w:val="0"/>
              <w:spacing w:before="0" w:after="283"/>
              <w:jc w:val="both"/>
              <w:rPr/>
            </w:pPr>
            <w:r>
              <w:rPr>
                <w:b/>
              </w:rPr>
              <w:t>Items 3-14</w:t>
            </w:r>
            <w:r>
              <w:rPr/>
              <w:t>.</w:t>
            </w:r>
          </w:p>
        </w:tc>
        <w:tc>
          <w:tcPr>
            <w:tcW w:w="9114" w:type="dxa"/>
            <w:tcBorders/>
            <w:vAlign w:val="center"/>
          </w:tcPr>
          <w:p>
            <w:pPr>
              <w:pStyle w:val="TableContents"/>
              <w:bidi w:val="0"/>
              <w:spacing w:before="0" w:after="283"/>
              <w:jc w:val="both"/>
              <w:rPr/>
            </w:pPr>
            <w:r>
              <w:rPr/>
              <w:t>No responses are included for Items 3–14 because the obligor is not in default as provided under Item 13.</w:t>
            </w:r>
          </w:p>
        </w:tc>
      </w:tr>
      <w:tr>
        <w:trPr/>
        <w:tc>
          <w:tcPr>
            <w:tcW w:w="1091" w:type="dxa"/>
            <w:tcBorders/>
            <w:vAlign w:val="center"/>
          </w:tcPr>
          <w:p>
            <w:pPr>
              <w:pStyle w:val="TableContents"/>
              <w:bidi w:val="0"/>
              <w:spacing w:before="0" w:after="283"/>
              <w:jc w:val="both"/>
              <w:rPr/>
            </w:pPr>
            <w:r>
              <w:rPr/>
              <w:t> </w:t>
            </w:r>
          </w:p>
        </w:tc>
        <w:tc>
          <w:tcPr>
            <w:tcW w:w="9114" w:type="dxa"/>
            <w:tcBorders/>
            <w:vAlign w:val="center"/>
          </w:tcPr>
          <w:p>
            <w:pPr>
              <w:pStyle w:val="TableContents"/>
              <w:bidi w:val="0"/>
              <w:spacing w:before="0" w:after="283"/>
              <w:jc w:val="both"/>
              <w:rPr/>
            </w:pPr>
            <w:r>
              <w:rPr/>
              <w:t> </w:t>
            </w:r>
          </w:p>
        </w:tc>
      </w:tr>
      <w:tr>
        <w:trPr/>
        <w:tc>
          <w:tcPr>
            <w:tcW w:w="1091" w:type="dxa"/>
            <w:tcBorders/>
            <w:vAlign w:val="center"/>
          </w:tcPr>
          <w:p>
            <w:pPr>
              <w:pStyle w:val="TableContents"/>
              <w:bidi w:val="0"/>
              <w:spacing w:before="0" w:after="283"/>
              <w:jc w:val="both"/>
              <w:rPr>
                <w:b/>
              </w:rPr>
            </w:pPr>
            <w:r>
              <w:rPr>
                <w:b/>
              </w:rPr>
              <w:t>Item 15.</w:t>
            </w:r>
          </w:p>
        </w:tc>
        <w:tc>
          <w:tcPr>
            <w:tcW w:w="9114" w:type="dxa"/>
            <w:tcBorders/>
            <w:vAlign w:val="center"/>
          </w:tcPr>
          <w:p>
            <w:pPr>
              <w:pStyle w:val="TableContents"/>
              <w:bidi w:val="0"/>
              <w:spacing w:before="0" w:after="283"/>
              <w:jc w:val="both"/>
              <w:rPr>
                <w:b/>
                <w:u w:val="single"/>
              </w:rPr>
            </w:pPr>
            <w:r>
              <w:rPr>
                <w:b/>
                <w:u w:val="single"/>
              </w:rPr>
              <w:t>Foreign Trustee.</w:t>
            </w:r>
          </w:p>
        </w:tc>
      </w:tr>
      <w:tr>
        <w:trPr/>
        <w:tc>
          <w:tcPr>
            <w:tcW w:w="1091" w:type="dxa"/>
            <w:tcBorders/>
            <w:vAlign w:val="center"/>
          </w:tcPr>
          <w:p>
            <w:pPr>
              <w:pStyle w:val="TableContents"/>
              <w:bidi w:val="0"/>
              <w:spacing w:before="0" w:after="283"/>
              <w:jc w:val="both"/>
              <w:rPr/>
            </w:pPr>
            <w:r>
              <w:rPr/>
              <w:t> </w:t>
            </w:r>
          </w:p>
        </w:tc>
        <w:tc>
          <w:tcPr>
            <w:tcW w:w="9114" w:type="dxa"/>
            <w:tcBorders/>
            <w:vAlign w:val="center"/>
          </w:tcPr>
          <w:p>
            <w:pPr>
              <w:pStyle w:val="TableContents"/>
              <w:bidi w:val="0"/>
              <w:spacing w:before="0" w:after="283"/>
              <w:jc w:val="both"/>
              <w:rPr/>
            </w:pPr>
            <w:r>
              <w:rPr/>
              <w:t> </w:t>
            </w:r>
          </w:p>
        </w:tc>
      </w:tr>
      <w:tr>
        <w:trPr/>
        <w:tc>
          <w:tcPr>
            <w:tcW w:w="1091" w:type="dxa"/>
            <w:tcBorders/>
            <w:vAlign w:val="center"/>
          </w:tcPr>
          <w:p>
            <w:pPr>
              <w:pStyle w:val="TableContents"/>
              <w:bidi w:val="0"/>
              <w:spacing w:before="0" w:after="283"/>
              <w:jc w:val="both"/>
              <w:rPr/>
            </w:pPr>
            <w:r>
              <w:rPr/>
              <w:t> </w:t>
            </w:r>
          </w:p>
        </w:tc>
        <w:tc>
          <w:tcPr>
            <w:tcW w:w="9114" w:type="dxa"/>
            <w:tcBorders/>
            <w:vAlign w:val="center"/>
          </w:tcPr>
          <w:p>
            <w:pPr>
              <w:pStyle w:val="TableContents"/>
              <w:bidi w:val="0"/>
              <w:spacing w:before="0" w:after="283"/>
              <w:jc w:val="both"/>
              <w:rPr/>
            </w:pPr>
            <w:r>
              <w:rPr/>
              <w:t>Not applicable.</w:t>
            </w:r>
          </w:p>
        </w:tc>
      </w:tr>
      <w:tr>
        <w:trPr/>
        <w:tc>
          <w:tcPr>
            <w:tcW w:w="1091" w:type="dxa"/>
            <w:tcBorders/>
            <w:vAlign w:val="center"/>
          </w:tcPr>
          <w:p>
            <w:pPr>
              <w:pStyle w:val="TableContents"/>
              <w:bidi w:val="0"/>
              <w:spacing w:before="0" w:after="283"/>
              <w:jc w:val="both"/>
              <w:rPr/>
            </w:pPr>
            <w:r>
              <w:rPr/>
              <w:t> </w:t>
            </w:r>
          </w:p>
        </w:tc>
        <w:tc>
          <w:tcPr>
            <w:tcW w:w="9114" w:type="dxa"/>
            <w:tcBorders/>
            <w:vAlign w:val="center"/>
          </w:tcPr>
          <w:p>
            <w:pPr>
              <w:pStyle w:val="TableContents"/>
              <w:bidi w:val="0"/>
              <w:spacing w:before="0" w:after="283"/>
              <w:jc w:val="both"/>
              <w:rPr/>
            </w:pPr>
            <w:r>
              <w:rPr/>
              <w:t> </w:t>
            </w:r>
          </w:p>
        </w:tc>
      </w:tr>
      <w:tr>
        <w:trPr/>
        <w:tc>
          <w:tcPr>
            <w:tcW w:w="1091" w:type="dxa"/>
            <w:tcBorders/>
            <w:vAlign w:val="center"/>
          </w:tcPr>
          <w:p>
            <w:pPr>
              <w:pStyle w:val="TableContents"/>
              <w:bidi w:val="0"/>
              <w:spacing w:before="0" w:after="283"/>
              <w:jc w:val="both"/>
              <w:rPr>
                <w:b/>
              </w:rPr>
            </w:pPr>
            <w:r>
              <w:rPr>
                <w:b/>
              </w:rPr>
              <w:t>Item 16.</w:t>
            </w:r>
          </w:p>
        </w:tc>
        <w:tc>
          <w:tcPr>
            <w:tcW w:w="9114" w:type="dxa"/>
            <w:tcBorders/>
            <w:vAlign w:val="center"/>
          </w:tcPr>
          <w:p>
            <w:pPr>
              <w:pStyle w:val="TableContents"/>
              <w:bidi w:val="0"/>
              <w:spacing w:before="0" w:after="283"/>
              <w:jc w:val="both"/>
              <w:rPr>
                <w:b/>
              </w:rPr>
            </w:pPr>
            <w:r>
              <w:rPr>
                <w:b/>
              </w:rPr>
              <w:t>List of Exhibits</w:t>
            </w:r>
          </w:p>
        </w:tc>
      </w:tr>
      <w:tr>
        <w:trPr/>
        <w:tc>
          <w:tcPr>
            <w:tcW w:w="1091" w:type="dxa"/>
            <w:tcBorders/>
            <w:vAlign w:val="center"/>
          </w:tcPr>
          <w:p>
            <w:pPr>
              <w:pStyle w:val="TableContents"/>
              <w:bidi w:val="0"/>
              <w:spacing w:before="0" w:after="283"/>
              <w:jc w:val="both"/>
              <w:rPr/>
            </w:pPr>
            <w:r>
              <w:rPr/>
              <w:t> </w:t>
            </w:r>
          </w:p>
        </w:tc>
        <w:tc>
          <w:tcPr>
            <w:tcW w:w="9114" w:type="dxa"/>
            <w:tcBorders/>
            <w:vAlign w:val="center"/>
          </w:tcPr>
          <w:p>
            <w:pPr>
              <w:pStyle w:val="TableContents"/>
              <w:bidi w:val="0"/>
              <w:spacing w:before="0" w:after="283"/>
              <w:jc w:val="both"/>
              <w:rPr/>
            </w:pPr>
            <w:r>
              <w:rPr/>
              <w:t> </w:t>
            </w:r>
          </w:p>
        </w:tc>
      </w:tr>
      <w:tr>
        <w:trPr/>
        <w:tc>
          <w:tcPr>
            <w:tcW w:w="1091" w:type="dxa"/>
            <w:tcBorders/>
            <w:vAlign w:val="center"/>
          </w:tcPr>
          <w:p>
            <w:pPr>
              <w:pStyle w:val="TableContents"/>
              <w:bidi w:val="0"/>
              <w:spacing w:before="0" w:after="283"/>
              <w:jc w:val="both"/>
              <w:rPr/>
            </w:pPr>
            <w:r>
              <w:rPr/>
              <w:t> </w:t>
            </w:r>
          </w:p>
        </w:tc>
        <w:tc>
          <w:tcPr>
            <w:tcW w:w="9114" w:type="dxa"/>
            <w:tcBorders/>
            <w:vAlign w:val="center"/>
          </w:tcPr>
          <w:p>
            <w:pPr>
              <w:pStyle w:val="TableContents"/>
              <w:bidi w:val="0"/>
              <w:spacing w:before="0" w:after="283"/>
              <w:jc w:val="both"/>
              <w:rPr/>
            </w:pPr>
            <w:r>
              <w:rPr/>
              <w:t>List below all exhibits filed as a part of this Statement of Eligibility.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5"/>
        <w:gridCol w:w="9250"/>
      </w:tblGrid>
      <w:tr>
        <w:trPr/>
        <w:tc>
          <w:tcPr>
            <w:tcW w:w="955" w:type="dxa"/>
            <w:tcBorders/>
            <w:vAlign w:val="center"/>
          </w:tcPr>
          <w:p>
            <w:pPr>
              <w:pStyle w:val="TableContents"/>
              <w:bidi w:val="0"/>
              <w:spacing w:before="0" w:after="283"/>
              <w:jc w:val="both"/>
              <w:rPr/>
            </w:pPr>
            <w:r>
              <w:rPr/>
              <w:t>Exhibit 1.</w:t>
            </w:r>
          </w:p>
        </w:tc>
        <w:tc>
          <w:tcPr>
            <w:tcW w:w="9250" w:type="dxa"/>
            <w:tcBorders/>
            <w:vAlign w:val="center"/>
          </w:tcPr>
          <w:p>
            <w:pPr>
              <w:pStyle w:val="TableContents"/>
              <w:bidi w:val="0"/>
              <w:spacing w:before="0" w:after="283"/>
              <w:jc w:val="both"/>
              <w:rPr/>
            </w:pPr>
            <w:r>
              <w:rPr/>
              <w:t>A copy of the Articles of Association of the trustee now in effect as contained in the Certificate of Incorporation. *</w:t>
            </w:r>
          </w:p>
        </w:tc>
      </w:tr>
      <w:tr>
        <w:trPr/>
        <w:tc>
          <w:tcPr>
            <w:tcW w:w="955" w:type="dxa"/>
            <w:tcBorders/>
            <w:vAlign w:val="center"/>
          </w:tcPr>
          <w:p>
            <w:pPr>
              <w:pStyle w:val="TableContents"/>
              <w:bidi w:val="0"/>
              <w:spacing w:before="0" w:after="283"/>
              <w:jc w:val="both"/>
              <w:rPr/>
            </w:pPr>
            <w:r>
              <w:rPr/>
              <w:t> </w:t>
            </w:r>
          </w:p>
        </w:tc>
        <w:tc>
          <w:tcPr>
            <w:tcW w:w="9250" w:type="dxa"/>
            <w:tcBorders/>
            <w:vAlign w:val="center"/>
          </w:tcPr>
          <w:p>
            <w:pPr>
              <w:pStyle w:val="TableContents"/>
              <w:bidi w:val="0"/>
              <w:spacing w:before="0" w:after="283"/>
              <w:jc w:val="both"/>
              <w:rPr/>
            </w:pPr>
            <w:r>
              <w:rPr/>
              <w:t> </w:t>
            </w:r>
          </w:p>
        </w:tc>
      </w:tr>
      <w:tr>
        <w:trPr/>
        <w:tc>
          <w:tcPr>
            <w:tcW w:w="955" w:type="dxa"/>
            <w:tcBorders/>
            <w:vAlign w:val="center"/>
          </w:tcPr>
          <w:p>
            <w:pPr>
              <w:pStyle w:val="TableContents"/>
              <w:bidi w:val="0"/>
              <w:spacing w:before="0" w:after="283"/>
              <w:jc w:val="both"/>
              <w:rPr/>
            </w:pPr>
            <w:r>
              <w:rPr/>
              <w:t>Exhibit 2.</w:t>
            </w:r>
          </w:p>
        </w:tc>
        <w:tc>
          <w:tcPr>
            <w:tcW w:w="9250" w:type="dxa"/>
            <w:tcBorders/>
            <w:vAlign w:val="center"/>
          </w:tcPr>
          <w:p>
            <w:pPr>
              <w:pStyle w:val="TableContents"/>
              <w:bidi w:val="0"/>
              <w:spacing w:before="0" w:after="283"/>
              <w:jc w:val="both"/>
              <w:rPr/>
            </w:pPr>
            <w:r>
              <w:rPr/>
              <w:t>A copy of the Certificate of Incorporation. *</w:t>
            </w:r>
          </w:p>
        </w:tc>
      </w:tr>
      <w:tr>
        <w:trPr/>
        <w:tc>
          <w:tcPr>
            <w:tcW w:w="955" w:type="dxa"/>
            <w:tcBorders/>
            <w:vAlign w:val="center"/>
          </w:tcPr>
          <w:p>
            <w:pPr>
              <w:pStyle w:val="TableContents"/>
              <w:bidi w:val="0"/>
              <w:spacing w:before="0" w:after="283"/>
              <w:jc w:val="both"/>
              <w:rPr/>
            </w:pPr>
            <w:r>
              <w:rPr/>
              <w:t> </w:t>
            </w:r>
          </w:p>
        </w:tc>
        <w:tc>
          <w:tcPr>
            <w:tcW w:w="9250" w:type="dxa"/>
            <w:tcBorders/>
            <w:vAlign w:val="center"/>
          </w:tcPr>
          <w:p>
            <w:pPr>
              <w:pStyle w:val="TableContents"/>
              <w:bidi w:val="0"/>
              <w:spacing w:before="0" w:after="283"/>
              <w:jc w:val="both"/>
              <w:rPr/>
            </w:pPr>
            <w:r>
              <w:rPr/>
              <w:t> </w:t>
            </w:r>
          </w:p>
        </w:tc>
      </w:tr>
      <w:tr>
        <w:trPr/>
        <w:tc>
          <w:tcPr>
            <w:tcW w:w="955" w:type="dxa"/>
            <w:tcBorders/>
            <w:vAlign w:val="center"/>
          </w:tcPr>
          <w:p>
            <w:pPr>
              <w:pStyle w:val="TableContents"/>
              <w:bidi w:val="0"/>
              <w:spacing w:before="0" w:after="283"/>
              <w:jc w:val="both"/>
              <w:rPr/>
            </w:pPr>
            <w:r>
              <w:rPr/>
              <w:t>Exhibit 3.</w:t>
            </w:r>
          </w:p>
        </w:tc>
        <w:tc>
          <w:tcPr>
            <w:tcW w:w="9250" w:type="dxa"/>
            <w:tcBorders/>
            <w:vAlign w:val="center"/>
          </w:tcPr>
          <w:p>
            <w:pPr>
              <w:pStyle w:val="TableContents"/>
              <w:bidi w:val="0"/>
              <w:spacing w:before="0" w:after="283"/>
              <w:jc w:val="both"/>
              <w:rPr/>
            </w:pPr>
            <w:r>
              <w:rPr/>
              <w:t>See Exhibit 2.</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965"/>
        <w:gridCol w:w="4880"/>
      </w:tblGrid>
      <w:tr>
        <w:trPr/>
        <w:tc>
          <w:tcPr>
            <w:tcW w:w="965" w:type="dxa"/>
            <w:tcBorders/>
            <w:vAlign w:val="center"/>
          </w:tcPr>
          <w:p>
            <w:pPr>
              <w:pStyle w:val="TableContents"/>
              <w:bidi w:val="0"/>
              <w:spacing w:before="0" w:after="283"/>
              <w:jc w:val="both"/>
              <w:rPr/>
            </w:pPr>
            <w:r>
              <w:rPr/>
              <w:t>Exhibit 4.</w:t>
            </w:r>
          </w:p>
        </w:tc>
        <w:tc>
          <w:tcPr>
            <w:tcW w:w="4880" w:type="dxa"/>
            <w:tcBorders/>
            <w:vAlign w:val="center"/>
          </w:tcPr>
          <w:p>
            <w:pPr>
              <w:pStyle w:val="TableContents"/>
              <w:bidi w:val="0"/>
              <w:spacing w:before="0" w:after="283"/>
              <w:jc w:val="both"/>
              <w:rPr/>
            </w:pPr>
            <w:r>
              <w:rPr/>
              <w:t>A copy of by-laws of the trustee as now in effect.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965"/>
        <w:gridCol w:w="1475"/>
      </w:tblGrid>
      <w:tr>
        <w:trPr/>
        <w:tc>
          <w:tcPr>
            <w:tcW w:w="965" w:type="dxa"/>
            <w:tcBorders/>
            <w:vAlign w:val="center"/>
          </w:tcPr>
          <w:p>
            <w:pPr>
              <w:pStyle w:val="TableContents"/>
              <w:bidi w:val="0"/>
              <w:spacing w:before="0" w:after="283"/>
              <w:jc w:val="both"/>
              <w:rPr/>
            </w:pPr>
            <w:r>
              <w:rPr/>
              <w:t>Exhibit 5.</w:t>
            </w:r>
          </w:p>
        </w:tc>
        <w:tc>
          <w:tcPr>
            <w:tcW w:w="1475" w:type="dxa"/>
            <w:tcBorders/>
            <w:vAlign w:val="center"/>
          </w:tcPr>
          <w:p>
            <w:pPr>
              <w:pStyle w:val="TableContents"/>
              <w:bidi w:val="0"/>
              <w:spacing w:before="0" w:after="283"/>
              <w:jc w:val="both"/>
              <w:rPr/>
            </w:pPr>
            <w:r>
              <w:rPr/>
              <w:t>Not applicable.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965"/>
        <w:gridCol w:w="6125"/>
      </w:tblGrid>
      <w:tr>
        <w:trPr/>
        <w:tc>
          <w:tcPr>
            <w:tcW w:w="965" w:type="dxa"/>
            <w:tcBorders/>
            <w:vAlign w:val="center"/>
          </w:tcPr>
          <w:p>
            <w:pPr>
              <w:pStyle w:val="TableContents"/>
              <w:bidi w:val="0"/>
              <w:spacing w:before="0" w:after="283"/>
              <w:jc w:val="both"/>
              <w:rPr/>
            </w:pPr>
            <w:r>
              <w:rPr/>
              <w:t>Exhibit 6.</w:t>
            </w:r>
          </w:p>
        </w:tc>
        <w:tc>
          <w:tcPr>
            <w:tcW w:w="6125" w:type="dxa"/>
            <w:tcBorders/>
            <w:vAlign w:val="center"/>
          </w:tcPr>
          <w:p>
            <w:pPr>
              <w:pStyle w:val="TableContents"/>
              <w:bidi w:val="0"/>
              <w:spacing w:before="0" w:after="283"/>
              <w:jc w:val="both"/>
              <w:rPr/>
            </w:pPr>
            <w:r>
              <w:rPr/>
              <w:t>The consent of the trustee required by Section 321(b) of the Act.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5"/>
        <w:gridCol w:w="9260"/>
      </w:tblGrid>
      <w:tr>
        <w:trPr/>
        <w:tc>
          <w:tcPr>
            <w:tcW w:w="945" w:type="dxa"/>
            <w:tcBorders/>
            <w:vAlign w:val="center"/>
          </w:tcPr>
          <w:p>
            <w:pPr>
              <w:pStyle w:val="TableContents"/>
              <w:bidi w:val="0"/>
              <w:spacing w:before="0" w:after="283"/>
              <w:jc w:val="both"/>
              <w:rPr/>
            </w:pPr>
            <w:r>
              <w:rPr/>
              <w:t>Exhibit 7.</w:t>
            </w:r>
          </w:p>
        </w:tc>
        <w:tc>
          <w:tcPr>
            <w:tcW w:w="9260" w:type="dxa"/>
            <w:tcBorders/>
            <w:vAlign w:val="center"/>
          </w:tcPr>
          <w:p>
            <w:pPr>
              <w:pStyle w:val="TableContents"/>
              <w:bidi w:val="0"/>
              <w:spacing w:before="0" w:after="283"/>
              <w:jc w:val="both"/>
              <w:rPr/>
            </w:pPr>
            <w:r>
              <w:rPr/>
              <w:t>A copy of the latest report of condition of the trustee published pursuant to law or the requirements of its supervising or examining authority.</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965"/>
        <w:gridCol w:w="1475"/>
      </w:tblGrid>
      <w:tr>
        <w:trPr/>
        <w:tc>
          <w:tcPr>
            <w:tcW w:w="965" w:type="dxa"/>
            <w:tcBorders/>
            <w:vAlign w:val="center"/>
          </w:tcPr>
          <w:p>
            <w:pPr>
              <w:pStyle w:val="TableContents"/>
              <w:bidi w:val="0"/>
              <w:spacing w:before="0" w:after="283"/>
              <w:jc w:val="both"/>
              <w:rPr/>
            </w:pPr>
            <w:r>
              <w:rPr/>
              <w:t>Exhibit 8.</w:t>
            </w:r>
          </w:p>
        </w:tc>
        <w:tc>
          <w:tcPr>
            <w:tcW w:w="1475" w:type="dxa"/>
            <w:tcBorders/>
            <w:vAlign w:val="center"/>
          </w:tcPr>
          <w:p>
            <w:pPr>
              <w:pStyle w:val="TableContents"/>
              <w:bidi w:val="0"/>
              <w:spacing w:before="0" w:after="283"/>
              <w:jc w:val="both"/>
              <w:rPr/>
            </w:pPr>
            <w:r>
              <w:rPr/>
              <w:t>Not applicable.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965"/>
        <w:gridCol w:w="1475"/>
      </w:tblGrid>
      <w:tr>
        <w:trPr/>
        <w:tc>
          <w:tcPr>
            <w:tcW w:w="965" w:type="dxa"/>
            <w:tcBorders/>
            <w:vAlign w:val="center"/>
          </w:tcPr>
          <w:p>
            <w:pPr>
              <w:pStyle w:val="TableContents"/>
              <w:bidi w:val="0"/>
              <w:spacing w:before="0" w:after="283"/>
              <w:jc w:val="both"/>
              <w:rPr/>
            </w:pPr>
            <w:r>
              <w:rPr/>
              <w:t>Exhibit 9.</w:t>
            </w:r>
          </w:p>
        </w:tc>
        <w:tc>
          <w:tcPr>
            <w:tcW w:w="1475" w:type="dxa"/>
            <w:tcBorders/>
            <w:vAlign w:val="center"/>
          </w:tcPr>
          <w:p>
            <w:pPr>
              <w:pStyle w:val="TableContents"/>
              <w:bidi w:val="0"/>
              <w:spacing w:before="0" w:after="283"/>
              <w:jc w:val="both"/>
              <w:rPr/>
            </w:pPr>
            <w:r>
              <w:rPr/>
              <w:t>Not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Exhibit 25.1 to the registration statement on S-1, Registration Number 333-225797 filed on June 21, 2018.</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as amended, the trustee, CSC Delaware Trust Company, a non-depository trust company and corporation duly organized and existing under the laws of Delaware, has duly caused this statement of eligibility to be signed on its behalf by the undersigned, thereunto duly authorized, all in the City of Wilmington and State of Delaware on the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hanging="0"/>
        <w:jc w:val="left"/>
        <w:rPr>
          <w:caps w:val="false"/>
          <w:smallCaps w:val="false"/>
        </w:rPr>
      </w:pPr>
      <w:r>
        <w:rPr>
          <w:caps w:val="false"/>
          <w:smallCaps w:val="false"/>
        </w:rPr>
        <w:t> </w:t>
      </w:r>
    </w:p>
    <w:tbl>
      <w:tblPr>
        <w:tblW w:w="3274" w:type="dxa"/>
        <w:jc w:val="left"/>
        <w:tblInd w:w="0" w:type="dxa"/>
        <w:tblLayout w:type="fixed"/>
        <w:tblCellMar>
          <w:top w:w="0" w:type="dxa"/>
          <w:left w:w="0" w:type="dxa"/>
          <w:bottom w:w="0" w:type="dxa"/>
          <w:right w:w="0" w:type="dxa"/>
        </w:tblCellMar>
      </w:tblPr>
      <w:tblGrid>
        <w:gridCol w:w="1078"/>
        <w:gridCol w:w="2121"/>
        <w:gridCol w:w="75"/>
      </w:tblGrid>
      <w:tr>
        <w:trPr/>
        <w:tc>
          <w:tcPr>
            <w:tcW w:w="31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CSC DELAWARE TRUST COMPANY</w:t>
            </w:r>
          </w:p>
        </w:tc>
        <w:tc>
          <w:tcPr>
            <w:tcW w:w="7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9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/s/Lici Zhu</w:t>
            </w:r>
          </w:p>
        </w:tc>
        <w:tc>
          <w:tcPr>
            <w:tcW w:w="75" w:type="dxa"/>
            <w:tcBorders/>
            <w:vAlign w:val="center"/>
          </w:tcPr>
          <w:p>
            <w:pPr>
              <w:pStyle w:val="TableContents"/>
              <w:bidi w:val="0"/>
              <w:spacing w:before="0" w:after="283"/>
              <w:jc w:val="left"/>
              <w:rPr/>
            </w:pPr>
            <w:r>
              <w:rPr/>
              <w:t> </w:t>
            </w:r>
          </w:p>
        </w:tc>
      </w:tr>
      <w:tr>
        <w:trPr/>
        <w:tc>
          <w:tcPr>
            <w:tcW w:w="10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Lici Zhu</w:t>
            </w:r>
          </w:p>
        </w:tc>
        <w:tc>
          <w:tcPr>
            <w:tcW w:w="75" w:type="dxa"/>
            <w:tcBorders/>
            <w:vAlign w:val="center"/>
          </w:tcPr>
          <w:p>
            <w:pPr>
              <w:pStyle w:val="TableContents"/>
              <w:bidi w:val="0"/>
              <w:spacing w:before="0" w:after="283"/>
              <w:jc w:val="left"/>
              <w:rPr/>
            </w:pPr>
            <w:r>
              <w:rPr/>
              <w:t> </w:t>
            </w:r>
          </w:p>
        </w:tc>
      </w:tr>
      <w:tr>
        <w:trPr/>
        <w:tc>
          <w:tcPr>
            <w:tcW w:w="10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Gentlemen: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CSC DELAWARE TRUST COMPANY</w:t>
      </w:r>
    </w:p>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28" w:type="dxa"/>
          <w:right w:w="0" w:type="dxa"/>
        </w:tblCellMar>
      </w:tblPr>
      <w:tblGrid>
        <w:gridCol w:w="560"/>
        <w:gridCol w:w="1190"/>
        <w:gridCol w:w="75"/>
      </w:tblGrid>
      <w:tr>
        <w:trPr/>
        <w:tc>
          <w:tcPr>
            <w:tcW w:w="1750"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Lici Zhu</w:t>
            </w:r>
          </w:p>
        </w:tc>
        <w:tc>
          <w:tcPr>
            <w:tcW w:w="75" w:type="dxa"/>
            <w:tcBorders/>
            <w:tcMar>
              <w:bottom w:w="0" w:type="dxa"/>
            </w:tcMar>
            <w:vAlign w:val="center"/>
          </w:tcPr>
          <w:p>
            <w:pPr>
              <w:pStyle w:val="TableContents"/>
              <w:bidi w:val="0"/>
              <w:spacing w:before="0" w:after="283"/>
              <w:jc w:val="left"/>
              <w:rPr/>
            </w:pPr>
            <w:r>
              <w:rPr/>
              <w:t> </w:t>
            </w:r>
          </w:p>
        </w:tc>
      </w:tr>
      <w:tr>
        <w:trPr/>
        <w:tc>
          <w:tcPr>
            <w:tcW w:w="5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Lici Zhu</w:t>
            </w:r>
          </w:p>
        </w:tc>
        <w:tc>
          <w:tcPr>
            <w:tcW w:w="75" w:type="dxa"/>
            <w:tcBorders/>
            <w:tcMar>
              <w:bottom w:w="0" w:type="dxa"/>
            </w:tcMar>
            <w:vAlign w:val="center"/>
          </w:tcPr>
          <w:p>
            <w:pPr>
              <w:pStyle w:val="TableContents"/>
              <w:bidi w:val="0"/>
              <w:spacing w:before="0" w:after="283"/>
              <w:jc w:val="left"/>
              <w:rPr/>
            </w:pPr>
            <w:r>
              <w:rPr/>
              <w:t> </w:t>
            </w:r>
          </w:p>
        </w:tc>
      </w:tr>
      <w:tr>
        <w:trPr/>
        <w:tc>
          <w:tcPr>
            <w:tcW w:w="5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1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7</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Condition 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CSC Delaware Trust Company</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251 Little Falls Drive, Wilmington, Delaware 19808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close of business June 30, 2026, filed in accordance with 5 Del. Laws, c.9, §904</w:t>
      </w:r>
    </w:p>
    <w:p>
      <w:pPr>
        <w:pStyle w:val="TextBody"/>
        <w:bidi w:val="0"/>
        <w:spacing w:before="0" w:after="0"/>
        <w:ind w:left="0" w:right="0" w:hanging="0"/>
        <w:jc w:val="left"/>
        <w:rPr>
          <w:caps w:val="false"/>
          <w:smallCaps w:val="false"/>
        </w:rPr>
      </w:pPr>
      <w:r>
        <w:rPr>
          <w:caps w:val="false"/>
          <w:smallCaps w:val="false"/>
        </w:rPr>
        <w:t> </w:t>
      </w:r>
    </w:p>
    <w:tbl>
      <w:tblPr>
        <w:tblW w:w="7209" w:type="dxa"/>
        <w:jc w:val="left"/>
        <w:tblInd w:w="0" w:type="dxa"/>
        <w:tblLayout w:type="fixed"/>
        <w:tblCellMar>
          <w:top w:w="0" w:type="dxa"/>
          <w:left w:w="0" w:type="dxa"/>
          <w:bottom w:w="0" w:type="dxa"/>
          <w:right w:w="0" w:type="dxa"/>
        </w:tblCellMar>
      </w:tblPr>
      <w:tblGrid>
        <w:gridCol w:w="5765"/>
        <w:gridCol w:w="60"/>
        <w:gridCol w:w="104"/>
        <w:gridCol w:w="1205"/>
        <w:gridCol w:w="75"/>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sz w:val="20"/>
              </w:rPr>
            </w:pPr>
            <w:r>
              <w:rPr>
                <w:sz w:val="20"/>
              </w:rPr>
              <w:t>Dollar Amounts</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In Thousands</w:t>
            </w:r>
          </w:p>
        </w:tc>
        <w:tc>
          <w:tcPr>
            <w:tcW w:w="75"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ASSETS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Cash and balances due from depository institutions: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Noninterest-bearing balances and currency and coin</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Interest-bearing balances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3,933</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Securities: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Held-to-maturity securities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Available-for-sale securities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Federal funds sold and securities purchased under agreements to resell:</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Federal funds sold in domestic offices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Securities purchased under agreements to resell</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Loans and lease financing receivables: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Loans and leases held for sale</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Loans and leases, net of unearned income</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LESS: Allowance for loan and lease losses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Loans and leases, net of unearned income and allowance</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0</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Trading Assets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Premises and fixed assets (including capitalized leases)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116</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Other real estate owned</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Investments in unconsolidated subsidiaries and associated companies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Direct and indirect investments in real estate ventures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Goodwill</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Other intangible assets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856</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Other assets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113,954</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Total assets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118,859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644" w:type="dxa"/>
        <w:jc w:val="left"/>
        <w:tblInd w:w="0" w:type="dxa"/>
        <w:tblLayout w:type="fixed"/>
        <w:tblCellMar>
          <w:top w:w="0" w:type="dxa"/>
          <w:left w:w="0" w:type="dxa"/>
          <w:bottom w:w="0" w:type="dxa"/>
          <w:right w:w="0" w:type="dxa"/>
        </w:tblCellMar>
      </w:tblPr>
      <w:tblGrid>
        <w:gridCol w:w="6200"/>
        <w:gridCol w:w="60"/>
        <w:gridCol w:w="104"/>
        <w:gridCol w:w="1205"/>
        <w:gridCol w:w="75"/>
      </w:tblGrid>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sz w:val="20"/>
              </w:rPr>
            </w:pPr>
            <w:r>
              <w:rPr>
                <w:sz w:val="20"/>
              </w:rPr>
              <w:t>Dollar Amounts</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In Thousands</w:t>
            </w:r>
          </w:p>
        </w:tc>
        <w:tc>
          <w:tcPr>
            <w:tcW w:w="75" w:type="dxa"/>
            <w:tcBorders/>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LIABILITIES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Deposits: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In domestic offices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Noninterest-bearing</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Interest-bearing</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In foreign offices, Edge and Agreement subsidiaries, and IBFs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Noninterest-bearing</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Interest-bearing</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Federal funds purchased and securities sold under agreements to repurchase:</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Federal funds purchased in domestic offices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Securities sold under agreements to repurchase</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Trading liabilities</w:t>
            </w:r>
          </w:p>
        </w:tc>
        <w:tc>
          <w:tcPr>
            <w:tcW w:w="60" w:type="dxa"/>
            <w:tcBorders/>
            <w:shd w:fill="FFFFFF" w:val="clear"/>
            <w:vAlign w:val="center"/>
          </w:tcPr>
          <w:p>
            <w:pPr>
              <w:pStyle w:val="TableContents"/>
              <w:bidi w:val="0"/>
              <w:spacing w:before="0" w:after="283"/>
              <w:jc w:val="left"/>
              <w:rPr/>
            </w:pPr>
            <w:r>
              <w:rPr/>
              <w:t> </w:t>
            </w:r>
          </w:p>
        </w:tc>
        <w:tc>
          <w:tcPr>
            <w:tcW w:w="1309" w:type="dxa"/>
            <w:gridSpan w:val="2"/>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Other borrowed money</w:t>
            </w:r>
          </w:p>
        </w:tc>
        <w:tc>
          <w:tcPr>
            <w:tcW w:w="60" w:type="dxa"/>
            <w:tcBorders/>
            <w:shd w:fill="CCEEFF" w:val="clear"/>
            <w:vAlign w:val="center"/>
          </w:tcPr>
          <w:p>
            <w:pPr>
              <w:pStyle w:val="TableContents"/>
              <w:bidi w:val="0"/>
              <w:spacing w:before="0" w:after="283"/>
              <w:jc w:val="left"/>
              <w:rPr/>
            </w:pPr>
            <w:r>
              <w:rPr/>
              <w:t> </w:t>
            </w:r>
          </w:p>
        </w:tc>
        <w:tc>
          <w:tcPr>
            <w:tcW w:w="1309"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(includes mortgage indebtedness and obligations under capitalized leases)</w:t>
            </w:r>
          </w:p>
        </w:tc>
        <w:tc>
          <w:tcPr>
            <w:tcW w:w="60" w:type="dxa"/>
            <w:tcBorders/>
            <w:shd w:fill="FFFFFF" w:val="clear"/>
            <w:vAlign w:val="center"/>
          </w:tcPr>
          <w:p>
            <w:pPr>
              <w:pStyle w:val="TableContents"/>
              <w:bidi w:val="0"/>
              <w:spacing w:before="0" w:after="283"/>
              <w:jc w:val="left"/>
              <w:rPr/>
            </w:pPr>
            <w:r>
              <w:rPr/>
              <w:t> </w:t>
            </w:r>
          </w:p>
        </w:tc>
        <w:tc>
          <w:tcPr>
            <w:tcW w:w="1309" w:type="dxa"/>
            <w:gridSpan w:val="2"/>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Subordinated notes and debentures</w:t>
            </w:r>
          </w:p>
        </w:tc>
        <w:tc>
          <w:tcPr>
            <w:tcW w:w="60" w:type="dxa"/>
            <w:tcBorders/>
            <w:shd w:fill="CCEEFF" w:val="clear"/>
            <w:vAlign w:val="center"/>
          </w:tcPr>
          <w:p>
            <w:pPr>
              <w:pStyle w:val="TableContents"/>
              <w:bidi w:val="0"/>
              <w:spacing w:before="0" w:after="283"/>
              <w:jc w:val="left"/>
              <w:rPr/>
            </w:pPr>
            <w:r>
              <w:rPr/>
              <w:t> </w:t>
            </w:r>
          </w:p>
        </w:tc>
        <w:tc>
          <w:tcPr>
            <w:tcW w:w="1309"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right"/>
              <w:rPr/>
            </w:pPr>
            <w:r>
              <w:rPr/>
              <w:t> </w:t>
            </w:r>
          </w:p>
        </w:tc>
        <w:tc>
          <w:tcPr>
            <w:tcW w:w="1205" w:type="dxa"/>
            <w:tcBorders/>
            <w:shd w:fill="FFFFFF" w:val="clear"/>
            <w:vAlign w:val="center"/>
          </w:tcPr>
          <w:p>
            <w:pPr>
              <w:pStyle w:val="TableContents"/>
              <w:bidi w:val="0"/>
              <w:spacing w:before="0" w:after="283"/>
              <w:jc w:val="right"/>
              <w:rPr>
                <w:sz w:val="20"/>
              </w:rPr>
            </w:pPr>
            <w:r>
              <w:rPr>
                <w:sz w:val="20"/>
              </w:rPr>
              <w:t>7,620</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7,620</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EQUITY CAPITAL</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Perpetual preferred stock and related surplus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Common stock</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500</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Surplus (exclude all surplus related to preferred stock)</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106,128</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4,611</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Other equity capital components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Total bank equity capital</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111,239</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Noncontrolling (minority) interests in consolidated subsidiaries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Total equity capital</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111,239</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Total liabilities, and equity capital</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118,859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EJ Dealy, Chief Financial Officer of the above-named State Non-Depository Trust Company, do hereby declare that this Report of Condition has been prepared in conformance with the instructions issued by the appropriate State regulatory authority and is true to the best of my knowledge and belief.</w:t>
      </w:r>
    </w:p>
    <w:p>
      <w:pPr>
        <w:pStyle w:val="TextBody"/>
        <w:bidi w:val="0"/>
        <w:spacing w:before="0" w:after="0"/>
        <w:ind w:left="0" w:right="0" w:hanging="0"/>
        <w:jc w:val="left"/>
        <w:rPr>
          <w:caps w:val="false"/>
          <w:smallCaps w:val="false"/>
        </w:rPr>
      </w:pPr>
      <w:r>
        <w:rPr>
          <w:caps w:val="false"/>
          <w:smallCaps w:val="false"/>
        </w:rPr>
        <w:t> </w:t>
      </w:r>
    </w:p>
    <w:tbl>
      <w:tblPr>
        <w:tblW w:w="2360" w:type="dxa"/>
        <w:jc w:val="left"/>
        <w:tblInd w:w="0" w:type="dxa"/>
        <w:tblLayout w:type="fixed"/>
        <w:tblCellMar>
          <w:top w:w="0" w:type="dxa"/>
          <w:left w:w="0" w:type="dxa"/>
          <w:bottom w:w="28" w:type="dxa"/>
          <w:right w:w="0" w:type="dxa"/>
        </w:tblCellMar>
      </w:tblPr>
      <w:tblGrid>
        <w:gridCol w:w="2225"/>
        <w:gridCol w:w="60"/>
        <w:gridCol w:w="75"/>
      </w:tblGrid>
      <w:tr>
        <w:trPr/>
        <w:tc>
          <w:tcPr>
            <w:tcW w:w="2225" w:type="dxa"/>
            <w:tcBorders>
              <w:bottom w:val="single" w:sz="8" w:space="0" w:color="000000"/>
            </w:tcBorders>
            <w:vAlign w:val="center"/>
          </w:tcPr>
          <w:p>
            <w:pPr>
              <w:pStyle w:val="TableContents"/>
              <w:bidi w:val="0"/>
              <w:spacing w:before="0" w:after="283"/>
              <w:jc w:val="left"/>
              <w:rPr/>
            </w:pPr>
            <w:r>
              <w:rPr/>
              <w:t>/s/ EJ Dealy</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225" w:type="dxa"/>
            <w:tcBorders/>
            <w:tcMar>
              <w:bottom w:w="0" w:type="dxa"/>
            </w:tcMar>
            <w:vAlign w:val="center"/>
          </w:tcPr>
          <w:p>
            <w:pPr>
              <w:pStyle w:val="TableContents"/>
              <w:bidi w:val="0"/>
              <w:spacing w:before="0" w:after="283"/>
              <w:jc w:val="left"/>
              <w:rPr/>
            </w:pPr>
            <w:r>
              <w:rPr/>
              <w:t>EJ Dealy</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225" w:type="dxa"/>
            <w:tcBorders/>
            <w:tcMar>
              <w:bottom w:w="0" w:type="dxa"/>
            </w:tcMar>
            <w:vAlign w:val="center"/>
          </w:tcPr>
          <w:p>
            <w:pPr>
              <w:pStyle w:val="TableContents"/>
              <w:bidi w:val="0"/>
              <w:spacing w:before="0" w:after="283"/>
              <w:jc w:val="left"/>
              <w:rPr/>
            </w:pPr>
            <w:r>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directors, attest to the correctness of this Report of Condition and declare that it has been examined by us and to the best of our knowledge and belief has been prepared in conformance with the instructions issued by the appropriate State regulatory authority and is true and correct.</w:t>
      </w:r>
    </w:p>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28" w:type="dxa"/>
          <w:right w:w="0" w:type="dxa"/>
        </w:tblCellMar>
      </w:tblPr>
      <w:tblGrid>
        <w:gridCol w:w="1730"/>
        <w:gridCol w:w="60"/>
        <w:gridCol w:w="1490"/>
      </w:tblGrid>
      <w:tr>
        <w:trPr/>
        <w:tc>
          <w:tcPr>
            <w:tcW w:w="1730" w:type="dxa"/>
            <w:tcBorders>
              <w:bottom w:val="single" w:sz="8" w:space="0" w:color="000000"/>
            </w:tcBorders>
            <w:vAlign w:val="center"/>
          </w:tcPr>
          <w:p>
            <w:pPr>
              <w:pStyle w:val="TableContents"/>
              <w:bidi w:val="0"/>
              <w:spacing w:before="0" w:after="283"/>
              <w:jc w:val="left"/>
              <w:rPr/>
            </w:pPr>
            <w:r>
              <w:rPr/>
              <w:t>/s/ Rodman Ward</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left"/>
              <w:rPr/>
            </w:pPr>
            <w:r>
              <w:rPr/>
              <w:t>/s/ John Hebert</w:t>
            </w:r>
          </w:p>
        </w:tc>
      </w:tr>
      <w:tr>
        <w:trPr/>
        <w:tc>
          <w:tcPr>
            <w:tcW w:w="1730" w:type="dxa"/>
            <w:tcBorders/>
            <w:tcMar>
              <w:bottom w:w="0" w:type="dxa"/>
            </w:tcMar>
            <w:vAlign w:val="center"/>
          </w:tcPr>
          <w:p>
            <w:pPr>
              <w:pStyle w:val="TableContents"/>
              <w:bidi w:val="0"/>
              <w:spacing w:before="0" w:after="283"/>
              <w:jc w:val="left"/>
              <w:rPr/>
            </w:pPr>
            <w:r>
              <w:rPr/>
              <w:t>     </w:t>
            </w:r>
            <w:r>
              <w:rPr/>
              <w:t>Rodman Ward</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pPr>
            <w:r>
              <w:rPr/>
              <w:t>     </w:t>
            </w:r>
            <w:r>
              <w:rPr/>
              <w:t>John Hebert</w:t>
            </w:r>
          </w:p>
        </w:tc>
      </w:tr>
    </w:tbl>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6" w:name="tm2622208d1_ex-filingfees.htm"/>
      <w:bookmarkStart w:id="27" w:name="kstm2622208d1_exfilingfees"/>
      <w:bookmarkStart w:id="28" w:name="tm2622208d1_ex-filingfees.htm"/>
      <w:bookmarkStart w:id="29" w:name="kstm2622208d1_exfilingfees"/>
      <w:bookmarkEnd w:id="28"/>
      <w:bookmarkEnd w:id="29"/>
      <w:r>
        <w:br w:type="page"/>
      </w:r>
    </w:p>
    <w:tbl>
      <w:tblPr>
        <w:tblW w:w="3573" w:type="dxa"/>
        <w:jc w:val="left"/>
        <w:tblInd w:w="0" w:type="dxa"/>
        <w:tblLayout w:type="fixed"/>
        <w:tblCellMar>
          <w:top w:w="28" w:type="dxa"/>
          <w:left w:w="28" w:type="dxa"/>
          <w:bottom w:w="28" w:type="dxa"/>
          <w:right w:w="28" w:type="dxa"/>
        </w:tblCellMar>
      </w:tblPr>
      <w:tblGrid>
        <w:gridCol w:w="3419"/>
        <w:gridCol w:w="154"/>
      </w:tblGrid>
      <w:tr>
        <w:trPr/>
        <w:tc>
          <w:tcPr>
            <w:tcW w:w="357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9"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9" w:type="dxa"/>
            <w:tcBorders/>
            <w:vAlign w:val="center"/>
          </w:tcPr>
          <w:p>
            <w:pPr>
              <w:pStyle w:val="TableContents"/>
              <w:bidi w:val="0"/>
              <w:spacing w:before="0" w:after="283"/>
              <w:jc w:val="left"/>
              <w:rPr>
                <w:b/>
              </w:rPr>
            </w:pPr>
            <w:r>
              <w:rPr>
                <w:b/>
              </w:rPr>
              <w:t xml:space="preserve">Clearway Energy,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2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2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Class C Common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99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Preferred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2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30" w:name="MaxAggtOfferingPrice"/>
            <w:bookmarkEnd w:id="30"/>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1" w:name="TotalFeeAmt"/>
            <w:bookmarkEnd w:id="3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 w:name="TotalPreviouslyPaid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3" w:name="TotalOffsetAmt"/>
            <w:bookmarkEnd w:id="3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NetFee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7"/>
        <w:gridCol w:w="870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The Registrant is deferring payment of the registration fee pursuant to Rule 456(b) under the Securities Act of 1933, as amended (the "Securities Act") and is omitting this information in reliance on Rule 456(b) and Rule 457(r) under the Securities Act. An unspecified aggregate initial offering price, principal amount or number of securities of each identified class is being registered as may from time to time be issued at unspecified prices or upon conversion of, or in exchange for, or upon exercise of securities registered hereunder to the extent any such securities are, by their terms, convertible into, or exchangeable or exercisable for, such securities. Separate consideration may or may not be received for securities that are issuable upon conversion of, or in exchange for, or upon exercise of, convertible or exchangeable securities.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3" w:type="dxa"/>
            <w:gridSpan w:val="2"/>
            <w:tcBorders/>
            <w:vAlign w:val="center"/>
          </w:tcPr>
          <w:p>
            <w:pPr>
              <w:pStyle w:val="TableContents"/>
              <w:bidi w:val="0"/>
              <w:spacing w:before="0" w:after="283"/>
              <w:jc w:val="left"/>
              <w:rPr/>
            </w:pPr>
            <w:r>
              <w:rPr/>
              <w:t xml:space="preserve">See Note 1.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3" w:type="dxa"/>
            <w:gridSpan w:val="2"/>
            <w:tcBorders/>
            <w:vAlign w:val="center"/>
          </w:tcPr>
          <w:p>
            <w:pPr>
              <w:pStyle w:val="TableContents"/>
              <w:bidi w:val="0"/>
              <w:spacing w:before="0" w:after="283"/>
              <w:jc w:val="left"/>
              <w:rPr/>
            </w:pPr>
            <w:r>
              <w:rPr/>
              <w:t xml:space="preserve">See Note 1.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67683/000162828026010952/cwen-20251231.htm" TargetMode="External"/><Relationship Id="rId4" Type="http://schemas.openxmlformats.org/officeDocument/2006/relationships/hyperlink" Target="https://www.sec.gov/ix?doc=/Archives/edgar/data/1567683/000162828026010952/cwen-20251231.htm" TargetMode="External"/><Relationship Id="rId5" Type="http://schemas.openxmlformats.org/officeDocument/2006/relationships/hyperlink" Target="https://www.sec.gov/ix?doc=/Archives/edgar/data/1567683/000110465926033918/tm261444-3_def14a.htm" TargetMode="External"/><Relationship Id="rId6" Type="http://schemas.openxmlformats.org/officeDocument/2006/relationships/hyperlink" Target="https://www.sec.gov/ix?doc=/Archives/edgar/data/1567683/000162828026032385/cwen-20260331.htm" TargetMode="External"/><Relationship Id="rId7" Type="http://schemas.openxmlformats.org/officeDocument/2006/relationships/hyperlink" Target="https://www.sec.gov/ix?doc=/Archives/edgar/data/1567683/000162828026053421/cwen-20260630.htm" TargetMode="External"/><Relationship Id="rId8" Type="http://schemas.openxmlformats.org/officeDocument/2006/relationships/hyperlink" Target="https://www.sec.gov/ix?doc=/Archives/edgar/data/1567683/000110465926001542/tm262339d1_8k.htm" TargetMode="External"/><Relationship Id="rId9" Type="http://schemas.openxmlformats.org/officeDocument/2006/relationships/hyperlink" Target="https://www.sec.gov/ix?doc=/Archives/edgar/data/1567683/000110465926002190/tm262608d1_8k.htm" TargetMode="External"/><Relationship Id="rId10" Type="http://schemas.openxmlformats.org/officeDocument/2006/relationships/hyperlink" Target="https://www.sec.gov/ix?doc=/Archives/edgar/data/1567683/000110465926003322/tm262986d1_8k.htm" TargetMode="External"/><Relationship Id="rId11" Type="http://schemas.openxmlformats.org/officeDocument/2006/relationships/hyperlink" Target="https://www.sec.gov/ix?doc=/Archives/edgar/data/1567683/000110465926025318/tm268314d1_8k.htm" TargetMode="External"/><Relationship Id="rId12" Type="http://schemas.openxmlformats.org/officeDocument/2006/relationships/hyperlink" Target="https://www.sec.gov/ix?doc=/Archives/edgar/data/1567683/000110465926038738/tm2610634d1_8k.htm" TargetMode="External"/><Relationship Id="rId13" Type="http://schemas.openxmlformats.org/officeDocument/2006/relationships/hyperlink" Target="https://www.sec.gov/ix?doc=/Archives/edgar/data/1567683/000110465926053557/tm2613249d1_8k.htm" TargetMode="External"/><Relationship Id="rId14" Type="http://schemas.openxmlformats.org/officeDocument/2006/relationships/hyperlink" Target="https://www.sec.gov/ix?doc=/Archives/edgar/data/1567683/000110465926061748/tm2614750d1_8k.htm" TargetMode="External"/><Relationship Id="rId15" Type="http://schemas.openxmlformats.org/officeDocument/2006/relationships/hyperlink" Target="https://www.sec.gov/Archives/edgar/data/1567683/000110465926051683/tm2612967d1_8a12ba.htm" TargetMode="External"/><Relationship Id="rId16" Type="http://schemas.openxmlformats.org/officeDocument/2006/relationships/hyperlink" Target="https://www.sec.gov/Archives/edgar/data/1567683/000110465926053557/tm2613249d1_ex3-3.htm" TargetMode="External"/><Relationship Id="rId17" Type="http://schemas.openxmlformats.org/officeDocument/2006/relationships/hyperlink" Target="https://www.sec.gov/Archives/edgar/data/1567683/000156768319000014/exhibit_2.htm" TargetMode="External"/><Relationship Id="rId18" Type="http://schemas.openxmlformats.org/officeDocument/2006/relationships/image" Target="media/image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41986</Words>
  <Characters>216871</Characters>
  <CharactersWithSpaces>262495</CharactersWithSpaces>
  <Paragraphs>3755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