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200025</wp:posOffset>
            </wp:positionH>
            <wp:positionV relativeFrom="page">
              <wp:posOffset>574040</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540385</wp:posOffset>
            </wp:positionV>
            <wp:extent cx="7148195"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13335"/>
                    </a:xfrm>
                    <a:prstGeom prst="rect">
                      <a:avLst/>
                    </a:prstGeom>
                    <a:noFill/>
                  </pic:spPr>
                </pic:pic>
              </a:graphicData>
            </a:graphic>
          </wp:anchor>
        </w:drawing>
        <w:t>UNITED STATES SECURITIES AND EXCHANGE COMMISSION</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63" w:lineRule="exact"/>
        <w:rPr>
          <w:sz w:val="24"/>
          <w:szCs w:val="24"/>
          <w:color w:val="auto"/>
        </w:rPr>
      </w:pPr>
    </w:p>
    <w:p>
      <w:pPr>
        <w:ind w:left="620" w:hanging="355"/>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2024</w:t>
      </w:r>
    </w:p>
    <w:p>
      <w:pPr>
        <w:spacing w:after="0" w:line="30" w:lineRule="exact"/>
        <w:rPr>
          <w:sz w:val="24"/>
          <w:szCs w:val="24"/>
          <w:color w:val="auto"/>
        </w:rPr>
      </w:pPr>
    </w:p>
    <w:p>
      <w:pPr>
        <w:ind w:left="780" w:hanging="335"/>
        <w:spacing w:after="0"/>
        <w:tabs>
          <w:tab w:leader="none" w:pos="7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333-203369</w:t>
      </w:r>
    </w:p>
    <w:p>
      <w:pPr>
        <w:spacing w:after="0" w:line="1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Clearway Energy LLC</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80"/>
          </w:cols>
          <w:pgMar w:left="300" w:top="1136" w:right="319" w:bottom="1440" w:gutter="0" w:footer="0" w:header="0"/>
        </w:sectPr>
      </w:pPr>
    </w:p>
    <w:p>
      <w:pPr>
        <w:spacing w:after="0" w:line="23"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32-0407370</w:t>
      </w:r>
    </w:p>
    <w:p>
      <w:pPr>
        <w:spacing w:after="0" w:line="25" w:lineRule="exact"/>
        <w:rPr>
          <w:sz w:val="24"/>
          <w:szCs w:val="24"/>
          <w:color w:val="auto"/>
        </w:rPr>
      </w:pPr>
    </w:p>
    <w:p>
      <w:pPr>
        <w:sectPr>
          <w:pgSz w:w="11900" w:h="16838" w:orient="portrait"/>
          <w:cols w:equalWidth="0" w:num="2">
            <w:col w:w="8120" w:space="720"/>
            <w:col w:w="2440"/>
          </w:cols>
          <w:pgMar w:left="300" w:top="1136" w:right="319" w:bottom="1440" w:gutter="0" w:footer="0" w:header="0"/>
          <w:type w:val="continuous"/>
        </w:sectPr>
      </w:pPr>
    </w:p>
    <w:p>
      <w:pPr>
        <w:jc w:val="center"/>
        <w:ind w:right="4180"/>
        <w:spacing w:after="0"/>
        <w:rPr>
          <w:sz w:val="20"/>
          <w:szCs w:val="20"/>
          <w:color w:val="auto"/>
        </w:rPr>
      </w:pPr>
      <w:r>
        <w:rPr>
          <w:rFonts w:ascii="Times New Roman" w:cs="Times New Roman" w:eastAsia="Times New Roman" w:hAnsi="Times New Roman"/>
          <w:sz w:val="14"/>
          <w:szCs w:val="14"/>
          <w:color w:val="auto"/>
        </w:rPr>
        <w:t>(State or other jurisdiction</w:t>
      </w:r>
    </w:p>
    <w:p>
      <w:pPr>
        <w:jc w:val="center"/>
        <w:ind w:right="4180"/>
        <w:spacing w:after="0"/>
        <w:rPr>
          <w:sz w:val="20"/>
          <w:szCs w:val="20"/>
          <w:color w:val="auto"/>
        </w:rPr>
      </w:pPr>
      <w:r>
        <w:rPr>
          <w:rFonts w:ascii="Times New Roman" w:cs="Times New Roman" w:eastAsia="Times New Roman" w:hAnsi="Times New Roman"/>
          <w:sz w:val="14"/>
          <w:szCs w:val="14"/>
          <w:color w:val="auto"/>
        </w:rPr>
        <w:t>of 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color w:val="auto"/>
        </w:rPr>
        <w:t>(I.R.S. Employer</w:t>
      </w:r>
    </w:p>
    <w:p>
      <w:pPr>
        <w:spacing w:after="0"/>
        <w:rPr>
          <w:sz w:val="20"/>
          <w:szCs w:val="20"/>
          <w:color w:val="auto"/>
        </w:rPr>
      </w:pPr>
      <w:r>
        <w:rPr>
          <w:rFonts w:ascii="Times New Roman" w:cs="Times New Roman" w:eastAsia="Times New Roman" w:hAnsi="Times New Roman"/>
          <w:sz w:val="13"/>
          <w:szCs w:val="13"/>
          <w:color w:val="auto"/>
        </w:rPr>
        <w:t>Identification No.)</w:t>
      </w:r>
    </w:p>
    <w:p>
      <w:pPr>
        <w:spacing w:after="0" w:line="55" w:lineRule="exact"/>
        <w:rPr>
          <w:sz w:val="24"/>
          <w:szCs w:val="24"/>
          <w:color w:val="auto"/>
        </w:rPr>
      </w:pPr>
    </w:p>
    <w:p>
      <w:pPr>
        <w:sectPr>
          <w:pgSz w:w="11900" w:h="16838" w:orient="portrait"/>
          <w:cols w:equalWidth="0" w:num="2">
            <w:col w:w="7940" w:space="720"/>
            <w:col w:w="2620"/>
          </w:cols>
          <w:pgMar w:left="300" w:top="1136" w:right="319" w:bottom="1440" w:gutter="0" w:footer="0" w:header="0"/>
          <w:type w:val="continuous"/>
        </w:sectPr>
      </w:pPr>
    </w:p>
    <w:p>
      <w:pPr>
        <w:ind w:left="940"/>
        <w:spacing w:after="0"/>
        <w:rPr>
          <w:sz w:val="20"/>
          <w:szCs w:val="20"/>
          <w:color w:val="auto"/>
        </w:rPr>
      </w:pPr>
      <w:r>
        <w:rPr>
          <w:rFonts w:ascii="Times New Roman" w:cs="Times New Roman" w:eastAsia="Times New Roman" w:hAnsi="Times New Roman"/>
          <w:sz w:val="14"/>
          <w:szCs w:val="14"/>
          <w:b w:val="1"/>
          <w:bCs w:val="1"/>
          <w:color w:val="auto"/>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Princeton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New Jersey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08540</w:t>
      </w:r>
    </w:p>
    <w:p>
      <w:pPr>
        <w:spacing w:after="0" w:line="25" w:lineRule="exact"/>
        <w:rPr>
          <w:sz w:val="24"/>
          <w:szCs w:val="24"/>
          <w:color w:val="auto"/>
        </w:rPr>
      </w:pPr>
    </w:p>
    <w:p>
      <w:pPr>
        <w:sectPr>
          <w:pgSz w:w="11900" w:h="16838" w:orient="portrait"/>
          <w:cols w:equalWidth="0" w:num="4">
            <w:col w:w="3560" w:space="720"/>
            <w:col w:w="960" w:space="720"/>
            <w:col w:w="2320" w:space="720"/>
            <w:col w:w="2280"/>
          </w:cols>
          <w:pgMar w:left="300" w:top="1136" w:right="319" w:bottom="1440" w:gutter="0" w:footer="0" w:header="0"/>
          <w:type w:val="continuous"/>
        </w:sectPr>
      </w:pPr>
    </w:p>
    <w:p>
      <w:pPr>
        <w:ind w:left="248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200" w:lineRule="exact"/>
        <w:rPr>
          <w:sz w:val="24"/>
          <w:szCs w:val="24"/>
          <w:color w:val="auto"/>
        </w:rPr>
      </w:pPr>
    </w:p>
    <w:p>
      <w:pPr>
        <w:sectPr>
          <w:pgSz w:w="11900" w:h="16838" w:orient="portrait"/>
          <w:cols w:equalWidth="0" w:num="2">
            <w:col w:w="8160" w:space="720"/>
            <w:col w:w="2400"/>
          </w:cols>
          <w:pgMar w:left="300" w:top="1136" w:right="319" w:bottom="1440" w:gutter="0" w:footer="0" w:header="0"/>
          <w:type w:val="continuous"/>
        </w:sectPr>
      </w:pP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(609) 608-1525</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 None.</w:t>
      </w:r>
    </w:p>
    <w:p>
      <w:pPr>
        <w:spacing w:after="0" w:line="87" w:lineRule="exact"/>
        <w:rPr>
          <w:sz w:val="24"/>
          <w:szCs w:val="24"/>
          <w:color w:val="auto"/>
        </w:rPr>
      </w:pPr>
    </w:p>
    <w:p>
      <w:pPr>
        <w:ind w:firstLine="223"/>
        <w:spacing w:after="0" w:line="235" w:lineRule="auto"/>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5" w:lineRule="exact"/>
        <w:rPr>
          <w:sz w:val="24"/>
          <w:szCs w:val="24"/>
          <w:color w:val="auto"/>
        </w:rPr>
      </w:pPr>
    </w:p>
    <w:p>
      <w:pPr>
        <w:jc w:val="center"/>
        <w:ind w:right="-239"/>
        <w:spacing w:after="0"/>
        <w:tabs>
          <w:tab w:leader="none" w:pos="140" w:val="left"/>
        </w:tabs>
        <w:rPr>
          <w:sz w:val="20"/>
          <w:szCs w:val="20"/>
          <w:color w:val="auto"/>
        </w:rPr>
      </w:pPr>
      <w:r>
        <w:rPr>
          <w:rFonts w:ascii="Times New Roman" w:cs="Times New Roman" w:eastAsia="Times New Roman" w:hAnsi="Times New Roman"/>
          <w:sz w:val="13"/>
          <w:szCs w:val="13"/>
          <w:b w:val="1"/>
          <w:bCs w:val="1"/>
          <w:color w:val="auto"/>
        </w:rPr>
        <w:t xml:space="preserve">Yes </w:t>
      </w:r>
      <w:r>
        <w:rPr>
          <w:rFonts w:ascii="Wingdings" w:cs="Wingdings" w:eastAsia="Wingdings" w:hAnsi="Wingdings"/>
          <w:sz w:val="13"/>
          <w:szCs w:val="13"/>
          <w:b w:val="1"/>
          <w:bCs w:val="1"/>
          <w:color w:val="auto"/>
        </w:rPr>
        <w:t>x</w:t>
      </w:r>
      <w:r>
        <w:rPr>
          <w:sz w:val="20"/>
          <w:szCs w:val="20"/>
          <w:color w:val="auto"/>
        </w:rPr>
        <w:tab/>
      </w:r>
      <w:r>
        <w:rPr>
          <w:rFonts w:ascii="Times New Roman" w:cs="Times New Roman" w:eastAsia="Times New Roman" w:hAnsi="Times New Roman"/>
          <w:sz w:val="12"/>
          <w:szCs w:val="12"/>
          <w:b w:val="1"/>
          <w:bCs w:val="1"/>
          <w:color w:val="auto"/>
        </w:rPr>
        <w:t xml:space="preserve">No </w:t>
      </w:r>
      <w:r>
        <w:rPr>
          <w:rFonts w:ascii="Wingdings" w:cs="Wingdings" w:eastAsia="Wingdings" w:hAnsi="Wingdings"/>
          <w:sz w:val="12"/>
          <w:szCs w:val="12"/>
          <w:b w:val="1"/>
          <w:bCs w:val="1"/>
          <w:color w:val="auto"/>
        </w:rPr>
        <w:t>o</w:t>
      </w:r>
    </w:p>
    <w:p>
      <w:pPr>
        <w:spacing w:after="0" w:line="65" w:lineRule="exact"/>
        <w:rPr>
          <w:sz w:val="24"/>
          <w:szCs w:val="24"/>
          <w:color w:val="auto"/>
        </w:rPr>
      </w:pPr>
    </w:p>
    <w:p>
      <w:pPr>
        <w:ind w:firstLine="223"/>
        <w:spacing w:after="0" w:line="235" w:lineRule="auto"/>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45" w:lineRule="exact"/>
        <w:rPr>
          <w:sz w:val="24"/>
          <w:szCs w:val="24"/>
          <w:color w:val="auto"/>
        </w:rPr>
      </w:pPr>
    </w:p>
    <w:p>
      <w:pPr>
        <w:jc w:val="center"/>
        <w:ind w:right="-239"/>
        <w:spacing w:after="0"/>
        <w:tabs>
          <w:tab w:leader="none" w:pos="180" w:val="left"/>
        </w:tabs>
        <w:rPr>
          <w:sz w:val="20"/>
          <w:szCs w:val="20"/>
          <w:color w:val="auto"/>
        </w:rPr>
      </w:pPr>
      <w:r>
        <w:rPr>
          <w:rFonts w:ascii="Times New Roman" w:cs="Times New Roman" w:eastAsia="Times New Roman" w:hAnsi="Times New Roman"/>
          <w:sz w:val="13"/>
          <w:szCs w:val="13"/>
          <w:b w:val="1"/>
          <w:bCs w:val="1"/>
          <w:color w:val="auto"/>
        </w:rPr>
        <w:t xml:space="preserve">Yes </w:t>
      </w:r>
      <w:r>
        <w:rPr>
          <w:rFonts w:ascii="Wingdings" w:cs="Wingdings" w:eastAsia="Wingdings" w:hAnsi="Wingdings"/>
          <w:sz w:val="13"/>
          <w:szCs w:val="13"/>
          <w:b w:val="1"/>
          <w:bCs w:val="1"/>
          <w:color w:val="auto"/>
        </w:rPr>
        <w:t>x</w:t>
      </w:r>
      <w:r>
        <w:rPr>
          <w:sz w:val="20"/>
          <w:szCs w:val="20"/>
          <w:color w:val="auto"/>
        </w:rPr>
        <w:tab/>
      </w:r>
      <w:r>
        <w:rPr>
          <w:rFonts w:ascii="Times New Roman" w:cs="Times New Roman" w:eastAsia="Times New Roman" w:hAnsi="Times New Roman"/>
          <w:sz w:val="12"/>
          <w:szCs w:val="12"/>
          <w:b w:val="1"/>
          <w:bCs w:val="1"/>
          <w:color w:val="auto"/>
        </w:rPr>
        <w:t xml:space="preserve">No </w:t>
      </w:r>
      <w:r>
        <w:rPr>
          <w:rFonts w:ascii="Wingdings" w:cs="Wingdings" w:eastAsia="Wingdings" w:hAnsi="Wingdings"/>
          <w:sz w:val="12"/>
          <w:szCs w:val="12"/>
          <w:b w:val="1"/>
          <w:bCs w:val="1"/>
          <w:color w:val="auto"/>
        </w:rPr>
        <w:t>o</w:t>
      </w:r>
    </w:p>
    <w:p>
      <w:pPr>
        <w:spacing w:after="0" w:line="65" w:lineRule="exact"/>
        <w:rPr>
          <w:sz w:val="24"/>
          <w:szCs w:val="24"/>
          <w:color w:val="auto"/>
        </w:rPr>
      </w:pPr>
    </w:p>
    <w:p>
      <w:pPr>
        <w:ind w:firstLine="223"/>
        <w:spacing w:after="0" w:line="235"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1300" w:type="dxa"/>
        <w:tblCellMar>
          <w:top w:w="0" w:type="dxa"/>
          <w:left w:w="0" w:type="dxa"/>
          <w:bottom w:w="0" w:type="dxa"/>
          <w:right w:w="0" w:type="dxa"/>
        </w:tblCellMar>
      </w:tblPr>
      <w:tr>
        <w:trPr>
          <w:trHeight w:val="202"/>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620" w:type="dxa"/>
            <w:vAlign w:val="bottom"/>
          </w:tcPr>
          <w:p>
            <w:pPr>
              <w:ind w:left="860"/>
              <w:spacing w:after="0" w:line="141" w:lineRule="exact"/>
              <w:rPr>
                <w:sz w:val="20"/>
                <w:szCs w:val="20"/>
                <w:color w:val="auto"/>
              </w:rPr>
            </w:pPr>
            <w:r>
              <w:rPr>
                <w:rFonts w:ascii="MS PGothic" w:cs="MS PGothic" w:eastAsia="MS PGothic" w:hAnsi="MS PGothic"/>
                <w:sz w:val="14"/>
                <w:szCs w:val="14"/>
                <w:color w:val="auto"/>
              </w:rPr>
              <w:t>☐</w:t>
            </w:r>
          </w:p>
        </w:tc>
        <w:tc>
          <w:tcPr>
            <w:tcW w:w="31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Accelerated filer</w:t>
            </w:r>
          </w:p>
        </w:tc>
        <w:tc>
          <w:tcPr>
            <w:tcW w:w="1100" w:type="dxa"/>
            <w:vAlign w:val="bottom"/>
          </w:tcPr>
          <w:p>
            <w:pPr>
              <w:ind w:left="9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2"/>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620" w:type="dxa"/>
            <w:vAlign w:val="bottom"/>
          </w:tcPr>
          <w:p>
            <w:pPr>
              <w:ind w:left="860"/>
              <w:spacing w:after="0" w:line="141" w:lineRule="exact"/>
              <w:rPr>
                <w:sz w:val="20"/>
                <w:szCs w:val="20"/>
                <w:color w:val="auto"/>
              </w:rPr>
            </w:pPr>
            <w:r>
              <w:rPr>
                <w:rFonts w:ascii="MS PGothic" w:cs="MS PGothic" w:eastAsia="MS PGothic" w:hAnsi="MS PGothic"/>
                <w:sz w:val="14"/>
                <w:szCs w:val="14"/>
                <w:color w:val="auto"/>
              </w:rPr>
              <w:t>☒</w:t>
            </w:r>
          </w:p>
        </w:tc>
        <w:tc>
          <w:tcPr>
            <w:tcW w:w="31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100" w:type="dxa"/>
            <w:vAlign w:val="bottom"/>
          </w:tcPr>
          <w:p>
            <w:pPr>
              <w:ind w:left="9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7"/>
        </w:trPr>
        <w:tc>
          <w:tcPr>
            <w:tcW w:w="2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1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100" w:type="dxa"/>
            <w:vAlign w:val="bottom"/>
          </w:tcPr>
          <w:p>
            <w:pPr>
              <w:ind w:left="9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06" w:lineRule="exact"/>
        <w:rPr>
          <w:sz w:val="24"/>
          <w:szCs w:val="24"/>
          <w:color w:val="auto"/>
        </w:rPr>
      </w:pPr>
    </w:p>
    <w:p>
      <w:pPr>
        <w:ind w:firstLine="255"/>
        <w:spacing w:after="0" w:line="235"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47"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r>
    </w:p>
    <w:p>
      <w:pPr>
        <w:spacing w:after="0" w:line="38" w:lineRule="exact"/>
        <w:rPr>
          <w:sz w:val="24"/>
          <w:szCs w:val="24"/>
          <w:color w:val="auto"/>
        </w:rPr>
      </w:pPr>
    </w:p>
    <w:p>
      <w:pPr>
        <w:ind w:left="5200"/>
        <w:spacing w:after="0" w:line="161" w:lineRule="exact"/>
        <w:tabs>
          <w:tab w:leader="none" w:pos="5740" w:val="left"/>
        </w:tabs>
        <w:rPr>
          <w:sz w:val="20"/>
          <w:szCs w:val="20"/>
          <w:color w:val="auto"/>
        </w:rPr>
      </w:pPr>
      <w:r>
        <w:rPr>
          <w:rFonts w:ascii="Times New Roman" w:cs="Times New Roman" w:eastAsia="Times New Roman" w:hAnsi="Times New Roman"/>
          <w:sz w:val="13"/>
          <w:szCs w:val="13"/>
          <w:b w:val="1"/>
          <w:bCs w:val="1"/>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2"/>
          <w:szCs w:val="12"/>
          <w:b w:val="1"/>
          <w:bCs w:val="1"/>
          <w:color w:val="auto"/>
        </w:rPr>
        <w:t xml:space="preserve">No </w:t>
      </w:r>
      <w:r>
        <w:rPr>
          <w:rFonts w:ascii="Wingdings" w:cs="Wingdings" w:eastAsia="Wingdings" w:hAnsi="Wingdings"/>
          <w:sz w:val="12"/>
          <w:szCs w:val="12"/>
          <w:b w:val="1"/>
          <w:bCs w:val="1"/>
          <w:color w:val="auto"/>
        </w:rPr>
        <w:t>x</w:t>
      </w:r>
    </w:p>
    <w:p>
      <w:pPr>
        <w:spacing w:after="0" w:line="118" w:lineRule="exact"/>
        <w:rPr>
          <w:sz w:val="24"/>
          <w:szCs w:val="24"/>
          <w:color w:val="auto"/>
        </w:rPr>
      </w:pPr>
    </w:p>
    <w:p>
      <w:pPr>
        <w:ind w:firstLine="223"/>
        <w:spacing w:after="0" w:line="235" w:lineRule="auto"/>
        <w:rPr>
          <w:sz w:val="20"/>
          <w:szCs w:val="20"/>
          <w:color w:val="auto"/>
        </w:rPr>
      </w:pPr>
      <w:r>
        <w:rPr>
          <w:rFonts w:ascii="Times New Roman" w:cs="Times New Roman" w:eastAsia="Times New Roman" w:hAnsi="Times New Roman"/>
          <w:sz w:val="13"/>
          <w:szCs w:val="13"/>
          <w:color w:val="auto"/>
        </w:rPr>
        <w:t>As of April 30, 2024, there were 34,613,853 Class A units outstanding, 42,738,750 Class B units outstanding, 82,454,344 Class C units outstanding, and 42,336,750 Class D units outstanding. There is no public market for the registrant's outstanding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683895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76835</wp:posOffset>
            </wp:positionV>
            <wp:extent cx="7148195"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3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56515</wp:posOffset>
            </wp:positionV>
            <wp:extent cx="71481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ectPr>
          <w:pgSz w:w="11900" w:h="16838" w:orient="portrait"/>
          <w:cols w:equalWidth="0" w:num="1">
            <w:col w:w="11280"/>
          </w:cols>
          <w:pgMar w:left="300" w:top="1136" w:right="31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Index</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gridSpan w:val="16"/>
          </w:tcPr>
          <w:p>
            <w:pPr>
              <w:spacing w:after="0"/>
              <w:rPr>
                <w:sz w:val="20"/>
                <w:szCs w:val="20"/>
                <w:color w:val="auto"/>
              </w:rPr>
            </w:pPr>
            <w:r>
              <w:rPr>
                <w:rFonts w:ascii="Times New Roman" w:cs="Times New Roman" w:eastAsia="Times New Roman" w:hAnsi="Times New Roman"/>
                <w:sz w:val="14"/>
                <w:szCs w:val="14"/>
                <w:b w:val="1"/>
                <w:bCs w:val="1"/>
                <w:color w:val="0000FF"/>
              </w:rPr>
              <w:t>CAUTIONARY STATEMENT REGARDING FORWARD LOOKING INFORMATION</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3</w:t>
            </w:r>
          </w:p>
        </w:tc>
      </w:tr>
      <w:tr>
        <w:trPr>
          <w:trHeight w:val="160"/>
        </w:trPr>
        <w:tc>
          <w:tcPr>
            <w:tcW w:w="15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b w:val="1"/>
                <w:bCs w:val="1"/>
                <w:color w:val="0000FF"/>
              </w:rPr>
              <w:t>GLOSSARY OF TERMS</w:t>
            </w:r>
          </w:p>
        </w:tc>
        <w:tc>
          <w:tcPr>
            <w:tcW w:w="3800" w:type="dxa"/>
            <w:vAlign w:val="bottom"/>
            <w:tcBorders>
              <w:top w:val="single" w:sz="8" w:color="0000FF"/>
            </w:tcBorders>
            <w:gridSpan w:val="9"/>
          </w:tcPr>
          <w:p>
            <w:pPr>
              <w:spacing w:after="0"/>
              <w:rPr>
                <w:sz w:val="13"/>
                <w:szCs w:val="13"/>
                <w:color w:val="auto"/>
              </w:rPr>
            </w:pPr>
          </w:p>
        </w:tc>
        <w:tc>
          <w:tcPr>
            <w:tcW w:w="2480" w:type="dxa"/>
            <w:vAlign w:val="bottom"/>
            <w:gridSpan w:val="2"/>
          </w:tcPr>
          <w:p>
            <w:pPr>
              <w:spacing w:after="0"/>
              <w:rPr>
                <w:sz w:val="13"/>
                <w:szCs w:val="13"/>
                <w:color w:val="auto"/>
              </w:rPr>
            </w:pPr>
          </w:p>
        </w:tc>
        <w:tc>
          <w:tcPr>
            <w:tcW w:w="3320" w:type="dxa"/>
            <w:vAlign w:val="bottom"/>
          </w:tcPr>
          <w:p>
            <w:pPr>
              <w:spacing w:after="0"/>
              <w:rPr>
                <w:sz w:val="13"/>
                <w:szCs w:val="13"/>
                <w:color w:val="auto"/>
              </w:rPr>
            </w:pPr>
          </w:p>
        </w:tc>
        <w:tc>
          <w:tcPr>
            <w:tcW w:w="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w:t>
            </w:r>
          </w:p>
        </w:tc>
      </w:tr>
      <w:tr>
        <w:trPr>
          <w:trHeight w:val="160"/>
        </w:trPr>
        <w:tc>
          <w:tcPr>
            <w:tcW w:w="7840" w:type="dxa"/>
            <w:vAlign w:val="bottom"/>
            <w:gridSpan w:val="16"/>
          </w:tcPr>
          <w:p>
            <w:pPr>
              <w:spacing w:after="0"/>
              <w:rPr>
                <w:sz w:val="20"/>
                <w:szCs w:val="20"/>
                <w:color w:val="auto"/>
              </w:rPr>
            </w:pPr>
            <w:r>
              <w:rPr>
                <w:rFonts w:ascii="Times New Roman" w:cs="Times New Roman" w:eastAsia="Times New Roman" w:hAnsi="Times New Roman"/>
                <w:sz w:val="14"/>
                <w:szCs w:val="14"/>
                <w:b w:val="1"/>
                <w:bCs w:val="1"/>
                <w:color w:val="0000FF"/>
              </w:rPr>
              <w:t>PART I — FINANCIAL INFORMATION</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6</w:t>
            </w:r>
          </w:p>
        </w:tc>
      </w:tr>
      <w:tr>
        <w:trPr>
          <w:trHeight w:val="20"/>
        </w:trPr>
        <w:tc>
          <w:tcPr>
            <w:tcW w:w="16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160" w:type="dxa"/>
            <w:vAlign w:val="bottom"/>
          </w:tcPr>
          <w:p>
            <w:pPr>
              <w:spacing w:after="0"/>
              <w:rPr>
                <w:sz w:val="13"/>
                <w:szCs w:val="13"/>
                <w:color w:val="auto"/>
              </w:rPr>
            </w:pPr>
          </w:p>
        </w:tc>
        <w:tc>
          <w:tcPr>
            <w:tcW w:w="32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w w:val="99"/>
              </w:rPr>
              <w:t>ITEM 1 — FINANCIAL STATEMENTS AND NOTES</w:t>
            </w:r>
          </w:p>
        </w:tc>
        <w:tc>
          <w:tcPr>
            <w:tcW w:w="4480" w:type="dxa"/>
            <w:vAlign w:val="bottom"/>
            <w:gridSpan w:val="3"/>
          </w:tcPr>
          <w:p>
            <w:pPr>
              <w:spacing w:after="0"/>
              <w:rPr>
                <w:sz w:val="13"/>
                <w:szCs w:val="13"/>
                <w:color w:val="auto"/>
              </w:rPr>
            </w:pPr>
          </w:p>
        </w:tc>
        <w:tc>
          <w:tcPr>
            <w:tcW w:w="3320" w:type="dxa"/>
            <w:vAlign w:val="bottom"/>
          </w:tcPr>
          <w:p>
            <w:pPr>
              <w:spacing w:after="0"/>
              <w:rPr>
                <w:sz w:val="13"/>
                <w:szCs w:val="13"/>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6</w:t>
            </w:r>
          </w:p>
        </w:tc>
      </w:tr>
      <w:tr>
        <w:trPr>
          <w:trHeight w:val="160"/>
        </w:trPr>
        <w:tc>
          <w:tcPr>
            <w:tcW w:w="160" w:type="dxa"/>
            <w:vAlign w:val="bottom"/>
          </w:tcPr>
          <w:p>
            <w:pPr>
              <w:spacing w:after="0"/>
              <w:rPr>
                <w:sz w:val="13"/>
                <w:szCs w:val="13"/>
                <w:color w:val="auto"/>
              </w:rPr>
            </w:pPr>
          </w:p>
        </w:tc>
        <w:tc>
          <w:tcPr>
            <w:tcW w:w="768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ITEM 2 — MANAGEMENT’S DISCUSSION AND ANALYSIS OF FINANCIAL CONDITION AND RESULTS OF OPERATIONS</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27</w:t>
            </w:r>
          </w:p>
        </w:tc>
      </w:tr>
      <w:tr>
        <w:trPr>
          <w:trHeight w:val="20"/>
        </w:trPr>
        <w:tc>
          <w:tcPr>
            <w:tcW w:w="16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2240" w:type="dxa"/>
            <w:vAlign w:val="bottom"/>
            <w:tcBorders>
              <w:left w:val="single" w:sz="8" w:color="0000FF"/>
            </w:tcBorders>
            <w:shd w:val="clear" w:color="auto" w:fill="0000FF"/>
          </w:tcPr>
          <w:p>
            <w:pPr>
              <w:spacing w:after="0" w:line="20" w:lineRule="exact"/>
              <w:rPr>
                <w:sz w:val="1"/>
                <w:szCs w:val="1"/>
                <w:color w:val="auto"/>
              </w:rPr>
            </w:pPr>
          </w:p>
        </w:tc>
        <w:tc>
          <w:tcPr>
            <w:tcW w:w="3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160" w:type="dxa"/>
            <w:vAlign w:val="bottom"/>
          </w:tcPr>
          <w:p>
            <w:pPr>
              <w:spacing w:after="0"/>
              <w:rPr>
                <w:sz w:val="13"/>
                <w:szCs w:val="13"/>
                <w:color w:val="auto"/>
              </w:rPr>
            </w:pPr>
          </w:p>
        </w:tc>
        <w:tc>
          <w:tcPr>
            <w:tcW w:w="544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w w:val="98"/>
              </w:rPr>
              <w:t>ITEM 3 — QUANTITATIVE AND QUALITATIVE DISCLOSURES ABOUT MARKET RISK</w:t>
            </w:r>
          </w:p>
        </w:tc>
        <w:tc>
          <w:tcPr>
            <w:tcW w:w="2240" w:type="dxa"/>
            <w:vAlign w:val="bottom"/>
          </w:tcPr>
          <w:p>
            <w:pPr>
              <w:spacing w:after="0"/>
              <w:rPr>
                <w:sz w:val="13"/>
                <w:szCs w:val="13"/>
                <w:color w:val="auto"/>
              </w:rPr>
            </w:pP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41</w:t>
            </w:r>
          </w:p>
        </w:tc>
      </w:tr>
      <w:tr>
        <w:trPr>
          <w:trHeight w:val="20"/>
        </w:trPr>
        <w:tc>
          <w:tcPr>
            <w:tcW w:w="16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2240" w:type="dxa"/>
            <w:vAlign w:val="bottom"/>
            <w:tcBorders>
              <w:left w:val="single" w:sz="8" w:color="0000FF"/>
            </w:tcBorders>
          </w:tcPr>
          <w:p>
            <w:pPr>
              <w:spacing w:after="0" w:line="20" w:lineRule="exact"/>
              <w:rPr>
                <w:sz w:val="1"/>
                <w:szCs w:val="1"/>
                <w:color w:val="auto"/>
              </w:rPr>
            </w:pPr>
          </w:p>
        </w:tc>
        <w:tc>
          <w:tcPr>
            <w:tcW w:w="3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160" w:type="dxa"/>
            <w:vAlign w:val="bottom"/>
          </w:tcPr>
          <w:p>
            <w:pPr>
              <w:spacing w:after="0"/>
              <w:rPr>
                <w:sz w:val="13"/>
                <w:szCs w:val="13"/>
                <w:color w:val="auto"/>
              </w:rPr>
            </w:pPr>
          </w:p>
        </w:tc>
        <w:tc>
          <w:tcPr>
            <w:tcW w:w="272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ITEM 4 — CONTROLS AND PROCEDURES</w:t>
            </w:r>
          </w:p>
        </w:tc>
        <w:tc>
          <w:tcPr>
            <w:tcW w:w="2720" w:type="dxa"/>
            <w:vAlign w:val="bottom"/>
            <w:gridSpan w:val="4"/>
          </w:tcPr>
          <w:p>
            <w:pPr>
              <w:spacing w:after="0"/>
              <w:rPr>
                <w:sz w:val="13"/>
                <w:szCs w:val="13"/>
                <w:color w:val="auto"/>
              </w:rPr>
            </w:pPr>
          </w:p>
        </w:tc>
        <w:tc>
          <w:tcPr>
            <w:tcW w:w="2240" w:type="dxa"/>
            <w:vAlign w:val="bottom"/>
          </w:tcPr>
          <w:p>
            <w:pPr>
              <w:spacing w:after="0"/>
              <w:rPr>
                <w:sz w:val="13"/>
                <w:szCs w:val="13"/>
                <w:color w:val="auto"/>
              </w:rPr>
            </w:pP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42</w:t>
            </w:r>
          </w:p>
        </w:tc>
      </w:tr>
      <w:tr>
        <w:trPr>
          <w:trHeight w:val="20"/>
        </w:trPr>
        <w:tc>
          <w:tcPr>
            <w:tcW w:w="16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232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0000FF"/>
                <w:w w:val="98"/>
              </w:rPr>
              <w:t>PART II — OTHER INFORMATION</w:t>
            </w:r>
          </w:p>
        </w:tc>
        <w:tc>
          <w:tcPr>
            <w:tcW w:w="5520" w:type="dxa"/>
            <w:vAlign w:val="bottom"/>
            <w:gridSpan w:val="8"/>
          </w:tcPr>
          <w:p>
            <w:pPr>
              <w:spacing w:after="0"/>
              <w:rPr>
                <w:sz w:val="13"/>
                <w:szCs w:val="13"/>
                <w:color w:val="auto"/>
              </w:rPr>
            </w:pP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43</w:t>
            </w:r>
          </w:p>
        </w:tc>
      </w:tr>
      <w:tr>
        <w:trPr>
          <w:trHeight w:val="20"/>
        </w:trPr>
        <w:tc>
          <w:tcPr>
            <w:tcW w:w="16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160" w:type="dxa"/>
            <w:vAlign w:val="bottom"/>
          </w:tcPr>
          <w:p>
            <w:pPr>
              <w:spacing w:after="0"/>
              <w:rPr>
                <w:sz w:val="13"/>
                <w:szCs w:val="13"/>
                <w:color w:val="auto"/>
              </w:rPr>
            </w:pPr>
          </w:p>
        </w:tc>
        <w:tc>
          <w:tcPr>
            <w:tcW w:w="216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ITEM 1 — LEGAL PROCEEDINGS</w:t>
            </w:r>
          </w:p>
        </w:tc>
        <w:tc>
          <w:tcPr>
            <w:tcW w:w="5520" w:type="dxa"/>
            <w:vAlign w:val="bottom"/>
            <w:gridSpan w:val="8"/>
          </w:tcPr>
          <w:p>
            <w:pPr>
              <w:spacing w:after="0"/>
              <w:rPr>
                <w:sz w:val="13"/>
                <w:szCs w:val="13"/>
                <w:color w:val="auto"/>
              </w:rPr>
            </w:pP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43</w:t>
            </w:r>
          </w:p>
        </w:tc>
      </w:tr>
      <w:tr>
        <w:trPr>
          <w:trHeight w:val="20"/>
        </w:trPr>
        <w:tc>
          <w:tcPr>
            <w:tcW w:w="16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160" w:type="dxa"/>
            <w:vAlign w:val="bottom"/>
          </w:tcPr>
          <w:p>
            <w:pPr>
              <w:spacing w:after="0"/>
              <w:rPr>
                <w:sz w:val="13"/>
                <w:szCs w:val="13"/>
                <w:color w:val="auto"/>
              </w:rPr>
            </w:pPr>
          </w:p>
        </w:tc>
        <w:tc>
          <w:tcPr>
            <w:tcW w:w="1760" w:type="dxa"/>
            <w:vAlign w:val="bottom"/>
            <w:gridSpan w:val="5"/>
          </w:tcPr>
          <w:p>
            <w:pPr>
              <w:spacing w:after="0"/>
              <w:rPr>
                <w:sz w:val="20"/>
                <w:szCs w:val="20"/>
                <w:color w:val="auto"/>
              </w:rPr>
            </w:pPr>
            <w:r>
              <w:rPr>
                <w:rFonts w:ascii="Times New Roman" w:cs="Times New Roman" w:eastAsia="Times New Roman" w:hAnsi="Times New Roman"/>
                <w:sz w:val="14"/>
                <w:szCs w:val="14"/>
                <w:color w:val="0000FF"/>
                <w:w w:val="99"/>
              </w:rPr>
              <w:t>ITEM 1A — RISK FACTORS</w:t>
            </w:r>
          </w:p>
        </w:tc>
        <w:tc>
          <w:tcPr>
            <w:tcW w:w="380" w:type="dxa"/>
            <w:vAlign w:val="bottom"/>
          </w:tcPr>
          <w:p>
            <w:pPr>
              <w:spacing w:after="0"/>
              <w:rPr>
                <w:sz w:val="13"/>
                <w:szCs w:val="13"/>
                <w:color w:val="auto"/>
              </w:rPr>
            </w:pPr>
          </w:p>
        </w:tc>
        <w:tc>
          <w:tcPr>
            <w:tcW w:w="5540" w:type="dxa"/>
            <w:vAlign w:val="bottom"/>
            <w:gridSpan w:val="9"/>
          </w:tcPr>
          <w:p>
            <w:pPr>
              <w:spacing w:after="0"/>
              <w:rPr>
                <w:sz w:val="13"/>
                <w:szCs w:val="13"/>
                <w:color w:val="auto"/>
              </w:rPr>
            </w:pP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43</w:t>
            </w:r>
          </w:p>
        </w:tc>
      </w:tr>
      <w:tr>
        <w:trPr>
          <w:trHeight w:val="20"/>
        </w:trPr>
        <w:tc>
          <w:tcPr>
            <w:tcW w:w="16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160" w:type="dxa"/>
            <w:vAlign w:val="bottom"/>
          </w:tcPr>
          <w:p>
            <w:pPr>
              <w:spacing w:after="0"/>
              <w:rPr>
                <w:sz w:val="13"/>
                <w:szCs w:val="13"/>
                <w:color w:val="auto"/>
              </w:rPr>
            </w:pPr>
          </w:p>
        </w:tc>
        <w:tc>
          <w:tcPr>
            <w:tcW w:w="768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ITEM 2 — UNREGISTERED SALES OF EQUITY SECURITIES AND USE OF PROCEEDS</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43</w:t>
            </w:r>
          </w:p>
        </w:tc>
      </w:tr>
      <w:tr>
        <w:trPr>
          <w:trHeight w:val="20"/>
        </w:trPr>
        <w:tc>
          <w:tcPr>
            <w:tcW w:w="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16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4"/>
                <w:szCs w:val="14"/>
                <w:color w:val="0000FF"/>
              </w:rPr>
              <w:t>ITEM 3</w:t>
            </w:r>
          </w:p>
        </w:tc>
        <w:tc>
          <w:tcPr>
            <w:tcW w:w="2700" w:type="dxa"/>
            <w:vAlign w:val="bottom"/>
            <w:gridSpan w:val="10"/>
          </w:tcPr>
          <w:p>
            <w:pPr>
              <w:ind w:left="20"/>
              <w:spacing w:after="0"/>
              <w:rPr>
                <w:sz w:val="20"/>
                <w:szCs w:val="20"/>
                <w:color w:val="auto"/>
              </w:rPr>
            </w:pPr>
            <w:r>
              <w:rPr>
                <w:rFonts w:ascii="Times New Roman" w:cs="Times New Roman" w:eastAsia="Times New Roman" w:hAnsi="Times New Roman"/>
                <w:sz w:val="14"/>
                <w:szCs w:val="14"/>
                <w:color w:val="0000FF"/>
                <w:w w:val="99"/>
              </w:rPr>
              <w:t>— DEFAULTS UPON SENIOR SECURITIES</w:t>
            </w:r>
          </w:p>
        </w:tc>
        <w:tc>
          <w:tcPr>
            <w:tcW w:w="2260" w:type="dxa"/>
            <w:vAlign w:val="bottom"/>
            <w:gridSpan w:val="3"/>
          </w:tcPr>
          <w:p>
            <w:pPr>
              <w:spacing w:after="0"/>
              <w:rPr>
                <w:sz w:val="13"/>
                <w:szCs w:val="13"/>
                <w:color w:val="auto"/>
              </w:rPr>
            </w:pPr>
          </w:p>
        </w:tc>
        <w:tc>
          <w:tcPr>
            <w:tcW w:w="2240" w:type="dxa"/>
            <w:vAlign w:val="bottom"/>
          </w:tcPr>
          <w:p>
            <w:pPr>
              <w:spacing w:after="0"/>
              <w:rPr>
                <w:sz w:val="13"/>
                <w:szCs w:val="13"/>
                <w:color w:val="auto"/>
              </w:rPr>
            </w:pP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43</w:t>
            </w:r>
          </w:p>
        </w:tc>
      </w:tr>
      <w:tr>
        <w:trPr>
          <w:trHeight w:val="20"/>
        </w:trPr>
        <w:tc>
          <w:tcPr>
            <w:tcW w:w="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3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16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4"/>
                <w:szCs w:val="14"/>
                <w:color w:val="0000FF"/>
              </w:rPr>
              <w:t>ITEM 4</w:t>
            </w:r>
          </w:p>
        </w:tc>
        <w:tc>
          <w:tcPr>
            <w:tcW w:w="2700" w:type="dxa"/>
            <w:vAlign w:val="bottom"/>
            <w:gridSpan w:val="10"/>
          </w:tcPr>
          <w:p>
            <w:pPr>
              <w:ind w:left="20"/>
              <w:spacing w:after="0"/>
              <w:rPr>
                <w:sz w:val="20"/>
                <w:szCs w:val="20"/>
                <w:color w:val="auto"/>
              </w:rPr>
            </w:pPr>
            <w:r>
              <w:rPr>
                <w:rFonts w:ascii="Times New Roman" w:cs="Times New Roman" w:eastAsia="Times New Roman" w:hAnsi="Times New Roman"/>
                <w:sz w:val="14"/>
                <w:szCs w:val="14"/>
                <w:color w:val="0000FF"/>
              </w:rPr>
              <w:t>— MINE SAFETY DISCLOSURES</w:t>
            </w:r>
          </w:p>
        </w:tc>
        <w:tc>
          <w:tcPr>
            <w:tcW w:w="4500" w:type="dxa"/>
            <w:vAlign w:val="bottom"/>
            <w:gridSpan w:val="4"/>
          </w:tcPr>
          <w:p>
            <w:pPr>
              <w:spacing w:after="0"/>
              <w:rPr>
                <w:sz w:val="13"/>
                <w:szCs w:val="13"/>
                <w:color w:val="auto"/>
              </w:rPr>
            </w:pP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43</w:t>
            </w:r>
          </w:p>
        </w:tc>
      </w:tr>
      <w:tr>
        <w:trPr>
          <w:trHeight w:val="20"/>
        </w:trPr>
        <w:tc>
          <w:tcPr>
            <w:tcW w:w="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3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16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4"/>
                <w:szCs w:val="14"/>
                <w:color w:val="0000FF"/>
              </w:rPr>
              <w:t>ITEM 5</w:t>
            </w:r>
          </w:p>
        </w:tc>
        <w:tc>
          <w:tcPr>
            <w:tcW w:w="168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0000FF"/>
                <w:w w:val="97"/>
              </w:rPr>
              <w:t>— OTHER INFORMATION</w:t>
            </w:r>
          </w:p>
        </w:tc>
        <w:tc>
          <w:tcPr>
            <w:tcW w:w="420" w:type="dxa"/>
            <w:vAlign w:val="bottom"/>
            <w:gridSpan w:val="2"/>
          </w:tcPr>
          <w:p>
            <w:pPr>
              <w:spacing w:after="0"/>
              <w:rPr>
                <w:sz w:val="13"/>
                <w:szCs w:val="13"/>
                <w:color w:val="auto"/>
              </w:rPr>
            </w:pPr>
          </w:p>
        </w:tc>
        <w:tc>
          <w:tcPr>
            <w:tcW w:w="5100" w:type="dxa"/>
            <w:vAlign w:val="bottom"/>
            <w:gridSpan w:val="6"/>
          </w:tcPr>
          <w:p>
            <w:pPr>
              <w:spacing w:after="0"/>
              <w:rPr>
                <w:sz w:val="13"/>
                <w:szCs w:val="13"/>
                <w:color w:val="auto"/>
              </w:rPr>
            </w:pP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43</w:t>
            </w:r>
          </w:p>
        </w:tc>
      </w:tr>
      <w:tr>
        <w:trPr>
          <w:trHeight w:val="20"/>
        </w:trPr>
        <w:tc>
          <w:tcPr>
            <w:tcW w:w="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5520" w:type="dxa"/>
            <w:vAlign w:val="bottom"/>
            <w:gridSpan w:val="8"/>
          </w:tcPr>
          <w:p>
            <w:pPr>
              <w:spacing w:after="0" w:line="20" w:lineRule="exact"/>
              <w:rPr>
                <w:sz w:val="1"/>
                <w:szCs w:val="1"/>
                <w:color w:val="auto"/>
              </w:rPr>
            </w:pPr>
          </w:p>
        </w:tc>
        <w:tc>
          <w:tcPr>
            <w:tcW w:w="3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16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4"/>
                <w:szCs w:val="14"/>
                <w:color w:val="0000FF"/>
              </w:rPr>
              <w:t>ITEM 6</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98"/>
              </w:rPr>
              <w:t>— EXHIBITS</w:t>
            </w:r>
          </w:p>
        </w:tc>
        <w:tc>
          <w:tcPr>
            <w:tcW w:w="840" w:type="dxa"/>
            <w:vAlign w:val="bottom"/>
            <w:gridSpan w:val="4"/>
          </w:tcPr>
          <w:p>
            <w:pPr>
              <w:spacing w:after="0"/>
              <w:rPr>
                <w:sz w:val="13"/>
                <w:szCs w:val="13"/>
                <w:color w:val="auto"/>
              </w:rPr>
            </w:pPr>
          </w:p>
        </w:tc>
        <w:tc>
          <w:tcPr>
            <w:tcW w:w="5520" w:type="dxa"/>
            <w:vAlign w:val="bottom"/>
            <w:gridSpan w:val="8"/>
          </w:tcPr>
          <w:p>
            <w:pPr>
              <w:spacing w:after="0"/>
              <w:rPr>
                <w:sz w:val="13"/>
                <w:szCs w:val="13"/>
                <w:color w:val="auto"/>
              </w:rPr>
            </w:pP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44</w:t>
            </w:r>
          </w:p>
        </w:tc>
      </w:tr>
      <w:tr>
        <w:trPr>
          <w:trHeight w:val="20"/>
        </w:trPr>
        <w:tc>
          <w:tcPr>
            <w:tcW w:w="16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360" w:type="dxa"/>
            <w:vAlign w:val="bottom"/>
            <w:gridSpan w:val="12"/>
          </w:tcPr>
          <w:p>
            <w:pPr>
              <w:spacing w:after="0" w:line="20" w:lineRule="exact"/>
              <w:rPr>
                <w:sz w:val="1"/>
                <w:szCs w:val="1"/>
                <w:color w:val="auto"/>
              </w:rPr>
            </w:pPr>
          </w:p>
        </w:tc>
        <w:tc>
          <w:tcPr>
            <w:tcW w:w="3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160" w:type="dxa"/>
            <w:vAlign w:val="bottom"/>
          </w:tcPr>
          <w:p>
            <w:pPr>
              <w:spacing w:after="0"/>
              <w:rPr>
                <w:sz w:val="13"/>
                <w:szCs w:val="13"/>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w w:val="98"/>
              </w:rPr>
              <w:t>SIGNATURES</w:t>
            </w:r>
          </w:p>
        </w:tc>
        <w:tc>
          <w:tcPr>
            <w:tcW w:w="400" w:type="dxa"/>
            <w:vAlign w:val="bottom"/>
          </w:tcPr>
          <w:p>
            <w:pPr>
              <w:spacing w:after="0"/>
              <w:rPr>
                <w:sz w:val="13"/>
                <w:szCs w:val="13"/>
                <w:color w:val="auto"/>
              </w:rPr>
            </w:pPr>
          </w:p>
        </w:tc>
        <w:tc>
          <w:tcPr>
            <w:tcW w:w="6360" w:type="dxa"/>
            <w:vAlign w:val="bottom"/>
            <w:gridSpan w:val="12"/>
          </w:tcPr>
          <w:p>
            <w:pPr>
              <w:spacing w:after="0"/>
              <w:rPr>
                <w:sz w:val="13"/>
                <w:szCs w:val="13"/>
                <w:color w:val="auto"/>
              </w:rPr>
            </w:pP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45</w:t>
            </w:r>
          </w:p>
        </w:tc>
      </w:tr>
      <w:tr>
        <w:trPr>
          <w:trHeight w:val="20"/>
        </w:trPr>
        <w:tc>
          <w:tcPr>
            <w:tcW w:w="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INFORMATION</w:t>
      </w:r>
    </w:p>
    <w:p>
      <w:pPr>
        <w:spacing w:after="0" w:line="9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 xml:space="preserve">This Quarterly Report on Form 10-Q of Clearway Energy LLC,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in Part I of the Company’s Annual Report on Form 10-K for the year ended December 31, 2023, as well as the following:</w:t>
      </w:r>
    </w:p>
    <w:p>
      <w:pPr>
        <w:spacing w:after="0" w:line="61"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maintain and grow its quarterly distributions;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risks related to the Company's relationships with CEG and its owners;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successfully identify, evaluate and consummate acquisitions from, and dispositions to, third parties;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acquire assets from CEG;</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borrow additional funds and access capital markets, as well as the Company’s substantial indebtedness and the possibility that the Company may incur additional indebtedness going forward;</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 including judicial decisions;</w:t>
      </w:r>
    </w:p>
    <w:p>
      <w:pPr>
        <w:spacing w:after="0" w:line="51"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13"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operate its businesses efficiently, manage maintenance capital expenditures and costs effectively, and generate earnings and cash flows from its asset-based businesses in relation to its debt and other obligations;</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and ability of counterparties to the Company’s offtake agreements to fulfill their obligations under such agreements;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enter into contracts to sell power and procure fuel on acceptable terms and prices;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regulation, including compliance with regulatory requirements and changes in market rules, rates, tariffs and environmental laws;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and financial restrictions placed on the Company that are contained in the facility-level debt facilities and other agreements of certain subsidiaries and facility-level subsidiaries generally, in the Clearway Energy Operating LLC amended and restated revolving credit facility and in the indentures governing the Senior Notes; and</w:t>
      </w: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3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82"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2400" w:type="dxa"/>
            <w:vAlign w:val="bottom"/>
          </w:tcPr>
          <w:p>
            <w:pPr>
              <w:spacing w:after="0"/>
              <w:rPr>
                <w:sz w:val="16"/>
                <w:szCs w:val="16"/>
                <w:color w:val="auto"/>
              </w:rPr>
            </w:pPr>
          </w:p>
        </w:tc>
        <w:tc>
          <w:tcPr>
            <w:tcW w:w="8880" w:type="dxa"/>
            <w:vAlign w:val="bottom"/>
          </w:tcPr>
          <w:p>
            <w:pPr>
              <w:ind w:left="2480"/>
              <w:spacing w:after="0"/>
              <w:rPr>
                <w:sz w:val="20"/>
                <w:szCs w:val="20"/>
                <w:color w:val="auto"/>
              </w:rPr>
            </w:pPr>
            <w:r>
              <w:rPr>
                <w:rFonts w:ascii="Times New Roman" w:cs="Times New Roman" w:eastAsia="Times New Roman" w:hAnsi="Times New Roman"/>
                <w:sz w:val="14"/>
                <w:szCs w:val="14"/>
                <w:b w:val="1"/>
                <w:bCs w:val="1"/>
                <w:color w:val="auto"/>
              </w:rPr>
              <w:t>GLOSSARY OF TERMS</w:t>
            </w:r>
          </w:p>
        </w:tc>
      </w:tr>
      <w:tr>
        <w:trPr>
          <w:trHeight w:val="297"/>
        </w:trPr>
        <w:tc>
          <w:tcPr>
            <w:tcW w:w="112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When the following terms and abbreviations appear in the text of this report, they have the meanings indicated below:</w:t>
            </w:r>
          </w:p>
        </w:tc>
      </w:tr>
      <w:tr>
        <w:trPr>
          <w:trHeight w:val="198"/>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 Senior Notes</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$850 million aggregate principal amount of 4.75% unsecured senior notes due 2028, issued by Clearway Energy Operating LLC</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2031 Senior Notes</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$925 million aggregate principal amount of 3.75% unsecured senior notes due 2031, issued by Clearway Energy Operating LLC</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2032 Senior Notes</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$350 million aggregate principal amount of 3.75% unsecured senior notes due 2032, issued by Clearway Energy Operating LLC</w:t>
            </w:r>
          </w:p>
        </w:tc>
      </w:tr>
      <w:tr>
        <w:trPr>
          <w:trHeight w:val="17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 non-GAAP measure, represents earnings before interest (including loss on debt extinguishment), tax, depreciation and amortization adjusted for</w:t>
            </w:r>
          </w:p>
        </w:tc>
      </w:tr>
      <w:tr>
        <w:trPr>
          <w:trHeight w:val="170"/>
        </w:trPr>
        <w:tc>
          <w:tcPr>
            <w:tcW w:w="2400" w:type="dxa"/>
            <w:vAlign w:val="bottom"/>
          </w:tcPr>
          <w:p>
            <w:pPr>
              <w:spacing w:after="0"/>
              <w:rPr>
                <w:sz w:val="14"/>
                <w:szCs w:val="14"/>
                <w:color w:val="auto"/>
              </w:rPr>
            </w:pP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mark-to-market gains or losses, asset write offs and impairments; and factors which the Company does not consider indicative of future operating</w:t>
            </w:r>
          </w:p>
        </w:tc>
      </w:tr>
      <w:tr>
        <w:trPr>
          <w:trHeight w:val="184"/>
        </w:trPr>
        <w:tc>
          <w:tcPr>
            <w:tcW w:w="2400" w:type="dxa"/>
            <w:vAlign w:val="bottom"/>
          </w:tcPr>
          <w:p>
            <w:pPr>
              <w:spacing w:after="0"/>
              <w:rPr>
                <w:sz w:val="16"/>
                <w:szCs w:val="16"/>
                <w:color w:val="auto"/>
              </w:rPr>
            </w:pP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performance</w:t>
            </w:r>
          </w:p>
        </w:tc>
      </w:tr>
      <w:tr>
        <w:trPr>
          <w:trHeight w:val="187"/>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ASC</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FASB Accounting Standards Codification, which the FASB established as the source of authoritative GAAP</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ATM Program</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At-The-Market Equity Offering Program</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BESS</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Battery energy storage system</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BlackRock</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BlackRock, Inc.</w:t>
            </w:r>
          </w:p>
        </w:tc>
      </w:tr>
      <w:tr>
        <w:trPr>
          <w:trHeight w:val="142"/>
        </w:trPr>
        <w:tc>
          <w:tcPr>
            <w:tcW w:w="24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CAFD</w:t>
            </w:r>
          </w:p>
        </w:tc>
        <w:tc>
          <w:tcPr>
            <w:tcW w:w="8880" w:type="dxa"/>
            <w:vAlign w:val="bottom"/>
          </w:tcPr>
          <w:p>
            <w:pPr>
              <w:ind w:left="500"/>
              <w:spacing w:after="0" w:line="142" w:lineRule="exact"/>
              <w:rPr>
                <w:sz w:val="20"/>
                <w:szCs w:val="20"/>
                <w:color w:val="auto"/>
              </w:rPr>
            </w:pPr>
            <w:r>
              <w:rPr>
                <w:rFonts w:ascii="Times New Roman" w:cs="Times New Roman" w:eastAsia="Times New Roman" w:hAnsi="Times New Roman"/>
                <w:sz w:val="14"/>
                <w:szCs w:val="14"/>
                <w:color w:val="auto"/>
              </w:rPr>
              <w:t>A non-GAAP measure, Cash Available for Distribution is defined as of March 31, 2024 as Adjusted EBITDA plus cash distributions/return of</w:t>
            </w:r>
          </w:p>
        </w:tc>
      </w:tr>
      <w:tr>
        <w:trPr>
          <w:trHeight w:val="144"/>
        </w:trPr>
        <w:tc>
          <w:tcPr>
            <w:tcW w:w="2400" w:type="dxa"/>
            <w:vAlign w:val="bottom"/>
          </w:tcPr>
          <w:p>
            <w:pPr>
              <w:spacing w:after="0"/>
              <w:rPr>
                <w:sz w:val="12"/>
                <w:szCs w:val="12"/>
                <w:color w:val="auto"/>
              </w:rPr>
            </w:pPr>
          </w:p>
        </w:tc>
        <w:tc>
          <w:tcPr>
            <w:tcW w:w="888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investment from unconsolidated affiliates, cash receipts from notes receivable, cash distributions from noncontrolling interests, adjustments to</w:t>
            </w:r>
          </w:p>
        </w:tc>
      </w:tr>
      <w:tr>
        <w:trPr>
          <w:trHeight w:val="142"/>
        </w:trPr>
        <w:tc>
          <w:tcPr>
            <w:tcW w:w="2400" w:type="dxa"/>
            <w:vAlign w:val="bottom"/>
          </w:tcPr>
          <w:p>
            <w:pPr>
              <w:spacing w:after="0"/>
              <w:rPr>
                <w:sz w:val="12"/>
                <w:szCs w:val="12"/>
                <w:color w:val="auto"/>
              </w:rPr>
            </w:pPr>
          </w:p>
        </w:tc>
        <w:tc>
          <w:tcPr>
            <w:tcW w:w="8880" w:type="dxa"/>
            <w:vAlign w:val="bottom"/>
          </w:tcPr>
          <w:p>
            <w:pPr>
              <w:ind w:left="500"/>
              <w:spacing w:after="0" w:line="142" w:lineRule="exact"/>
              <w:rPr>
                <w:sz w:val="20"/>
                <w:szCs w:val="20"/>
                <w:color w:val="auto"/>
              </w:rPr>
            </w:pPr>
            <w:r>
              <w:rPr>
                <w:rFonts w:ascii="Times New Roman" w:cs="Times New Roman" w:eastAsia="Times New Roman" w:hAnsi="Times New Roman"/>
                <w:sz w:val="14"/>
                <w:szCs w:val="14"/>
                <w:color w:val="auto"/>
              </w:rPr>
              <w:t>reflect sales-type lease cash payments and payments for lease expenses, less cash distributions to noncontrolling interests, maintenance capital</w:t>
            </w:r>
          </w:p>
        </w:tc>
      </w:tr>
      <w:tr>
        <w:trPr>
          <w:trHeight w:val="138"/>
        </w:trPr>
        <w:tc>
          <w:tcPr>
            <w:tcW w:w="2400" w:type="dxa"/>
            <w:vAlign w:val="bottom"/>
          </w:tcPr>
          <w:p>
            <w:pPr>
              <w:spacing w:after="0"/>
              <w:rPr>
                <w:sz w:val="11"/>
                <w:szCs w:val="11"/>
                <w:color w:val="auto"/>
              </w:rPr>
            </w:pPr>
          </w:p>
        </w:tc>
        <w:tc>
          <w:tcPr>
            <w:tcW w:w="8880" w:type="dxa"/>
            <w:vAlign w:val="bottom"/>
          </w:tcPr>
          <w:p>
            <w:pPr>
              <w:ind w:left="500"/>
              <w:spacing w:after="0" w:line="138" w:lineRule="exact"/>
              <w:rPr>
                <w:sz w:val="20"/>
                <w:szCs w:val="20"/>
                <w:color w:val="auto"/>
              </w:rPr>
            </w:pPr>
            <w:r>
              <w:rPr>
                <w:rFonts w:ascii="Times New Roman" w:cs="Times New Roman" w:eastAsia="Times New Roman" w:hAnsi="Times New Roman"/>
                <w:sz w:val="14"/>
                <w:szCs w:val="14"/>
                <w:color w:val="auto"/>
              </w:rPr>
              <w:t>expenditures, pro-rata Adjusted EBITDA from unconsolidated affiliates, cash interest paid, income taxes paid, principal amortization of</w:t>
            </w:r>
          </w:p>
        </w:tc>
      </w:tr>
      <w:tr>
        <w:trPr>
          <w:trHeight w:val="184"/>
        </w:trPr>
        <w:tc>
          <w:tcPr>
            <w:tcW w:w="2400" w:type="dxa"/>
            <w:vAlign w:val="bottom"/>
          </w:tcPr>
          <w:p>
            <w:pPr>
              <w:spacing w:after="0"/>
              <w:rPr>
                <w:sz w:val="16"/>
                <w:szCs w:val="16"/>
                <w:color w:val="auto"/>
              </w:rPr>
            </w:pP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indebtedness, changes in prepaid and accrued capacity payments and adjusted for development expenses</w:t>
            </w:r>
          </w:p>
        </w:tc>
      </w:tr>
      <w:tr>
        <w:trPr>
          <w:trHeight w:val="183"/>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CEG</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Clearway Energy Group LLC (formerly Zephyr Renewables LLC)</w:t>
            </w:r>
          </w:p>
        </w:tc>
      </w:tr>
      <w:tr>
        <w:trPr>
          <w:trHeight w:val="142"/>
        </w:trPr>
        <w:tc>
          <w:tcPr>
            <w:tcW w:w="24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CEG Master Services Agreement</w:t>
            </w:r>
          </w:p>
        </w:tc>
        <w:tc>
          <w:tcPr>
            <w:tcW w:w="8880" w:type="dxa"/>
            <w:vAlign w:val="bottom"/>
          </w:tcPr>
          <w:p>
            <w:pPr>
              <w:ind w:left="500"/>
              <w:spacing w:after="0" w:line="142" w:lineRule="exact"/>
              <w:rPr>
                <w:sz w:val="20"/>
                <w:szCs w:val="20"/>
                <w:color w:val="auto"/>
              </w:rPr>
            </w:pPr>
            <w:r>
              <w:rPr>
                <w:rFonts w:ascii="Times New Roman" w:cs="Times New Roman" w:eastAsia="Times New Roman" w:hAnsi="Times New Roman"/>
                <w:sz w:val="14"/>
                <w:szCs w:val="14"/>
                <w:color w:val="auto"/>
              </w:rPr>
              <w:t>Amended and Restated Master Services Agreement, dated as of April 30, 2024, among the Company, Clearway, Inc., Clearway Energy Operating</w:t>
            </w:r>
          </w:p>
        </w:tc>
      </w:tr>
      <w:tr>
        <w:trPr>
          <w:trHeight w:val="184"/>
        </w:trPr>
        <w:tc>
          <w:tcPr>
            <w:tcW w:w="2400" w:type="dxa"/>
            <w:vAlign w:val="bottom"/>
          </w:tcPr>
          <w:p>
            <w:pPr>
              <w:spacing w:after="0"/>
              <w:rPr>
                <w:sz w:val="16"/>
                <w:szCs w:val="16"/>
                <w:color w:val="auto"/>
              </w:rPr>
            </w:pP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LLC and CEG</w:t>
            </w:r>
          </w:p>
        </w:tc>
      </w:tr>
      <w:tr>
        <w:trPr>
          <w:trHeight w:val="183"/>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Clearway, Inc.</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Clearway Energy, Inc., the holder of the Company’s Class A and Class C units</w:t>
            </w:r>
          </w:p>
        </w:tc>
      </w:tr>
      <w:tr>
        <w:trPr>
          <w:trHeight w:val="142"/>
        </w:trPr>
        <w:tc>
          <w:tcPr>
            <w:tcW w:w="24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Clearway Energy Group LLC</w:t>
            </w:r>
          </w:p>
        </w:tc>
        <w:tc>
          <w:tcPr>
            <w:tcW w:w="8880" w:type="dxa"/>
            <w:vAlign w:val="bottom"/>
          </w:tcPr>
          <w:p>
            <w:pPr>
              <w:ind w:left="500"/>
              <w:spacing w:after="0" w:line="142" w:lineRule="exact"/>
              <w:rPr>
                <w:sz w:val="20"/>
                <w:szCs w:val="20"/>
                <w:color w:val="auto"/>
              </w:rPr>
            </w:pPr>
            <w:r>
              <w:rPr>
                <w:rFonts w:ascii="Times New Roman" w:cs="Times New Roman" w:eastAsia="Times New Roman" w:hAnsi="Times New Roman"/>
                <w:sz w:val="14"/>
                <w:szCs w:val="14"/>
                <w:color w:val="auto"/>
              </w:rPr>
              <w:t>The holder of all shares of Clearway, Inc.’s Class B and Class D common stock and the Company’s Class B and Class D units and, from time to</w:t>
            </w:r>
          </w:p>
        </w:tc>
      </w:tr>
      <w:tr>
        <w:trPr>
          <w:trHeight w:val="184"/>
        </w:trPr>
        <w:tc>
          <w:tcPr>
            <w:tcW w:w="2400" w:type="dxa"/>
            <w:vAlign w:val="bottom"/>
          </w:tcPr>
          <w:p>
            <w:pPr>
              <w:spacing w:after="0"/>
              <w:rPr>
                <w:sz w:val="16"/>
                <w:szCs w:val="16"/>
                <w:color w:val="auto"/>
              </w:rPr>
            </w:pP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time, possibly shares of Clearway, Inc.’s Class A and/or Class C common stock</w:t>
            </w:r>
          </w:p>
        </w:tc>
      </w:tr>
      <w:tr>
        <w:trPr>
          <w:trHeight w:val="183"/>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Clearway Energy Operating LLC</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holder of facilities that are owned by the Company</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Clearway Renew</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Clearway Renew LLC, a subsidiary of CEG, and its wholly-owned subsidiaries</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Clearway Energy LLC, together with its consolidated subsidiaries</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CVSR</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California Valley Solar Ranch</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CVSR Holdco</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CVSR Holdco LLC, the indirect owner of CVSR</w:t>
            </w:r>
          </w:p>
        </w:tc>
      </w:tr>
      <w:tr>
        <w:trPr>
          <w:trHeight w:val="142"/>
        </w:trPr>
        <w:tc>
          <w:tcPr>
            <w:tcW w:w="24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Distributed Solar</w:t>
            </w:r>
          </w:p>
        </w:tc>
        <w:tc>
          <w:tcPr>
            <w:tcW w:w="8880" w:type="dxa"/>
            <w:vAlign w:val="bottom"/>
          </w:tcPr>
          <w:p>
            <w:pPr>
              <w:ind w:left="500"/>
              <w:spacing w:after="0" w:line="142" w:lineRule="exact"/>
              <w:rPr>
                <w:sz w:val="20"/>
                <w:szCs w:val="20"/>
                <w:color w:val="auto"/>
              </w:rPr>
            </w:pPr>
            <w:r>
              <w:rPr>
                <w:rFonts w:ascii="Times New Roman" w:cs="Times New Roman" w:eastAsia="Times New Roman" w:hAnsi="Times New Roman"/>
                <w:sz w:val="14"/>
                <w:szCs w:val="14"/>
                <w:color w:val="auto"/>
              </w:rPr>
              <w:t>Solar power facilities, typically less than 20 MW in size (on an alternating current, or AC, basis), that primarily sell power produced to customers</w:t>
            </w:r>
          </w:p>
        </w:tc>
      </w:tr>
      <w:tr>
        <w:trPr>
          <w:trHeight w:val="184"/>
        </w:trPr>
        <w:tc>
          <w:tcPr>
            <w:tcW w:w="2400" w:type="dxa"/>
            <w:vAlign w:val="bottom"/>
          </w:tcPr>
          <w:p>
            <w:pPr>
              <w:spacing w:after="0"/>
              <w:rPr>
                <w:sz w:val="16"/>
                <w:szCs w:val="16"/>
                <w:color w:val="auto"/>
              </w:rPr>
            </w:pP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for usage on site, or are interconnected to sell power into the local distribution grid</w:t>
            </w:r>
          </w:p>
        </w:tc>
      </w:tr>
      <w:tr>
        <w:trPr>
          <w:trHeight w:val="183"/>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Drop Down Assets</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Assets under common control acquired by the Company from CEG</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ERCOT</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Electric Reliability Council of Texas, the ISO and the regional reliability coordinator of the various electricity systems within Texas</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Exchange Act</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Securities Exchange Act of 1934, as amended</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FASB</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Financial Accounting Standards Board</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GAAP</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Accounting principles generally accepted in the U.S.</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GenConn</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GenConn Energy LLC</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GIM</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Global Infrastructure Management, LLC, the manager of GIP</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GIP</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Global Infrastructure Partners</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HLBV</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Hypothetical Liquidation at Book Value</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IRA</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Inflation Reduction Act of 2022</w:t>
            </w:r>
          </w:p>
        </w:tc>
      </w:tr>
      <w:tr>
        <w:trPr>
          <w:trHeight w:val="184"/>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ISO</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Independent System Operator, also referred to as an RTO</w:t>
            </w:r>
          </w:p>
        </w:tc>
      </w:tr>
      <w:tr>
        <w:trPr>
          <w:trHeight w:val="679"/>
        </w:trPr>
        <w:tc>
          <w:tcPr>
            <w:tcW w:w="2400" w:type="dxa"/>
            <w:vAlign w:val="bottom"/>
          </w:tcPr>
          <w:p>
            <w:pPr>
              <w:spacing w:after="0"/>
              <w:rPr>
                <w:sz w:val="24"/>
                <w:szCs w:val="24"/>
                <w:color w:val="auto"/>
              </w:rPr>
            </w:pPr>
          </w:p>
        </w:tc>
        <w:tc>
          <w:tcPr>
            <w:tcW w:w="8880" w:type="dxa"/>
            <w:vAlign w:val="bottom"/>
          </w:tcPr>
          <w:p>
            <w:pPr>
              <w:ind w:left="3200"/>
              <w:spacing w:after="0"/>
              <w:rPr>
                <w:sz w:val="20"/>
                <w:szCs w:val="20"/>
                <w:color w:val="auto"/>
              </w:rPr>
            </w:pPr>
            <w:r>
              <w:rPr>
                <w:rFonts w:ascii="Times New Roman" w:cs="Times New Roman" w:eastAsia="Times New Roman" w:hAnsi="Times New Roman"/>
                <w:sz w:val="14"/>
                <w:szCs w:val="14"/>
                <w:color w:val="auto"/>
              </w:rPr>
              <w:t>4</w:t>
            </w:r>
          </w:p>
        </w:tc>
      </w:tr>
      <w:tr>
        <w:trPr>
          <w:trHeight w:val="87"/>
        </w:trPr>
        <w:tc>
          <w:tcPr>
            <w:tcW w:w="2400" w:type="dxa"/>
            <w:vAlign w:val="bottom"/>
            <w:tcBorders>
              <w:bottom w:val="single" w:sz="8" w:color="9A9A9A"/>
            </w:tcBorders>
          </w:tcPr>
          <w:p>
            <w:pPr>
              <w:spacing w:after="0"/>
              <w:rPr>
                <w:sz w:val="7"/>
                <w:szCs w:val="7"/>
                <w:color w:val="auto"/>
              </w:rPr>
            </w:pPr>
          </w:p>
        </w:tc>
        <w:tc>
          <w:tcPr>
            <w:tcW w:w="88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ITC</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Investment Tax Credit</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Mesquite Star</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Mesquite Star Special LLC</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MMBtu</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Million British Thermal Units</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Mt. Storm</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NedPower Mount Storm LLC</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MW</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Megawatt</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MWh</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Saleable megawatt hours, net of internal/parasitic load megawatt-hours</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Exposure</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Counterparty credit exposure to Clearway, Inc. net of collateral</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OCI</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Other comprehensive income</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O&amp;M</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Operations and Maintenance</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PG&amp;E</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Pacific Gas and Electric Company</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PJM</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PJM Interconnection, LLC</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PPA</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Power Purchase Agreement</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Resource adequacy</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RENOM</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Clearway Renewable Operation &amp; Maintenance LLC, a wholly-owned subsidiary of CEG</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Rosie Central BESS</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Rosie BESS Devco LLC</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RTO</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Regional Transmission Organization</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SCE</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Southern California Edison</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U.S. Securities and Exchange Commission</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Notes</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Collectively, the 2028 Senior Notes, the 2031 Senior Notes and the 2032 Senior Notes</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SOFR</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Secured Overnight Financing Rate</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SPP</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Solar Power Partners</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SREC</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Solar Renewable Energy Credit</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TotalEnergies</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TotalEnergies SE</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United States of America</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Utah Solar Portfolio</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Seven utility-scale solar farms located in Utah, representing 530 MW of capacity</w:t>
            </w:r>
          </w:p>
        </w:tc>
      </w:tr>
      <w:tr>
        <w:trPr>
          <w:trHeight w:val="142"/>
        </w:trPr>
        <w:tc>
          <w:tcPr>
            <w:tcW w:w="20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Utility Scale Solar</w:t>
            </w:r>
          </w:p>
        </w:tc>
        <w:tc>
          <w:tcPr>
            <w:tcW w:w="9240" w:type="dxa"/>
            <w:vAlign w:val="bottom"/>
          </w:tcPr>
          <w:p>
            <w:pPr>
              <w:ind w:left="860"/>
              <w:spacing w:after="0" w:line="142" w:lineRule="exact"/>
              <w:rPr>
                <w:sz w:val="20"/>
                <w:szCs w:val="20"/>
                <w:color w:val="auto"/>
              </w:rPr>
            </w:pPr>
            <w:r>
              <w:rPr>
                <w:rFonts w:ascii="Times New Roman" w:cs="Times New Roman" w:eastAsia="Times New Roman" w:hAnsi="Times New Roman"/>
                <w:sz w:val="14"/>
                <w:szCs w:val="14"/>
                <w:color w:val="auto"/>
              </w:rPr>
              <w:t>Solar power facilities, typically 20 MW or greater in size (on an alternating current, or AC, basis), that are interconnected into the transmission or</w:t>
            </w:r>
          </w:p>
        </w:tc>
      </w:tr>
      <w:tr>
        <w:trPr>
          <w:trHeight w:val="184"/>
        </w:trPr>
        <w:tc>
          <w:tcPr>
            <w:tcW w:w="2040" w:type="dxa"/>
            <w:vAlign w:val="bottom"/>
          </w:tcPr>
          <w:p>
            <w:pPr>
              <w:spacing w:after="0"/>
              <w:rPr>
                <w:sz w:val="16"/>
                <w:szCs w:val="16"/>
                <w:color w:val="auto"/>
              </w:rPr>
            </w:pP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distribution grid to sell power at a wholesale level</w:t>
            </w:r>
          </w:p>
        </w:tc>
      </w:tr>
      <w:tr>
        <w:trPr>
          <w:trHeight w:val="187"/>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VIE</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Variable Interest Entity</w:t>
            </w:r>
          </w:p>
        </w:tc>
      </w:tr>
      <w:tr>
        <w:trPr>
          <w:trHeight w:val="870"/>
        </w:trPr>
        <w:tc>
          <w:tcPr>
            <w:tcW w:w="2040" w:type="dxa"/>
            <w:vAlign w:val="bottom"/>
          </w:tcPr>
          <w:p>
            <w:pPr>
              <w:spacing w:after="0"/>
              <w:rPr>
                <w:sz w:val="24"/>
                <w:szCs w:val="24"/>
                <w:color w:val="auto"/>
              </w:rPr>
            </w:pPr>
          </w:p>
        </w:tc>
        <w:tc>
          <w:tcPr>
            <w:tcW w:w="9240" w:type="dxa"/>
            <w:vAlign w:val="bottom"/>
          </w:tcPr>
          <w:p>
            <w:pPr>
              <w:ind w:left="3560"/>
              <w:spacing w:after="0"/>
              <w:rPr>
                <w:sz w:val="20"/>
                <w:szCs w:val="20"/>
                <w:color w:val="auto"/>
              </w:rPr>
            </w:pPr>
            <w:r>
              <w:rPr>
                <w:rFonts w:ascii="Times New Roman" w:cs="Times New Roman" w:eastAsia="Times New Roman" w:hAnsi="Times New Roman"/>
                <w:sz w:val="14"/>
                <w:szCs w:val="14"/>
                <w:color w:val="auto"/>
              </w:rPr>
              <w:t>5</w:t>
            </w:r>
          </w:p>
        </w:tc>
      </w:tr>
      <w:tr>
        <w:trPr>
          <w:trHeight w:val="87"/>
        </w:trPr>
        <w:tc>
          <w:tcPr>
            <w:tcW w:w="2040" w:type="dxa"/>
            <w:vAlign w:val="bottom"/>
            <w:tcBorders>
              <w:bottom w:val="single" w:sz="8" w:color="9A9A9A"/>
            </w:tcBorders>
          </w:tcPr>
          <w:p>
            <w:pPr>
              <w:spacing w:after="0"/>
              <w:rPr>
                <w:sz w:val="7"/>
                <w:szCs w:val="7"/>
                <w:color w:val="auto"/>
              </w:rPr>
            </w:pPr>
          </w:p>
        </w:tc>
        <w:tc>
          <w:tcPr>
            <w:tcW w:w="92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ITEM 1 — FINANCIAL STATEMENTS</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CLEARWAY ENERGY LLC</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54"/>
        </w:trPr>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Revenues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0"/>
        </w:trPr>
        <w:tc>
          <w:tcPr>
            <w:tcW w:w="77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Total operating revenues</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w:t>
            </w:r>
          </w:p>
        </w:tc>
      </w:tr>
      <w:tr>
        <w:trPr>
          <w:trHeight w:val="16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Costs and Expenses</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80"/>
        </w:trPr>
        <w:tc>
          <w:tcPr>
            <w:tcW w:w="7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Cost of operations, exclusive of depreciation, amortization and accretion shown separately below</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r>
      <w:tr>
        <w:trPr>
          <w:trHeight w:val="180"/>
        </w:trPr>
        <w:tc>
          <w:tcPr>
            <w:tcW w:w="7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r>
      <w:tr>
        <w:trPr>
          <w:trHeight w:val="180"/>
        </w:trPr>
        <w:tc>
          <w:tcPr>
            <w:tcW w:w="7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0"/>
        </w:trPr>
        <w:tc>
          <w:tcPr>
            <w:tcW w:w="7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Transaction and integration costs</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7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Total operating costs and expenses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w:t>
            </w:r>
          </w:p>
        </w:tc>
      </w:tr>
      <w:tr>
        <w:trPr>
          <w:trHeight w:val="171"/>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(Loss) Income</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60"/>
        </w:trPr>
        <w:tc>
          <w:tcPr>
            <w:tcW w:w="7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0"/>
        </w:trPr>
        <w:tc>
          <w:tcPr>
            <w:tcW w:w="7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Equity in earnings (losses) of unconsolidated affiliates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7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income, net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0"/>
        </w:trPr>
        <w:tc>
          <w:tcPr>
            <w:tcW w:w="7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7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171"/>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other expense, net</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171"/>
        </w:trPr>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71"/>
        </w:trPr>
        <w:tc>
          <w:tcPr>
            <w:tcW w:w="7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Less: Net loss attributable to noncontrolling interests and redeemable noncontrolling interests</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71"/>
        </w:trPr>
        <w:tc>
          <w:tcPr>
            <w:tcW w:w="7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Loss Attributable to Clearway Energy LLC</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0"/>
        </w:trPr>
        <w:tc>
          <w:tcPr>
            <w:tcW w:w="7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40"/>
          </w:cols>
          <w:pgMar w:left="580" w:top="728" w:right="57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CLEARWAY ENERGY LLC</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LOSS</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4"/>
          </w:tcPr>
          <w:p>
            <w:pPr>
              <w:jc w:val="right"/>
              <w:ind w:right="671"/>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54"/>
        </w:trPr>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80"/>
        </w:trPr>
        <w:tc>
          <w:tcPr>
            <w:tcW w:w="7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Comprehensive Loss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0"/>
        </w:trPr>
        <w:tc>
          <w:tcPr>
            <w:tcW w:w="7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Unrealized loss on derivatives and changes in accumulated OCI</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1"/>
        </w:trPr>
        <w:tc>
          <w:tcPr>
            <w:tcW w:w="77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 comprehensive loss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1"/>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80"/>
        </w:trPr>
        <w:tc>
          <w:tcPr>
            <w:tcW w:w="77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Less: Comprehensive loss attributable to noncontrolling interests and redeemable noncontrolling interests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96"/>
        </w:trPr>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Comprehensive Loss Attributable to Clearway Energy LLC</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40"/>
          </w:cols>
          <w:pgMar w:left="580" w:top="728" w:right="57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CLEARWAY ENERGY LLC</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61"/>
        </w:trPr>
        <w:tc>
          <w:tcPr>
            <w:tcW w:w="7640" w:type="dxa"/>
            <w:vAlign w:val="bottom"/>
          </w:tcPr>
          <w:p>
            <w:pPr>
              <w:ind w:left="35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tcPr>
          <w:p>
            <w:pPr>
              <w:spacing w:after="0"/>
              <w:rPr>
                <w:sz w:val="13"/>
                <w:szCs w:val="13"/>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Restricted cash</w:t>
            </w: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0" w:type="dxa"/>
            <w:vAlign w:val="bottom"/>
          </w:tcPr>
          <w:p>
            <w:pPr>
              <w:spacing w:after="0"/>
              <w:rPr>
                <w:sz w:val="1"/>
                <w:szCs w:val="1"/>
                <w:color w:val="auto"/>
              </w:rPr>
            </w:pPr>
          </w:p>
        </w:tc>
      </w:tr>
      <w:tr>
        <w:trPr>
          <w:trHeight w:val="180"/>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receivable — trade</w:t>
            </w: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Inventory</w:t>
            </w: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80"/>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Derivative instruments</w:t>
            </w: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Note receivable — affiliate</w:t>
            </w: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180"/>
        </w:trPr>
        <w:tc>
          <w:tcPr>
            <w:tcW w:w="7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Prepayments and other current assets</w:t>
            </w: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71"/>
        </w:trPr>
        <w:tc>
          <w:tcPr>
            <w:tcW w:w="7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current assets</w:t>
            </w:r>
          </w:p>
        </w:tc>
        <w:tc>
          <w:tcPr>
            <w:tcW w:w="30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1,481</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w:t>
            </w:r>
          </w:p>
        </w:tc>
        <w:tc>
          <w:tcPr>
            <w:tcW w:w="0" w:type="dxa"/>
            <w:vAlign w:val="bottom"/>
          </w:tcPr>
          <w:p>
            <w:pPr>
              <w:spacing w:after="0"/>
              <w:rPr>
                <w:sz w:val="1"/>
                <w:szCs w:val="1"/>
                <w:color w:val="auto"/>
              </w:rPr>
            </w:pPr>
          </w:p>
        </w:tc>
      </w:tr>
      <w:tr>
        <w:trPr>
          <w:trHeight w:val="171"/>
        </w:trPr>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Property, plant and equipment, net</w:t>
            </w: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9,746</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9,526</w:t>
            </w:r>
          </w:p>
        </w:tc>
        <w:tc>
          <w:tcPr>
            <w:tcW w:w="0" w:type="dxa"/>
            <w:vAlign w:val="bottom"/>
          </w:tcPr>
          <w:p>
            <w:pPr>
              <w:spacing w:after="0"/>
              <w:rPr>
                <w:sz w:val="1"/>
                <w:szCs w:val="1"/>
                <w:color w:val="auto"/>
              </w:rPr>
            </w:pPr>
          </w:p>
        </w:tc>
      </w:tr>
      <w:tr>
        <w:trPr>
          <w:trHeight w:val="160"/>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Assets</w:t>
            </w:r>
          </w:p>
        </w:tc>
        <w:tc>
          <w:tcPr>
            <w:tcW w:w="3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investments in affiliates</w:t>
            </w: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Intangible assets for power purchase agreements, net</w:t>
            </w: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2,303</w:t>
            </w:r>
          </w:p>
        </w:tc>
        <w:tc>
          <w:tcPr>
            <w:tcW w:w="0" w:type="dxa"/>
            <w:vAlign w:val="bottom"/>
          </w:tcPr>
          <w:p>
            <w:pPr>
              <w:spacing w:after="0"/>
              <w:rPr>
                <w:sz w:val="1"/>
                <w:szCs w:val="1"/>
                <w:color w:val="auto"/>
              </w:rPr>
            </w:pPr>
          </w:p>
        </w:tc>
      </w:tr>
      <w:tr>
        <w:trPr>
          <w:trHeight w:val="180"/>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Derivative instruments</w:t>
            </w: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80"/>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Right-of-use assets, net</w:t>
            </w: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non-current assets</w:t>
            </w:r>
          </w:p>
        </w:tc>
        <w:tc>
          <w:tcPr>
            <w:tcW w:w="3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0" w:type="dxa"/>
            <w:vAlign w:val="bottom"/>
          </w:tcPr>
          <w:p>
            <w:pPr>
              <w:spacing w:after="0"/>
              <w:rPr>
                <w:sz w:val="1"/>
                <w:szCs w:val="1"/>
                <w:color w:val="auto"/>
              </w:rPr>
            </w:pPr>
          </w:p>
        </w:tc>
      </w:tr>
      <w:tr>
        <w:trPr>
          <w:trHeight w:val="171"/>
        </w:trPr>
        <w:tc>
          <w:tcPr>
            <w:tcW w:w="76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Total other assets</w:t>
            </w: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3,615</w:t>
            </w:r>
          </w:p>
        </w:tc>
        <w:tc>
          <w:tcPr>
            <w:tcW w:w="0" w:type="dxa"/>
            <w:vAlign w:val="bottom"/>
          </w:tcPr>
          <w:p>
            <w:pPr>
              <w:spacing w:after="0"/>
              <w:rPr>
                <w:sz w:val="1"/>
                <w:szCs w:val="1"/>
                <w:color w:val="auto"/>
              </w:rPr>
            </w:pPr>
          </w:p>
        </w:tc>
      </w:tr>
      <w:tr>
        <w:trPr>
          <w:trHeight w:val="196"/>
        </w:trPr>
        <w:tc>
          <w:tcPr>
            <w:tcW w:w="7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14,688</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500"/>
              <w:spacing w:after="0"/>
              <w:rPr>
                <w:sz w:val="20"/>
                <w:szCs w:val="20"/>
                <w:color w:val="auto"/>
              </w:rPr>
            </w:pPr>
            <w:r>
              <w:rPr>
                <w:rFonts w:ascii="Times New Roman" w:cs="Times New Roman" w:eastAsia="Times New Roman" w:hAnsi="Times New Roman"/>
                <w:sz w:val="14"/>
                <w:szCs w:val="14"/>
                <w:b w:val="1"/>
                <w:bCs w:val="1"/>
                <w:color w:val="auto"/>
              </w:rPr>
              <w:t>LIABILITIES AND MEMBERS’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64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portion of long-term debt — external</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portion of long-term debt — affiliate</w:t>
            </w: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 — trade</w:t>
            </w: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 — affiliates</w:t>
            </w: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80"/>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Derivative instruments</w:t>
            </w: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interest expense</w:t>
            </w: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80"/>
        </w:trPr>
        <w:tc>
          <w:tcPr>
            <w:tcW w:w="7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71"/>
        </w:trPr>
        <w:tc>
          <w:tcPr>
            <w:tcW w:w="7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0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0" w:type="dxa"/>
            <w:vAlign w:val="bottom"/>
          </w:tcPr>
          <w:p>
            <w:pPr>
              <w:spacing w:after="0"/>
              <w:rPr>
                <w:sz w:val="1"/>
                <w:szCs w:val="1"/>
                <w:color w:val="auto"/>
              </w:rPr>
            </w:pPr>
          </w:p>
        </w:tc>
      </w:tr>
      <w:tr>
        <w:trPr>
          <w:trHeight w:val="160"/>
        </w:trPr>
        <w:tc>
          <w:tcPr>
            <w:tcW w:w="7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Liabilities</w:t>
            </w:r>
          </w:p>
        </w:tc>
        <w:tc>
          <w:tcPr>
            <w:tcW w:w="3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debt — external</w:t>
            </w: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7,479</w:t>
            </w:r>
          </w:p>
        </w:tc>
        <w:tc>
          <w:tcPr>
            <w:tcW w:w="0" w:type="dxa"/>
            <w:vAlign w:val="bottom"/>
          </w:tcPr>
          <w:p>
            <w:pPr>
              <w:spacing w:after="0"/>
              <w:rPr>
                <w:sz w:val="1"/>
                <w:szCs w:val="1"/>
                <w:color w:val="auto"/>
              </w:rPr>
            </w:pPr>
          </w:p>
        </w:tc>
      </w:tr>
      <w:tr>
        <w:trPr>
          <w:trHeight w:val="180"/>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income taxes</w:t>
            </w: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Derivative instruments</w:t>
            </w: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0" w:type="dxa"/>
            <w:vAlign w:val="bottom"/>
          </w:tcPr>
          <w:p>
            <w:pPr>
              <w:spacing w:after="0"/>
              <w:rPr>
                <w:sz w:val="1"/>
                <w:szCs w:val="1"/>
                <w:color w:val="auto"/>
              </w:rPr>
            </w:pPr>
          </w:p>
        </w:tc>
      </w:tr>
      <w:tr>
        <w:trPr>
          <w:trHeight w:val="180"/>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3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0" w:type="dxa"/>
            <w:vAlign w:val="bottom"/>
          </w:tcPr>
          <w:p>
            <w:pPr>
              <w:spacing w:after="0"/>
              <w:rPr>
                <w:sz w:val="1"/>
                <w:szCs w:val="1"/>
                <w:color w:val="auto"/>
              </w:rPr>
            </w:pPr>
          </w:p>
        </w:tc>
      </w:tr>
      <w:tr>
        <w:trPr>
          <w:trHeight w:val="171"/>
        </w:trPr>
        <w:tc>
          <w:tcPr>
            <w:tcW w:w="76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Total other liabilities</w:t>
            </w: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8,827</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8,671</w:t>
            </w:r>
          </w:p>
        </w:tc>
        <w:tc>
          <w:tcPr>
            <w:tcW w:w="0" w:type="dxa"/>
            <w:vAlign w:val="bottom"/>
          </w:tcPr>
          <w:p>
            <w:pPr>
              <w:spacing w:after="0"/>
              <w:rPr>
                <w:sz w:val="1"/>
                <w:szCs w:val="1"/>
                <w:color w:val="auto"/>
              </w:rPr>
            </w:pPr>
          </w:p>
        </w:tc>
      </w:tr>
      <w:tr>
        <w:trPr>
          <w:trHeight w:val="171"/>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30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9,706</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9,582</w:t>
            </w:r>
          </w:p>
        </w:tc>
        <w:tc>
          <w:tcPr>
            <w:tcW w:w="0" w:type="dxa"/>
            <w:vAlign w:val="bottom"/>
          </w:tcPr>
          <w:p>
            <w:pPr>
              <w:spacing w:after="0"/>
              <w:rPr>
                <w:sz w:val="1"/>
                <w:szCs w:val="1"/>
                <w:color w:val="auto"/>
              </w:rPr>
            </w:pPr>
          </w:p>
        </w:tc>
      </w:tr>
      <w:tr>
        <w:trPr>
          <w:trHeight w:val="171"/>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Redeemable noncontrolling interest in subsidiaries</w:t>
            </w: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0"/>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3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Members’ Equity</w:t>
            </w: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Contributed capital</w:t>
            </w: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w:t>
            </w:r>
          </w:p>
        </w:tc>
        <w:tc>
          <w:tcPr>
            <w:tcW w:w="0" w:type="dxa"/>
            <w:vAlign w:val="bottom"/>
          </w:tcPr>
          <w:p>
            <w:pPr>
              <w:spacing w:after="0"/>
              <w:rPr>
                <w:sz w:val="1"/>
                <w:szCs w:val="1"/>
                <w:color w:val="auto"/>
              </w:rPr>
            </w:pPr>
          </w:p>
        </w:tc>
      </w:tr>
      <w:tr>
        <w:trPr>
          <w:trHeight w:val="180"/>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Retained earnings</w:t>
            </w: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0"/>
        </w:trPr>
        <w:tc>
          <w:tcPr>
            <w:tcW w:w="7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Noncontrolling interest</w:t>
            </w: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2,764</w:t>
            </w:r>
          </w:p>
        </w:tc>
        <w:tc>
          <w:tcPr>
            <w:tcW w:w="0" w:type="dxa"/>
            <w:vAlign w:val="bottom"/>
          </w:tcPr>
          <w:p>
            <w:pPr>
              <w:spacing w:after="0"/>
              <w:rPr>
                <w:sz w:val="1"/>
                <w:szCs w:val="1"/>
                <w:color w:val="auto"/>
              </w:rPr>
            </w:pPr>
          </w:p>
        </w:tc>
      </w:tr>
      <w:tr>
        <w:trPr>
          <w:trHeight w:val="171"/>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Members’ Equity</w:t>
            </w:r>
          </w:p>
        </w:tc>
        <w:tc>
          <w:tcPr>
            <w:tcW w:w="30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5,138</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5,105</w:t>
            </w:r>
          </w:p>
        </w:tc>
        <w:tc>
          <w:tcPr>
            <w:tcW w:w="0" w:type="dxa"/>
            <w:vAlign w:val="bottom"/>
          </w:tcPr>
          <w:p>
            <w:pPr>
              <w:spacing w:after="0"/>
              <w:rPr>
                <w:sz w:val="1"/>
                <w:szCs w:val="1"/>
                <w:color w:val="auto"/>
              </w:rPr>
            </w:pPr>
          </w:p>
        </w:tc>
      </w:tr>
      <w:tr>
        <w:trPr>
          <w:trHeight w:val="171"/>
        </w:trPr>
        <w:tc>
          <w:tcPr>
            <w:tcW w:w="7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Members’ Equity</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14,846</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14,688</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28" w:right="319" w:bottom="1440" w:gutter="0" w:footer="0" w:header="0"/>
        </w:sectPr>
      </w:pPr>
    </w:p>
    <w:bookmarkStart w:id="8" w:name="page9"/>
    <w:bookmarkEnd w:id="8"/>
    <w:p>
      <w:pPr>
        <w:ind w:left="5020"/>
        <w:spacing w:after="0"/>
        <w:rPr>
          <w:sz w:val="20"/>
          <w:szCs w:val="20"/>
          <w:color w:val="auto"/>
        </w:rPr>
      </w:pPr>
      <w:r>
        <w:rPr>
          <w:rFonts w:ascii="Times New Roman" w:cs="Times New Roman" w:eastAsia="Times New Roman" w:hAnsi="Times New Roman"/>
          <w:sz w:val="14"/>
          <w:szCs w:val="14"/>
          <w:b w:val="1"/>
          <w:bCs w:val="1"/>
          <w:color w:val="auto"/>
        </w:rPr>
        <w:t>CLEARWAY ENERGY LLC</w:t>
      </w:r>
    </w:p>
    <w:p>
      <w:pPr>
        <w:spacing w:after="0" w:line="5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4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54"/>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6"/>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80"/>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80"/>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Equity in (earnings) losses of unconsolidated affiliates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Distributions from unconsolidated affiliates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Amortization of financing costs and debt discounts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Amortization of intangibles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Reduction in carrying amount of right-of-use assets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Changes in derivative instruments and amortization of accumulated OCI</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8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used in changes in other working capital:</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Changes in prepaid and accrued liabilities for tolling agreements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80"/>
        </w:trPr>
        <w:tc>
          <w:tcPr>
            <w:tcW w:w="84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Changes in other working capital</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7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60"/>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Acquisition of Drop Down Assets, net of cash acquired</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Capital expenditures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Return of investment from unconsolidated affiliates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0"/>
        </w:trPr>
        <w:tc>
          <w:tcPr>
            <w:tcW w:w="84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160"/>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Contributions from noncontrolling interests, net of distributions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(Distributions to) contributions from CEG, net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Payments of distributions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the issuance of long-term debt — external</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Payments of debt issuance costs</w:t>
            </w: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84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Payments for long-term debt — external</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w:t>
            </w:r>
          </w:p>
        </w:tc>
      </w:tr>
      <w:tr>
        <w:trPr>
          <w:trHeight w:val="17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71"/>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Increase in Cash, Cash Equivalents and Restricted Cash</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w:t>
            </w:r>
          </w:p>
        </w:tc>
      </w:tr>
      <w:tr>
        <w:trPr>
          <w:trHeight w:val="171"/>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963</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1,013</w:t>
            </w:r>
          </w:p>
        </w:tc>
      </w:tr>
      <w:tr>
        <w:trPr>
          <w:trHeight w:val="20"/>
        </w:trPr>
        <w:tc>
          <w:tcPr>
            <w:tcW w:w="8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9" w:name="page10"/>
    <w:bookmarkEnd w:id="9"/>
    <w:p>
      <w:pPr>
        <w:ind w:left="4720"/>
        <w:spacing w:after="0"/>
        <w:rPr>
          <w:sz w:val="20"/>
          <w:szCs w:val="20"/>
          <w:color w:val="auto"/>
        </w:rPr>
      </w:pPr>
      <w:r>
        <w:rPr>
          <w:rFonts w:ascii="Times New Roman" w:cs="Times New Roman" w:eastAsia="Times New Roman" w:hAnsi="Times New Roman"/>
          <w:sz w:val="14"/>
          <w:szCs w:val="14"/>
          <w:b w:val="1"/>
          <w:bCs w:val="1"/>
          <w:color w:val="auto"/>
        </w:rPr>
        <w:t>CLEARWAY ENERGY LLC</w:t>
      </w:r>
    </w:p>
    <w:p>
      <w:pPr>
        <w:spacing w:after="0" w:line="13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4"/>
          <w:szCs w:val="14"/>
          <w:b w:val="1"/>
          <w:bCs w:val="1"/>
          <w:color w:val="auto"/>
        </w:rPr>
        <w:t>CONSOLIDATED STATEMENTS OF MEMBERS’ EQUITY</w:t>
      </w:r>
    </w:p>
    <w:p>
      <w:pPr>
        <w:spacing w:after="0" w:line="13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2024</w:t>
      </w:r>
    </w:p>
    <w:p>
      <w:pPr>
        <w:spacing w:after="0" w:line="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80" w:type="dxa"/>
            <w:vAlign w:val="bottom"/>
          </w:tcPr>
          <w:p>
            <w:pPr>
              <w:spacing w:after="0"/>
              <w:rPr>
                <w:sz w:val="11"/>
                <w:szCs w:val="11"/>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jc w:val="center"/>
              <w:ind w:right="177"/>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15"/>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16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Contributed Capital</w:t>
            </w:r>
          </w:p>
        </w:tc>
        <w:tc>
          <w:tcPr>
            <w:tcW w:w="1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Other</w:t>
            </w:r>
          </w:p>
        </w:tc>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Noncontrolling Interest</w:t>
            </w:r>
          </w:p>
        </w:tc>
        <w:tc>
          <w:tcPr>
            <w:tcW w:w="2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5300" w:type="dxa"/>
            <w:vAlign w:val="bottom"/>
            <w:vMerge w:val="continue"/>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80" w:type="dxa"/>
            <w:vAlign w:val="bottom"/>
          </w:tcPr>
          <w:p>
            <w:pPr>
              <w:spacing w:after="0"/>
              <w:rPr>
                <w:sz w:val="13"/>
                <w:szCs w:val="13"/>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Comprehensive Income</w:t>
            </w:r>
          </w:p>
        </w:tc>
        <w:tc>
          <w:tcPr>
            <w:tcW w:w="1360" w:type="dxa"/>
            <w:vAlign w:val="bottom"/>
            <w:gridSpan w:val="3"/>
            <w:vMerge w:val="continue"/>
          </w:tcPr>
          <w:p>
            <w:pPr>
              <w:spacing w:after="0"/>
              <w:rPr>
                <w:sz w:val="13"/>
                <w:szCs w:val="13"/>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Members’ Equity</w:t>
            </w:r>
          </w:p>
        </w:tc>
        <w:tc>
          <w:tcPr>
            <w:tcW w:w="0" w:type="dxa"/>
            <w:vAlign w:val="bottom"/>
          </w:tcPr>
          <w:p>
            <w:pPr>
              <w:spacing w:after="0"/>
              <w:rPr>
                <w:sz w:val="1"/>
                <w:szCs w:val="1"/>
                <w:color w:val="auto"/>
              </w:rPr>
            </w:pPr>
          </w:p>
        </w:tc>
      </w:tr>
      <w:tr>
        <w:trPr>
          <w:trHeight w:val="165"/>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2023</w:t>
            </w:r>
          </w:p>
        </w:tc>
        <w:tc>
          <w:tcPr>
            <w:tcW w:w="400" w:type="dxa"/>
            <w:vAlign w:val="bottom"/>
            <w:tcBorders>
              <w:top w:val="single" w:sz="8" w:color="auto"/>
            </w:tcBorders>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1,299</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1,027</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2,764</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5,105</w:t>
            </w:r>
          </w:p>
        </w:tc>
        <w:tc>
          <w:tcPr>
            <w:tcW w:w="0" w:type="dxa"/>
            <w:vAlign w:val="bottom"/>
          </w:tcPr>
          <w:p>
            <w:pPr>
              <w:spacing w:after="0"/>
              <w:rPr>
                <w:sz w:val="1"/>
                <w:szCs w:val="1"/>
                <w:color w:val="auto"/>
              </w:rPr>
            </w:pPr>
          </w:p>
        </w:tc>
      </w:tr>
      <w:tr>
        <w:trPr>
          <w:trHeight w:val="168"/>
        </w:trPr>
        <w:tc>
          <w:tcPr>
            <w:tcW w:w="5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loss</w:t>
            </w:r>
          </w:p>
        </w:tc>
        <w:tc>
          <w:tcPr>
            <w:tcW w:w="4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0" w:type="dxa"/>
            <w:vAlign w:val="bottom"/>
          </w:tcPr>
          <w:p>
            <w:pPr>
              <w:spacing w:after="0"/>
              <w:rPr>
                <w:sz w:val="1"/>
                <w:szCs w:val="1"/>
                <w:color w:val="auto"/>
              </w:rPr>
            </w:pPr>
          </w:p>
        </w:tc>
      </w:tr>
      <w:tr>
        <w:trPr>
          <w:trHeight w:val="172"/>
        </w:trPr>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Unrealized (loss) gain on derivatives and changes in accumulated OCI</w:t>
            </w:r>
          </w:p>
        </w:tc>
        <w:tc>
          <w:tcPr>
            <w:tcW w:w="4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5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Distributions to CEG, net of contributions, cash</w:t>
            </w: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2"/>
        </w:trPr>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Contributions from noncontrolling interests, net of distributions, cash</w:t>
            </w:r>
          </w:p>
        </w:tc>
        <w:tc>
          <w:tcPr>
            <w:tcW w:w="4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0" w:type="dxa"/>
            <w:vAlign w:val="bottom"/>
          </w:tcPr>
          <w:p>
            <w:pPr>
              <w:spacing w:after="0"/>
              <w:rPr>
                <w:sz w:val="1"/>
                <w:szCs w:val="1"/>
                <w:color w:val="auto"/>
              </w:rPr>
            </w:pPr>
          </w:p>
        </w:tc>
      </w:tr>
      <w:tr>
        <w:trPr>
          <w:trHeight w:val="168"/>
        </w:trPr>
        <w:tc>
          <w:tcPr>
            <w:tcW w:w="5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Transfers of assets under common control</w:t>
            </w: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72"/>
        </w:trPr>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Distributions paid to Clearway, Inc.</w:t>
            </w:r>
          </w:p>
        </w:tc>
        <w:tc>
          <w:tcPr>
            <w:tcW w:w="4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168"/>
        </w:trPr>
        <w:tc>
          <w:tcPr>
            <w:tcW w:w="5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Distributions paid to CEG Class B and Class D unit holders</w:t>
            </w:r>
          </w:p>
        </w:tc>
        <w:tc>
          <w:tcPr>
            <w:tcW w:w="4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172"/>
        </w:trPr>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4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0"/>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March 31, 2024</w:t>
            </w:r>
          </w:p>
        </w:tc>
        <w:tc>
          <w:tcPr>
            <w:tcW w:w="400" w:type="dxa"/>
            <w:vAlign w:val="bottom"/>
            <w:tcBorders>
              <w:top w:val="single" w:sz="8" w:color="auto"/>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1,260</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920</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2,947</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5,138</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8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vMerge w:val="restart"/>
          </w:tcPr>
          <w:p>
            <w:pPr>
              <w:jc w:val="center"/>
              <w:ind w:right="177"/>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17"/>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16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Contributed Capital</w:t>
            </w:r>
          </w:p>
        </w:tc>
        <w:tc>
          <w:tcPr>
            <w:tcW w:w="16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Other</w:t>
            </w:r>
          </w:p>
        </w:tc>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Noncontrolling Interest</w:t>
            </w:r>
          </w:p>
        </w:tc>
        <w:tc>
          <w:tcPr>
            <w:tcW w:w="2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5300" w:type="dxa"/>
            <w:vAlign w:val="bottom"/>
            <w:vMerge w:val="continue"/>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80" w:type="dxa"/>
            <w:vAlign w:val="bottom"/>
          </w:tcPr>
          <w:p>
            <w:pPr>
              <w:spacing w:after="0"/>
              <w:rPr>
                <w:sz w:val="13"/>
                <w:szCs w:val="13"/>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Comprehensive Income</w:t>
            </w:r>
          </w:p>
        </w:tc>
        <w:tc>
          <w:tcPr>
            <w:tcW w:w="1360" w:type="dxa"/>
            <w:vAlign w:val="bottom"/>
            <w:gridSpan w:val="3"/>
            <w:vMerge w:val="continue"/>
          </w:tcPr>
          <w:p>
            <w:pPr>
              <w:spacing w:after="0"/>
              <w:rPr>
                <w:sz w:val="13"/>
                <w:szCs w:val="13"/>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Members’ Equity</w:t>
            </w:r>
          </w:p>
        </w:tc>
        <w:tc>
          <w:tcPr>
            <w:tcW w:w="0" w:type="dxa"/>
            <w:vAlign w:val="bottom"/>
          </w:tcPr>
          <w:p>
            <w:pPr>
              <w:spacing w:after="0"/>
              <w:rPr>
                <w:sz w:val="1"/>
                <w:szCs w:val="1"/>
                <w:color w:val="auto"/>
              </w:rPr>
            </w:pPr>
          </w:p>
        </w:tc>
      </w:tr>
      <w:tr>
        <w:trPr>
          <w:trHeight w:val="166"/>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2022</w:t>
            </w:r>
          </w:p>
        </w:tc>
        <w:tc>
          <w:tcPr>
            <w:tcW w:w="400" w:type="dxa"/>
            <w:vAlign w:val="bottom"/>
            <w:tcBorders>
              <w:top w:val="single" w:sz="8" w:color="auto"/>
            </w:tcBorders>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1,308</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1,240</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4,160</w:t>
            </w:r>
          </w:p>
        </w:tc>
        <w:tc>
          <w:tcPr>
            <w:tcW w:w="0" w:type="dxa"/>
            <w:vAlign w:val="bottom"/>
          </w:tcPr>
          <w:p>
            <w:pPr>
              <w:spacing w:after="0"/>
              <w:rPr>
                <w:sz w:val="1"/>
                <w:szCs w:val="1"/>
                <w:color w:val="auto"/>
              </w:rPr>
            </w:pPr>
          </w:p>
        </w:tc>
      </w:tr>
      <w:tr>
        <w:trPr>
          <w:trHeight w:val="168"/>
        </w:trPr>
        <w:tc>
          <w:tcPr>
            <w:tcW w:w="5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loss</w:t>
            </w:r>
          </w:p>
        </w:tc>
        <w:tc>
          <w:tcPr>
            <w:tcW w:w="4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0" w:type="dxa"/>
            <w:vAlign w:val="bottom"/>
          </w:tcPr>
          <w:p>
            <w:pPr>
              <w:spacing w:after="0"/>
              <w:rPr>
                <w:sz w:val="1"/>
                <w:szCs w:val="1"/>
                <w:color w:val="auto"/>
              </w:rPr>
            </w:pPr>
          </w:p>
        </w:tc>
      </w:tr>
      <w:tr>
        <w:trPr>
          <w:trHeight w:val="172"/>
        </w:trPr>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Unrealized loss on derivatives and changes in accumulated OCI</w:t>
            </w:r>
          </w:p>
        </w:tc>
        <w:tc>
          <w:tcPr>
            <w:tcW w:w="4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8"/>
        </w:trPr>
        <w:tc>
          <w:tcPr>
            <w:tcW w:w="5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Contributions from CEG, net of distributions, cash</w:t>
            </w: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72"/>
        </w:trPr>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Contributions from noncontrolling interests, net of distributions, cash</w:t>
            </w:r>
          </w:p>
        </w:tc>
        <w:tc>
          <w:tcPr>
            <w:tcW w:w="4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0" w:type="dxa"/>
            <w:vAlign w:val="bottom"/>
          </w:tcPr>
          <w:p>
            <w:pPr>
              <w:spacing w:after="0"/>
              <w:rPr>
                <w:sz w:val="1"/>
                <w:szCs w:val="1"/>
                <w:color w:val="auto"/>
              </w:rPr>
            </w:pPr>
          </w:p>
        </w:tc>
      </w:tr>
      <w:tr>
        <w:trPr>
          <w:trHeight w:val="168"/>
        </w:trPr>
        <w:tc>
          <w:tcPr>
            <w:tcW w:w="5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Transfers of assets under common control</w:t>
            </w: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72"/>
        </w:trPr>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Distributions paid to Clearway, Inc.</w:t>
            </w:r>
          </w:p>
        </w:tc>
        <w:tc>
          <w:tcPr>
            <w:tcW w:w="4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68"/>
        </w:trPr>
        <w:tc>
          <w:tcPr>
            <w:tcW w:w="5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Distributions paid to CEG Class B and Class D unit holders</w:t>
            </w:r>
          </w:p>
        </w:tc>
        <w:tc>
          <w:tcPr>
            <w:tcW w:w="4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0" w:type="dxa"/>
            <w:vAlign w:val="bottom"/>
          </w:tcPr>
          <w:p>
            <w:pPr>
              <w:spacing w:after="0"/>
              <w:rPr>
                <w:sz w:val="1"/>
                <w:szCs w:val="1"/>
                <w:color w:val="auto"/>
              </w:rPr>
            </w:pPr>
          </w:p>
        </w:tc>
      </w:tr>
      <w:tr>
        <w:trPr>
          <w:trHeight w:val="188"/>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March 31, 2023</w:t>
            </w:r>
          </w:p>
        </w:tc>
        <w:tc>
          <w:tcPr>
            <w:tcW w:w="400" w:type="dxa"/>
            <w:vAlign w:val="bottom"/>
            <w:tcBorders>
              <w:top w:val="single" w:sz="8" w:color="auto"/>
              <w:bottom w:val="single" w:sz="8" w:color="auto"/>
            </w:tcBorders>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4,264</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40" w:top="728"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CLEARWAY ENERGY LLC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1 — </w:t>
      </w:r>
      <w:r>
        <w:rPr>
          <w:rFonts w:ascii="Times New Roman" w:cs="Times New Roman" w:eastAsia="Times New Roman" w:hAnsi="Times New Roman"/>
          <w:sz w:val="14"/>
          <w:szCs w:val="14"/>
          <w:b w:val="1"/>
          <w:bCs w:val="1"/>
          <w:i w:val="1"/>
          <w:iCs w:val="1"/>
          <w:color w:val="auto"/>
        </w:rPr>
        <w:t>Nature of Business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Clearway Energy LLC, together with its consolidated subsidiaries, or the Company, is an energy infrastructure investor with a focus on investments in clean energy and owner of modern, sustainable and long-term contracted assets across North America. The Company is sponsored by GIP and TotalEnergies through the portfolio company, Clearway Energy Group LLC, or CEG, which is equally owned by GIP and TotalEnergies. GIP is an independent infrastructure fund manager that makes equity and debt investments in infrastructure assets and businesses. TotalEnergies is a global multi-energy company. CEG is a leading developer of renewable energy infrastructure in the U.S.</w:t>
      </w:r>
    </w:p>
    <w:p>
      <w:pPr>
        <w:spacing w:after="0" w:line="9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The Company is one of the largest renewable energy owners in the U.S. with approximately 6,200 net MW of installed wind, solar and battery energy storage system, or BESS, facilities. The Company’s approximately 8,700 net MW of assets also includes approximately 2,500 net MW of environmentally-sound, highly efficient natural gas-fired generation facilities. Through this environmentally-sound, diversified and primarily contracted portfolio, the Company endeavors to increase distributions to its unit holders. </w:t>
      </w:r>
      <w:r>
        <w:rPr>
          <w:rFonts w:ascii="Times New Roman" w:cs="Times New Roman" w:eastAsia="Times New Roman" w:hAnsi="Times New Roman"/>
          <w:sz w:val="14"/>
          <w:szCs w:val="14"/>
          <w:color w:val="231F20"/>
        </w:rPr>
        <w:t>The majority</w:t>
      </w:r>
      <w:r>
        <w:rPr>
          <w:rFonts w:ascii="Times New Roman" w:cs="Times New Roman" w:eastAsia="Times New Roman" w:hAnsi="Times New Roman"/>
          <w:sz w:val="14"/>
          <w:szCs w:val="14"/>
          <w:color w:val="auto"/>
        </w:rPr>
        <w:t xml:space="preserve"> of the Company’s revenues are derived from long-term contractual arrangements for the output or capacity from these assets.</w:t>
      </w:r>
    </w:p>
    <w:p>
      <w:pPr>
        <w:spacing w:after="0" w:line="9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Clearway Energy, Inc., or Clearway, Inc., consolidates the results of the Company through its controlling interest, with CEG’s interest shown as contributed capital in the Company’s consolidated financial statements. The holders of Clearway, Inc.’s outstanding shares of Class A and Class C common stock are entitled to dividends as declared. CEG receives its distributions from the Company through its ownership of the Company’s Class B and Class D units.</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March 31, 2024, Clearway, Inc. owned 57.90% of the economic interests of the Company, with CEG owning 42.10% of the economic interests of the Company.</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1" w:name="page12"/>
    <w:bookmarkEnd w:id="11"/>
    <w:p>
      <w:pPr>
        <w:ind w:left="320"/>
        <w:spacing w:after="0"/>
        <w:rPr>
          <w:sz w:val="20"/>
          <w:szCs w:val="20"/>
          <w:color w:val="auto"/>
        </w:rPr>
      </w:pPr>
      <w:r>
        <w:rPr>
          <w:rFonts w:ascii="Times New Roman" w:cs="Times New Roman" w:eastAsia="Times New Roman" w:hAnsi="Times New Roman"/>
          <w:sz w:val="14"/>
          <w:szCs w:val="14"/>
          <w:color w:val="auto"/>
        </w:rPr>
        <w:t>The following table represents a summarized structure of the Company as of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4608195" cy="3388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608195" cy="338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of Presentation</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2023 Form 10-K. Interim results are not necessarily indicative of results for a full year.</w:t>
      </w:r>
    </w:p>
    <w:p>
      <w:pPr>
        <w:spacing w:after="0" w:line="9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In the opinion of management, the accompanying unaudited interim consolidated financial statements contain all material adjustments consisting of normal and recurring accruals necessary to present fairly the Company’s consolidated financial position as of March 31, 2024, and results of operations, comprehensive loss and cash flows for the three months ended March 31, 2024 and 2023.</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2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Summary of Significant Accounting Policies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i w:val="1"/>
          <w:iCs w:val="1"/>
          <w:color w:val="auto"/>
        </w:rPr>
        <w:t>Cash, Cash Equivalents and Restricted Cash</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Cash and cash equivalents include highly liquid investments with an original maturity of three months or less at the time of purchase. Cash and cash equivalents held at subsidiary facilities was $141 million and $125 million as of March 31, 2024 and December 31, 2023, respectively.</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14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61"/>
        </w:trPr>
        <w:tc>
          <w:tcPr>
            <w:tcW w:w="7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00" w:type="dxa"/>
            <w:vAlign w:val="bottom"/>
          </w:tcPr>
          <w:p>
            <w:pPr>
              <w:spacing w:after="0"/>
              <w:rPr>
                <w:sz w:val="14"/>
                <w:szCs w:val="14"/>
                <w:color w:val="auto"/>
              </w:rPr>
            </w:pPr>
          </w:p>
        </w:tc>
      </w:tr>
      <w:tr>
        <w:trPr>
          <w:trHeight w:val="18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60" w:type="dxa"/>
            <w:vAlign w:val="bottom"/>
            <w:shd w:val="clear" w:color="auto" w:fill="CCEEFF"/>
          </w:tcPr>
          <w:p>
            <w:pPr>
              <w:jc w:val="right"/>
              <w:ind w:right="1312"/>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w:t>
            </w:r>
          </w:p>
        </w:tc>
      </w:tr>
      <w:tr>
        <w:trPr>
          <w:trHeight w:val="180"/>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4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w:t>
            </w:r>
          </w:p>
        </w:tc>
      </w:tr>
      <w:tr>
        <w:trPr>
          <w:trHeight w:val="196"/>
        </w:trPr>
        <w:tc>
          <w:tcPr>
            <w:tcW w:w="7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cash equivalents and restricted cash shown in the consolidated statements of cash flows</w:t>
            </w:r>
          </w:p>
        </w:tc>
        <w:tc>
          <w:tcPr>
            <w:tcW w:w="1460" w:type="dxa"/>
            <w:vAlign w:val="bottom"/>
            <w:tcBorders>
              <w:bottom w:val="single" w:sz="8" w:color="auto"/>
            </w:tcBorders>
            <w:shd w:val="clear" w:color="auto" w:fill="CCEEFF"/>
          </w:tcPr>
          <w:p>
            <w:pPr>
              <w:jc w:val="right"/>
              <w:ind w:right="1312"/>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Restricted cash consists primarily of funds held to satisfy the requirements of certain debt agreements and funds held within the Company’s facilities that are restricted in their use. As of March 31, 2024, these restricted funds were comprised of $173 million designated to fund operating expenses, $187 million designated for current debt service payments and $87 million restricted for reserves including debt service, performance obligations and other reserves as well as capital expenditures. The remaining $38 million is held in distributions reserve accounts.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Supplemental Cash Flow Information</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provides a disaggregation of the amounts classified as Acquisition of Drop Down Assets, net of cash acquired, shown in the consolidated statements of cash flows: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3280" w:type="dxa"/>
            <w:vAlign w:val="bottom"/>
            <w:tcBorders>
              <w:bottom w:val="single" w:sz="8" w:color="auto"/>
            </w:tcBorders>
            <w:gridSpan w:val="4"/>
          </w:tcPr>
          <w:p>
            <w:pPr>
              <w:jc w:val="right"/>
              <w:ind w:right="452"/>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r>
      <w:tr>
        <w:trPr>
          <w:trHeight w:val="161"/>
        </w:trPr>
        <w:tc>
          <w:tcPr>
            <w:tcW w:w="7480" w:type="dxa"/>
            <w:vAlign w:val="bottom"/>
          </w:tcPr>
          <w:p>
            <w:pPr>
              <w:spacing w:after="0"/>
              <w:rPr>
                <w:sz w:val="14"/>
                <w:szCs w:val="14"/>
                <w:color w:val="auto"/>
              </w:rPr>
            </w:pPr>
          </w:p>
        </w:tc>
        <w:tc>
          <w:tcPr>
            <w:tcW w:w="12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3"/>
                <w:szCs w:val="13"/>
                <w:b w:val="1"/>
                <w:bCs w:val="1"/>
                <w:color w:val="auto"/>
              </w:rPr>
              <w:t>2023</w:t>
            </w:r>
          </w:p>
        </w:tc>
        <w:tc>
          <w:tcPr>
            <w:tcW w:w="520" w:type="dxa"/>
            <w:vAlign w:val="bottom"/>
            <w:tcBorders>
              <w:bottom w:val="single" w:sz="8" w:color="auto"/>
            </w:tcBorders>
          </w:tcPr>
          <w:p>
            <w:pPr>
              <w:spacing w:after="0"/>
              <w:rPr>
                <w:sz w:val="14"/>
                <w:szCs w:val="14"/>
                <w:color w:val="auto"/>
              </w:rPr>
            </w:pPr>
          </w:p>
        </w:tc>
      </w:tr>
      <w:tr>
        <w:trPr>
          <w:trHeight w:val="160"/>
        </w:trPr>
        <w:tc>
          <w:tcPr>
            <w:tcW w:w="7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0" w:type="dxa"/>
            <w:vAlign w:val="bottom"/>
            <w:gridSpan w:val="3"/>
          </w:tcPr>
          <w:p>
            <w:pPr>
              <w:jc w:val="right"/>
              <w:ind w:right="972"/>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20" w:type="dxa"/>
            <w:vAlign w:val="bottom"/>
          </w:tcPr>
          <w:p>
            <w:pPr>
              <w:spacing w:after="0"/>
              <w:rPr>
                <w:sz w:val="13"/>
                <w:szCs w:val="13"/>
                <w:color w:val="auto"/>
              </w:rPr>
            </w:pPr>
          </w:p>
        </w:tc>
      </w:tr>
      <w:tr>
        <w:trPr>
          <w:trHeight w:val="18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to acquire Drop Down Assets</w:t>
            </w:r>
          </w:p>
        </w:tc>
        <w:tc>
          <w:tcPr>
            <w:tcW w:w="1280" w:type="dxa"/>
            <w:vAlign w:val="bottom"/>
            <w:shd w:val="clear" w:color="auto" w:fill="CCEEFF"/>
          </w:tcPr>
          <w:p>
            <w:pPr>
              <w:jc w:val="right"/>
              <w:ind w:right="1133"/>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1172"/>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0"/>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acquired from the acquisition of Drop Down Assets</w:t>
            </w:r>
          </w:p>
        </w:tc>
        <w:tc>
          <w:tcPr>
            <w:tcW w:w="12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96"/>
        </w:trPr>
        <w:tc>
          <w:tcPr>
            <w:tcW w:w="7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Acquisition of Drop Down Assets, net of cash acquired</w:t>
            </w:r>
          </w:p>
        </w:tc>
        <w:tc>
          <w:tcPr>
            <w:tcW w:w="1280" w:type="dxa"/>
            <w:vAlign w:val="bottom"/>
            <w:tcBorders>
              <w:bottom w:val="single" w:sz="8" w:color="auto"/>
            </w:tcBorders>
            <w:shd w:val="clear" w:color="auto" w:fill="CCEEFF"/>
          </w:tcPr>
          <w:p>
            <w:pPr>
              <w:jc w:val="right"/>
              <w:ind w:right="1133"/>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1172"/>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Accumulated Depreciation and Accumulated Amortization</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presents the accumulated depreciation included in property, plant and equipment, net, and accumulated amortization included in intangible assets, net: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14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61"/>
        </w:trPr>
        <w:tc>
          <w:tcPr>
            <w:tcW w:w="7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60" w:type="dxa"/>
            <w:vAlign w:val="bottom"/>
            <w:gridSpan w:val="3"/>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320" w:type="dxa"/>
            <w:vAlign w:val="bottom"/>
          </w:tcPr>
          <w:p>
            <w:pPr>
              <w:spacing w:after="0"/>
              <w:rPr>
                <w:sz w:val="14"/>
                <w:szCs w:val="14"/>
                <w:color w:val="auto"/>
              </w:rPr>
            </w:pPr>
          </w:p>
        </w:tc>
      </w:tr>
      <w:tr>
        <w:trPr>
          <w:trHeight w:val="18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Accumulated Depreciation</w:t>
            </w:r>
          </w:p>
        </w:tc>
        <w:tc>
          <w:tcPr>
            <w:tcW w:w="1420" w:type="dxa"/>
            <w:vAlign w:val="bottom"/>
            <w:shd w:val="clear" w:color="auto" w:fill="CCEEFF"/>
          </w:tcPr>
          <w:p>
            <w:pPr>
              <w:jc w:val="right"/>
              <w:ind w:right="1273"/>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3,633</w:t>
            </w:r>
          </w:p>
        </w:tc>
        <w:tc>
          <w:tcPr>
            <w:tcW w:w="40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3,485</w:t>
            </w:r>
          </w:p>
        </w:tc>
      </w:tr>
      <w:tr>
        <w:trPr>
          <w:trHeight w:val="184"/>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Accumulated Amortization</w:t>
            </w:r>
          </w:p>
        </w:tc>
        <w:tc>
          <w:tcPr>
            <w:tcW w:w="1420" w:type="dxa"/>
            <w:vAlign w:val="bottom"/>
          </w:tcPr>
          <w:p>
            <w:pPr>
              <w:spacing w:after="0"/>
              <w:rPr>
                <w:sz w:val="16"/>
                <w:szCs w:val="16"/>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1,055</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w:t>
            </w:r>
          </w:p>
        </w:tc>
      </w:tr>
      <w:tr>
        <w:trPr>
          <w:trHeight w:val="367"/>
        </w:trPr>
        <w:tc>
          <w:tcPr>
            <w:tcW w:w="74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Distributions</w:t>
            </w: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97"/>
        </w:trPr>
        <w:tc>
          <w:tcPr>
            <w:tcW w:w="89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The following table lists distributions paid on the Company's Class A, B, C and D units during the three months ended March 31, 2024:</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4"/>
        </w:trPr>
        <w:tc>
          <w:tcPr>
            <w:tcW w:w="748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1"/>
                <w:szCs w:val="11"/>
                <w:b w:val="1"/>
                <w:bCs w:val="1"/>
                <w:color w:val="auto"/>
              </w:rPr>
              <w:t>First Quarter 2024</w:t>
            </w:r>
          </w:p>
        </w:tc>
      </w:tr>
      <w:tr>
        <w:trPr>
          <w:trHeight w:val="18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per Class A, B, C and D unit</w:t>
            </w:r>
          </w:p>
        </w:tc>
        <w:tc>
          <w:tcPr>
            <w:tcW w:w="14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0.4033</w:t>
            </w:r>
          </w:p>
        </w:tc>
      </w:tr>
    </w:tbl>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May 9, 2024, the Company declared a distribution on its Class A, Class B, Class C and Class D units of $0.4102 per unit payable on June 17, 2024 to unit holders of record as of June 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2024.</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Disaggregated Revenues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represent the Company’s disaggregation of revenue from contracts with customers along with the reportable segment for each category:</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500" w:type="dxa"/>
            <w:vAlign w:val="bottom"/>
            <w:tcBorders>
              <w:bottom w:val="single" w:sz="8" w:color="auto"/>
            </w:tcBorders>
            <w:gridSpan w:val="6"/>
          </w:tcPr>
          <w:p>
            <w:pPr>
              <w:jc w:val="center"/>
              <w:ind w:left="992"/>
              <w:spacing w:after="0"/>
              <w:rPr>
                <w:sz w:val="20"/>
                <w:szCs w:val="20"/>
                <w:color w:val="auto"/>
              </w:rPr>
            </w:pPr>
            <w:r>
              <w:rPr>
                <w:rFonts w:ascii="Times New Roman" w:cs="Times New Roman" w:eastAsia="Times New Roman" w:hAnsi="Times New Roman"/>
                <w:sz w:val="11"/>
                <w:szCs w:val="11"/>
                <w:b w:val="1"/>
                <w:bCs w:val="1"/>
                <w:color w:val="auto"/>
              </w:rPr>
              <w:t>Three months ended March 31, 2024</w:t>
            </w:r>
          </w:p>
        </w:tc>
        <w:tc>
          <w:tcPr>
            <w:tcW w:w="1160" w:type="dxa"/>
            <w:vAlign w:val="bottom"/>
            <w:tcBorders>
              <w:bottom w:val="single" w:sz="8" w:color="auto"/>
            </w:tcBorders>
          </w:tcPr>
          <w:p>
            <w:pPr>
              <w:spacing w:after="0"/>
              <w:rPr>
                <w:sz w:val="13"/>
                <w:szCs w:val="13"/>
                <w:color w:val="auto"/>
              </w:rPr>
            </w:pPr>
          </w:p>
        </w:tc>
      </w:tr>
      <w:tr>
        <w:trPr>
          <w:trHeight w:val="117"/>
        </w:trPr>
        <w:tc>
          <w:tcPr>
            <w:tcW w:w="20" w:type="dxa"/>
            <w:vAlign w:val="bottom"/>
          </w:tcPr>
          <w:p>
            <w:pPr>
              <w:spacing w:after="0"/>
              <w:rPr>
                <w:sz w:val="10"/>
                <w:szCs w:val="10"/>
                <w:color w:val="auto"/>
              </w:rPr>
            </w:pPr>
          </w:p>
        </w:tc>
        <w:tc>
          <w:tcPr>
            <w:tcW w:w="6480" w:type="dxa"/>
            <w:vAlign w:val="bottom"/>
            <w:gridSpan w:val="3"/>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(In millions)</w:t>
            </w:r>
          </w:p>
        </w:tc>
        <w:tc>
          <w:tcPr>
            <w:tcW w:w="120" w:type="dxa"/>
            <w:vAlign w:val="bottom"/>
          </w:tcPr>
          <w:p>
            <w:pPr>
              <w:spacing w:after="0"/>
              <w:rPr>
                <w:sz w:val="10"/>
                <w:szCs w:val="10"/>
                <w:color w:val="auto"/>
              </w:rPr>
            </w:pPr>
          </w:p>
        </w:tc>
        <w:tc>
          <w:tcPr>
            <w:tcW w:w="1520" w:type="dxa"/>
            <w:vAlign w:val="bottom"/>
            <w:gridSpan w:val="2"/>
          </w:tcPr>
          <w:p>
            <w:pPr>
              <w:ind w:left="40"/>
              <w:spacing w:after="0" w:line="117" w:lineRule="exact"/>
              <w:rPr>
                <w:sz w:val="20"/>
                <w:szCs w:val="20"/>
                <w:color w:val="auto"/>
              </w:rPr>
            </w:pPr>
            <w:r>
              <w:rPr>
                <w:rFonts w:ascii="Times New Roman" w:cs="Times New Roman" w:eastAsia="Times New Roman" w:hAnsi="Times New Roman"/>
                <w:sz w:val="11"/>
                <w:szCs w:val="11"/>
                <w:b w:val="1"/>
                <w:bCs w:val="1"/>
                <w:color w:val="auto"/>
              </w:rPr>
              <w:t>Conventional Generation</w:t>
            </w:r>
          </w:p>
        </w:tc>
        <w:tc>
          <w:tcPr>
            <w:tcW w:w="280" w:type="dxa"/>
            <w:vAlign w:val="bottom"/>
          </w:tcPr>
          <w:p>
            <w:pPr>
              <w:spacing w:after="0"/>
              <w:rPr>
                <w:sz w:val="10"/>
                <w:szCs w:val="10"/>
                <w:color w:val="auto"/>
              </w:rPr>
            </w:pPr>
          </w:p>
        </w:tc>
        <w:tc>
          <w:tcPr>
            <w:tcW w:w="1340" w:type="dxa"/>
            <w:vAlign w:val="bottom"/>
            <w:gridSpan w:val="2"/>
          </w:tcPr>
          <w:p>
            <w:pPr>
              <w:jc w:val="center"/>
              <w:ind w:right="380"/>
              <w:spacing w:after="0" w:line="117" w:lineRule="exact"/>
              <w:rPr>
                <w:sz w:val="20"/>
                <w:szCs w:val="20"/>
                <w:color w:val="auto"/>
              </w:rPr>
            </w:pPr>
            <w:r>
              <w:rPr>
                <w:rFonts w:ascii="Times New Roman" w:cs="Times New Roman" w:eastAsia="Times New Roman" w:hAnsi="Times New Roman"/>
                <w:sz w:val="11"/>
                <w:szCs w:val="11"/>
                <w:b w:val="1"/>
                <w:bCs w:val="1"/>
                <w:color w:val="auto"/>
              </w:rPr>
              <w:t>Renewables</w:t>
            </w:r>
          </w:p>
        </w:tc>
        <w:tc>
          <w:tcPr>
            <w:tcW w:w="360" w:type="dxa"/>
            <w:vAlign w:val="bottom"/>
          </w:tcPr>
          <w:p>
            <w:pPr>
              <w:spacing w:after="0"/>
              <w:rPr>
                <w:sz w:val="10"/>
                <w:szCs w:val="10"/>
                <w:color w:val="auto"/>
              </w:rPr>
            </w:pPr>
          </w:p>
        </w:tc>
        <w:tc>
          <w:tcPr>
            <w:tcW w:w="1160" w:type="dxa"/>
            <w:vAlign w:val="bottom"/>
          </w:tcPr>
          <w:p>
            <w:pPr>
              <w:jc w:val="right"/>
              <w:ind w:right="571"/>
              <w:spacing w:after="0" w:line="117" w:lineRule="exact"/>
              <w:rPr>
                <w:sz w:val="20"/>
                <w:szCs w:val="20"/>
                <w:color w:val="auto"/>
              </w:rPr>
            </w:pPr>
            <w:r>
              <w:rPr>
                <w:rFonts w:ascii="Times New Roman" w:cs="Times New Roman" w:eastAsia="Times New Roman" w:hAnsi="Times New Roman"/>
                <w:sz w:val="11"/>
                <w:szCs w:val="11"/>
                <w:b w:val="1"/>
                <w:bCs w:val="1"/>
                <w:color w:val="auto"/>
              </w:rPr>
              <w:t>Total</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480" w:type="dxa"/>
            <w:vAlign w:val="bottom"/>
            <w:gridSpan w:val="3"/>
            <w:shd w:val="clear" w:color="auto" w:fill="CCEEFF"/>
          </w:tcPr>
          <w:p>
            <w:pPr>
              <w:spacing w:after="0" w:line="171" w:lineRule="exact"/>
              <w:rPr>
                <w:sz w:val="20"/>
                <w:szCs w:val="20"/>
                <w:color w:val="auto"/>
              </w:rPr>
            </w:pPr>
            <w:r>
              <w:rPr>
                <w:rFonts w:ascii="Times New Roman" w:cs="Times New Roman" w:eastAsia="Times New Roman" w:hAnsi="Times New Roman"/>
                <w:sz w:val="14"/>
                <w:szCs w:val="14"/>
                <w:color w:val="auto"/>
              </w:rPr>
              <w:t xml:space="preserve">Energy revenue </w:t>
            </w:r>
            <w:r>
              <w:rPr>
                <w:rFonts w:ascii="Times New Roman" w:cs="Times New Roman" w:eastAsia="Times New Roman" w:hAnsi="Times New Roman"/>
                <w:sz w:val="18"/>
                <w:szCs w:val="18"/>
                <w:color w:val="auto"/>
                <w:vertAlign w:val="superscript"/>
              </w:rPr>
              <w:t>(a)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r>
      <w:tr>
        <w:trPr>
          <w:trHeight w:val="180"/>
        </w:trPr>
        <w:tc>
          <w:tcPr>
            <w:tcW w:w="20" w:type="dxa"/>
            <w:vAlign w:val="bottom"/>
          </w:tcPr>
          <w:p>
            <w:pPr>
              <w:spacing w:after="0"/>
              <w:rPr>
                <w:sz w:val="15"/>
                <w:szCs w:val="15"/>
                <w:color w:val="auto"/>
              </w:rPr>
            </w:pPr>
          </w:p>
        </w:tc>
        <w:tc>
          <w:tcPr>
            <w:tcW w:w="6480" w:type="dxa"/>
            <w:vAlign w:val="bottom"/>
            <w:gridSpan w:val="3"/>
          </w:tcPr>
          <w:p>
            <w:pPr>
              <w:spacing w:after="0" w:line="181" w:lineRule="exact"/>
              <w:rPr>
                <w:sz w:val="20"/>
                <w:szCs w:val="20"/>
                <w:color w:val="auto"/>
              </w:rPr>
            </w:pPr>
            <w:r>
              <w:rPr>
                <w:rFonts w:ascii="Times New Roman" w:cs="Times New Roman" w:eastAsia="Times New Roman" w:hAnsi="Times New Roman"/>
                <w:sz w:val="14"/>
                <w:szCs w:val="14"/>
                <w:color w:val="auto"/>
              </w:rPr>
              <w:t xml:space="preserve">Capacity revenue </w:t>
            </w:r>
            <w:r>
              <w:rPr>
                <w:rFonts w:ascii="Times New Roman" w:cs="Times New Roman" w:eastAsia="Times New Roman" w:hAnsi="Times New Roman"/>
                <w:sz w:val="18"/>
                <w:szCs w:val="18"/>
                <w:color w:val="auto"/>
                <w:vertAlign w:val="superscript"/>
              </w:rPr>
              <w:t>(a)</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revenues</w:t>
            </w: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0"/>
        </w:trPr>
        <w:tc>
          <w:tcPr>
            <w:tcW w:w="20" w:type="dxa"/>
            <w:vAlign w:val="bottom"/>
          </w:tcPr>
          <w:p>
            <w:pPr>
              <w:spacing w:after="0"/>
              <w:rPr>
                <w:sz w:val="15"/>
                <w:szCs w:val="15"/>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Contract amortization</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Mark-to-market for economic hedges</w:t>
            </w:r>
          </w:p>
        </w:tc>
        <w:tc>
          <w:tcPr>
            <w:tcW w:w="1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71"/>
        </w:trPr>
        <w:tc>
          <w:tcPr>
            <w:tcW w:w="20" w:type="dxa"/>
            <w:vAlign w:val="bottom"/>
          </w:tcPr>
          <w:p>
            <w:pPr>
              <w:spacing w:after="0"/>
              <w:rPr>
                <w:sz w:val="14"/>
                <w:szCs w:val="14"/>
                <w:color w:val="auto"/>
              </w:rPr>
            </w:pPr>
          </w:p>
        </w:tc>
        <w:tc>
          <w:tcPr>
            <w:tcW w:w="64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Total operating revenues</w:t>
            </w: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Mark-to-market for economic hedges</w:t>
            </w: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80"/>
        </w:trPr>
        <w:tc>
          <w:tcPr>
            <w:tcW w:w="20" w:type="dxa"/>
            <w:vAlign w:val="bottom"/>
          </w:tcPr>
          <w:p>
            <w:pPr>
              <w:spacing w:after="0"/>
              <w:rPr>
                <w:sz w:val="15"/>
                <w:szCs w:val="15"/>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Less: Lease revenue</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Contract amortization</w:t>
            </w:r>
          </w:p>
        </w:tc>
        <w:tc>
          <w:tcPr>
            <w:tcW w:w="1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71"/>
        </w:trPr>
        <w:tc>
          <w:tcPr>
            <w:tcW w:w="20" w:type="dxa"/>
            <w:vAlign w:val="bottom"/>
          </w:tcPr>
          <w:p>
            <w:pPr>
              <w:spacing w:after="0"/>
              <w:rPr>
                <w:sz w:val="14"/>
                <w:szCs w:val="14"/>
                <w:color w:val="auto"/>
              </w:rPr>
            </w:pPr>
          </w:p>
        </w:tc>
        <w:tc>
          <w:tcPr>
            <w:tcW w:w="64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99"/>
        </w:trPr>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4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r>
    </w:tbl>
    <w:p>
      <w:pPr>
        <w:spacing w:after="0" w:line="23" w:lineRule="exact"/>
        <w:rPr>
          <w:sz w:val="20"/>
          <w:szCs w:val="20"/>
          <w:color w:val="auto"/>
        </w:rPr>
      </w:pPr>
    </w:p>
    <w:p>
      <w:pPr>
        <w:ind w:left="200" w:hanging="131"/>
        <w:spacing w:after="0"/>
        <w:tabs>
          <w:tab w:leader="none" w:pos="200" w:val="left"/>
        </w:tabs>
        <w:numPr>
          <w:ilvl w:val="0"/>
          <w:numId w:val="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The following amounts of energy and capacity revenue relate to leases and are accounted for under ASC 842:</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0" w:type="dxa"/>
            <w:vAlign w:val="bottom"/>
          </w:tcPr>
          <w:p>
            <w:pPr>
              <w:spacing w:after="0"/>
              <w:rPr>
                <w:sz w:val="11"/>
                <w:szCs w:val="11"/>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Conventional Generation</w:t>
            </w:r>
          </w:p>
        </w:tc>
        <w:tc>
          <w:tcPr>
            <w:tcW w:w="280" w:type="dxa"/>
            <w:vAlign w:val="bottom"/>
          </w:tcPr>
          <w:p>
            <w:pPr>
              <w:spacing w:after="0"/>
              <w:rPr>
                <w:sz w:val="11"/>
                <w:szCs w:val="11"/>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360" w:type="dxa"/>
            <w:vAlign w:val="bottom"/>
          </w:tcPr>
          <w:p>
            <w:pPr>
              <w:spacing w:after="0"/>
              <w:rPr>
                <w:sz w:val="11"/>
                <w:szCs w:val="11"/>
                <w:color w:val="auto"/>
              </w:rPr>
            </w:pPr>
          </w:p>
        </w:tc>
        <w:tc>
          <w:tcPr>
            <w:tcW w:w="1160" w:type="dxa"/>
            <w:vAlign w:val="bottom"/>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Energy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r>
      <w:tr>
        <w:trPr>
          <w:trHeight w:val="180"/>
        </w:trPr>
        <w:tc>
          <w:tcPr>
            <w:tcW w:w="20" w:type="dxa"/>
            <w:vAlign w:val="bottom"/>
            <w:tcBorders>
              <w:bottom w:val="single" w:sz="8" w:color="CCEEFF"/>
            </w:tcBorders>
          </w:tcPr>
          <w:p>
            <w:pPr>
              <w:spacing w:after="0"/>
              <w:rPr>
                <w:sz w:val="15"/>
                <w:szCs w:val="15"/>
                <w:color w:val="auto"/>
              </w:rPr>
            </w:pPr>
          </w:p>
        </w:tc>
        <w:tc>
          <w:tcPr>
            <w:tcW w:w="64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Capacity revenue</w:t>
            </w: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648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324"/>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6"/>
          </w:tcPr>
          <w:p>
            <w:pPr>
              <w:jc w:val="center"/>
              <w:ind w:left="992"/>
              <w:spacing w:after="0"/>
              <w:rPr>
                <w:sz w:val="20"/>
                <w:szCs w:val="20"/>
                <w:color w:val="auto"/>
              </w:rPr>
            </w:pPr>
            <w:r>
              <w:rPr>
                <w:rFonts w:ascii="Times New Roman" w:cs="Times New Roman" w:eastAsia="Times New Roman" w:hAnsi="Times New Roman"/>
                <w:sz w:val="11"/>
                <w:szCs w:val="11"/>
                <w:b w:val="1"/>
                <w:bCs w:val="1"/>
                <w:color w:val="auto"/>
              </w:rPr>
              <w:t>Three months ended March 31, 2023</w:t>
            </w:r>
          </w:p>
        </w:tc>
        <w:tc>
          <w:tcPr>
            <w:tcW w:w="1160" w:type="dxa"/>
            <w:vAlign w:val="bottom"/>
            <w:tcBorders>
              <w:bottom w:val="single" w:sz="8" w:color="auto"/>
            </w:tcBorders>
          </w:tcPr>
          <w:p>
            <w:pPr>
              <w:spacing w:after="0"/>
              <w:rPr>
                <w:sz w:val="24"/>
                <w:szCs w:val="24"/>
                <w:color w:val="auto"/>
              </w:rPr>
            </w:pPr>
          </w:p>
        </w:tc>
      </w:tr>
      <w:tr>
        <w:trPr>
          <w:trHeight w:val="117"/>
        </w:trPr>
        <w:tc>
          <w:tcPr>
            <w:tcW w:w="20" w:type="dxa"/>
            <w:vAlign w:val="bottom"/>
          </w:tcPr>
          <w:p>
            <w:pPr>
              <w:spacing w:after="0"/>
              <w:rPr>
                <w:sz w:val="10"/>
                <w:szCs w:val="10"/>
                <w:color w:val="auto"/>
              </w:rPr>
            </w:pPr>
          </w:p>
        </w:tc>
        <w:tc>
          <w:tcPr>
            <w:tcW w:w="6480" w:type="dxa"/>
            <w:vAlign w:val="bottom"/>
            <w:gridSpan w:val="3"/>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(In millions)</w:t>
            </w:r>
          </w:p>
        </w:tc>
        <w:tc>
          <w:tcPr>
            <w:tcW w:w="120" w:type="dxa"/>
            <w:vAlign w:val="bottom"/>
          </w:tcPr>
          <w:p>
            <w:pPr>
              <w:spacing w:after="0"/>
              <w:rPr>
                <w:sz w:val="10"/>
                <w:szCs w:val="10"/>
                <w:color w:val="auto"/>
              </w:rPr>
            </w:pPr>
          </w:p>
        </w:tc>
        <w:tc>
          <w:tcPr>
            <w:tcW w:w="1520" w:type="dxa"/>
            <w:vAlign w:val="bottom"/>
            <w:gridSpan w:val="2"/>
          </w:tcPr>
          <w:p>
            <w:pPr>
              <w:ind w:left="40"/>
              <w:spacing w:after="0" w:line="117" w:lineRule="exact"/>
              <w:rPr>
                <w:sz w:val="20"/>
                <w:szCs w:val="20"/>
                <w:color w:val="auto"/>
              </w:rPr>
            </w:pPr>
            <w:r>
              <w:rPr>
                <w:rFonts w:ascii="Times New Roman" w:cs="Times New Roman" w:eastAsia="Times New Roman" w:hAnsi="Times New Roman"/>
                <w:sz w:val="11"/>
                <w:szCs w:val="11"/>
                <w:b w:val="1"/>
                <w:bCs w:val="1"/>
                <w:color w:val="auto"/>
              </w:rPr>
              <w:t>Conventional Generation</w:t>
            </w:r>
          </w:p>
        </w:tc>
        <w:tc>
          <w:tcPr>
            <w:tcW w:w="280" w:type="dxa"/>
            <w:vAlign w:val="bottom"/>
          </w:tcPr>
          <w:p>
            <w:pPr>
              <w:spacing w:after="0"/>
              <w:rPr>
                <w:sz w:val="10"/>
                <w:szCs w:val="10"/>
                <w:color w:val="auto"/>
              </w:rPr>
            </w:pPr>
          </w:p>
        </w:tc>
        <w:tc>
          <w:tcPr>
            <w:tcW w:w="1340" w:type="dxa"/>
            <w:vAlign w:val="bottom"/>
            <w:gridSpan w:val="2"/>
          </w:tcPr>
          <w:p>
            <w:pPr>
              <w:jc w:val="center"/>
              <w:ind w:right="380"/>
              <w:spacing w:after="0" w:line="117" w:lineRule="exact"/>
              <w:rPr>
                <w:sz w:val="20"/>
                <w:szCs w:val="20"/>
                <w:color w:val="auto"/>
              </w:rPr>
            </w:pPr>
            <w:r>
              <w:rPr>
                <w:rFonts w:ascii="Times New Roman" w:cs="Times New Roman" w:eastAsia="Times New Roman" w:hAnsi="Times New Roman"/>
                <w:sz w:val="11"/>
                <w:szCs w:val="11"/>
                <w:b w:val="1"/>
                <w:bCs w:val="1"/>
                <w:color w:val="auto"/>
              </w:rPr>
              <w:t>Renewables</w:t>
            </w:r>
          </w:p>
        </w:tc>
        <w:tc>
          <w:tcPr>
            <w:tcW w:w="360" w:type="dxa"/>
            <w:vAlign w:val="bottom"/>
          </w:tcPr>
          <w:p>
            <w:pPr>
              <w:spacing w:after="0"/>
              <w:rPr>
                <w:sz w:val="10"/>
                <w:szCs w:val="10"/>
                <w:color w:val="auto"/>
              </w:rPr>
            </w:pPr>
          </w:p>
        </w:tc>
        <w:tc>
          <w:tcPr>
            <w:tcW w:w="1160" w:type="dxa"/>
            <w:vAlign w:val="bottom"/>
          </w:tcPr>
          <w:p>
            <w:pPr>
              <w:jc w:val="right"/>
              <w:ind w:right="571"/>
              <w:spacing w:after="0" w:line="117" w:lineRule="exact"/>
              <w:rPr>
                <w:sz w:val="20"/>
                <w:szCs w:val="20"/>
                <w:color w:val="auto"/>
              </w:rPr>
            </w:pPr>
            <w:r>
              <w:rPr>
                <w:rFonts w:ascii="Times New Roman" w:cs="Times New Roman" w:eastAsia="Times New Roman" w:hAnsi="Times New Roman"/>
                <w:sz w:val="11"/>
                <w:szCs w:val="11"/>
                <w:b w:val="1"/>
                <w:bCs w:val="1"/>
                <w:color w:val="auto"/>
              </w:rPr>
              <w:t>Total</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480" w:type="dxa"/>
            <w:vAlign w:val="bottom"/>
            <w:gridSpan w:val="3"/>
            <w:shd w:val="clear" w:color="auto" w:fill="CCEEFF"/>
          </w:tcPr>
          <w:p>
            <w:pPr>
              <w:spacing w:after="0" w:line="171" w:lineRule="exact"/>
              <w:rPr>
                <w:sz w:val="20"/>
                <w:szCs w:val="20"/>
                <w:color w:val="auto"/>
              </w:rPr>
            </w:pPr>
            <w:r>
              <w:rPr>
                <w:rFonts w:ascii="Times New Roman" w:cs="Times New Roman" w:eastAsia="Times New Roman" w:hAnsi="Times New Roman"/>
                <w:sz w:val="14"/>
                <w:szCs w:val="14"/>
                <w:color w:val="auto"/>
              </w:rPr>
              <w:t xml:space="preserve">Energy revenue </w:t>
            </w:r>
            <w:r>
              <w:rPr>
                <w:rFonts w:ascii="Times New Roman" w:cs="Times New Roman" w:eastAsia="Times New Roman" w:hAnsi="Times New Roman"/>
                <w:sz w:val="18"/>
                <w:szCs w:val="18"/>
                <w:color w:val="auto"/>
                <w:vertAlign w:val="superscript"/>
              </w:rPr>
              <w:t>(a)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r>
      <w:tr>
        <w:trPr>
          <w:trHeight w:val="180"/>
        </w:trPr>
        <w:tc>
          <w:tcPr>
            <w:tcW w:w="20" w:type="dxa"/>
            <w:vAlign w:val="bottom"/>
          </w:tcPr>
          <w:p>
            <w:pPr>
              <w:spacing w:after="0"/>
              <w:rPr>
                <w:sz w:val="15"/>
                <w:szCs w:val="15"/>
                <w:color w:val="auto"/>
              </w:rPr>
            </w:pPr>
          </w:p>
        </w:tc>
        <w:tc>
          <w:tcPr>
            <w:tcW w:w="6480" w:type="dxa"/>
            <w:vAlign w:val="bottom"/>
            <w:gridSpan w:val="3"/>
          </w:tcPr>
          <w:p>
            <w:pPr>
              <w:spacing w:after="0" w:line="181" w:lineRule="exact"/>
              <w:rPr>
                <w:sz w:val="20"/>
                <w:szCs w:val="20"/>
                <w:color w:val="auto"/>
              </w:rPr>
            </w:pPr>
            <w:r>
              <w:rPr>
                <w:rFonts w:ascii="Times New Roman" w:cs="Times New Roman" w:eastAsia="Times New Roman" w:hAnsi="Times New Roman"/>
                <w:sz w:val="14"/>
                <w:szCs w:val="14"/>
                <w:color w:val="auto"/>
              </w:rPr>
              <w:t xml:space="preserve">Capacity revenue </w:t>
            </w:r>
            <w:r>
              <w:rPr>
                <w:rFonts w:ascii="Times New Roman" w:cs="Times New Roman" w:eastAsia="Times New Roman" w:hAnsi="Times New Roman"/>
                <w:sz w:val="18"/>
                <w:szCs w:val="18"/>
                <w:color w:val="auto"/>
                <w:vertAlign w:val="superscript"/>
              </w:rPr>
              <w:t>(a)</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revenues</w:t>
            </w:r>
          </w:p>
        </w:tc>
        <w:tc>
          <w:tcPr>
            <w:tcW w:w="12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0"/>
        </w:trPr>
        <w:tc>
          <w:tcPr>
            <w:tcW w:w="20" w:type="dxa"/>
            <w:vAlign w:val="bottom"/>
          </w:tcPr>
          <w:p>
            <w:pPr>
              <w:spacing w:after="0"/>
              <w:rPr>
                <w:sz w:val="15"/>
                <w:szCs w:val="15"/>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Contract amortization</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Mark-to-market for economic hedges</w:t>
            </w:r>
          </w:p>
        </w:tc>
        <w:tc>
          <w:tcPr>
            <w:tcW w:w="12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71"/>
        </w:trPr>
        <w:tc>
          <w:tcPr>
            <w:tcW w:w="20" w:type="dxa"/>
            <w:vAlign w:val="bottom"/>
          </w:tcPr>
          <w:p>
            <w:pPr>
              <w:spacing w:after="0"/>
              <w:rPr>
                <w:sz w:val="14"/>
                <w:szCs w:val="14"/>
                <w:color w:val="auto"/>
              </w:rPr>
            </w:pPr>
          </w:p>
        </w:tc>
        <w:tc>
          <w:tcPr>
            <w:tcW w:w="64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Total operating revenues</w:t>
            </w:r>
          </w:p>
        </w:tc>
        <w:tc>
          <w:tcPr>
            <w:tcW w:w="1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242424"/>
              </w:rPr>
              <w:t>95</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242424"/>
              </w:rPr>
              <w:t>193</w:t>
            </w: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Mark-to-market for economic hedges</w:t>
            </w:r>
          </w:p>
        </w:tc>
        <w:tc>
          <w:tcPr>
            <w:tcW w:w="12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0"/>
        </w:trPr>
        <w:tc>
          <w:tcPr>
            <w:tcW w:w="20" w:type="dxa"/>
            <w:vAlign w:val="bottom"/>
          </w:tcPr>
          <w:p>
            <w:pPr>
              <w:spacing w:after="0"/>
              <w:rPr>
                <w:sz w:val="15"/>
                <w:szCs w:val="15"/>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Less: Lease revenue</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Contract amortization</w:t>
            </w:r>
          </w:p>
        </w:tc>
        <w:tc>
          <w:tcPr>
            <w:tcW w:w="1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71"/>
        </w:trPr>
        <w:tc>
          <w:tcPr>
            <w:tcW w:w="20" w:type="dxa"/>
            <w:vAlign w:val="bottom"/>
          </w:tcPr>
          <w:p>
            <w:pPr>
              <w:spacing w:after="0"/>
              <w:rPr>
                <w:sz w:val="14"/>
                <w:szCs w:val="14"/>
                <w:color w:val="auto"/>
              </w:rPr>
            </w:pPr>
          </w:p>
        </w:tc>
        <w:tc>
          <w:tcPr>
            <w:tcW w:w="64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99"/>
        </w:trPr>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4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r>
    </w:tbl>
    <w:p>
      <w:pPr>
        <w:spacing w:after="0" w:line="33" w:lineRule="exact"/>
        <w:rPr>
          <w:sz w:val="20"/>
          <w:szCs w:val="20"/>
          <w:color w:val="auto"/>
        </w:rPr>
      </w:pPr>
    </w:p>
    <w:p>
      <w:pPr>
        <w:ind w:left="200" w:hanging="131"/>
        <w:spacing w:after="0"/>
        <w:tabs>
          <w:tab w:leader="none" w:pos="200"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The following amounts of energy and capacity revenue relate to leases and are accounted for under ASC 842:</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Conventional Generation</w:t>
            </w:r>
          </w:p>
        </w:tc>
        <w:tc>
          <w:tcPr>
            <w:tcW w:w="280" w:type="dxa"/>
            <w:vAlign w:val="bottom"/>
          </w:tcPr>
          <w:p>
            <w:pPr>
              <w:spacing w:after="0"/>
              <w:rPr>
                <w:sz w:val="10"/>
                <w:szCs w:val="10"/>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360" w:type="dxa"/>
            <w:vAlign w:val="bottom"/>
          </w:tcPr>
          <w:p>
            <w:pPr>
              <w:spacing w:after="0"/>
              <w:rPr>
                <w:sz w:val="10"/>
                <w:szCs w:val="10"/>
                <w:color w:val="auto"/>
              </w:rPr>
            </w:pPr>
          </w:p>
        </w:tc>
        <w:tc>
          <w:tcPr>
            <w:tcW w:w="1160" w:type="dxa"/>
            <w:vAlign w:val="bottom"/>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Energy revenue</w:t>
            </w:r>
          </w:p>
        </w:tc>
        <w:tc>
          <w:tcPr>
            <w:tcW w:w="32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Capacity revenue</w:t>
            </w:r>
          </w:p>
        </w:tc>
        <w:tc>
          <w:tcPr>
            <w:tcW w:w="3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32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3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bottom w:val="single" w:sz="8" w:color="CCEEFF"/>
            </w:tcBorders>
            <w:vMerge w:val="restart"/>
          </w:tcPr>
          <w:p>
            <w:pPr>
              <w:jc w:val="right"/>
              <w:ind w:right="709"/>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660" w:type="dxa"/>
            <w:vAlign w:val="bottom"/>
            <w:tcBorders>
              <w:bottom w:val="single" w:sz="8" w:color="9A9A9A"/>
            </w:tcBorders>
          </w:tcPr>
          <w:p>
            <w:pPr>
              <w:spacing w:after="0"/>
              <w:rPr>
                <w:sz w:val="7"/>
                <w:szCs w:val="7"/>
                <w:color w:val="auto"/>
              </w:rPr>
            </w:pPr>
          </w:p>
        </w:tc>
        <w:tc>
          <w:tcPr>
            <w:tcW w:w="32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4" w:name="page15"/>
    <w:bookmarkEnd w:id="14"/>
    <w:p>
      <w:pPr>
        <w:ind w:left="320"/>
        <w:spacing w:after="0"/>
        <w:rPr>
          <w:sz w:val="20"/>
          <w:szCs w:val="20"/>
          <w:color w:val="auto"/>
        </w:rPr>
      </w:pPr>
      <w:r>
        <w:rPr>
          <w:rFonts w:ascii="Times New Roman" w:cs="Times New Roman" w:eastAsia="Times New Roman" w:hAnsi="Times New Roman"/>
          <w:sz w:val="14"/>
          <w:szCs w:val="14"/>
          <w:i w:val="1"/>
          <w:iCs w:val="1"/>
          <w:color w:val="auto"/>
        </w:rPr>
        <w:t>Contract Balances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reflects the contract assets and liabilities included on the Company’s consolidated balance sheets: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14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61"/>
        </w:trPr>
        <w:tc>
          <w:tcPr>
            <w:tcW w:w="7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00" w:type="dxa"/>
            <w:vAlign w:val="bottom"/>
          </w:tcPr>
          <w:p>
            <w:pPr>
              <w:spacing w:after="0"/>
              <w:rPr>
                <w:sz w:val="14"/>
                <w:szCs w:val="14"/>
                <w:color w:val="auto"/>
              </w:rPr>
            </w:pPr>
          </w:p>
        </w:tc>
      </w:tr>
      <w:tr>
        <w:trPr>
          <w:trHeight w:val="18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 net - Contracts with customers</w:t>
            </w:r>
          </w:p>
        </w:tc>
        <w:tc>
          <w:tcPr>
            <w:tcW w:w="1460" w:type="dxa"/>
            <w:vAlign w:val="bottom"/>
            <w:shd w:val="clear" w:color="auto" w:fill="CCEEFF"/>
          </w:tcPr>
          <w:p>
            <w:pPr>
              <w:jc w:val="right"/>
              <w:ind w:right="1312"/>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80"/>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Accounts receivable, net - Leases</w:t>
            </w:r>
          </w:p>
        </w:tc>
        <w:tc>
          <w:tcPr>
            <w:tcW w:w="14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196"/>
        </w:trPr>
        <w:tc>
          <w:tcPr>
            <w:tcW w:w="7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accounts receivable, net</w:t>
            </w:r>
          </w:p>
        </w:tc>
        <w:tc>
          <w:tcPr>
            <w:tcW w:w="1460" w:type="dxa"/>
            <w:vAlign w:val="bottom"/>
            <w:tcBorders>
              <w:bottom w:val="single" w:sz="8" w:color="auto"/>
            </w:tcBorders>
            <w:shd w:val="clear" w:color="auto" w:fill="CCEEFF"/>
          </w:tcPr>
          <w:p>
            <w:pPr>
              <w:jc w:val="right"/>
              <w:ind w:right="1312"/>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3 — </w:t>
      </w:r>
      <w:r>
        <w:rPr>
          <w:rFonts w:ascii="Times New Roman" w:cs="Times New Roman" w:eastAsia="Times New Roman" w:hAnsi="Times New Roman"/>
          <w:sz w:val="14"/>
          <w:szCs w:val="14"/>
          <w:b w:val="1"/>
          <w:bCs w:val="1"/>
          <w:i w:val="1"/>
          <w:iCs w:val="1"/>
          <w:color w:val="auto"/>
        </w:rPr>
        <w:t>Acquisitions</w:t>
      </w:r>
    </w:p>
    <w:p>
      <w:pPr>
        <w:spacing w:after="0" w:line="13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Cedar Creek Drop Down — </w:t>
      </w:r>
      <w:r>
        <w:rPr>
          <w:rFonts w:ascii="Times New Roman" w:cs="Times New Roman" w:eastAsia="Times New Roman" w:hAnsi="Times New Roman"/>
          <w:sz w:val="14"/>
          <w:szCs w:val="14"/>
          <w:color w:val="auto"/>
        </w:rPr>
        <w:t>On April 16, 2024, the Company, through its indirect subsidiary, Cedar Creek Wind Holdco LLC, acquired Cedar Creek Holdco LLC, a 160 MW wind facility that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is located in Bingham County, Idaho, from Clearway Renew for cash consideration of $117 million. Cedar Creek Wind Holdco LLC consolidates as primary beneficiary, Cedar Creek TE Holdco LLC, a tax equity fund that owns the Cedar Creek wind facility. Also on April 16, 2024, a tax equity investor contributed $108 million to acquire the Class A membership interests in Cedar Creek TE Holdco LLC. Cedar Creek has a 25-year PPA with an investment-grade utility that commenced in March 2024. The acquisition was funded with existing sources of liquidity.</w:t>
      </w:r>
    </w:p>
    <w:p>
      <w:pPr>
        <w:spacing w:after="0" w:line="95"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Texas Solar Nova 2 Drop Down — </w:t>
      </w:r>
      <w:r>
        <w:rPr>
          <w:rFonts w:ascii="Times New Roman" w:cs="Times New Roman" w:eastAsia="Times New Roman" w:hAnsi="Times New Roman"/>
          <w:sz w:val="14"/>
          <w:szCs w:val="14"/>
          <w:color w:val="auto"/>
        </w:rPr>
        <w:t>On March 15, 2024, the Company, through its indirect subsidiary, TSN1 TE Holdco LLC, acquired Texas Solar Nova 2, LLC, a 200 MW solar facility that is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located in Kent County, Texas, from Clearway Renew for cash consideration of $112 million, $17 million of which was funded by the Company with the remaining $95 million funded through a contribution from the cash equity investor in Lighthouse Renewable Holdco 2 LLC, which is a partnership. Lighthouse Renewable Holdco 2 LLC indirectly consolidates as primary beneficiary, TSN1 TE Holdco LLC, a tax equity fund that owns the Texas Solar Nova 1 and Texas Solar Nova 2 solar facilities, as further described in Note 4, </w:t>
      </w:r>
      <w:r>
        <w:rPr>
          <w:rFonts w:ascii="Times New Roman" w:cs="Times New Roman" w:eastAsia="Times New Roman" w:hAnsi="Times New Roman"/>
          <w:sz w:val="14"/>
          <w:szCs w:val="14"/>
          <w:i w:val="1"/>
          <w:iCs w:val="1"/>
          <w:color w:val="auto"/>
        </w:rPr>
        <w:t>Investments Accounted for by the Equity Method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and Variable Interest Entities. </w:t>
      </w:r>
      <w:r>
        <w:rPr>
          <w:rFonts w:ascii="Times New Roman" w:cs="Times New Roman" w:eastAsia="Times New Roman" w:hAnsi="Times New Roman"/>
          <w:sz w:val="14"/>
          <w:szCs w:val="14"/>
          <w:color w:val="auto"/>
        </w:rPr>
        <w:t>Texas Solar Nova 2 has an 18-year PPA with an investment-grade counterparty that commenced in March 2024. The Texas Solar Nova 2 operations are reflected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Company’s Renewables segment and the Company’s portion of the purchase price was funded with existing sources of liquidity. The acquisition was determined to be an asset acquisition and the Company consolidates Texas Solar Nova 2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auto"/>
        </w:rPr>
        <w:t>Business Combinations - Related Issues</w:t>
      </w:r>
      <w:r>
        <w:rPr>
          <w:rFonts w:ascii="Times New Roman" w:cs="Times New Roman" w:eastAsia="Times New Roman" w:hAnsi="Times New Roman"/>
          <w:sz w:val="14"/>
          <w:szCs w:val="14"/>
          <w:color w:val="auto"/>
        </w:rPr>
        <w:t>. The difference between the cash paid of $112 million and the historical cost of the Company’s net assets acquired of $72 million was recorded as an adjustment to contributed capital. In addition, the Company reflected $9 million of the Company’s purchase price, which was contributed back to the Company by CEG to pay down the acquired long-term debt, in the line item distributions to CEG, net of contributions in the consolidated statements of members’ equity.</w:t>
      </w:r>
    </w:p>
    <w:p>
      <w:pPr>
        <w:spacing w:after="0" w:line="1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March 15, 2024:</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3"/>
                <w:szCs w:val="13"/>
                <w:b w:val="1"/>
                <w:bCs w:val="1"/>
                <w:color w:val="auto"/>
              </w:rPr>
              <w:t>Texas Solar Nova 2</w:t>
            </w:r>
          </w:p>
        </w:tc>
      </w:tr>
      <w:tr>
        <w:trPr>
          <w:trHeight w:val="173"/>
        </w:trPr>
        <w:tc>
          <w:tcPr>
            <w:tcW w:w="9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9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3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r>
      <w:tr>
        <w:trPr>
          <w:trHeight w:val="180"/>
        </w:trPr>
        <w:tc>
          <w:tcPr>
            <w:tcW w:w="9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Right-of-use assets, net</w:t>
            </w:r>
          </w:p>
        </w:tc>
        <w:tc>
          <w:tcPr>
            <w:tcW w:w="3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0"/>
        </w:trPr>
        <w:tc>
          <w:tcPr>
            <w:tcW w:w="9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Derivative assets</w:t>
            </w:r>
          </w:p>
        </w:tc>
        <w:tc>
          <w:tcPr>
            <w:tcW w:w="3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0"/>
        </w:trPr>
        <w:tc>
          <w:tcPr>
            <w:tcW w:w="9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30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1"/>
        </w:trPr>
        <w:tc>
          <w:tcPr>
            <w:tcW w:w="92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3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r>
      <w:tr>
        <w:trPr>
          <w:trHeight w:val="212"/>
        </w:trPr>
        <w:tc>
          <w:tcPr>
            <w:tcW w:w="2200" w:type="dxa"/>
            <w:vAlign w:val="bottom"/>
            <w:shd w:val="clear" w:color="auto" w:fill="CCEEFF"/>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180"/>
        </w:trPr>
        <w:tc>
          <w:tcPr>
            <w:tcW w:w="92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8"/>
                <w:szCs w:val="18"/>
                <w:color w:val="auto"/>
                <w:vertAlign w:val="superscript"/>
              </w:rPr>
              <w:t>(a)</w:t>
            </w:r>
          </w:p>
        </w:tc>
        <w:tc>
          <w:tcPr>
            <w:tcW w:w="3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r>
      <w:tr>
        <w:trPr>
          <w:trHeight w:val="180"/>
        </w:trPr>
        <w:tc>
          <w:tcPr>
            <w:tcW w:w="9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3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0"/>
        </w:trPr>
        <w:tc>
          <w:tcPr>
            <w:tcW w:w="92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71"/>
        </w:trPr>
        <w:tc>
          <w:tcPr>
            <w:tcW w:w="9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30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r>
      <w:tr>
        <w:trPr>
          <w:trHeight w:val="171"/>
        </w:trPr>
        <w:tc>
          <w:tcPr>
            <w:tcW w:w="92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Net assets acquired</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20"/>
        </w:trPr>
        <w:tc>
          <w:tcPr>
            <w:tcW w:w="220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10"/>
        </w:trPr>
        <w:tc>
          <w:tcPr>
            <w:tcW w:w="2200" w:type="dxa"/>
            <w:vAlign w:val="bottom"/>
            <w:tcBorders>
              <w:bottom w:val="single" w:sz="8" w:color="auto"/>
            </w:tcBorders>
          </w:tcPr>
          <w:p>
            <w:pPr>
              <w:spacing w:after="0"/>
              <w:rPr>
                <w:sz w:val="9"/>
                <w:szCs w:val="9"/>
                <w:color w:val="auto"/>
              </w:rPr>
            </w:pPr>
          </w:p>
        </w:tc>
        <w:tc>
          <w:tcPr>
            <w:tcW w:w="7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40" w:type="dxa"/>
            <w:vAlign w:val="bottom"/>
          </w:tcPr>
          <w:p>
            <w:pPr>
              <w:spacing w:after="0"/>
              <w:rPr>
                <w:sz w:val="9"/>
                <w:szCs w:val="9"/>
                <w:color w:val="auto"/>
              </w:rPr>
            </w:pPr>
          </w:p>
        </w:tc>
      </w:tr>
    </w:tbl>
    <w:p>
      <w:pPr>
        <w:spacing w:after="0" w:line="51" w:lineRule="exact"/>
        <w:rPr>
          <w:sz w:val="20"/>
          <w:szCs w:val="20"/>
          <w:color w:val="auto"/>
        </w:rPr>
      </w:pPr>
    </w:p>
    <w:p>
      <w:pPr>
        <w:ind w:left="200" w:hanging="131"/>
        <w:spacing w:after="0"/>
        <w:tabs>
          <w:tab w:leader="none" w:pos="200"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 xml:space="preserve">Includes an $80 million term loan and a $115 million tax equity bridge loan, offset by $1 million in unamortized debt issuance costs. See Note 7, </w:t>
      </w:r>
      <w:r>
        <w:rPr>
          <w:rFonts w:ascii="Times New Roman" w:cs="Times New Roman" w:eastAsia="Times New Roman" w:hAnsi="Times New Roman"/>
          <w:sz w:val="11"/>
          <w:szCs w:val="11"/>
          <w:i w:val="1"/>
          <w:iCs w:val="1"/>
          <w:color w:val="auto"/>
        </w:rPr>
        <w:t>Long-term Debt,</w:t>
      </w:r>
      <w:r>
        <w:rPr>
          <w:rFonts w:ascii="Times New Roman" w:cs="Times New Roman" w:eastAsia="Times New Roman" w:hAnsi="Times New Roman"/>
          <w:sz w:val="11"/>
          <w:szCs w:val="11"/>
          <w:color w:val="auto"/>
        </w:rPr>
        <w:t xml:space="preserve"> for further discussion of the long-term debt assumed in the acquisition.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color w:val="auto"/>
        </w:rPr>
        <w:t xml:space="preserve">Note 4 — </w:t>
      </w:r>
      <w:r>
        <w:rPr>
          <w:rFonts w:ascii="Times New Roman" w:cs="Times New Roman" w:eastAsia="Times New Roman" w:hAnsi="Times New Roman"/>
          <w:sz w:val="14"/>
          <w:szCs w:val="14"/>
          <w:b w:val="1"/>
          <w:bCs w:val="1"/>
          <w:i w:val="1"/>
          <w:iCs w:val="1"/>
          <w:color w:val="auto"/>
        </w:rPr>
        <w:t>Investments Accounted for by the Equity Method and Variable Interest Entities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Entities that are not Consolidated</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 xml:space="preserve">The Company has interests in entities that are considered VIEs under ASC 810, but for which it is not considered the primary beneficiary. The Company accounts for its interests in these entities and entities in which it has a significant investment under the equity method of accounting, as further described under Item 15 — Note 5, </w:t>
      </w:r>
      <w:r>
        <w:rPr>
          <w:rFonts w:ascii="Times New Roman" w:cs="Times New Roman" w:eastAsia="Times New Roman" w:hAnsi="Times New Roman"/>
          <w:sz w:val="14"/>
          <w:szCs w:val="14"/>
          <w:i w:val="1"/>
          <w:iCs w:val="1"/>
          <w:color w:val="auto"/>
        </w:rPr>
        <w:t>Investments Accounted for by the Equity Method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Variable Interest Entities, </w:t>
      </w:r>
      <w:r>
        <w:rPr>
          <w:rFonts w:ascii="Times New Roman" w:cs="Times New Roman" w:eastAsia="Times New Roman" w:hAnsi="Times New Roman"/>
          <w:sz w:val="14"/>
          <w:szCs w:val="14"/>
          <w:color w:val="231F20"/>
        </w:rPr>
        <w:t>to the consolidated financial statements included in the Company’s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2023</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231F20"/>
        </w:rPr>
        <w:t>Form 10</w:t>
      </w:r>
      <w:r>
        <w:rPr>
          <w:rFonts w:ascii="Times New Roman" w:cs="Times New Roman" w:eastAsia="Times New Roman" w:hAnsi="Times New Roman"/>
          <w:sz w:val="14"/>
          <w:szCs w:val="14"/>
          <w:color w:val="auto"/>
        </w:rPr>
        <w:t>-K.</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reflects the Company’s equity investments in unconsolidated affiliates as of March 31, 2024:</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7060" w:type="dxa"/>
            <w:vAlign w:val="bottom"/>
            <w:tcBorders>
              <w:bottom w:val="single" w:sz="8" w:color="auto"/>
            </w:tcBorders>
          </w:tcPr>
          <w:p>
            <w:pPr>
              <w:jc w:val="center"/>
              <w:ind w:left="5530"/>
              <w:spacing w:after="0"/>
              <w:rPr>
                <w:sz w:val="20"/>
                <w:szCs w:val="20"/>
                <w:color w:val="auto"/>
              </w:rPr>
            </w:pPr>
            <w:r>
              <w:rPr>
                <w:rFonts w:ascii="Times New Roman" w:cs="Times New Roman" w:eastAsia="Times New Roman" w:hAnsi="Times New Roman"/>
                <w:sz w:val="13"/>
                <w:szCs w:val="13"/>
                <w:b w:val="1"/>
                <w:bCs w:val="1"/>
                <w:color w:val="auto"/>
                <w:w w:val="96"/>
              </w:rPr>
              <w:t>Economic Interest</w:t>
            </w:r>
          </w:p>
        </w:tc>
        <w:tc>
          <w:tcPr>
            <w:tcW w:w="2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 xml:space="preserve">Investment Balance </w:t>
            </w:r>
            <w:r>
              <w:rPr>
                <w:rFonts w:ascii="Times New Roman" w:cs="Times New Roman" w:eastAsia="Times New Roman" w:hAnsi="Times New Roman"/>
                <w:sz w:val="18"/>
                <w:szCs w:val="18"/>
                <w:b w:val="1"/>
                <w:bCs w:val="1"/>
                <w:color w:val="auto"/>
                <w:vertAlign w:val="superscript"/>
              </w:rPr>
              <w:t>(a)</w:t>
            </w:r>
          </w:p>
        </w:tc>
      </w:tr>
      <w:tr>
        <w:trPr>
          <w:trHeight w:val="159"/>
        </w:trPr>
        <w:tc>
          <w:tcPr>
            <w:tcW w:w="2200" w:type="dxa"/>
            <w:vAlign w:val="bottom"/>
          </w:tcPr>
          <w:p>
            <w:pPr>
              <w:spacing w:after="0"/>
              <w:rPr>
                <w:sz w:val="13"/>
                <w:szCs w:val="13"/>
                <w:color w:val="auto"/>
              </w:rPr>
            </w:pPr>
          </w:p>
        </w:tc>
        <w:tc>
          <w:tcPr>
            <w:tcW w:w="7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tcPr>
          <w:p>
            <w:pPr>
              <w:jc w:val="right"/>
              <w:ind w:right="611"/>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8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Avenal</w:t>
            </w:r>
          </w:p>
        </w:tc>
        <w:tc>
          <w:tcPr>
            <w:tcW w:w="7060" w:type="dxa"/>
            <w:vAlign w:val="bottom"/>
            <w:shd w:val="clear" w:color="auto" w:fill="CCEEFF"/>
          </w:tcPr>
          <w:p>
            <w:pPr>
              <w:jc w:val="center"/>
              <w:ind w:left="5530"/>
              <w:spacing w:after="0"/>
              <w:rPr>
                <w:sz w:val="20"/>
                <w:szCs w:val="20"/>
                <w:color w:val="auto"/>
              </w:rPr>
            </w:pPr>
            <w:r>
              <w:rPr>
                <w:rFonts w:ascii="Times New Roman" w:cs="Times New Roman" w:eastAsia="Times New Roman" w:hAnsi="Times New Roman"/>
                <w:sz w:val="14"/>
                <w:szCs w:val="14"/>
                <w:color w:val="auto"/>
              </w:rPr>
              <w:t>50%</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Desert Sunlight</w:t>
            </w:r>
          </w:p>
        </w:tc>
        <w:tc>
          <w:tcPr>
            <w:tcW w:w="7060" w:type="dxa"/>
            <w:vAlign w:val="bottom"/>
          </w:tcPr>
          <w:p>
            <w:pPr>
              <w:jc w:val="center"/>
              <w:ind w:left="5530"/>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r>
      <w:tr>
        <w:trPr>
          <w:trHeight w:val="18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Elkhorn Ridge</w:t>
            </w:r>
          </w:p>
        </w:tc>
        <w:tc>
          <w:tcPr>
            <w:tcW w:w="7060" w:type="dxa"/>
            <w:vAlign w:val="bottom"/>
            <w:shd w:val="clear" w:color="auto" w:fill="CCEEFF"/>
          </w:tcPr>
          <w:p>
            <w:pPr>
              <w:jc w:val="center"/>
              <w:ind w:left="5530"/>
              <w:spacing w:after="0"/>
              <w:rPr>
                <w:sz w:val="20"/>
                <w:szCs w:val="20"/>
                <w:color w:val="auto"/>
              </w:rPr>
            </w:pPr>
            <w:r>
              <w:rPr>
                <w:rFonts w:ascii="Times New Roman" w:cs="Times New Roman" w:eastAsia="Times New Roman" w:hAnsi="Times New Roman"/>
                <w:sz w:val="14"/>
                <w:szCs w:val="14"/>
                <w:color w:val="auto"/>
              </w:rPr>
              <w:t>67%</w:t>
            </w:r>
          </w:p>
        </w:tc>
        <w:tc>
          <w:tcPr>
            <w:tcW w:w="24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0"/>
        </w:trPr>
        <w:tc>
          <w:tcPr>
            <w:tcW w:w="22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GenConn </w:t>
            </w:r>
            <w:r>
              <w:rPr>
                <w:rFonts w:ascii="Times New Roman" w:cs="Times New Roman" w:eastAsia="Times New Roman" w:hAnsi="Times New Roman"/>
                <w:sz w:val="18"/>
                <w:szCs w:val="18"/>
                <w:color w:val="auto"/>
                <w:vertAlign w:val="superscript"/>
              </w:rPr>
              <w:t>(b)</w:t>
            </w:r>
          </w:p>
        </w:tc>
        <w:tc>
          <w:tcPr>
            <w:tcW w:w="7060" w:type="dxa"/>
            <w:vAlign w:val="bottom"/>
          </w:tcPr>
          <w:p>
            <w:pPr>
              <w:jc w:val="center"/>
              <w:ind w:left="5530"/>
              <w:spacing w:after="0"/>
              <w:rPr>
                <w:sz w:val="20"/>
                <w:szCs w:val="20"/>
                <w:color w:val="auto"/>
              </w:rPr>
            </w:pPr>
            <w:r>
              <w:rPr>
                <w:rFonts w:ascii="Times New Roman" w:cs="Times New Roman" w:eastAsia="Times New Roman" w:hAnsi="Times New Roman"/>
                <w:sz w:val="14"/>
                <w:szCs w:val="14"/>
                <w:color w:val="auto"/>
              </w:rPr>
              <w:t>50%</w:t>
            </w:r>
          </w:p>
        </w:tc>
        <w:tc>
          <w:tcPr>
            <w:tcW w:w="24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80"/>
        </w:trPr>
        <w:tc>
          <w:tcPr>
            <w:tcW w:w="22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Rosie Central BESS </w:t>
            </w:r>
            <w:r>
              <w:rPr>
                <w:rFonts w:ascii="Times New Roman" w:cs="Times New Roman" w:eastAsia="Times New Roman" w:hAnsi="Times New Roman"/>
                <w:sz w:val="18"/>
                <w:szCs w:val="18"/>
                <w:color w:val="auto"/>
                <w:vertAlign w:val="superscript"/>
              </w:rPr>
              <w:t>(b)</w:t>
            </w:r>
          </w:p>
        </w:tc>
        <w:tc>
          <w:tcPr>
            <w:tcW w:w="7060" w:type="dxa"/>
            <w:vAlign w:val="bottom"/>
            <w:shd w:val="clear" w:color="auto" w:fill="CCEEFF"/>
          </w:tcPr>
          <w:p>
            <w:pPr>
              <w:jc w:val="center"/>
              <w:ind w:left="5530"/>
              <w:spacing w:after="0"/>
              <w:rPr>
                <w:sz w:val="20"/>
                <w:szCs w:val="20"/>
                <w:color w:val="auto"/>
              </w:rPr>
            </w:pPr>
            <w:r>
              <w:rPr>
                <w:rFonts w:ascii="Times New Roman" w:cs="Times New Roman" w:eastAsia="Times New Roman" w:hAnsi="Times New Roman"/>
                <w:sz w:val="14"/>
                <w:szCs w:val="14"/>
                <w:color w:val="auto"/>
              </w:rPr>
              <w:t>50%</w:t>
            </w:r>
          </w:p>
        </w:tc>
        <w:tc>
          <w:tcPr>
            <w:tcW w:w="24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80"/>
        </w:trPr>
        <w:tc>
          <w:tcPr>
            <w:tcW w:w="2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San Juan Mesa</w:t>
            </w:r>
          </w:p>
        </w:tc>
        <w:tc>
          <w:tcPr>
            <w:tcW w:w="7060" w:type="dxa"/>
            <w:vAlign w:val="bottom"/>
            <w:tcBorders>
              <w:bottom w:val="single" w:sz="8" w:color="CCEEFF"/>
            </w:tcBorders>
          </w:tcPr>
          <w:p>
            <w:pPr>
              <w:jc w:val="center"/>
              <w:ind w:left="5530"/>
              <w:spacing w:after="0"/>
              <w:rPr>
                <w:sz w:val="20"/>
                <w:szCs w:val="20"/>
                <w:color w:val="auto"/>
              </w:rPr>
            </w:pPr>
            <w:r>
              <w:rPr>
                <w:rFonts w:ascii="Times New Roman" w:cs="Times New Roman" w:eastAsia="Times New Roman" w:hAnsi="Times New Roman"/>
                <w:sz w:val="14"/>
                <w:szCs w:val="14"/>
                <w:color w:val="auto"/>
              </w:rPr>
              <w:t>75%</w:t>
            </w:r>
          </w:p>
        </w:tc>
        <w:tc>
          <w:tcPr>
            <w:tcW w:w="2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6"/>
        </w:trPr>
        <w:tc>
          <w:tcPr>
            <w:tcW w:w="2200" w:type="dxa"/>
            <w:vAlign w:val="bottom"/>
            <w:tcBorders>
              <w:bottom w:val="single" w:sz="8" w:color="CCEEFF"/>
            </w:tcBorders>
            <w:shd w:val="clear" w:color="auto" w:fill="CCEEFF"/>
          </w:tcPr>
          <w:p>
            <w:pPr>
              <w:spacing w:after="0"/>
              <w:rPr>
                <w:sz w:val="16"/>
                <w:szCs w:val="16"/>
                <w:color w:val="auto"/>
              </w:rPr>
            </w:pPr>
          </w:p>
        </w:tc>
        <w:tc>
          <w:tcPr>
            <w:tcW w:w="70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100"/>
        </w:trPr>
        <w:tc>
          <w:tcPr>
            <w:tcW w:w="2200" w:type="dxa"/>
            <w:vAlign w:val="bottom"/>
            <w:tcBorders>
              <w:bottom w:val="single" w:sz="8" w:color="auto"/>
            </w:tcBorders>
          </w:tcPr>
          <w:p>
            <w:pPr>
              <w:spacing w:after="0"/>
              <w:rPr>
                <w:sz w:val="8"/>
                <w:szCs w:val="8"/>
                <w:color w:val="auto"/>
              </w:rPr>
            </w:pPr>
          </w:p>
        </w:tc>
        <w:tc>
          <w:tcPr>
            <w:tcW w:w="7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80" w:type="dxa"/>
            <w:vAlign w:val="bottom"/>
          </w:tcPr>
          <w:p>
            <w:pPr>
              <w:spacing w:after="0"/>
              <w:rPr>
                <w:sz w:val="8"/>
                <w:szCs w:val="8"/>
                <w:color w:val="auto"/>
              </w:rPr>
            </w:pPr>
          </w:p>
        </w:tc>
      </w:tr>
    </w:tbl>
    <w:p>
      <w:pPr>
        <w:spacing w:after="0" w:line="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vertAlign w:val="superscript"/>
        </w:rPr>
        <w:t>(a)</w:t>
      </w:r>
      <w:r>
        <w:rPr>
          <w:rFonts w:ascii="Times New Roman" w:cs="Times New Roman" w:eastAsia="Times New Roman" w:hAnsi="Times New Roman"/>
          <w:sz w:val="13"/>
          <w:szCs w:val="13"/>
          <w:color w:val="auto"/>
        </w:rPr>
        <w:t xml:space="preserve"> The Company’s maximum exposure to loss is limited to its investment balances.</w:t>
      </w:r>
    </w:p>
    <w:p>
      <w:pPr>
        <w:ind w:left="60"/>
        <w:spacing w:after="0"/>
        <w:rPr>
          <w:sz w:val="20"/>
          <w:szCs w:val="20"/>
          <w:color w:val="auto"/>
        </w:rPr>
      </w:pPr>
      <w:r>
        <w:rPr>
          <w:rFonts w:ascii="Times New Roman" w:cs="Times New Roman" w:eastAsia="Times New Roman" w:hAnsi="Times New Roman"/>
          <w:sz w:val="18"/>
          <w:szCs w:val="18"/>
          <w:color w:val="auto"/>
          <w:vertAlign w:val="superscript"/>
        </w:rPr>
        <w:t>(b)</w:t>
      </w:r>
      <w:r>
        <w:rPr>
          <w:rFonts w:ascii="Times New Roman" w:cs="Times New Roman" w:eastAsia="Times New Roman" w:hAnsi="Times New Roman"/>
          <w:sz w:val="13"/>
          <w:szCs w:val="13"/>
          <w:color w:val="auto"/>
        </w:rPr>
        <w:t xml:space="preserve"> GenConn and Rosie Central BESS are VIEs.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Entities that are Consolidated</w:t>
      </w:r>
    </w:p>
    <w:p>
      <w:pPr>
        <w:spacing w:after="0" w:line="136"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color w:val="auto"/>
        </w:rPr>
        <w:t xml:space="preserve">As further described under Item 15 — Note 5,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xml:space="preserve"> to the consolidated financial statements included in the Company’s 2023 Form 10-K, the Company has a controlling financial interest in certain entities which have been identified as VIEs under ASC 810, </w:t>
      </w:r>
      <w:r>
        <w:rPr>
          <w:rFonts w:ascii="Times New Roman" w:cs="Times New Roman" w:eastAsia="Times New Roman" w:hAnsi="Times New Roman"/>
          <w:sz w:val="14"/>
          <w:szCs w:val="14"/>
          <w:i w:val="1"/>
          <w:iCs w:val="1"/>
          <w:color w:val="auto"/>
        </w:rPr>
        <w:t>Consolidations</w:t>
      </w:r>
      <w:r>
        <w:rPr>
          <w:rFonts w:ascii="Times New Roman" w:cs="Times New Roman" w:eastAsia="Times New Roman" w:hAnsi="Times New Roman"/>
          <w:sz w:val="14"/>
          <w:szCs w:val="14"/>
          <w:color w:val="auto"/>
        </w:rPr>
        <w:t>, or ASC 810. These arrangements are primarily related to tax equity arrangements entered into with third parties in order to monetize certain tax credits associated with wind, solar and BESS facilities. The Company also has a controlling financial interest in certain partnership arrangements with third-party investors, which also have been identified as VIEs. Under the Company’s arrangements that have been identified as VIEs, the third-party investors are allocated earnings, tax attributes and distributable cash in accordance with the respective limited liability company agreements. Many of these arrangements also provide a mechanism to facilitate achievement of the investor’s specified return by providing incremental cash distributions to the investor at a specified date if the specified return has not yet been achieved.</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is a summary of significant activity during the three months ended March 31, 2024 related to the Company’s consolidated VIEs:</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Lighthouse Renewable Holdco 2 LLC</w:t>
      </w:r>
    </w:p>
    <w:p>
      <w:pPr>
        <w:spacing w:after="0" w:line="13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As described in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on March 15, 2024, TSN1 TE Holdco LLC, an indirect subsidiary of the Company, acquired Texas Solar Nova 2, LLC. The Company, through Lighthouse Renewable Holdco 2 LLC, a partnership, consolidates TSN1 TE Holdco LLC, a tax equity fund that owns the Texas Solar Nova 1 and Texas Solar Nova 2 solar facilities. The Company recorded the noncontrolling interest of the cash equity investor in Lighthouse Renewable Holdco 2 LLC at historical carrying amount, with the offset to contributed capital. The Class A membership interests in TSN1 TE Holdco LLC are held by a tax equity investor and are reflected as noncontrolling interest on the Company’s consolidated balance sheet.</w:t>
      </w:r>
    </w:p>
    <w:p>
      <w:pPr>
        <w:spacing w:after="0" w:line="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Daggett Renewable Holdco LLC</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Effective January 1, 2024, the Company and the cash equity investor in Daggett Renewable HoldCo LLC and Daggett 2 TargetCo LLC, the indirect owner of the Daggett 2 solar and BESS facility, agreed to transfer Daggett 2 TargetCo LLC to Daggett Renewable Holdco LLC. As the transfer was among entities under common control, the transaction was recognized at historical cost and no gain or loss was recognized.</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6" w:name="page17"/>
    <w:bookmarkEnd w:id="16"/>
    <w:p>
      <w:pPr>
        <w:ind w:left="320"/>
        <w:spacing w:after="0"/>
        <w:rPr>
          <w:sz w:val="20"/>
          <w:szCs w:val="20"/>
          <w:color w:val="auto"/>
        </w:rPr>
      </w:pPr>
      <w:r>
        <w:rPr>
          <w:rFonts w:ascii="Times New Roman" w:cs="Times New Roman" w:eastAsia="Times New Roman" w:hAnsi="Times New Roman"/>
          <w:sz w:val="14"/>
          <w:szCs w:val="14"/>
          <w:color w:val="auto"/>
        </w:rPr>
        <w:t>Summarized financial information for the Company’s consolidated VIEs consisted of the following as of March 31, 2024:</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 xml:space="preserve">DGPV Funds </w:t>
            </w:r>
            <w:r>
              <w:rPr>
                <w:rFonts w:ascii="Times New Roman" w:cs="Times New Roman" w:eastAsia="Times New Roman" w:hAnsi="Times New Roman"/>
                <w:sz w:val="16"/>
                <w:szCs w:val="16"/>
                <w:b w:val="1"/>
                <w:bCs w:val="1"/>
                <w:color w:val="auto"/>
                <w:vertAlign w:val="superscript"/>
              </w:rPr>
              <w:t>(a)</w:t>
            </w:r>
          </w:p>
        </w:tc>
        <w:tc>
          <w:tcPr>
            <w:tcW w:w="80" w:type="dxa"/>
            <w:vAlign w:val="bottom"/>
          </w:tcPr>
          <w:p>
            <w:pPr>
              <w:spacing w:after="0"/>
              <w:rPr>
                <w:sz w:val="10"/>
                <w:szCs w:val="10"/>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8"/>
              </w:rPr>
              <w:t>Langford TE Partnership</w:t>
            </w: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8"/>
              </w:rPr>
              <w:t>Daggett Renewable Holdco</w:t>
            </w:r>
          </w:p>
        </w:tc>
        <w:tc>
          <w:tcPr>
            <w:tcW w:w="140" w:type="dxa"/>
            <w:vAlign w:val="bottom"/>
          </w:tcPr>
          <w:p>
            <w:pPr>
              <w:spacing w:after="0"/>
              <w:rPr>
                <w:sz w:val="10"/>
                <w:szCs w:val="10"/>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8"/>
              </w:rPr>
              <w:t>Lighthouse Renewable</w:t>
            </w:r>
          </w:p>
        </w:tc>
        <w:tc>
          <w:tcPr>
            <w:tcW w:w="140" w:type="dxa"/>
            <w:vAlign w:val="bottom"/>
          </w:tcPr>
          <w:p>
            <w:pPr>
              <w:spacing w:after="0"/>
              <w:rPr>
                <w:sz w:val="10"/>
                <w:szCs w:val="10"/>
                <w:color w:val="auto"/>
              </w:rPr>
            </w:pP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0"/>
                <w:szCs w:val="10"/>
                <w:b w:val="1"/>
                <w:bCs w:val="1"/>
                <w:color w:val="auto"/>
              </w:rPr>
              <w:t>Lighthouse Renewable</w:t>
            </w:r>
          </w:p>
        </w:tc>
        <w:tc>
          <w:tcPr>
            <w:tcW w:w="0" w:type="dxa"/>
            <w:vAlign w:val="bottom"/>
          </w:tcPr>
          <w:p>
            <w:pPr>
              <w:spacing w:after="0"/>
              <w:rPr>
                <w:sz w:val="1"/>
                <w:szCs w:val="1"/>
                <w:color w:val="auto"/>
              </w:rPr>
            </w:pPr>
          </w:p>
        </w:tc>
      </w:tr>
      <w:tr>
        <w:trPr>
          <w:trHeight w:val="149"/>
        </w:trPr>
        <w:tc>
          <w:tcPr>
            <w:tcW w:w="3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Buckthorn Holdings, LLC</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7"/>
              </w:rPr>
              <w:t>LLC</w:t>
            </w:r>
          </w:p>
        </w:tc>
        <w:tc>
          <w:tcPr>
            <w:tcW w:w="280" w:type="dxa"/>
            <w:vAlign w:val="bottom"/>
          </w:tcPr>
          <w:p>
            <w:pPr>
              <w:spacing w:after="0"/>
              <w:rPr>
                <w:sz w:val="12"/>
                <w:szCs w:val="12"/>
                <w:color w:val="auto"/>
              </w:rPr>
            </w:pPr>
          </w:p>
        </w:tc>
        <w:tc>
          <w:tcPr>
            <w:tcW w:w="1080" w:type="dxa"/>
            <w:vAlign w:val="bottom"/>
            <w:gridSpan w:val="2"/>
          </w:tcPr>
          <w:p>
            <w:pPr>
              <w:jc w:val="center"/>
              <w:ind w:right="360"/>
              <w:spacing w:after="0" w:line="148" w:lineRule="exact"/>
              <w:rPr>
                <w:sz w:val="20"/>
                <w:szCs w:val="20"/>
                <w:color w:val="auto"/>
              </w:rPr>
            </w:pPr>
            <w:r>
              <w:rPr>
                <w:rFonts w:ascii="Times New Roman" w:cs="Times New Roman" w:eastAsia="Times New Roman" w:hAnsi="Times New Roman"/>
                <w:sz w:val="10"/>
                <w:szCs w:val="10"/>
                <w:b w:val="1"/>
                <w:bCs w:val="1"/>
                <w:color w:val="auto"/>
                <w:w w:val="88"/>
              </w:rPr>
              <w:t xml:space="preserve">LLC </w:t>
            </w:r>
            <w:r>
              <w:rPr>
                <w:rFonts w:ascii="Times New Roman" w:cs="Times New Roman" w:eastAsia="Times New Roman" w:hAnsi="Times New Roman"/>
                <w:sz w:val="16"/>
                <w:szCs w:val="16"/>
                <w:b w:val="1"/>
                <w:bCs w:val="1"/>
                <w:color w:val="auto"/>
                <w:w w:val="88"/>
                <w:vertAlign w:val="superscript"/>
              </w:rPr>
              <w:t>(b)</w:t>
            </w:r>
          </w:p>
        </w:tc>
        <w:tc>
          <w:tcPr>
            <w:tcW w:w="140" w:type="dxa"/>
            <w:vAlign w:val="bottom"/>
          </w:tcPr>
          <w:p>
            <w:pPr>
              <w:spacing w:after="0"/>
              <w:rPr>
                <w:sz w:val="12"/>
                <w:szCs w:val="12"/>
                <w:color w:val="auto"/>
              </w:rPr>
            </w:pPr>
          </w:p>
        </w:tc>
        <w:tc>
          <w:tcPr>
            <w:tcW w:w="124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0"/>
                <w:szCs w:val="10"/>
                <w:b w:val="1"/>
                <w:bCs w:val="1"/>
                <w:color w:val="auto"/>
                <w:w w:val="94"/>
              </w:rPr>
              <w:t xml:space="preserve">Holdco LLC </w:t>
            </w:r>
            <w:r>
              <w:rPr>
                <w:rFonts w:ascii="Times New Roman" w:cs="Times New Roman" w:eastAsia="Times New Roman" w:hAnsi="Times New Roman"/>
                <w:sz w:val="16"/>
                <w:szCs w:val="16"/>
                <w:b w:val="1"/>
                <w:bCs w:val="1"/>
                <w:color w:val="auto"/>
                <w:w w:val="94"/>
                <w:vertAlign w:val="superscript"/>
              </w:rPr>
              <w:t>(c)</w:t>
            </w:r>
          </w:p>
        </w:tc>
        <w:tc>
          <w:tcPr>
            <w:tcW w:w="140" w:type="dxa"/>
            <w:vAlign w:val="bottom"/>
          </w:tcPr>
          <w:p>
            <w:pPr>
              <w:spacing w:after="0"/>
              <w:rPr>
                <w:sz w:val="12"/>
                <w:szCs w:val="12"/>
                <w:color w:val="auto"/>
              </w:rPr>
            </w:pPr>
          </w:p>
        </w:tc>
        <w:tc>
          <w:tcPr>
            <w:tcW w:w="1160" w:type="dxa"/>
            <w:vAlign w:val="bottom"/>
          </w:tcPr>
          <w:p>
            <w:pPr>
              <w:jc w:val="right"/>
              <w:ind w:right="214"/>
              <w:spacing w:after="0" w:line="148" w:lineRule="exact"/>
              <w:rPr>
                <w:sz w:val="20"/>
                <w:szCs w:val="20"/>
                <w:color w:val="auto"/>
              </w:rPr>
            </w:pPr>
            <w:r>
              <w:rPr>
                <w:rFonts w:ascii="Times New Roman" w:cs="Times New Roman" w:eastAsia="Times New Roman" w:hAnsi="Times New Roman"/>
                <w:sz w:val="10"/>
                <w:szCs w:val="10"/>
                <w:b w:val="1"/>
                <w:bCs w:val="1"/>
                <w:color w:val="auto"/>
              </w:rPr>
              <w:t xml:space="preserve">Holdco 2 LLC </w:t>
            </w:r>
            <w:r>
              <w:rPr>
                <w:rFonts w:ascii="Times New Roman" w:cs="Times New Roman" w:eastAsia="Times New Roman" w:hAnsi="Times New Roman"/>
                <w:sz w:val="16"/>
                <w:szCs w:val="16"/>
                <w:b w:val="1"/>
                <w:bCs w:val="1"/>
                <w:color w:val="auto"/>
                <w:vertAlign w:val="superscript"/>
              </w:rPr>
              <w:t>(d)</w:t>
            </w:r>
          </w:p>
        </w:tc>
        <w:tc>
          <w:tcPr>
            <w:tcW w:w="0" w:type="dxa"/>
            <w:vAlign w:val="bottom"/>
          </w:tcPr>
          <w:p>
            <w:pPr>
              <w:spacing w:after="0"/>
              <w:rPr>
                <w:sz w:val="1"/>
                <w:szCs w:val="1"/>
                <w:color w:val="auto"/>
              </w:rPr>
            </w:pPr>
          </w:p>
        </w:tc>
      </w:tr>
      <w:tr>
        <w:trPr>
          <w:trHeight w:val="171"/>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18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1,343</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1,509</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and non-current liabilities</w:t>
            </w:r>
          </w:p>
        </w:tc>
        <w:tc>
          <w:tcPr>
            <w:tcW w:w="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0" w:type="dxa"/>
            <w:vAlign w:val="bottom"/>
          </w:tcPr>
          <w:p>
            <w:pPr>
              <w:spacing w:after="0"/>
              <w:rPr>
                <w:sz w:val="1"/>
                <w:szCs w:val="1"/>
                <w:color w:val="auto"/>
              </w:rPr>
            </w:pPr>
          </w:p>
        </w:tc>
      </w:tr>
      <w:tr>
        <w:trPr>
          <w:trHeight w:val="171"/>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liabilities</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0" w:type="dxa"/>
            <w:vAlign w:val="bottom"/>
          </w:tcPr>
          <w:p>
            <w:pPr>
              <w:spacing w:after="0"/>
              <w:rPr>
                <w:sz w:val="1"/>
                <w:szCs w:val="1"/>
                <w:color w:val="auto"/>
              </w:rPr>
            </w:pPr>
          </w:p>
        </w:tc>
      </w:tr>
      <w:tr>
        <w:trPr>
          <w:trHeight w:val="171"/>
        </w:trPr>
        <w:tc>
          <w:tcPr>
            <w:tcW w:w="3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assets less noncontrolling interest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26" w:lineRule="exact"/>
        <w:rPr>
          <w:sz w:val="20"/>
          <w:szCs w:val="20"/>
          <w:color w:val="auto"/>
        </w:rPr>
      </w:pPr>
    </w:p>
    <w:p>
      <w:pPr>
        <w:ind w:left="200" w:hanging="131"/>
        <w:spacing w:after="0"/>
        <w:tabs>
          <w:tab w:leader="none" w:pos="200" w:val="left"/>
        </w:tabs>
        <w:numPr>
          <w:ilvl w:val="0"/>
          <w:numId w:val="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DGPV Funds is comprised of Clearway &amp; EFS Distributed Solar LLC, Golden Puma Fund LLC, Renew Solar CS4 Fund LLC and Chestnut Fund LLC, which are all tax equity funds.</w:t>
      </w:r>
    </w:p>
    <w:p>
      <w:pPr>
        <w:spacing w:after="0" w:line="34" w:lineRule="exact"/>
        <w:rPr>
          <w:rFonts w:ascii="Times New Roman" w:cs="Times New Roman" w:eastAsia="Times New Roman" w:hAnsi="Times New Roman"/>
          <w:sz w:val="17"/>
          <w:szCs w:val="17"/>
          <w:color w:val="auto"/>
          <w:vertAlign w:val="superscript"/>
        </w:rPr>
      </w:pPr>
    </w:p>
    <w:p>
      <w:pPr>
        <w:ind w:left="200" w:hanging="131"/>
        <w:spacing w:after="0" w:line="187" w:lineRule="auto"/>
        <w:tabs>
          <w:tab w:leader="none" w:pos="200" w:val="left"/>
        </w:tabs>
        <w:numPr>
          <w:ilvl w:val="0"/>
          <w:numId w:val="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Daggett Renewable Holdco LLC consolidates Daggett TE Holdco LLC and Daggett 2 TE Holdco LLC, which are consolidated VIEs.</w:t>
      </w:r>
    </w:p>
    <w:p>
      <w:pPr>
        <w:spacing w:after="0" w:line="24" w:lineRule="exact"/>
        <w:rPr>
          <w:rFonts w:ascii="Times New Roman" w:cs="Times New Roman" w:eastAsia="Times New Roman" w:hAnsi="Times New Roman"/>
          <w:sz w:val="15"/>
          <w:szCs w:val="15"/>
          <w:color w:val="auto"/>
          <w:vertAlign w:val="superscript"/>
        </w:rPr>
      </w:pPr>
    </w:p>
    <w:p>
      <w:pPr>
        <w:ind w:left="200" w:hanging="131"/>
        <w:spacing w:after="0" w:line="187" w:lineRule="auto"/>
        <w:tabs>
          <w:tab w:leader="none" w:pos="200" w:val="left"/>
        </w:tabs>
        <w:numPr>
          <w:ilvl w:val="0"/>
          <w:numId w:val="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Lighthouse Renewable Holdco LLC consolidates Black Rock TE Holdco LLC and Mililani TE Holdco LLC, which are consolidated VIEs.</w:t>
      </w:r>
    </w:p>
    <w:p>
      <w:pPr>
        <w:spacing w:after="0" w:line="35" w:lineRule="exact"/>
        <w:rPr>
          <w:rFonts w:ascii="Times New Roman" w:cs="Times New Roman" w:eastAsia="Times New Roman" w:hAnsi="Times New Roman"/>
          <w:sz w:val="15"/>
          <w:szCs w:val="15"/>
          <w:color w:val="auto"/>
          <w:vertAlign w:val="superscript"/>
        </w:rPr>
      </w:pPr>
    </w:p>
    <w:p>
      <w:pPr>
        <w:ind w:left="200" w:hanging="131"/>
        <w:spacing w:after="0" w:line="187" w:lineRule="auto"/>
        <w:tabs>
          <w:tab w:leader="none" w:pos="200" w:val="left"/>
        </w:tabs>
        <w:numPr>
          <w:ilvl w:val="0"/>
          <w:numId w:val="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Lighthouse Renewable Holdco 2 LLC consolidates Mesquite Sky TE Holdco LLC, Mesquite Star Tax Equity Holdco LLC and TSN1 TE Holdco LLC, which are consolidated VIEs.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8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Oahu Solar LLC</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Rattlesnake TE Holdco LLC</w:t>
            </w:r>
          </w:p>
        </w:tc>
        <w:tc>
          <w:tcPr>
            <w:tcW w:w="14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Rosie TargetCo LLC</w:t>
            </w: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 xml:space="preserve">VP-Arica TargetCo LLC </w:t>
            </w:r>
            <w:r>
              <w:rPr>
                <w:rFonts w:ascii="Times New Roman" w:cs="Times New Roman" w:eastAsia="Times New Roman" w:hAnsi="Times New Roman"/>
                <w:sz w:val="16"/>
                <w:szCs w:val="16"/>
                <w:b w:val="1"/>
                <w:bCs w:val="1"/>
                <w:color w:val="auto"/>
                <w:vertAlign w:val="superscript"/>
              </w:rPr>
              <w:t>(a)</w:t>
            </w: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0"/>
                <w:szCs w:val="10"/>
                <w:b w:val="1"/>
                <w:bCs w:val="1"/>
                <w:color w:val="auto"/>
              </w:rPr>
              <w:t>Wildorado TE Holdco LLC</w:t>
            </w:r>
          </w:p>
        </w:tc>
        <w:tc>
          <w:tcPr>
            <w:tcW w:w="280" w:type="dxa"/>
            <w:vAlign w:val="bottom"/>
          </w:tcPr>
          <w:p>
            <w:pPr>
              <w:spacing w:after="0"/>
              <w:rPr>
                <w:sz w:val="16"/>
                <w:szCs w:val="16"/>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 xml:space="preserve">Other </w:t>
            </w:r>
            <w:r>
              <w:rPr>
                <w:rFonts w:ascii="Times New Roman" w:cs="Times New Roman" w:eastAsia="Times New Roman" w:hAnsi="Times New Roman"/>
                <w:sz w:val="16"/>
                <w:szCs w:val="16"/>
                <w:b w:val="1"/>
                <w:bCs w:val="1"/>
                <w:color w:val="auto"/>
                <w:vertAlign w:val="superscript"/>
              </w:rPr>
              <w:t>(b)</w:t>
            </w:r>
          </w:p>
        </w:tc>
      </w:tr>
      <w:tr>
        <w:trPr>
          <w:trHeight w:val="171"/>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8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71"/>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8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w:t>
            </w: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and non-current liabilities</w:t>
            </w: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r>
      <w:tr>
        <w:trPr>
          <w:trHeight w:val="171"/>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r>
      <w:tr>
        <w:trPr>
          <w:trHeight w:val="171"/>
        </w:trPr>
        <w:tc>
          <w:tcPr>
            <w:tcW w:w="3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assets less noncontrolling interest</w:t>
            </w: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tcPr>
          <w:p>
            <w:pPr>
              <w:spacing w:after="0"/>
              <w:rPr>
                <w:sz w:val="14"/>
                <w:szCs w:val="14"/>
                <w:color w:val="auto"/>
              </w:rPr>
            </w:pPr>
          </w:p>
        </w:tc>
        <w:tc>
          <w:tcPr>
            <w:tcW w:w="5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20"/>
        </w:trPr>
        <w:tc>
          <w:tcPr>
            <w:tcW w:w="3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37" w:lineRule="exact"/>
        <w:rPr>
          <w:sz w:val="20"/>
          <w:szCs w:val="20"/>
          <w:color w:val="auto"/>
        </w:rPr>
      </w:pPr>
    </w:p>
    <w:p>
      <w:pPr>
        <w:ind w:left="200" w:hanging="131"/>
        <w:spacing w:after="0"/>
        <w:tabs>
          <w:tab w:leader="none" w:pos="200" w:val="left"/>
        </w:tabs>
        <w:numPr>
          <w:ilvl w:val="0"/>
          <w:numId w:val="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VP-Arica TargetCo LLC consolidates VP-Arica TE Holdco LLC, a consolidated VIE that owns the Victory Pass and Arica solar and BESS facilities.</w:t>
      </w:r>
    </w:p>
    <w:p>
      <w:pPr>
        <w:spacing w:after="0" w:line="45" w:lineRule="exact"/>
        <w:rPr>
          <w:rFonts w:ascii="Times New Roman" w:cs="Times New Roman" w:eastAsia="Times New Roman" w:hAnsi="Times New Roman"/>
          <w:sz w:val="17"/>
          <w:szCs w:val="17"/>
          <w:color w:val="auto"/>
          <w:vertAlign w:val="superscript"/>
        </w:rPr>
      </w:pPr>
    </w:p>
    <w:p>
      <w:pPr>
        <w:ind w:left="200" w:hanging="131"/>
        <w:spacing w:after="0" w:line="187" w:lineRule="auto"/>
        <w:tabs>
          <w:tab w:leader="none" w:pos="200" w:val="left"/>
        </w:tabs>
        <w:numPr>
          <w:ilvl w:val="0"/>
          <w:numId w:val="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Other is comprised of Elbow Creek TE Holdco LLC, Pinnacle Repowering TE Holdco LLC and the Spring Canyon facilities.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5 — </w:t>
      </w:r>
      <w:r>
        <w:rPr>
          <w:rFonts w:ascii="Times New Roman" w:cs="Times New Roman" w:eastAsia="Times New Roman" w:hAnsi="Times New Roman"/>
          <w:sz w:val="14"/>
          <w:szCs w:val="14"/>
          <w:b w:val="1"/>
          <w:bCs w:val="1"/>
          <w:i w:val="1"/>
          <w:iCs w:val="1"/>
          <w:color w:val="auto"/>
        </w:rPr>
        <w:t>Fair Value of Financial Instruments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Accounting under ASC 820</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ASC 820 establishes a fair value hierarchy that prioritizes the inputs to valuation techniques used to measure fair value into three levels as follows:</w:t>
      </w:r>
    </w:p>
    <w:p>
      <w:pPr>
        <w:spacing w:after="0" w:line="51" w:lineRule="exact"/>
        <w:rPr>
          <w:sz w:val="20"/>
          <w:szCs w:val="20"/>
          <w:color w:val="auto"/>
        </w:rPr>
      </w:pPr>
    </w:p>
    <w:p>
      <w:pPr>
        <w:ind w:left="960" w:hanging="191"/>
        <w:spacing w:after="0"/>
        <w:tabs>
          <w:tab w:leader="none" w:pos="9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1—quoted prices (unadjusted) in active markets for identical assets or liabilities that the Company has the ability to access as of the measurement date.</w:t>
      </w:r>
    </w:p>
    <w:p>
      <w:pPr>
        <w:spacing w:after="0" w:line="51" w:lineRule="exact"/>
        <w:rPr>
          <w:rFonts w:ascii="Times New Roman" w:cs="Times New Roman" w:eastAsia="Times New Roman" w:hAnsi="Times New Roman"/>
          <w:sz w:val="14"/>
          <w:szCs w:val="14"/>
          <w:color w:val="auto"/>
        </w:rPr>
      </w:pPr>
    </w:p>
    <w:p>
      <w:pPr>
        <w:ind w:left="960" w:hanging="191"/>
        <w:spacing w:after="0" w:line="284" w:lineRule="auto"/>
        <w:tabs>
          <w:tab w:leader="none" w:pos="95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2—inputs other than quoted prices included within Level 1 that are directly observable for the asset or liability or indirectly observable through corroboration with observable market data.</w:t>
      </w:r>
    </w:p>
    <w:p>
      <w:pPr>
        <w:ind w:left="960" w:hanging="191"/>
        <w:spacing w:after="0"/>
        <w:tabs>
          <w:tab w:leader="none" w:pos="9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3—unobservable inputs for the asset or liability only used when there is little, if any, market activity for the asset or liability at the measurement date.</w:t>
      </w:r>
    </w:p>
    <w:p>
      <w:pPr>
        <w:spacing w:after="0" w:line="136"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7" w:name="page18"/>
    <w:bookmarkEnd w:id="17"/>
    <w:p>
      <w:pPr>
        <w:ind w:firstLine="318"/>
        <w:spacing w:after="0" w:line="287" w:lineRule="auto"/>
        <w:rPr>
          <w:sz w:val="20"/>
          <w:szCs w:val="20"/>
          <w:color w:val="auto"/>
        </w:rPr>
      </w:pPr>
      <w:r>
        <w:rPr>
          <w:rFonts w:ascii="Times New Roman" w:cs="Times New Roman" w:eastAsia="Times New Roman" w:hAnsi="Times New Roman"/>
          <w:sz w:val="14"/>
          <w:szCs w:val="14"/>
          <w:color w:val="auto"/>
        </w:rPr>
        <w:t>For cash and cash equivalents, restricted cash, accounts receivable — trade, note receivable — affiliate, accounts payable — trade, accounts payable — affiliates and accrued expenses and other current liabilities, the carrying amounts approximate fair value because of the short-term maturity of those instruments and are classified as Level 1 within the fair value hierarchy.</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carrying amount and estimated fair value of the Company’s recorded financial instrument not carried at fair market value or that does not approximate fair value is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4"/>
          </w:tcPr>
          <w:p>
            <w:pPr>
              <w:ind w:left="620"/>
              <w:spacing w:after="0"/>
              <w:rPr>
                <w:sz w:val="20"/>
                <w:szCs w:val="20"/>
                <w:color w:val="auto"/>
              </w:rPr>
            </w:pPr>
            <w:r>
              <w:rPr>
                <w:rFonts w:ascii="Times New Roman" w:cs="Times New Roman" w:eastAsia="Times New Roman" w:hAnsi="Times New Roman"/>
                <w:sz w:val="11"/>
                <w:szCs w:val="11"/>
                <w:b w:val="1"/>
                <w:bCs w:val="1"/>
                <w:color w:val="auto"/>
              </w:rPr>
              <w:t>As of March 31, 2024</w:t>
            </w:r>
          </w:p>
        </w:tc>
        <w:tc>
          <w:tcPr>
            <w:tcW w:w="140" w:type="dxa"/>
            <w:vAlign w:val="bottom"/>
          </w:tcPr>
          <w:p>
            <w:pPr>
              <w:spacing w:after="0"/>
              <w:rPr>
                <w:sz w:val="13"/>
                <w:szCs w:val="13"/>
                <w:color w:val="auto"/>
              </w:rPr>
            </w:pPr>
          </w:p>
        </w:tc>
        <w:tc>
          <w:tcPr>
            <w:tcW w:w="2360" w:type="dxa"/>
            <w:vAlign w:val="bottom"/>
            <w:gridSpan w:val="3"/>
          </w:tcPr>
          <w:p>
            <w:pPr>
              <w:jc w:val="right"/>
              <w:ind w:right="574"/>
              <w:spacing w:after="0"/>
              <w:rPr>
                <w:sz w:val="20"/>
                <w:szCs w:val="20"/>
                <w:color w:val="auto"/>
              </w:rPr>
            </w:pPr>
            <w:r>
              <w:rPr>
                <w:rFonts w:ascii="Times New Roman" w:cs="Times New Roman" w:eastAsia="Times New Roman" w:hAnsi="Times New Roman"/>
                <w:sz w:val="11"/>
                <w:szCs w:val="11"/>
                <w:b w:val="1"/>
                <w:bCs w:val="1"/>
                <w:color w:val="auto"/>
              </w:rPr>
              <w:t>As of December 31, 2023</w:t>
            </w:r>
          </w:p>
        </w:tc>
      </w:tr>
      <w:tr>
        <w:trPr>
          <w:trHeight w:val="154"/>
        </w:trPr>
        <w:tc>
          <w:tcPr>
            <w:tcW w:w="62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8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50"/>
        </w:trPr>
        <w:tc>
          <w:tcPr>
            <w:tcW w:w="6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00" w:type="dxa"/>
            <w:vAlign w:val="bottom"/>
            <w:gridSpan w:val="4"/>
          </w:tcPr>
          <w:p>
            <w:pPr>
              <w:jc w:val="right"/>
              <w:ind w:right="91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including current portion — affiliate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1</w:t>
            </w:r>
          </w:p>
        </w:tc>
        <w:tc>
          <w:tcPr>
            <w:tcW w:w="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43"/>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Long-term debt, including current portion — external </w:t>
            </w:r>
            <w:r>
              <w:rPr>
                <w:rFonts w:ascii="Times New Roman" w:cs="Times New Roman" w:eastAsia="Times New Roman" w:hAnsi="Times New Roman"/>
                <w:sz w:val="18"/>
                <w:szCs w:val="18"/>
                <w:color w:val="auto"/>
                <w:vertAlign w:val="superscript"/>
              </w:rPr>
              <w:t>(a)</w:t>
            </w:r>
          </w:p>
        </w:tc>
        <w:tc>
          <w:tcPr>
            <w:tcW w:w="12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8,204</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8,102</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wp:posOffset>
            </wp:positionV>
            <wp:extent cx="138811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64" w:lineRule="exact"/>
        <w:rPr>
          <w:sz w:val="20"/>
          <w:szCs w:val="20"/>
          <w:color w:val="auto"/>
        </w:rPr>
      </w:pPr>
    </w:p>
    <w:p>
      <w:pPr>
        <w:ind w:left="200" w:hanging="131"/>
        <w:spacing w:after="0"/>
        <w:tabs>
          <w:tab w:leader="none" w:pos="200" w:val="left"/>
        </w:tabs>
        <w:numPr>
          <w:ilvl w:val="0"/>
          <w:numId w:val="1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Excludes net debt issuance costs, which are recorded as a reduction to long-term debt on the Company’s consolidated balance sheets.</w:t>
      </w:r>
    </w:p>
    <w:p>
      <w:pPr>
        <w:spacing w:after="0" w:line="12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20" w:type="dxa"/>
            <w:vAlign w:val="bottom"/>
            <w:gridSpan w:val="4"/>
          </w:tcPr>
          <w:p>
            <w:pPr>
              <w:ind w:left="480"/>
              <w:spacing w:after="0"/>
              <w:rPr>
                <w:sz w:val="20"/>
                <w:szCs w:val="20"/>
                <w:color w:val="auto"/>
              </w:rPr>
            </w:pPr>
            <w:r>
              <w:rPr>
                <w:rFonts w:ascii="Times New Roman" w:cs="Times New Roman" w:eastAsia="Times New Roman" w:hAnsi="Times New Roman"/>
                <w:sz w:val="11"/>
                <w:szCs w:val="11"/>
                <w:b w:val="1"/>
                <w:bCs w:val="1"/>
                <w:color w:val="auto"/>
              </w:rPr>
              <w:t>As of March 31, 2024</w:t>
            </w:r>
          </w:p>
        </w:tc>
        <w:tc>
          <w:tcPr>
            <w:tcW w:w="340" w:type="dxa"/>
            <w:vAlign w:val="bottom"/>
          </w:tcPr>
          <w:p>
            <w:pPr>
              <w:spacing w:after="0"/>
              <w:rPr>
                <w:sz w:val="13"/>
                <w:szCs w:val="13"/>
                <w:color w:val="auto"/>
              </w:rPr>
            </w:pPr>
          </w:p>
        </w:tc>
        <w:tc>
          <w:tcPr>
            <w:tcW w:w="2160" w:type="dxa"/>
            <w:vAlign w:val="bottom"/>
            <w:gridSpan w:val="3"/>
          </w:tcPr>
          <w:p>
            <w:pPr>
              <w:jc w:val="right"/>
              <w:ind w:right="576"/>
              <w:spacing w:after="0"/>
              <w:rPr>
                <w:sz w:val="20"/>
                <w:szCs w:val="20"/>
                <w:color w:val="auto"/>
              </w:rPr>
            </w:pPr>
            <w:r>
              <w:rPr>
                <w:rFonts w:ascii="Times New Roman" w:cs="Times New Roman" w:eastAsia="Times New Roman" w:hAnsi="Times New Roman"/>
                <w:sz w:val="11"/>
                <w:szCs w:val="11"/>
                <w:b w:val="1"/>
                <w:bCs w:val="1"/>
                <w:color w:val="auto"/>
              </w:rPr>
              <w:t>As of December 31, 2023</w:t>
            </w:r>
          </w:p>
        </w:tc>
      </w:tr>
      <w:tr>
        <w:trPr>
          <w:trHeight w:val="154"/>
        </w:trPr>
        <w:tc>
          <w:tcPr>
            <w:tcW w:w="620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80" w:type="dxa"/>
            <w:vAlign w:val="bottom"/>
            <w:tcBorders>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150"/>
        </w:trPr>
        <w:tc>
          <w:tcPr>
            <w:tcW w:w="6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including current portion</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1,890</w:t>
            </w:r>
          </w:p>
        </w:tc>
        <w:tc>
          <w:tcPr>
            <w:tcW w:w="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5,742</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1,940</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5,672</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Recurring Fair Value Measurements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records its derivative assets and liabilities at fair market value on its consolidated balance sheets. The following table presents assets and liabilities measured and recorded at fair value on the Company’s consolidated balance sheets on a recurring basis and their level within the fair value hierarchy:</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2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As of March 31, 2024</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As of December 31, 2023</w:t>
            </w: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right"/>
              <w:ind w:right="149"/>
              <w:spacing w:after="0" w:line="159"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(a)</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3"/>
          </w:tcPr>
          <w:p>
            <w:pPr>
              <w:jc w:val="right"/>
              <w:ind w:right="249"/>
              <w:spacing w:after="0" w:line="159"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(a)</w:t>
            </w: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Pr>
          <w:p>
            <w:pPr>
              <w:spacing w:after="0"/>
              <w:rPr>
                <w:sz w:val="13"/>
                <w:szCs w:val="13"/>
                <w:color w:val="auto"/>
              </w:rPr>
            </w:pPr>
          </w:p>
        </w:tc>
        <w:tc>
          <w:tcPr>
            <w:tcW w:w="1240" w:type="dxa"/>
            <w:vAlign w:val="bottom"/>
            <w:gridSpan w:val="2"/>
          </w:tcPr>
          <w:p>
            <w:pPr>
              <w:ind w:left="200"/>
              <w:spacing w:after="0" w:line="150" w:lineRule="exact"/>
              <w:rPr>
                <w:sz w:val="20"/>
                <w:szCs w:val="20"/>
                <w:color w:val="auto"/>
              </w:rPr>
            </w:pPr>
            <w:r>
              <w:rPr>
                <w:rFonts w:ascii="Times New Roman" w:cs="Times New Roman" w:eastAsia="Times New Roman" w:hAnsi="Times New Roman"/>
                <w:sz w:val="11"/>
                <w:szCs w:val="11"/>
                <w:b w:val="1"/>
                <w:bCs w:val="1"/>
                <w:color w:val="auto"/>
              </w:rPr>
              <w:t xml:space="preserve">Level 2 </w:t>
            </w:r>
            <w:r>
              <w:rPr>
                <w:rFonts w:ascii="Times New Roman" w:cs="Times New Roman" w:eastAsia="Times New Roman" w:hAnsi="Times New Roman"/>
                <w:sz w:val="16"/>
                <w:szCs w:val="16"/>
                <w:b w:val="1"/>
                <w:bCs w:val="1"/>
                <w:color w:val="auto"/>
                <w:vertAlign w:val="superscript"/>
              </w:rPr>
              <w:t>(b)</w:t>
            </w:r>
          </w:p>
        </w:tc>
        <w:tc>
          <w:tcPr>
            <w:tcW w:w="500" w:type="dxa"/>
            <w:vAlign w:val="bottom"/>
          </w:tcPr>
          <w:p>
            <w:pPr>
              <w:spacing w:after="0"/>
              <w:rPr>
                <w:sz w:val="13"/>
                <w:szCs w:val="13"/>
                <w:color w:val="auto"/>
              </w:rPr>
            </w:pPr>
          </w:p>
        </w:tc>
        <w:tc>
          <w:tcPr>
            <w:tcW w:w="920" w:type="dxa"/>
            <w:vAlign w:val="bottom"/>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tcPr>
          <w:p>
            <w:pPr>
              <w:ind w:left="240"/>
              <w:spacing w:after="0" w:line="150" w:lineRule="exact"/>
              <w:rPr>
                <w:sz w:val="20"/>
                <w:szCs w:val="20"/>
                <w:color w:val="auto"/>
              </w:rPr>
            </w:pPr>
            <w:r>
              <w:rPr>
                <w:rFonts w:ascii="Times New Roman" w:cs="Times New Roman" w:eastAsia="Times New Roman" w:hAnsi="Times New Roman"/>
                <w:sz w:val="11"/>
                <w:szCs w:val="11"/>
                <w:b w:val="1"/>
                <w:bCs w:val="1"/>
                <w:color w:val="auto"/>
              </w:rPr>
              <w:t xml:space="preserve">Level 2 </w:t>
            </w:r>
            <w:r>
              <w:rPr>
                <w:rFonts w:ascii="Times New Roman" w:cs="Times New Roman" w:eastAsia="Times New Roman" w:hAnsi="Times New Roman"/>
                <w:sz w:val="16"/>
                <w:szCs w:val="16"/>
                <w:b w:val="1"/>
                <w:bCs w:val="1"/>
                <w:color w:val="auto"/>
                <w:vertAlign w:val="superscript"/>
              </w:rPr>
              <w:t>(b)</w:t>
            </w:r>
          </w:p>
        </w:tc>
        <w:tc>
          <w:tcPr>
            <w:tcW w:w="600" w:type="dxa"/>
            <w:vAlign w:val="bottom"/>
          </w:tcPr>
          <w:p>
            <w:pPr>
              <w:spacing w:after="0"/>
              <w:rPr>
                <w:sz w:val="13"/>
                <w:szCs w:val="13"/>
                <w:color w:val="auto"/>
              </w:rPr>
            </w:pPr>
          </w:p>
        </w:tc>
        <w:tc>
          <w:tcPr>
            <w:tcW w:w="1000" w:type="dxa"/>
            <w:vAlign w:val="bottom"/>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160"/>
        </w:trPr>
        <w:tc>
          <w:tcPr>
            <w:tcW w:w="49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2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98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4"/>
                <w:szCs w:val="14"/>
                <w:color w:val="auto"/>
              </w:rPr>
              <w:t xml:space="preserve">Energy-related commodity contracts </w:t>
            </w:r>
            <w:r>
              <w:rPr>
                <w:rFonts w:ascii="Times New Roman" w:cs="Times New Roman" w:eastAsia="Times New Roman" w:hAnsi="Times New Roman"/>
                <w:sz w:val="18"/>
                <w:szCs w:val="18"/>
                <w:color w:val="auto"/>
                <w:vertAlign w:val="superscript"/>
              </w:rPr>
              <w:t>(c)</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6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rate contracts</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9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b w:val="1"/>
                <w:bCs w:val="1"/>
                <w:color w:val="auto"/>
              </w:rPr>
              <w:t xml:space="preserve">Other financial instruments </w:t>
            </w:r>
            <w:r>
              <w:rPr>
                <w:rFonts w:ascii="Times New Roman" w:cs="Times New Roman" w:eastAsia="Times New Roman" w:hAnsi="Times New Roman"/>
                <w:sz w:val="18"/>
                <w:szCs w:val="18"/>
                <w:b w:val="1"/>
                <w:bCs w:val="1"/>
                <w:color w:val="auto"/>
                <w:vertAlign w:val="superscript"/>
              </w:rPr>
              <w:t>(d)</w:t>
            </w:r>
          </w:p>
        </w:tc>
        <w:tc>
          <w:tcPr>
            <w:tcW w:w="26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6"/>
        </w:trPr>
        <w:tc>
          <w:tcPr>
            <w:tcW w:w="498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98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980" w:type="dxa"/>
            <w:vAlign w:val="bottom"/>
            <w:gridSpan w:val="2"/>
            <w:shd w:val="clear" w:color="auto" w:fill="CCEEFF"/>
          </w:tcPr>
          <w:p>
            <w:pPr>
              <w:ind w:left="140"/>
              <w:spacing w:after="0" w:line="181" w:lineRule="exact"/>
              <w:rPr>
                <w:sz w:val="20"/>
                <w:szCs w:val="20"/>
                <w:color w:val="auto"/>
              </w:rPr>
            </w:pPr>
            <w:r>
              <w:rPr>
                <w:rFonts w:ascii="Times New Roman" w:cs="Times New Roman" w:eastAsia="Times New Roman" w:hAnsi="Times New Roman"/>
                <w:sz w:val="14"/>
                <w:szCs w:val="14"/>
                <w:color w:val="auto"/>
              </w:rPr>
              <w:t xml:space="preserve">Energy-related commodity contracts </w:t>
            </w:r>
            <w:r>
              <w:rPr>
                <w:rFonts w:ascii="Times New Roman" w:cs="Times New Roman" w:eastAsia="Times New Roman" w:hAnsi="Times New Roman"/>
                <w:sz w:val="18"/>
                <w:szCs w:val="18"/>
                <w:color w:val="auto"/>
                <w:vertAlign w:val="superscript"/>
              </w:rPr>
              <w:t>(e)</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0" w:type="dxa"/>
            <w:vAlign w:val="bottom"/>
          </w:tcPr>
          <w:p>
            <w:pPr>
              <w:spacing w:after="0"/>
              <w:rPr>
                <w:sz w:val="1"/>
                <w:szCs w:val="1"/>
                <w:color w:val="auto"/>
              </w:rPr>
            </w:pPr>
          </w:p>
        </w:tc>
      </w:tr>
      <w:tr>
        <w:trPr>
          <w:trHeight w:val="180"/>
        </w:trPr>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Interest rate contracts</w:t>
            </w:r>
          </w:p>
        </w:tc>
        <w:tc>
          <w:tcPr>
            <w:tcW w:w="26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98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200" w:type="dxa"/>
            <w:vAlign w:val="bottom"/>
            <w:tcBorders>
              <w:bottom w:val="single" w:sz="8" w:color="auto"/>
            </w:tcBorders>
          </w:tcPr>
          <w:p>
            <w:pPr>
              <w:spacing w:after="0"/>
              <w:rPr>
                <w:sz w:val="7"/>
                <w:szCs w:val="7"/>
                <w:color w:val="auto"/>
              </w:rPr>
            </w:pPr>
          </w:p>
        </w:tc>
        <w:tc>
          <w:tcPr>
            <w:tcW w:w="2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200" w:hanging="131"/>
        <w:spacing w:after="0"/>
        <w:tabs>
          <w:tab w:leader="none" w:pos="200" w:val="left"/>
        </w:tabs>
        <w:numPr>
          <w:ilvl w:val="0"/>
          <w:numId w:val="1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There were no derivative assets or liabilities classified as Level 1 as of March 31, 2024 and December 31, 2023.</w:t>
      </w:r>
    </w:p>
    <w:p>
      <w:pPr>
        <w:spacing w:after="0" w:line="39" w:lineRule="exact"/>
        <w:rPr>
          <w:rFonts w:ascii="Times New Roman" w:cs="Times New Roman" w:eastAsia="Times New Roman" w:hAnsi="Times New Roman"/>
          <w:sz w:val="17"/>
          <w:szCs w:val="17"/>
          <w:color w:val="auto"/>
          <w:vertAlign w:val="superscript"/>
        </w:rPr>
      </w:pPr>
    </w:p>
    <w:p>
      <w:pPr>
        <w:ind w:left="200" w:hanging="131"/>
        <w:spacing w:after="0" w:line="197" w:lineRule="auto"/>
        <w:tabs>
          <w:tab w:leader="none" w:pos="200"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The Company’s interest rate swaps are measured at fair value using an income approach, which uses readily observable inputs, such as forward interest rates (e.g., SOFR) and contractual terms to estimate fair value.</w:t>
      </w:r>
    </w:p>
    <w:p>
      <w:pPr>
        <w:spacing w:after="0" w:line="50" w:lineRule="exact"/>
        <w:rPr>
          <w:rFonts w:ascii="Times New Roman" w:cs="Times New Roman" w:eastAsia="Times New Roman" w:hAnsi="Times New Roman"/>
          <w:sz w:val="16"/>
          <w:szCs w:val="16"/>
          <w:color w:val="auto"/>
          <w:vertAlign w:val="superscript"/>
        </w:rPr>
      </w:pPr>
    </w:p>
    <w:p>
      <w:pPr>
        <w:ind w:left="200" w:hanging="131"/>
        <w:spacing w:after="0" w:line="185" w:lineRule="auto"/>
        <w:tabs>
          <w:tab w:leader="none" w:pos="200" w:val="left"/>
        </w:tabs>
        <w:numPr>
          <w:ilvl w:val="0"/>
          <w:numId w:val="1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Includes long-term backbone transportation service contracts classified as Level 2 and short-term heat rate call option contracts classified as Level 3.</w:t>
      </w:r>
    </w:p>
    <w:p>
      <w:pPr>
        <w:spacing w:after="0" w:line="40" w:lineRule="exact"/>
        <w:rPr>
          <w:rFonts w:ascii="Times New Roman" w:cs="Times New Roman" w:eastAsia="Times New Roman" w:hAnsi="Times New Roman"/>
          <w:sz w:val="17"/>
          <w:szCs w:val="17"/>
          <w:color w:val="auto"/>
          <w:vertAlign w:val="superscript"/>
        </w:rPr>
      </w:pPr>
    </w:p>
    <w:p>
      <w:pPr>
        <w:ind w:left="200" w:hanging="131"/>
        <w:spacing w:after="0" w:line="197" w:lineRule="auto"/>
        <w:tabs>
          <w:tab w:leader="none" w:pos="200"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Includes SREC contract.</w:t>
      </w:r>
    </w:p>
    <w:p>
      <w:pPr>
        <w:spacing w:after="0" w:line="50" w:lineRule="exact"/>
        <w:rPr>
          <w:rFonts w:ascii="Times New Roman" w:cs="Times New Roman" w:eastAsia="Times New Roman" w:hAnsi="Times New Roman"/>
          <w:sz w:val="16"/>
          <w:szCs w:val="16"/>
          <w:color w:val="auto"/>
          <w:vertAlign w:val="superscript"/>
        </w:rPr>
      </w:pPr>
    </w:p>
    <w:p>
      <w:pPr>
        <w:ind w:left="60" w:firstLine="9"/>
        <w:spacing w:after="0" w:line="201" w:lineRule="auto"/>
        <w:tabs>
          <w:tab w:leader="none" w:pos="204"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As of March 31, 2024 and December 31, 2023, amounts include $361 million and $325 million related to long-term power commodity contracts and zero and $5 million related to short-term heat rate call option contracts,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8" w:name="page19"/>
    <w:bookmarkEnd w:id="18"/>
    <w:p>
      <w:pPr>
        <w:ind w:left="320"/>
        <w:spacing w:after="0"/>
        <w:rPr>
          <w:sz w:val="20"/>
          <w:szCs w:val="20"/>
          <w:color w:val="auto"/>
        </w:rPr>
      </w:pPr>
      <w:r>
        <w:rPr>
          <w:rFonts w:ascii="Times New Roman" w:cs="Times New Roman" w:eastAsia="Times New Roman" w:hAnsi="Times New Roman"/>
          <w:sz w:val="14"/>
          <w:szCs w:val="14"/>
          <w:color w:val="auto"/>
        </w:rPr>
        <w:t>The following table reconciles the beginning and ending balances for instruments that are recognized at fair value in the consolidated financial statements using significant unobservable inputs: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8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280" w:type="dxa"/>
            <w:vAlign w:val="bottom"/>
            <w:tcBorders>
              <w:bottom w:val="single" w:sz="8" w:color="auto"/>
            </w:tcBorders>
          </w:tcPr>
          <w:p>
            <w:pPr>
              <w:spacing w:after="0"/>
              <w:rPr>
                <w:sz w:val="13"/>
                <w:szCs w:val="13"/>
                <w:color w:val="auto"/>
              </w:rPr>
            </w:pPr>
          </w:p>
        </w:tc>
      </w:tr>
      <w:tr>
        <w:trPr>
          <w:trHeight w:val="150"/>
        </w:trPr>
        <w:tc>
          <w:tcPr>
            <w:tcW w:w="68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ind w:right="875"/>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87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4"/>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40" w:type="dxa"/>
            <w:vAlign w:val="bottom"/>
            <w:tcBorders>
              <w:bottom w:val="single" w:sz="8" w:color="auto"/>
            </w:tcBorders>
          </w:tcPr>
          <w:p>
            <w:pPr>
              <w:spacing w:after="0"/>
              <w:rPr>
                <w:sz w:val="13"/>
                <w:szCs w:val="13"/>
                <w:color w:val="auto"/>
              </w:rPr>
            </w:pPr>
          </w:p>
        </w:tc>
        <w:tc>
          <w:tcPr>
            <w:tcW w:w="406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1"/>
                <w:szCs w:val="11"/>
                <w:b w:val="1"/>
                <w:bCs w:val="1"/>
                <w:color w:val="auto"/>
              </w:rPr>
              <w:t>Fair Value Measurement Using Significant Unobservable Inputs (Level 3)</w:t>
            </w:r>
          </w:p>
        </w:tc>
      </w:tr>
      <w:tr>
        <w:trPr>
          <w:trHeight w:val="17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r>
      <w:tr>
        <w:trPr>
          <w:trHeight w:val="180"/>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Settlements</w:t>
            </w:r>
          </w:p>
        </w:tc>
        <w:tc>
          <w:tcPr>
            <w:tcW w:w="24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(losses) gains for the period included in earnings</w:t>
            </w:r>
          </w:p>
        </w:tc>
        <w:tc>
          <w:tcPr>
            <w:tcW w:w="24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71"/>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80" w:type="dxa"/>
            <w:vAlign w:val="bottom"/>
          </w:tcPr>
          <w:p>
            <w:pPr>
              <w:spacing w:after="0"/>
              <w:rPr>
                <w:sz w:val="14"/>
                <w:szCs w:val="14"/>
                <w:color w:val="auto"/>
              </w:rPr>
            </w:pPr>
          </w:p>
        </w:tc>
        <w:tc>
          <w:tcPr>
            <w:tcW w:w="82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w:t>
            </w: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99"/>
        </w:trPr>
        <w:tc>
          <w:tcPr>
            <w:tcW w:w="6860" w:type="dxa"/>
            <w:vAlign w:val="bottom"/>
            <w:shd w:val="clear" w:color="auto" w:fill="CCEEFF"/>
          </w:tcPr>
          <w:p>
            <w:pPr>
              <w:ind w:left="120"/>
              <w:spacing w:after="0" w:line="100" w:lineRule="exact"/>
              <w:rPr>
                <w:sz w:val="20"/>
                <w:szCs w:val="20"/>
                <w:color w:val="auto"/>
              </w:rPr>
            </w:pPr>
            <w:r>
              <w:rPr>
                <w:rFonts w:ascii="Times New Roman" w:cs="Times New Roman" w:eastAsia="Times New Roman" w:hAnsi="Times New Roman"/>
                <w:sz w:val="11"/>
                <w:szCs w:val="11"/>
                <w:color w:val="auto"/>
              </w:rPr>
              <w:t>Change in unrealized losses included in earnings for derivatives and other financial instruments held as of March 31,</w:t>
            </w:r>
          </w:p>
        </w:tc>
        <w:tc>
          <w:tcPr>
            <w:tcW w:w="240" w:type="dxa"/>
            <w:vAlign w:val="bottom"/>
            <w:shd w:val="clear" w:color="auto" w:fill="CCEEFF"/>
          </w:tcPr>
          <w:p>
            <w:pPr>
              <w:spacing w:after="0"/>
              <w:rPr>
                <w:sz w:val="8"/>
                <w:szCs w:val="8"/>
                <w:color w:val="auto"/>
              </w:rPr>
            </w:pPr>
          </w:p>
        </w:tc>
        <w:tc>
          <w:tcPr>
            <w:tcW w:w="18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r>
      <w:tr>
        <w:trPr>
          <w:trHeight w:val="191"/>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2024</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 and Financial Instruments Fair Value Measurements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Company's contracts are non-exchange-traded and valued using prices provided by external sources. The Company uses quoted observable forward prices to value its energy-related commodity contracts, which includes long-term power commodity contracts and heat rate call option contracts. To the extent that observable forward prices are not available, the quoted prices reflect the average of the forward prices from the prior year, adjusted for inflation. As of March 31, 2024, contracts valued with prices provided by models and other valuation techniques make up 6% of derivative assets and 100% of derivative liabilities and other financial instruments.</w:t>
      </w:r>
    </w:p>
    <w:p>
      <w:pPr>
        <w:spacing w:after="0" w:line="9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Company’s significant positions classified as Level 3 include physical and financial energy-related commodity contracts executed in illiquid markets. The significant unobservable inputs used in developing fair value include illiquid power tenors and location pricing, which is derived by extrapolating pricing as a basis to liquid locations. The tenor pricing and basis spread are based on observable market data when available or derived from historic prices and forward market prices from similar observable markets when not available.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quantifies the significant unobservable inputs used in developing the fair value of the Company’s Level 3 positions:</w:t>
      </w:r>
    </w:p>
    <w:p>
      <w:pPr>
        <w:spacing w:after="0" w:line="39"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4"/>
          <w:szCs w:val="14"/>
          <w:b w:val="1"/>
          <w:bCs w:val="1"/>
          <w:color w:val="auto"/>
        </w:rPr>
        <w:t>March 31, 2024</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Input/Range</w:t>
            </w:r>
          </w:p>
        </w:tc>
        <w:tc>
          <w:tcPr>
            <w:tcW w:w="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6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Valuation Technique</w:t>
            </w:r>
          </w:p>
        </w:tc>
        <w:tc>
          <w:tcPr>
            <w:tcW w:w="14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300" w:type="dxa"/>
            <w:vAlign w:val="bottom"/>
          </w:tcPr>
          <w:p>
            <w:pPr>
              <w:spacing w:after="0"/>
              <w:rPr>
                <w:sz w:val="11"/>
                <w:szCs w:val="11"/>
                <w:color w:val="auto"/>
              </w:rPr>
            </w:pPr>
          </w:p>
        </w:tc>
        <w:tc>
          <w:tcPr>
            <w:tcW w:w="102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Low</w:t>
            </w:r>
          </w:p>
        </w:tc>
        <w:tc>
          <w:tcPr>
            <w:tcW w:w="160" w:type="dxa"/>
            <w:vAlign w:val="bottom"/>
          </w:tcPr>
          <w:p>
            <w:pPr>
              <w:spacing w:after="0"/>
              <w:rPr>
                <w:sz w:val="11"/>
                <w:szCs w:val="11"/>
                <w:color w:val="auto"/>
              </w:rPr>
            </w:pPr>
          </w:p>
        </w:tc>
        <w:tc>
          <w:tcPr>
            <w:tcW w:w="114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High</w:t>
            </w:r>
          </w:p>
        </w:tc>
        <w:tc>
          <w:tcPr>
            <w:tcW w:w="80" w:type="dxa"/>
            <w:vAlign w:val="bottom"/>
          </w:tcPr>
          <w:p>
            <w:pPr>
              <w:spacing w:after="0"/>
              <w:rPr>
                <w:sz w:val="11"/>
                <w:szCs w:val="11"/>
                <w:color w:val="auto"/>
              </w:rPr>
            </w:pPr>
          </w:p>
        </w:tc>
        <w:tc>
          <w:tcPr>
            <w:tcW w:w="122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91"/>
        </w:trPr>
        <w:tc>
          <w:tcPr>
            <w:tcW w:w="2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9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4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Long-term Power Commodity Contracts </w:t>
            </w:r>
            <w:r>
              <w:rPr>
                <w:rFonts w:ascii="Times New Roman" w:cs="Times New Roman" w:eastAsia="Times New Roman" w:hAnsi="Times New Roman"/>
                <w:sz w:val="13"/>
                <w:szCs w:val="13"/>
                <w:color w:val="auto"/>
              </w:rPr>
              <w:t>$</w:t>
            </w:r>
          </w:p>
        </w:tc>
        <w:tc>
          <w:tcPr>
            <w:tcW w:w="106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 $</w:t>
            </w:r>
          </w:p>
        </w:tc>
        <w:tc>
          <w:tcPr>
            <w:tcW w:w="96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361</w:t>
            </w:r>
          </w:p>
        </w:tc>
        <w:tc>
          <w:tcPr>
            <w:tcW w:w="1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Discounted Cash Flow</w:t>
            </w:r>
          </w:p>
        </w:tc>
        <w:tc>
          <w:tcPr>
            <w:tcW w:w="148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7"/>
              </w:rPr>
              <w:t>Forward Market Price (per</w:t>
            </w:r>
          </w:p>
        </w:tc>
        <w:tc>
          <w:tcPr>
            <w:tcW w:w="300" w:type="dxa"/>
            <w:vAlign w:val="bottom"/>
            <w:vMerge w:val="restart"/>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19.73</w:t>
            </w:r>
          </w:p>
        </w:tc>
        <w:tc>
          <w:tcPr>
            <w:tcW w:w="16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86.87</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43.47</w:t>
            </w:r>
          </w:p>
        </w:tc>
        <w:tc>
          <w:tcPr>
            <w:tcW w:w="0" w:type="dxa"/>
            <w:vAlign w:val="bottom"/>
          </w:tcPr>
          <w:p>
            <w:pPr>
              <w:spacing w:after="0"/>
              <w:rPr>
                <w:sz w:val="1"/>
                <w:szCs w:val="1"/>
                <w:color w:val="auto"/>
              </w:rPr>
            </w:pPr>
          </w:p>
        </w:tc>
      </w:tr>
      <w:tr>
        <w:trPr>
          <w:trHeight w:val="170"/>
        </w:trPr>
        <w:tc>
          <w:tcPr>
            <w:tcW w:w="2460" w:type="dxa"/>
            <w:vAlign w:val="bottom"/>
            <w:gridSpan w:val="2"/>
            <w:vMerge w:val="continue"/>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400" w:type="dxa"/>
            <w:vAlign w:val="bottom"/>
            <w:vMerge w:val="continue"/>
            <w:shd w:val="clear" w:color="auto" w:fill="CCEEFF"/>
          </w:tcPr>
          <w:p>
            <w:pPr>
              <w:spacing w:after="0"/>
              <w:rPr>
                <w:sz w:val="14"/>
                <w:szCs w:val="14"/>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MWh)</w:t>
            </w:r>
          </w:p>
        </w:tc>
        <w:tc>
          <w:tcPr>
            <w:tcW w:w="30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46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Heat Rate Call Option Commodity</w:t>
            </w:r>
          </w:p>
        </w:tc>
        <w:tc>
          <w:tcPr>
            <w:tcW w:w="1060" w:type="dxa"/>
            <w:vAlign w:val="bottom"/>
            <w:vMerge w:val="restart"/>
          </w:tcPr>
          <w:p>
            <w:pPr>
              <w:jc w:val="right"/>
              <w:ind w:right="155"/>
              <w:spacing w:after="0"/>
              <w:rPr>
                <w:sz w:val="20"/>
                <w:szCs w:val="20"/>
                <w:color w:val="auto"/>
              </w:rPr>
            </w:pPr>
            <w:r>
              <w:rPr>
                <w:rFonts w:ascii="Times New Roman" w:cs="Times New Roman" w:eastAsia="Times New Roman" w:hAnsi="Times New Roman"/>
                <w:sz w:val="13"/>
                <w:szCs w:val="13"/>
                <w:color w:val="auto"/>
              </w:rPr>
              <w:t>8</w:t>
            </w:r>
          </w:p>
        </w:tc>
        <w:tc>
          <w:tcPr>
            <w:tcW w:w="96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Option Model</w:t>
            </w:r>
          </w:p>
        </w:tc>
        <w:tc>
          <w:tcPr>
            <w:tcW w:w="14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auto"/>
                <w:w w:val="97"/>
              </w:rPr>
              <w:t>Forward Market Price (per</w:t>
            </w:r>
          </w:p>
        </w:tc>
        <w:tc>
          <w:tcPr>
            <w:tcW w:w="30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(28.22)</w:t>
            </w:r>
          </w:p>
        </w:tc>
        <w:tc>
          <w:tcPr>
            <w:tcW w:w="16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1,321.77</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53.33</w:t>
            </w:r>
          </w:p>
        </w:tc>
        <w:tc>
          <w:tcPr>
            <w:tcW w:w="0" w:type="dxa"/>
            <w:vAlign w:val="bottom"/>
          </w:tcPr>
          <w:p>
            <w:pPr>
              <w:spacing w:after="0"/>
              <w:rPr>
                <w:sz w:val="1"/>
                <w:szCs w:val="1"/>
                <w:color w:val="auto"/>
              </w:rPr>
            </w:pPr>
          </w:p>
        </w:tc>
      </w:tr>
      <w:tr>
        <w:trPr>
          <w:trHeight w:val="169"/>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Contracts</w:t>
            </w:r>
          </w:p>
        </w:tc>
        <w:tc>
          <w:tcPr>
            <w:tcW w:w="10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MWh)</w:t>
            </w:r>
          </w:p>
        </w:tc>
        <w:tc>
          <w:tcPr>
            <w:tcW w:w="3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Option Model</w:t>
            </w:r>
          </w:p>
        </w:tc>
        <w:tc>
          <w:tcPr>
            <w:tcW w:w="148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7"/>
              </w:rPr>
              <w:t>Forward Market Price (per</w:t>
            </w:r>
          </w:p>
        </w:tc>
        <w:tc>
          <w:tcPr>
            <w:tcW w:w="300" w:type="dxa"/>
            <w:vAlign w:val="bottom"/>
            <w:vMerge w:val="restart"/>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6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14.51</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w:t>
            </w:r>
          </w:p>
        </w:tc>
        <w:tc>
          <w:tcPr>
            <w:tcW w:w="0" w:type="dxa"/>
            <w:vAlign w:val="bottom"/>
          </w:tcPr>
          <w:p>
            <w:pPr>
              <w:spacing w:after="0"/>
              <w:rPr>
                <w:sz w:val="1"/>
                <w:szCs w:val="1"/>
                <w:color w:val="auto"/>
              </w:rPr>
            </w:pPr>
          </w:p>
        </w:tc>
      </w:tr>
      <w:tr>
        <w:trPr>
          <w:trHeight w:val="170"/>
        </w:trPr>
        <w:tc>
          <w:tcPr>
            <w:tcW w:w="2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0" w:type="dxa"/>
            <w:vAlign w:val="bottom"/>
            <w:vMerge w:val="continue"/>
            <w:shd w:val="clear" w:color="auto" w:fill="CCEEFF"/>
          </w:tcPr>
          <w:p>
            <w:pPr>
              <w:spacing w:after="0"/>
              <w:rPr>
                <w:sz w:val="14"/>
                <w:szCs w:val="14"/>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MMBtu)</w:t>
            </w:r>
          </w:p>
        </w:tc>
        <w:tc>
          <w:tcPr>
            <w:tcW w:w="30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4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auto"/>
                <w:w w:val="97"/>
              </w:rPr>
              <w:t>Forecast annual generation</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Other Financial Instruments</w:t>
            </w:r>
          </w:p>
        </w:tc>
        <w:tc>
          <w:tcPr>
            <w:tcW w:w="1060" w:type="dxa"/>
            <w:vAlign w:val="bottom"/>
            <w:vMerge w:val="restart"/>
          </w:tcPr>
          <w:p>
            <w:pPr>
              <w:jc w:val="right"/>
              <w:ind w:right="155"/>
              <w:spacing w:after="0"/>
              <w:rPr>
                <w:sz w:val="20"/>
                <w:szCs w:val="20"/>
                <w:color w:val="auto"/>
              </w:rPr>
            </w:pPr>
            <w:r>
              <w:rPr>
                <w:rFonts w:ascii="Times New Roman" w:cs="Times New Roman" w:eastAsia="Times New Roman" w:hAnsi="Times New Roman"/>
                <w:sz w:val="13"/>
                <w:szCs w:val="13"/>
                <w:color w:val="auto"/>
              </w:rPr>
              <w:t>14</w:t>
            </w:r>
          </w:p>
        </w:tc>
        <w:tc>
          <w:tcPr>
            <w:tcW w:w="96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7"/>
              </w:rPr>
              <w:t>Discounted Cash Flow</w:t>
            </w:r>
          </w:p>
        </w:tc>
        <w:tc>
          <w:tcPr>
            <w:tcW w:w="14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auto"/>
                <w:w w:val="98"/>
              </w:rPr>
              <w:t>levels of certain DG solar</w:t>
            </w:r>
          </w:p>
        </w:tc>
        <w:tc>
          <w:tcPr>
            <w:tcW w:w="3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60,801 MWh</w:t>
            </w:r>
          </w:p>
        </w:tc>
        <w:tc>
          <w:tcPr>
            <w:tcW w:w="16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121,602 MWh</w:t>
            </w:r>
          </w:p>
        </w:tc>
        <w:tc>
          <w:tcPr>
            <w:tcW w:w="8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115,622 MWh</w:t>
            </w:r>
          </w:p>
        </w:tc>
        <w:tc>
          <w:tcPr>
            <w:tcW w:w="0" w:type="dxa"/>
            <w:vAlign w:val="bottom"/>
          </w:tcPr>
          <w:p>
            <w:pPr>
              <w:spacing w:after="0"/>
              <w:rPr>
                <w:sz w:val="1"/>
                <w:szCs w:val="1"/>
                <w:color w:val="auto"/>
              </w:rPr>
            </w:pPr>
          </w:p>
        </w:tc>
      </w:tr>
      <w:tr>
        <w:trPr>
          <w:trHeight w:val="165"/>
        </w:trPr>
        <w:tc>
          <w:tcPr>
            <w:tcW w:w="2460" w:type="dxa"/>
            <w:vAlign w:val="bottom"/>
            <w:gridSpan w:val="2"/>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facilities</w:t>
            </w: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9" w:name="page20"/>
    <w:bookmarkEnd w:id="19"/>
    <w:p>
      <w:pPr>
        <w:ind w:left="320"/>
        <w:spacing w:after="0"/>
        <w:rPr>
          <w:sz w:val="20"/>
          <w:szCs w:val="20"/>
          <w:color w:val="auto"/>
        </w:rPr>
      </w:pPr>
      <w:r>
        <w:rPr>
          <w:rFonts w:ascii="Times New Roman" w:cs="Times New Roman" w:eastAsia="Times New Roman" w:hAnsi="Times New Roman"/>
          <w:sz w:val="14"/>
          <w:szCs w:val="14"/>
          <w:color w:val="auto"/>
        </w:rPr>
        <w:t>The following table provides the impact on the fair value measurements to increases/(decreases) in significant unobservable inputs as of March 31, 2024:</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Type</w:t>
            </w:r>
          </w:p>
        </w:tc>
        <w:tc>
          <w:tcPr>
            <w:tcW w:w="3060" w:type="dxa"/>
            <w:vAlign w:val="bottom"/>
            <w:vMerge w:val="restart"/>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Significant Unobservable Input</w:t>
            </w: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2200" w:type="dxa"/>
            <w:vAlign w:val="bottom"/>
            <w:vMerge w:val="restart"/>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Change In Input</w:t>
            </w: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Impact on Fair Value</w:t>
            </w:r>
          </w:p>
        </w:tc>
        <w:tc>
          <w:tcPr>
            <w:tcW w:w="0" w:type="dxa"/>
            <w:vAlign w:val="bottom"/>
          </w:tcPr>
          <w:p>
            <w:pPr>
              <w:spacing w:after="0"/>
              <w:rPr>
                <w:sz w:val="1"/>
                <w:szCs w:val="1"/>
                <w:color w:val="auto"/>
              </w:rPr>
            </w:pPr>
          </w:p>
        </w:tc>
      </w:tr>
      <w:tr>
        <w:trPr>
          <w:trHeight w:val="191"/>
        </w:trPr>
        <w:tc>
          <w:tcPr>
            <w:tcW w:w="2120" w:type="dxa"/>
            <w:vAlign w:val="bottom"/>
            <w:tcBorders>
              <w:bottom w:val="single" w:sz="8" w:color="auto"/>
            </w:tcBorders>
            <w:vMerge w:val="continue"/>
          </w:tcPr>
          <w:p>
            <w:pPr>
              <w:spacing w:after="0"/>
              <w:rPr>
                <w:sz w:val="16"/>
                <w:szCs w:val="16"/>
                <w:color w:val="auto"/>
              </w:rPr>
            </w:pPr>
          </w:p>
        </w:tc>
        <w:tc>
          <w:tcPr>
            <w:tcW w:w="3060" w:type="dxa"/>
            <w:vAlign w:val="bottom"/>
            <w:tcBorders>
              <w:bottom w:val="single" w:sz="8" w:color="auto"/>
            </w:tcBorders>
            <w:vMerge w:val="continue"/>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2200" w:type="dxa"/>
            <w:vAlign w:val="bottom"/>
            <w:tcBorders>
              <w:bottom w:val="single" w:sz="8" w:color="auto"/>
            </w:tcBorders>
            <w:vMerge w:val="continue"/>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0" w:type="dxa"/>
            <w:vAlign w:val="bottom"/>
          </w:tcPr>
          <w:p>
            <w:pPr>
              <w:spacing w:after="0"/>
              <w:rPr>
                <w:sz w:val="1"/>
                <w:szCs w:val="1"/>
                <w:color w:val="auto"/>
              </w:rPr>
            </w:pPr>
          </w:p>
        </w:tc>
      </w:tr>
      <w:tr>
        <w:trPr>
          <w:trHeight w:val="129"/>
        </w:trPr>
        <w:tc>
          <w:tcPr>
            <w:tcW w:w="21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Energy-Related Commodity</w:t>
            </w:r>
          </w:p>
        </w:tc>
        <w:tc>
          <w:tcPr>
            <w:tcW w:w="306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Contracts</w:t>
            </w:r>
          </w:p>
        </w:tc>
        <w:tc>
          <w:tcPr>
            <w:tcW w:w="3060" w:type="dxa"/>
            <w:vAlign w:val="bottom"/>
            <w:shd w:val="clear" w:color="auto" w:fill="CCEEFF"/>
          </w:tcPr>
          <w:p>
            <w:pPr>
              <w:jc w:val="center"/>
              <w:ind w:right="109"/>
              <w:spacing w:after="0"/>
              <w:rPr>
                <w:sz w:val="20"/>
                <w:szCs w:val="20"/>
                <w:color w:val="auto"/>
              </w:rPr>
            </w:pPr>
            <w:r>
              <w:rPr>
                <w:rFonts w:ascii="Times New Roman" w:cs="Times New Roman" w:eastAsia="Times New Roman" w:hAnsi="Times New Roman"/>
                <w:sz w:val="14"/>
                <w:szCs w:val="14"/>
                <w:color w:val="auto"/>
              </w:rPr>
              <w:t>Forward Market Price Power</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Sell</w:t>
            </w:r>
          </w:p>
        </w:tc>
        <w:tc>
          <w:tcPr>
            <w:tcW w:w="2200" w:type="dxa"/>
            <w:vAlign w:val="bottom"/>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rPr>
              <w:t>Increase/(Decrease)</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Lower/(Higher)</w:t>
            </w:r>
          </w:p>
        </w:tc>
        <w:tc>
          <w:tcPr>
            <w:tcW w:w="0" w:type="dxa"/>
            <w:vAlign w:val="bottom"/>
          </w:tcPr>
          <w:p>
            <w:pPr>
              <w:spacing w:after="0"/>
              <w:rPr>
                <w:sz w:val="1"/>
                <w:szCs w:val="1"/>
                <w:color w:val="auto"/>
              </w:rPr>
            </w:pPr>
          </w:p>
        </w:tc>
      </w:tr>
      <w:tr>
        <w:trPr>
          <w:trHeight w:val="138"/>
        </w:trPr>
        <w:tc>
          <w:tcPr>
            <w:tcW w:w="212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Energy-Related Commodity</w:t>
            </w:r>
          </w:p>
        </w:tc>
        <w:tc>
          <w:tcPr>
            <w:tcW w:w="30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Contracts</w:t>
            </w:r>
          </w:p>
        </w:tc>
        <w:tc>
          <w:tcPr>
            <w:tcW w:w="306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rPr>
              <w:t>Forward Market Price Gas</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Sell</w:t>
            </w:r>
          </w:p>
        </w:tc>
        <w:tc>
          <w:tcPr>
            <w:tcW w:w="2200" w:type="dxa"/>
            <w:vAlign w:val="bottom"/>
          </w:tcPr>
          <w:p>
            <w:pPr>
              <w:jc w:val="center"/>
              <w:ind w:left="129"/>
              <w:spacing w:after="0"/>
              <w:rPr>
                <w:sz w:val="20"/>
                <w:szCs w:val="20"/>
                <w:color w:val="auto"/>
              </w:rPr>
            </w:pPr>
            <w:r>
              <w:rPr>
                <w:rFonts w:ascii="Times New Roman" w:cs="Times New Roman" w:eastAsia="Times New Roman" w:hAnsi="Times New Roman"/>
                <w:sz w:val="14"/>
                <w:szCs w:val="14"/>
                <w:color w:val="auto"/>
              </w:rPr>
              <w:t>Increase/(Decrease)</w:t>
            </w: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Higher/(Lower)</w:t>
            </w:r>
          </w:p>
        </w:tc>
        <w:tc>
          <w:tcPr>
            <w:tcW w:w="0" w:type="dxa"/>
            <w:vAlign w:val="bottom"/>
          </w:tcPr>
          <w:p>
            <w:pPr>
              <w:spacing w:after="0"/>
              <w:rPr>
                <w:sz w:val="1"/>
                <w:szCs w:val="1"/>
                <w:color w:val="auto"/>
              </w:rPr>
            </w:pPr>
          </w:p>
        </w:tc>
      </w:tr>
      <w:tr>
        <w:trPr>
          <w:trHeight w:val="181"/>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Financial Instruments</w:t>
            </w:r>
          </w:p>
        </w:tc>
        <w:tc>
          <w:tcPr>
            <w:tcW w:w="3060" w:type="dxa"/>
            <w:vAlign w:val="bottom"/>
            <w:shd w:val="clear" w:color="auto" w:fill="CCEEFF"/>
          </w:tcPr>
          <w:p>
            <w:pPr>
              <w:jc w:val="center"/>
              <w:ind w:right="109"/>
              <w:spacing w:after="0"/>
              <w:rPr>
                <w:sz w:val="20"/>
                <w:szCs w:val="20"/>
                <w:color w:val="auto"/>
              </w:rPr>
            </w:pPr>
            <w:r>
              <w:rPr>
                <w:rFonts w:ascii="Times New Roman" w:cs="Times New Roman" w:eastAsia="Times New Roman" w:hAnsi="Times New Roman"/>
                <w:sz w:val="14"/>
                <w:szCs w:val="14"/>
                <w:color w:val="auto"/>
              </w:rPr>
              <w:t>Forecast Generation Levels</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Sell</w:t>
            </w:r>
          </w:p>
        </w:tc>
        <w:tc>
          <w:tcPr>
            <w:tcW w:w="2200" w:type="dxa"/>
            <w:vAlign w:val="bottom"/>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rPr>
              <w:t>Increase/(Decrease)</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Higher/(Lower)</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March 31, 2024, the non-performance reserve was a $12 million gain recorded primarily to total operating revenues in the consolidated statements of operations. It is possible that future market prices could vary from those used in recording assets and liabilities and such variations could be material.</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Credit Risk</w:t>
      </w:r>
    </w:p>
    <w:p>
      <w:pPr>
        <w:spacing w:after="0" w:line="13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 xml:space="preserve">In addition to the credit risk discussion as disclosed under Item 15 —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to the</w:t>
      </w:r>
      <w:r>
        <w:rPr>
          <w:rFonts w:ascii="Times New Roman" w:cs="Times New Roman" w:eastAsia="Times New Roman" w:hAnsi="Times New Roman"/>
          <w:sz w:val="14"/>
          <w:szCs w:val="14"/>
          <w:color w:val="auto"/>
        </w:rPr>
        <w:t xml:space="preserve"> consolidated financial statements included in the </w:t>
      </w:r>
      <w:r>
        <w:rPr>
          <w:rFonts w:ascii="Times New Roman" w:cs="Times New Roman" w:eastAsia="Times New Roman" w:hAnsi="Times New Roman"/>
          <w:sz w:val="14"/>
          <w:szCs w:val="14"/>
          <w:color w:val="231F20"/>
        </w:rPr>
        <w:t>Company’s</w:t>
      </w:r>
      <w:r>
        <w:rPr>
          <w:rFonts w:ascii="Times New Roman" w:cs="Times New Roman" w:eastAsia="Times New Roman" w:hAnsi="Times New Roman"/>
          <w:sz w:val="14"/>
          <w:szCs w:val="14"/>
          <w:color w:val="auto"/>
        </w:rPr>
        <w:t xml:space="preserve"> 2023 Form 10-K,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on an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0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A significant portion of these energy-related commodity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 Certain subsidiaries of the Company sell the output of their facilities to PG&amp;E, a significant counterparty of the Company, under long-term PPAs, and PG&amp;E’s credit rating is below investment-grade.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6 — </w:t>
      </w:r>
      <w:r>
        <w:rPr>
          <w:rFonts w:ascii="Times New Roman" w:cs="Times New Roman" w:eastAsia="Times New Roman" w:hAnsi="Times New Roman"/>
          <w:sz w:val="14"/>
          <w:szCs w:val="14"/>
          <w:b w:val="1"/>
          <w:bCs w:val="1"/>
          <w:i w:val="1"/>
          <w:iCs w:val="1"/>
          <w:color w:val="auto"/>
        </w:rPr>
        <w:t>Derivative Instruments and Hedging Activities</w:t>
      </w:r>
    </w:p>
    <w:p>
      <w:pPr>
        <w:spacing w:after="0" w:line="136"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This footnote should be read in conjunction with the complete description under Item 15 — Note 7, </w:t>
      </w:r>
      <w:r>
        <w:rPr>
          <w:rFonts w:ascii="Times New Roman" w:cs="Times New Roman" w:eastAsia="Times New Roman" w:hAnsi="Times New Roman"/>
          <w:sz w:val="14"/>
          <w:szCs w:val="14"/>
          <w:i w:val="1"/>
          <w:iCs w:val="1"/>
          <w:color w:val="auto"/>
        </w:rPr>
        <w:t>Accounting for Derivative Instruments and Hedging Activities</w:t>
      </w:r>
      <w:r>
        <w:rPr>
          <w:rFonts w:ascii="Times New Roman" w:cs="Times New Roman" w:eastAsia="Times New Roman" w:hAnsi="Times New Roman"/>
          <w:sz w:val="14"/>
          <w:szCs w:val="14"/>
          <w:i w:val="1"/>
          <w:iCs w:val="1"/>
          <w:color w:val="231F20"/>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to the consolidated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 xml:space="preserve">statements included in the Company’s </w:t>
      </w:r>
      <w:r>
        <w:rPr>
          <w:rFonts w:ascii="Times New Roman" w:cs="Times New Roman" w:eastAsia="Times New Roman" w:hAnsi="Times New Roman"/>
          <w:sz w:val="14"/>
          <w:szCs w:val="14"/>
          <w:color w:val="000000"/>
        </w:rPr>
        <w:t>2023 Form 10-K.</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Swaps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enters into interest rate swap agreements in order to hedge the variability of expected future cash interest payments. As of March 31, 2024, the Company had interest rate derivative instruments on non-recourse debt extending through 2040, a portion of which were designated as cash flow hedges. Under the interest rate swap agreements, the Company pays a fixed rate and the counterparties to the agreements pay a variable interest rate.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i w:val="1"/>
          <w:iCs w:val="1"/>
          <w:color w:val="auto"/>
        </w:rPr>
        <w:t>Energy-Related Commodity Contracts</w:t>
      </w:r>
    </w:p>
    <w:p>
      <w:pPr>
        <w:spacing w:after="0" w:line="138" w:lineRule="exact"/>
        <w:rPr>
          <w:sz w:val="20"/>
          <w:szCs w:val="20"/>
          <w:color w:val="auto"/>
        </w:rPr>
      </w:pPr>
    </w:p>
    <w:p>
      <w:pPr>
        <w:ind w:firstLine="318"/>
        <w:spacing w:after="0" w:line="263" w:lineRule="auto"/>
        <w:rPr>
          <w:sz w:val="20"/>
          <w:szCs w:val="20"/>
          <w:color w:val="auto"/>
        </w:rPr>
      </w:pPr>
      <w:r>
        <w:rPr>
          <w:rFonts w:ascii="Times New Roman" w:cs="Times New Roman" w:eastAsia="Times New Roman" w:hAnsi="Times New Roman"/>
          <w:sz w:val="14"/>
          <w:szCs w:val="14"/>
          <w:color w:val="auto"/>
        </w:rPr>
        <w:t>As of March 31, 2024, the Company had energy-related derivative instruments extending through 2033. At March 31, 2024, these contracts were not designated as cash flow or fair value hedges.</w:t>
      </w: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Volumetric Underlying Derivative Transactions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net notional volume buy/(sell) of the Company’s open derivative transactions broken out by commodity:</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Total Volume</w:t>
            </w:r>
          </w:p>
        </w:tc>
        <w:tc>
          <w:tcPr>
            <w:tcW w:w="1480" w:type="dxa"/>
            <w:vAlign w:val="bottom"/>
            <w:tcBorders>
              <w:bottom w:val="single" w:sz="8" w:color="auto"/>
            </w:tcBorders>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4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5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17"/>
        </w:trPr>
        <w:tc>
          <w:tcPr>
            <w:tcW w:w="20" w:type="dxa"/>
            <w:vAlign w:val="bottom"/>
          </w:tcPr>
          <w:p>
            <w:pPr>
              <w:spacing w:after="0"/>
              <w:rPr>
                <w:sz w:val="10"/>
                <w:szCs w:val="10"/>
                <w:color w:val="auto"/>
              </w:rPr>
            </w:pPr>
          </w:p>
        </w:tc>
        <w:tc>
          <w:tcPr>
            <w:tcW w:w="288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Commodity</w:t>
            </w:r>
          </w:p>
        </w:tc>
        <w:tc>
          <w:tcPr>
            <w:tcW w:w="4600" w:type="dxa"/>
            <w:vAlign w:val="bottom"/>
            <w:gridSpan w:val="3"/>
          </w:tcPr>
          <w:p>
            <w:pPr>
              <w:ind w:left="2220"/>
              <w:spacing w:after="0" w:line="117" w:lineRule="exact"/>
              <w:rPr>
                <w:sz w:val="20"/>
                <w:szCs w:val="20"/>
                <w:color w:val="auto"/>
              </w:rPr>
            </w:pPr>
            <w:r>
              <w:rPr>
                <w:rFonts w:ascii="Times New Roman" w:cs="Times New Roman" w:eastAsia="Times New Roman" w:hAnsi="Times New Roman"/>
                <w:sz w:val="11"/>
                <w:szCs w:val="11"/>
                <w:b w:val="1"/>
                <w:bCs w:val="1"/>
                <w:color w:val="auto"/>
              </w:rPr>
              <w:t>Units</w:t>
            </w:r>
          </w:p>
        </w:tc>
        <w:tc>
          <w:tcPr>
            <w:tcW w:w="1400" w:type="dxa"/>
            <w:vAlign w:val="bottom"/>
          </w:tcPr>
          <w:p>
            <w:pPr>
              <w:spacing w:after="0"/>
              <w:rPr>
                <w:sz w:val="10"/>
                <w:szCs w:val="10"/>
                <w:color w:val="auto"/>
              </w:rPr>
            </w:pPr>
          </w:p>
        </w:tc>
        <w:tc>
          <w:tcPr>
            <w:tcW w:w="900" w:type="dxa"/>
            <w:vAlign w:val="bottom"/>
            <w:gridSpan w:val="2"/>
          </w:tcPr>
          <w:p>
            <w:pPr>
              <w:ind w:left="200"/>
              <w:spacing w:after="0" w:line="117" w:lineRule="exact"/>
              <w:rPr>
                <w:sz w:val="20"/>
                <w:szCs w:val="20"/>
                <w:color w:val="auto"/>
              </w:rPr>
            </w:pPr>
            <w:r>
              <w:rPr>
                <w:rFonts w:ascii="Times New Roman" w:cs="Times New Roman" w:eastAsia="Times New Roman" w:hAnsi="Times New Roman"/>
                <w:sz w:val="11"/>
                <w:szCs w:val="11"/>
                <w:b w:val="1"/>
                <w:bCs w:val="1"/>
                <w:color w:val="auto"/>
              </w:rPr>
              <w:t>(In millions)</w:t>
            </w:r>
          </w:p>
        </w:tc>
        <w:tc>
          <w:tcPr>
            <w:tcW w:w="1480" w:type="dxa"/>
            <w:vAlign w:val="bottom"/>
          </w:tcPr>
          <w:p>
            <w:pPr>
              <w:spacing w:after="0"/>
              <w:rPr>
                <w:sz w:val="10"/>
                <w:szCs w:val="10"/>
                <w:color w:val="auto"/>
              </w:rPr>
            </w:pPr>
          </w:p>
        </w:tc>
      </w:tr>
      <w:tr>
        <w:trPr>
          <w:trHeight w:val="22"/>
        </w:trPr>
        <w:tc>
          <w:tcPr>
            <w:tcW w:w="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Power</w:t>
            </w:r>
          </w:p>
        </w:tc>
        <w:tc>
          <w:tcPr>
            <w:tcW w:w="4600" w:type="dxa"/>
            <w:vAlign w:val="bottom"/>
            <w:gridSpan w:val="3"/>
            <w:shd w:val="clear" w:color="auto" w:fill="CCEEFF"/>
          </w:tcPr>
          <w:p>
            <w:pPr>
              <w:ind w:left="2220"/>
              <w:spacing w:after="0"/>
              <w:rPr>
                <w:sz w:val="20"/>
                <w:szCs w:val="20"/>
                <w:color w:val="auto"/>
              </w:rPr>
            </w:pPr>
            <w:r>
              <w:rPr>
                <w:rFonts w:ascii="Times New Roman" w:cs="Times New Roman" w:eastAsia="Times New Roman" w:hAnsi="Times New Roman"/>
                <w:sz w:val="14"/>
                <w:szCs w:val="14"/>
                <w:color w:val="auto"/>
              </w:rPr>
              <w:t>MWh</w:t>
            </w:r>
          </w:p>
        </w:tc>
        <w:tc>
          <w:tcPr>
            <w:tcW w:w="1400" w:type="dxa"/>
            <w:vAlign w:val="bottom"/>
            <w:shd w:val="clear" w:color="auto" w:fill="CCEEFF"/>
          </w:tcPr>
          <w:p>
            <w:pPr>
              <w:spacing w:after="0"/>
              <w:rPr>
                <w:sz w:val="15"/>
                <w:szCs w:val="15"/>
                <w:color w:val="auto"/>
              </w:rPr>
            </w:pPr>
          </w:p>
        </w:tc>
        <w:tc>
          <w:tcPr>
            <w:tcW w:w="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(21)</w:t>
            </w:r>
          </w:p>
        </w:tc>
        <w:tc>
          <w:tcPr>
            <w:tcW w:w="4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80"/>
        </w:trPr>
        <w:tc>
          <w:tcPr>
            <w:tcW w:w="20" w:type="dxa"/>
            <w:vAlign w:val="bottom"/>
          </w:tcPr>
          <w:p>
            <w:pPr>
              <w:spacing w:after="0"/>
              <w:rPr>
                <w:sz w:val="15"/>
                <w:szCs w:val="15"/>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Natural Gas</w:t>
            </w:r>
          </w:p>
        </w:tc>
        <w:tc>
          <w:tcPr>
            <w:tcW w:w="4600" w:type="dxa"/>
            <w:vAlign w:val="bottom"/>
            <w:gridSpan w:val="3"/>
          </w:tcPr>
          <w:p>
            <w:pPr>
              <w:ind w:left="2220"/>
              <w:spacing w:after="0"/>
              <w:rPr>
                <w:sz w:val="20"/>
                <w:szCs w:val="20"/>
                <w:color w:val="auto"/>
              </w:rPr>
            </w:pPr>
            <w:r>
              <w:rPr>
                <w:rFonts w:ascii="Times New Roman" w:cs="Times New Roman" w:eastAsia="Times New Roman" w:hAnsi="Times New Roman"/>
                <w:sz w:val="14"/>
                <w:szCs w:val="14"/>
                <w:color w:val="auto"/>
              </w:rPr>
              <w:t>MMBtu</w:t>
            </w:r>
          </w:p>
        </w:tc>
        <w:tc>
          <w:tcPr>
            <w:tcW w:w="1400" w:type="dxa"/>
            <w:vAlign w:val="bottom"/>
          </w:tcPr>
          <w:p>
            <w:pPr>
              <w:spacing w:after="0"/>
              <w:rPr>
                <w:sz w:val="15"/>
                <w:szCs w:val="15"/>
                <w:color w:val="auto"/>
              </w:rPr>
            </w:pPr>
          </w:p>
        </w:tc>
        <w:tc>
          <w:tcPr>
            <w:tcW w:w="50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16</w:t>
            </w:r>
          </w:p>
        </w:tc>
        <w:tc>
          <w:tcPr>
            <w:tcW w:w="4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0"/>
        </w:trPr>
        <w:tc>
          <w:tcPr>
            <w:tcW w:w="20" w:type="dxa"/>
            <w:vAlign w:val="bottom"/>
            <w:shd w:val="clear" w:color="auto" w:fill="CCEEFF"/>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w:t>
            </w:r>
          </w:p>
        </w:tc>
        <w:tc>
          <w:tcPr>
            <w:tcW w:w="4600" w:type="dxa"/>
            <w:vAlign w:val="bottom"/>
            <w:gridSpan w:val="3"/>
            <w:shd w:val="clear" w:color="auto" w:fill="CCEEFF"/>
          </w:tcPr>
          <w:p>
            <w:pPr>
              <w:ind w:left="2220"/>
              <w:spacing w:after="0"/>
              <w:rPr>
                <w:sz w:val="20"/>
                <w:szCs w:val="20"/>
                <w:color w:val="auto"/>
              </w:rPr>
            </w:pPr>
            <w:r>
              <w:rPr>
                <w:rFonts w:ascii="Times New Roman" w:cs="Times New Roman" w:eastAsia="Times New Roman" w:hAnsi="Times New Roman"/>
                <w:sz w:val="14"/>
                <w:szCs w:val="14"/>
                <w:color w:val="auto"/>
              </w:rPr>
              <w:t>Dollars</w:t>
            </w:r>
          </w:p>
        </w:tc>
        <w:tc>
          <w:tcPr>
            <w:tcW w:w="1400" w:type="dxa"/>
            <w:vAlign w:val="bottom"/>
            <w:shd w:val="clear" w:color="auto" w:fill="CCEEFF"/>
          </w:tcPr>
          <w:p>
            <w:pPr>
              <w:jc w:val="right"/>
              <w:ind w:right="1236"/>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1,610</w:t>
            </w:r>
          </w:p>
        </w:tc>
        <w:tc>
          <w:tcPr>
            <w:tcW w:w="40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2,467</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of Derivative Instruments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fair value within the derivative instrument valuation on the consolidated balance sheets: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6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r>
      <w:tr>
        <w:trPr>
          <w:trHeight w:val="154"/>
        </w:trPr>
        <w:tc>
          <w:tcPr>
            <w:tcW w:w="466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832"/>
              <w:spacing w:after="0"/>
              <w:rPr>
                <w:sz w:val="20"/>
                <w:szCs w:val="20"/>
                <w:color w:val="auto"/>
              </w:rPr>
            </w:pPr>
            <w:r>
              <w:rPr>
                <w:rFonts w:ascii="Times New Roman" w:cs="Times New Roman" w:eastAsia="Times New Roman" w:hAnsi="Times New Roman"/>
                <w:sz w:val="11"/>
                <w:szCs w:val="11"/>
                <w:b w:val="1"/>
                <w:bCs w:val="1"/>
                <w:color w:val="auto"/>
              </w:rPr>
              <w:t>Derivative Assets</w:t>
            </w:r>
          </w:p>
        </w:tc>
        <w:tc>
          <w:tcPr>
            <w:tcW w:w="3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4"/>
          </w:tcPr>
          <w:p>
            <w:pPr>
              <w:jc w:val="right"/>
              <w:ind w:right="1071"/>
              <w:spacing w:after="0"/>
              <w:rPr>
                <w:sz w:val="20"/>
                <w:szCs w:val="20"/>
                <w:color w:val="auto"/>
              </w:rPr>
            </w:pPr>
            <w:r>
              <w:rPr>
                <w:rFonts w:ascii="Times New Roman" w:cs="Times New Roman" w:eastAsia="Times New Roman" w:hAnsi="Times New Roman"/>
                <w:sz w:val="11"/>
                <w:szCs w:val="11"/>
                <w:b w:val="1"/>
                <w:bCs w:val="1"/>
                <w:color w:val="auto"/>
              </w:rPr>
              <w:t>Derivative Liabilities</w:t>
            </w:r>
          </w:p>
        </w:tc>
      </w:tr>
      <w:tr>
        <w:trPr>
          <w:trHeight w:val="150"/>
        </w:trPr>
        <w:tc>
          <w:tcPr>
            <w:tcW w:w="4660" w:type="dxa"/>
            <w:vAlign w:val="bottom"/>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50"/>
        </w:trPr>
        <w:tc>
          <w:tcPr>
            <w:tcW w:w="46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6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8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Cash Flow Hedges:</w:t>
            </w:r>
          </w:p>
        </w:tc>
        <w:tc>
          <w:tcPr>
            <w:tcW w:w="1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180"/>
        </w:trPr>
        <w:tc>
          <w:tcPr>
            <w:tcW w:w="4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rate contracts current</w:t>
            </w:r>
          </w:p>
        </w:tc>
        <w:tc>
          <w:tcPr>
            <w:tcW w:w="1180" w:type="dxa"/>
            <w:vAlign w:val="bottom"/>
          </w:tcPr>
          <w:p>
            <w:pPr>
              <w:jc w:val="right"/>
              <w:ind w:right="103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1260" w:type="dxa"/>
            <w:vAlign w:val="bottom"/>
          </w:tcPr>
          <w:p>
            <w:pPr>
              <w:jc w:val="right"/>
              <w:ind w:right="1112"/>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rate contracts long-term</w:t>
            </w:r>
          </w:p>
        </w:tc>
        <w:tc>
          <w:tcPr>
            <w:tcW w:w="11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1"/>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 Designated as Cash Flow Hedges</w:t>
            </w:r>
          </w:p>
        </w:tc>
        <w:tc>
          <w:tcPr>
            <w:tcW w:w="1180" w:type="dxa"/>
            <w:vAlign w:val="bottom"/>
            <w:tcBorders>
              <w:top w:val="single" w:sz="8" w:color="auto"/>
              <w:bottom w:val="single" w:sz="8" w:color="auto"/>
            </w:tcBorders>
          </w:tcPr>
          <w:p>
            <w:pPr>
              <w:jc w:val="right"/>
              <w:ind w:right="103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1112"/>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6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Cash Flow Hedges:</w:t>
            </w:r>
          </w:p>
        </w:tc>
        <w:tc>
          <w:tcPr>
            <w:tcW w:w="1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180"/>
        </w:trPr>
        <w:tc>
          <w:tcPr>
            <w:tcW w:w="4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rate contracts current</w:t>
            </w:r>
          </w:p>
        </w:tc>
        <w:tc>
          <w:tcPr>
            <w:tcW w:w="1180" w:type="dxa"/>
            <w:vAlign w:val="bottom"/>
          </w:tcPr>
          <w:p>
            <w:pPr>
              <w:jc w:val="right"/>
              <w:ind w:right="103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5"/>
                <w:szCs w:val="15"/>
                <w:color w:val="auto"/>
              </w:rPr>
            </w:pPr>
          </w:p>
        </w:tc>
        <w:tc>
          <w:tcPr>
            <w:tcW w:w="1260" w:type="dxa"/>
            <w:vAlign w:val="bottom"/>
          </w:tcPr>
          <w:p>
            <w:pPr>
              <w:jc w:val="right"/>
              <w:ind w:right="1112"/>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rate contracts long-term</w:t>
            </w:r>
          </w:p>
        </w:tc>
        <w:tc>
          <w:tcPr>
            <w:tcW w:w="11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Energy-related commodity contracts current</w:t>
            </w:r>
          </w:p>
        </w:tc>
        <w:tc>
          <w:tcPr>
            <w:tcW w:w="11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80"/>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Energy-related commodity contracts long-term</w:t>
            </w:r>
          </w:p>
        </w:tc>
        <w:tc>
          <w:tcPr>
            <w:tcW w:w="1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r>
      <w:tr>
        <w:trPr>
          <w:trHeight w:val="171"/>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 Not Designated as Cash Flow Hedges</w:t>
            </w:r>
          </w:p>
        </w:tc>
        <w:tc>
          <w:tcPr>
            <w:tcW w:w="1180" w:type="dxa"/>
            <w:vAlign w:val="bottom"/>
            <w:tcBorders>
              <w:top w:val="single" w:sz="8" w:color="auto"/>
              <w:bottom w:val="single" w:sz="8" w:color="auto"/>
            </w:tcBorders>
          </w:tcPr>
          <w:p>
            <w:pPr>
              <w:jc w:val="right"/>
              <w:ind w:right="103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Borders>
              <w:bottom w:val="single" w:sz="8" w:color="CCEEFF"/>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1112"/>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w:t>
            </w:r>
          </w:p>
        </w:tc>
      </w:tr>
      <w:tr>
        <w:trPr>
          <w:trHeight w:val="196"/>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w:t>
            </w:r>
          </w:p>
        </w:tc>
        <w:tc>
          <w:tcPr>
            <w:tcW w:w="1180" w:type="dxa"/>
            <w:vAlign w:val="bottom"/>
            <w:tcBorders>
              <w:bottom w:val="single" w:sz="8" w:color="auto"/>
            </w:tcBorders>
            <w:shd w:val="clear" w:color="auto" w:fill="CCEEFF"/>
          </w:tcPr>
          <w:p>
            <w:pPr>
              <w:jc w:val="right"/>
              <w:ind w:right="103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1112"/>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has elected to present derivative assets and liabilities on the balance sheet on a trade-by-trade basis and does not offset amounts at the counterparty level. As of March 31, 2024 and December 31, 2023, the amount of outstanding collateral paid or received was immaterial. The following tables summarize the offsetting of derivatives by counterparty:</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50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380" w:type="dxa"/>
            <w:vAlign w:val="bottom"/>
            <w:tcBorders>
              <w:bottom w:val="single" w:sz="8" w:color="auto"/>
            </w:tcBorders>
            <w:gridSpan w:val="5"/>
          </w:tcPr>
          <w:p>
            <w:pPr>
              <w:ind w:left="1240"/>
              <w:spacing w:after="0"/>
              <w:rPr>
                <w:sz w:val="20"/>
                <w:szCs w:val="20"/>
                <w:color w:val="auto"/>
              </w:rPr>
            </w:pPr>
            <w:r>
              <w:rPr>
                <w:rFonts w:ascii="Times New Roman" w:cs="Times New Roman" w:eastAsia="Times New Roman" w:hAnsi="Times New Roman"/>
                <w:sz w:val="11"/>
                <w:szCs w:val="11"/>
                <w:b w:val="1"/>
                <w:bCs w:val="1"/>
                <w:color w:val="auto"/>
              </w:rPr>
              <w:t>Gross Amounts Not Offset in the Statement of Financial Position</w:t>
            </w:r>
          </w:p>
        </w:tc>
        <w:tc>
          <w:tcPr>
            <w:tcW w:w="3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r>
      <w:tr>
        <w:trPr>
          <w:trHeight w:val="170"/>
        </w:trPr>
        <w:tc>
          <w:tcPr>
            <w:tcW w:w="4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25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Gross Amounts of Recognized Assets/Liabilities</w:t>
            </w:r>
          </w:p>
        </w:tc>
        <w:tc>
          <w:tcPr>
            <w:tcW w:w="3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Derivative Instruments</w:t>
            </w: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Net Amount</w:t>
            </w:r>
          </w:p>
        </w:tc>
      </w:tr>
      <w:tr>
        <w:trPr>
          <w:trHeight w:val="161"/>
        </w:trPr>
        <w:tc>
          <w:tcPr>
            <w:tcW w:w="4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Energy-related commodity contracts</w:t>
            </w:r>
          </w:p>
        </w:tc>
        <w:tc>
          <w:tcPr>
            <w:tcW w:w="58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1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0"/>
        </w:trPr>
        <w:tc>
          <w:tcPr>
            <w:tcW w:w="4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 assets</w:t>
            </w:r>
          </w:p>
        </w:tc>
        <w:tc>
          <w:tcPr>
            <w:tcW w:w="58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gridSpan w:val="2"/>
          </w:tcPr>
          <w:p>
            <w:pPr>
              <w:ind w:left="18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Derivative liabilities</w:t>
            </w:r>
          </w:p>
        </w:tc>
        <w:tc>
          <w:tcPr>
            <w:tcW w:w="58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r>
      <w:tr>
        <w:trPr>
          <w:trHeight w:val="171"/>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energy-related commodity contracts</w:t>
            </w:r>
          </w:p>
        </w:tc>
        <w:tc>
          <w:tcPr>
            <w:tcW w:w="58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8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Borders>
              <w:top w:val="single" w:sz="8" w:color="auto"/>
              <w:bottom w:val="single" w:sz="8" w:color="auto"/>
            </w:tcBorders>
          </w:tcPr>
          <w:p>
            <w:pPr>
              <w:ind w:left="1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w:t>
            </w:r>
          </w:p>
        </w:tc>
      </w:tr>
      <w:tr>
        <w:trPr>
          <w:trHeight w:val="16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contracts</w:t>
            </w:r>
          </w:p>
        </w:tc>
        <w:tc>
          <w:tcPr>
            <w:tcW w:w="58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0"/>
        </w:trPr>
        <w:tc>
          <w:tcPr>
            <w:tcW w:w="4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 assets</w:t>
            </w:r>
          </w:p>
        </w:tc>
        <w:tc>
          <w:tcPr>
            <w:tcW w:w="58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gridSpan w:val="2"/>
          </w:tcPr>
          <w:p>
            <w:pPr>
              <w:ind w:left="18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r>
      <w:tr>
        <w:trPr>
          <w:trHeight w:val="171"/>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interest rate contracts</w:t>
            </w:r>
          </w:p>
        </w:tc>
        <w:tc>
          <w:tcPr>
            <w:tcW w:w="580" w:type="dxa"/>
            <w:vAlign w:val="bottom"/>
            <w:tcBorders>
              <w:top w:val="single" w:sz="8" w:color="auto"/>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Borders>
              <w:top w:val="single" w:sz="8" w:color="auto"/>
              <w:bottom w:val="single" w:sz="8" w:color="auto"/>
            </w:tcBorders>
            <w:shd w:val="clear" w:color="auto" w:fill="CCEEFF"/>
          </w:tcPr>
          <w:p>
            <w:pPr>
              <w:ind w:left="1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r>
      <w:tr>
        <w:trPr>
          <w:trHeight w:val="171"/>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 instruments</w:t>
            </w:r>
          </w:p>
        </w:tc>
        <w:tc>
          <w:tcPr>
            <w:tcW w:w="5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w:t>
            </w:r>
          </w:p>
        </w:tc>
      </w:tr>
      <w:tr>
        <w:trPr>
          <w:trHeight w:val="20"/>
        </w:trPr>
        <w:tc>
          <w:tcPr>
            <w:tcW w:w="4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788"/>
        </w:trPr>
        <w:tc>
          <w:tcPr>
            <w:tcW w:w="4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jc w:val="right"/>
              <w:ind w:right="1131"/>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87"/>
        </w:trPr>
        <w:tc>
          <w:tcPr>
            <w:tcW w:w="450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8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0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58"/>
        </w:trPr>
        <w:tc>
          <w:tcPr>
            <w:tcW w:w="450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3560" w:type="dxa"/>
            <w:vAlign w:val="bottom"/>
            <w:tcBorders>
              <w:bottom w:val="single" w:sz="8" w:color="auto"/>
            </w:tcBorders>
            <w:gridSpan w:val="7"/>
          </w:tcPr>
          <w:p>
            <w:pPr>
              <w:jc w:val="center"/>
              <w:ind w:left="331"/>
              <w:spacing w:after="0"/>
              <w:rPr>
                <w:sz w:val="20"/>
                <w:szCs w:val="20"/>
                <w:color w:val="auto"/>
              </w:rPr>
            </w:pPr>
            <w:r>
              <w:rPr>
                <w:rFonts w:ascii="Times New Roman" w:cs="Times New Roman" w:eastAsia="Times New Roman" w:hAnsi="Times New Roman"/>
                <w:sz w:val="11"/>
                <w:szCs w:val="11"/>
                <w:b w:val="1"/>
                <w:bCs w:val="1"/>
                <w:color w:val="auto"/>
              </w:rPr>
              <w:t>Gross Amounts Not Offset in the Statement of Financial Position</w:t>
            </w:r>
          </w:p>
        </w:tc>
        <w:tc>
          <w:tcPr>
            <w:tcW w:w="3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5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Gross Amounts of Recognized Assets/Liabilities</w:t>
            </w:r>
          </w:p>
        </w:tc>
        <w:tc>
          <w:tcPr>
            <w:tcW w:w="3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1"/>
                <w:szCs w:val="11"/>
                <w:b w:val="1"/>
                <w:bCs w:val="1"/>
                <w:color w:val="auto"/>
              </w:rPr>
              <w:t>Derivative Instruments</w:t>
            </w: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Net Amount</w:t>
            </w: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Energy-related commodity contracts</w:t>
            </w:r>
          </w:p>
        </w:tc>
        <w:tc>
          <w:tcPr>
            <w:tcW w:w="14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120" w:type="dxa"/>
            <w:vAlign w:val="bottom"/>
            <w:gridSpan w:val="4"/>
            <w:shd w:val="clear" w:color="auto" w:fill="CCEEFF"/>
          </w:tcPr>
          <w:p>
            <w:pPr>
              <w:jc w:val="center"/>
              <w:ind w:right="10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 assets</w:t>
            </w:r>
          </w:p>
        </w:tc>
        <w:tc>
          <w:tcPr>
            <w:tcW w:w="1400" w:type="dxa"/>
            <w:vAlign w:val="bottom"/>
          </w:tcPr>
          <w:p>
            <w:pPr>
              <w:jc w:val="right"/>
              <w:ind w:right="1252"/>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Derivative liabilities</w:t>
            </w:r>
          </w:p>
        </w:tc>
        <w:tc>
          <w:tcPr>
            <w:tcW w:w="14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0" w:type="dxa"/>
            <w:vAlign w:val="bottom"/>
          </w:tcPr>
          <w:p>
            <w:pPr>
              <w:spacing w:after="0"/>
              <w:rPr>
                <w:sz w:val="1"/>
                <w:szCs w:val="1"/>
                <w:color w:val="auto"/>
              </w:rPr>
            </w:pPr>
          </w:p>
        </w:tc>
      </w:tr>
      <w:tr>
        <w:trPr>
          <w:trHeight w:val="171"/>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energy-related commodity contracts</w:t>
            </w:r>
          </w:p>
        </w:tc>
        <w:tc>
          <w:tcPr>
            <w:tcW w:w="1400" w:type="dxa"/>
            <w:vAlign w:val="bottom"/>
            <w:tcBorders>
              <w:top w:val="single" w:sz="8" w:color="auto"/>
              <w:bottom w:val="single" w:sz="8" w:color="auto"/>
            </w:tcBorders>
          </w:tcPr>
          <w:p>
            <w:pPr>
              <w:jc w:val="right"/>
              <w:ind w:right="1252"/>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80" w:type="dxa"/>
            <w:vAlign w:val="bottom"/>
            <w:tcBorders>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0" w:type="dxa"/>
            <w:vAlign w:val="bottom"/>
          </w:tcPr>
          <w:p>
            <w:pPr>
              <w:spacing w:after="0"/>
              <w:rPr>
                <w:sz w:val="1"/>
                <w:szCs w:val="1"/>
                <w:color w:val="auto"/>
              </w:rPr>
            </w:pPr>
          </w:p>
        </w:tc>
      </w:tr>
      <w:tr>
        <w:trPr>
          <w:trHeight w:val="16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contracts</w:t>
            </w:r>
          </w:p>
        </w:tc>
        <w:tc>
          <w:tcPr>
            <w:tcW w:w="14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 assets</w:t>
            </w:r>
          </w:p>
        </w:tc>
        <w:tc>
          <w:tcPr>
            <w:tcW w:w="1400" w:type="dxa"/>
            <w:vAlign w:val="bottom"/>
          </w:tcPr>
          <w:p>
            <w:pPr>
              <w:jc w:val="right"/>
              <w:ind w:right="1252"/>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36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Derivative liabilities</w:t>
            </w:r>
          </w:p>
        </w:tc>
        <w:tc>
          <w:tcPr>
            <w:tcW w:w="14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20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interest rate contracts</w:t>
            </w:r>
          </w:p>
        </w:tc>
        <w:tc>
          <w:tcPr>
            <w:tcW w:w="1400" w:type="dxa"/>
            <w:vAlign w:val="bottom"/>
            <w:tcBorders>
              <w:bottom w:val="single" w:sz="8" w:color="auto"/>
            </w:tcBorders>
          </w:tcPr>
          <w:p>
            <w:pPr>
              <w:jc w:val="right"/>
              <w:ind w:right="1252"/>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96"/>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 instruments</w:t>
            </w:r>
          </w:p>
        </w:tc>
        <w:tc>
          <w:tcPr>
            <w:tcW w:w="1400" w:type="dxa"/>
            <w:vAlign w:val="bottom"/>
            <w:tcBorders>
              <w:bottom w:val="single" w:sz="8" w:color="auto"/>
            </w:tcBorders>
            <w:shd w:val="clear" w:color="auto" w:fill="CCEEFF"/>
          </w:tcPr>
          <w:p>
            <w:pPr>
              <w:jc w:val="right"/>
              <w:ind w:right="1252"/>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Accumulated Other Comprehensive Income</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450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920" w:type="dxa"/>
            <w:vAlign w:val="bottom"/>
            <w:gridSpan w:val="12"/>
          </w:tcPr>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effects on the Company’s accumulated OCI balance attributable to interest rate swaps designated as cash flow hedge derivatives:</w:t>
            </w: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tcBorders>
              <w:bottom w:val="single" w:sz="8" w:color="auto"/>
            </w:tcBorders>
            <w:gridSpan w:val="6"/>
          </w:tcPr>
          <w:p>
            <w:pPr>
              <w:jc w:val="right"/>
              <w:ind w:right="156"/>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45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2023</w:t>
            </w: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4"/>
          </w:tcPr>
          <w:p>
            <w:pPr>
              <w:jc w:val="right"/>
              <w:ind w:right="65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OCI beginning balance</w:t>
            </w:r>
          </w:p>
        </w:tc>
        <w:tc>
          <w:tcPr>
            <w:tcW w:w="14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20" w:type="dxa"/>
            <w:vAlign w:val="bottom"/>
            <w:gridSpan w:val="3"/>
            <w:shd w:val="clear" w:color="auto" w:fill="CCEEFF"/>
          </w:tcPr>
          <w:p>
            <w:pPr>
              <w:jc w:val="right"/>
              <w:ind w:right="757"/>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80"/>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Reclassified from accumulated OCI to income due to realization of previously deferred amounts</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Mark-to-market of cash flow hedge accounting contracts</w:t>
            </w:r>
          </w:p>
        </w:tc>
        <w:tc>
          <w:tcPr>
            <w:tcW w:w="14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1"/>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Accumulated OCI ending balance</w:t>
            </w:r>
          </w:p>
        </w:tc>
        <w:tc>
          <w:tcPr>
            <w:tcW w:w="140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71"/>
        </w:trPr>
        <w:tc>
          <w:tcPr>
            <w:tcW w:w="4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Accumulated OCI attributable to noncontrolling interests</w:t>
            </w:r>
          </w:p>
        </w:tc>
        <w:tc>
          <w:tcPr>
            <w:tcW w:w="1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1"/>
        </w:trPr>
        <w:tc>
          <w:tcPr>
            <w:tcW w:w="4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Accumulated OCI attributable to Clearway Energy LLC</w:t>
            </w: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Gains expected to be realized from OCI during the next 12 months</w:t>
            </w:r>
          </w:p>
        </w:tc>
        <w:tc>
          <w:tcPr>
            <w:tcW w:w="1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60"/>
        </w:trPr>
        <w:tc>
          <w:tcPr>
            <w:tcW w:w="59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Amounts reclassified from accumulated OCI into income are recorded to interest expense.</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Impact of Derivative Instruments on the Consolidated Statements of Operations</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460" w:type="dxa"/>
            <w:vAlign w:val="bottom"/>
            <w:gridSpan w:val="9"/>
          </w:tcPr>
          <w:p>
            <w:pPr>
              <w:ind w:left="320"/>
              <w:spacing w:after="0"/>
              <w:rPr>
                <w:sz w:val="20"/>
                <w:szCs w:val="20"/>
                <w:color w:val="auto"/>
              </w:rPr>
            </w:pPr>
            <w:r>
              <w:rPr>
                <w:rFonts w:ascii="Times New Roman" w:cs="Times New Roman" w:eastAsia="Times New Roman" w:hAnsi="Times New Roman"/>
                <w:sz w:val="14"/>
                <w:szCs w:val="14"/>
                <w:color w:val="auto"/>
              </w:rPr>
              <w:t>Mark-to-market gains/(losses) related to the Company’s derivatives are recorded in the consolidated statements of operations as follows: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6"/>
          </w:tcPr>
          <w:p>
            <w:pPr>
              <w:jc w:val="right"/>
              <w:ind w:right="156"/>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45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Borders>
              <w:bottom w:val="single" w:sz="8" w:color="auto"/>
            </w:tcBorders>
            <w:gridSpan w:val="2"/>
          </w:tcPr>
          <w:p>
            <w:pPr>
              <w:jc w:val="right"/>
              <w:ind w:right="57"/>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2023</w:t>
            </w: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4"/>
          </w:tcPr>
          <w:p>
            <w:pPr>
              <w:jc w:val="right"/>
              <w:ind w:right="65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Contracts (Interest expense)</w:t>
            </w:r>
          </w:p>
        </w:tc>
        <w:tc>
          <w:tcPr>
            <w:tcW w:w="14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20" w:type="dxa"/>
            <w:vAlign w:val="bottom"/>
            <w:gridSpan w:val="3"/>
            <w:shd w:val="clear" w:color="auto" w:fill="CCEEFF"/>
          </w:tcPr>
          <w:p>
            <w:pPr>
              <w:jc w:val="right"/>
              <w:ind w:right="757"/>
              <w:spacing w:after="0"/>
              <w:rPr>
                <w:sz w:val="20"/>
                <w:szCs w:val="20"/>
                <w:color w:val="auto"/>
              </w:rPr>
            </w:pPr>
            <w:r>
              <w:rPr>
                <w:rFonts w:ascii="Times New Roman" w:cs="Times New Roman" w:eastAsia="Times New Roman" w:hAnsi="Times New Roman"/>
                <w:sz w:val="14"/>
                <w:szCs w:val="14"/>
                <w:color w:val="242424"/>
              </w:rPr>
              <w:t>$</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23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80"/>
        </w:trPr>
        <w:tc>
          <w:tcPr>
            <w:tcW w:w="59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Energy-Related Commodity Contracts (Mark-to-market for economic hedging activities) </w:t>
            </w:r>
            <w:r>
              <w:rPr>
                <w:rFonts w:ascii="Times New Roman" w:cs="Times New Roman" w:eastAsia="Times New Roman" w:hAnsi="Times New Roman"/>
                <w:sz w:val="18"/>
                <w:szCs w:val="18"/>
                <w:color w:val="auto"/>
                <w:vertAlign w:val="superscript"/>
              </w:rPr>
              <w:t>(a)</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242424"/>
              </w:rPr>
              <w:t>(23)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0"/>
        </w:trPr>
        <w:tc>
          <w:tcPr>
            <w:tcW w:w="7000" w:type="dxa"/>
            <w:vAlign w:val="bottom"/>
            <w:gridSpan w:val="4"/>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Energy-Related Commodity Contracts (Mark-to-market for economic hedging activities included in Cost of operations) </w:t>
            </w:r>
            <w:r>
              <w:rPr>
                <w:rFonts w:ascii="Times New Roman" w:cs="Times New Roman" w:eastAsia="Times New Roman" w:hAnsi="Times New Roman"/>
                <w:sz w:val="18"/>
                <w:szCs w:val="18"/>
                <w:color w:val="auto"/>
                <w:vertAlign w:val="superscript"/>
              </w:rPr>
              <w:t>(b)</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86" w:lineRule="exact"/>
        <w:rPr>
          <w:sz w:val="20"/>
          <w:szCs w:val="20"/>
          <w:color w:val="auto"/>
        </w:rPr>
      </w:pPr>
    </w:p>
    <w:p>
      <w:pPr>
        <w:ind w:left="60" w:firstLine="9"/>
        <w:spacing w:after="0"/>
        <w:tabs>
          <w:tab w:leader="none" w:pos="190"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Relates to long-term energy related commodity contracts at Elbow Creek, Mesquite Star, Mt. Storm, Langford and Mesquite Sky and short-term heat rate call option energy-related commodity contracts at El Segundo, Marsh Landing and Walnut Creek.</w:t>
      </w:r>
    </w:p>
    <w:p>
      <w:pPr>
        <w:spacing w:after="0" w:line="90" w:lineRule="exact"/>
        <w:rPr>
          <w:rFonts w:ascii="Times New Roman" w:cs="Times New Roman" w:eastAsia="Times New Roman" w:hAnsi="Times New Roman"/>
          <w:sz w:val="16"/>
          <w:szCs w:val="16"/>
          <w:color w:val="auto"/>
          <w:vertAlign w:val="superscript"/>
        </w:rPr>
      </w:pPr>
    </w:p>
    <w:p>
      <w:pPr>
        <w:ind w:left="200" w:hanging="131"/>
        <w:spacing w:after="0" w:line="235" w:lineRule="auto"/>
        <w:tabs>
          <w:tab w:leader="none" w:pos="200"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Relates to long-term backbone transportation service energy-related commodity contracts at El Segundo and Walnut Creek.</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See Note 5, </w:t>
      </w:r>
      <w:r>
        <w:rPr>
          <w:rFonts w:ascii="Times New Roman" w:cs="Times New Roman" w:eastAsia="Times New Roman" w:hAnsi="Times New Roman"/>
          <w:sz w:val="14"/>
          <w:szCs w:val="14"/>
          <w:i w:val="1"/>
          <w:iCs w:val="1"/>
          <w:color w:val="auto"/>
        </w:rPr>
        <w:t>Fair Value of Financial Instruments</w:t>
      </w:r>
      <w:r>
        <w:rPr>
          <w:rFonts w:ascii="Times New Roman" w:cs="Times New Roman" w:eastAsia="Times New Roman" w:hAnsi="Times New Roman"/>
          <w:sz w:val="14"/>
          <w:szCs w:val="14"/>
          <w:color w:val="auto"/>
        </w:rPr>
        <w:t>, for a discussion regarding concentration of credit risk.</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color w:val="auto"/>
        </w:rPr>
        <w:t xml:space="preserve">Note 7 — </w:t>
      </w:r>
      <w:r>
        <w:rPr>
          <w:rFonts w:ascii="Times New Roman" w:cs="Times New Roman" w:eastAsia="Times New Roman" w:hAnsi="Times New Roman"/>
          <w:sz w:val="14"/>
          <w:szCs w:val="14"/>
          <w:b w:val="1"/>
          <w:bCs w:val="1"/>
          <w:i w:val="1"/>
          <w:iCs w:val="1"/>
          <w:color w:val="auto"/>
        </w:rPr>
        <w:t>Long-term Debt</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This note should be read in conjunction with the complete description under Item 15 —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to the consolidated financial statements included in the Company’s</w:t>
      </w:r>
      <w:r>
        <w:rPr>
          <w:rFonts w:ascii="Times New Roman" w:cs="Times New Roman" w:eastAsia="Times New Roman" w:hAnsi="Times New Roman"/>
          <w:sz w:val="14"/>
          <w:szCs w:val="14"/>
          <w:color w:val="auto"/>
        </w:rPr>
        <w:t xml:space="preserve"> 2023 Form</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10-K. The Company’s borrowings, including short-term and long-term portions, consisted of the following:</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 except rates)</w:t>
            </w:r>
          </w:p>
        </w:tc>
        <w:tc>
          <w:tcPr>
            <w:tcW w:w="140" w:type="dxa"/>
            <w:vAlign w:val="bottom"/>
          </w:tcPr>
          <w:p>
            <w:pPr>
              <w:spacing w:after="0"/>
              <w:rPr>
                <w:sz w:val="12"/>
                <w:szCs w:val="12"/>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100" w:type="dxa"/>
            <w:vAlign w:val="bottom"/>
          </w:tcPr>
          <w:p>
            <w:pPr>
              <w:spacing w:after="0"/>
              <w:rPr>
                <w:sz w:val="12"/>
                <w:szCs w:val="12"/>
                <w:color w:val="auto"/>
              </w:rPr>
            </w:pPr>
          </w:p>
        </w:tc>
        <w:tc>
          <w:tcPr>
            <w:tcW w:w="1080" w:type="dxa"/>
            <w:vAlign w:val="bottom"/>
            <w:vMerge w:val="restart"/>
          </w:tcPr>
          <w:p>
            <w:pPr>
              <w:jc w:val="right"/>
              <w:ind w:right="77"/>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00" w:type="dxa"/>
            <w:vAlign w:val="bottom"/>
          </w:tcPr>
          <w:p>
            <w:pPr>
              <w:spacing w:after="0"/>
              <w:rPr>
                <w:sz w:val="12"/>
                <w:szCs w:val="12"/>
                <w:color w:val="auto"/>
              </w:rPr>
            </w:pPr>
          </w:p>
        </w:tc>
        <w:tc>
          <w:tcPr>
            <w:tcW w:w="174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March 31, 2024 interest rate %</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Letters of Credit Outstanding</w:t>
            </w:r>
          </w:p>
        </w:tc>
        <w:tc>
          <w:tcPr>
            <w:tcW w:w="0" w:type="dxa"/>
            <w:vAlign w:val="bottom"/>
          </w:tcPr>
          <w:p>
            <w:pPr>
              <w:spacing w:after="0"/>
              <w:rPr>
                <w:sz w:val="1"/>
                <w:szCs w:val="1"/>
                <w:color w:val="auto"/>
              </w:rPr>
            </w:pPr>
          </w:p>
        </w:tc>
      </w:tr>
      <w:tr>
        <w:trPr>
          <w:trHeight w:val="127"/>
        </w:trPr>
        <w:tc>
          <w:tcPr>
            <w:tcW w:w="54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(a)</w:t>
            </w:r>
          </w:p>
        </w:tc>
        <w:tc>
          <w:tcPr>
            <w:tcW w:w="220" w:type="dxa"/>
            <w:vAlign w:val="bottom"/>
          </w:tcPr>
          <w:p>
            <w:pPr>
              <w:spacing w:after="0"/>
              <w:rPr>
                <w:sz w:val="11"/>
                <w:szCs w:val="11"/>
                <w:color w:val="auto"/>
              </w:rPr>
            </w:pPr>
          </w:p>
        </w:tc>
        <w:tc>
          <w:tcPr>
            <w:tcW w:w="1360" w:type="dxa"/>
            <w:vAlign w:val="bottom"/>
          </w:tcPr>
          <w:p>
            <w:pPr>
              <w:jc w:val="right"/>
              <w:ind w:right="297"/>
              <w:spacing w:after="0"/>
              <w:rPr>
                <w:sz w:val="20"/>
                <w:szCs w:val="20"/>
                <w:color w:val="auto"/>
              </w:rPr>
            </w:pPr>
            <w:r>
              <w:rPr>
                <w:rFonts w:ascii="Times New Roman" w:cs="Times New Roman" w:eastAsia="Times New Roman" w:hAnsi="Times New Roman"/>
                <w:sz w:val="11"/>
                <w:szCs w:val="11"/>
                <w:b w:val="1"/>
                <w:bCs w:val="1"/>
                <w:color w:val="auto"/>
              </w:rPr>
              <w:t>at March 31, 2024</w:t>
            </w:r>
          </w:p>
        </w:tc>
        <w:tc>
          <w:tcPr>
            <w:tcW w:w="0" w:type="dxa"/>
            <w:vAlign w:val="bottom"/>
          </w:tcPr>
          <w:p>
            <w:pPr>
              <w:spacing w:after="0"/>
              <w:rPr>
                <w:sz w:val="1"/>
                <w:szCs w:val="1"/>
                <w:color w:val="auto"/>
              </w:rPr>
            </w:pPr>
          </w:p>
        </w:tc>
      </w:tr>
      <w:tr>
        <w:trPr>
          <w:trHeight w:val="160"/>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Intercompany Note with Clearway, Inc.</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tcBorders>
            <w:shd w:val="clear" w:color="auto" w:fill="CCEEFF"/>
          </w:tcPr>
          <w:p>
            <w:pPr>
              <w:spacing w:after="0"/>
              <w:rPr>
                <w:sz w:val="13"/>
                <w:szCs w:val="13"/>
                <w:color w:val="auto"/>
              </w:rPr>
            </w:pPr>
          </w:p>
        </w:tc>
        <w:tc>
          <w:tcPr>
            <w:tcW w:w="1640" w:type="dxa"/>
            <w:vAlign w:val="bottom"/>
            <w:tcBorders>
              <w:top w:val="single" w:sz="8" w:color="auto"/>
            </w:tcBorders>
            <w:shd w:val="clear" w:color="auto" w:fill="CCEEFF"/>
          </w:tcPr>
          <w:p>
            <w:pPr>
              <w:jc w:val="center"/>
              <w:ind w:left="1198"/>
              <w:spacing w:after="0"/>
              <w:rPr>
                <w:sz w:val="20"/>
                <w:szCs w:val="20"/>
                <w:color w:val="auto"/>
              </w:rPr>
            </w:pPr>
            <w:r>
              <w:rPr>
                <w:rFonts w:ascii="Times New Roman" w:cs="Times New Roman" w:eastAsia="Times New Roman" w:hAnsi="Times New Roman"/>
                <w:sz w:val="13"/>
                <w:szCs w:val="13"/>
                <w:color w:val="auto"/>
              </w:rPr>
              <w:t>4.710</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2028 Senior Notes</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1740" w:type="dxa"/>
            <w:vAlign w:val="bottom"/>
            <w:gridSpan w:val="2"/>
          </w:tcPr>
          <w:p>
            <w:pPr>
              <w:jc w:val="center"/>
              <w:ind w:left="1296"/>
              <w:spacing w:after="0"/>
              <w:rPr>
                <w:sz w:val="20"/>
                <w:szCs w:val="20"/>
                <w:color w:val="auto"/>
              </w:rPr>
            </w:pPr>
            <w:r>
              <w:rPr>
                <w:rFonts w:ascii="Times New Roman" w:cs="Times New Roman" w:eastAsia="Times New Roman" w:hAnsi="Times New Roman"/>
                <w:sz w:val="13"/>
                <w:szCs w:val="13"/>
                <w:color w:val="auto"/>
              </w:rPr>
              <w:t>4.750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2031 Senior Notes</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925</w:t>
            </w:r>
          </w:p>
        </w:tc>
        <w:tc>
          <w:tcPr>
            <w:tcW w:w="1740" w:type="dxa"/>
            <w:vAlign w:val="bottom"/>
            <w:gridSpan w:val="2"/>
            <w:shd w:val="clear" w:color="auto" w:fill="CCEEFF"/>
          </w:tcPr>
          <w:p>
            <w:pPr>
              <w:jc w:val="center"/>
              <w:ind w:left="1296"/>
              <w:spacing w:after="0"/>
              <w:rPr>
                <w:sz w:val="20"/>
                <w:szCs w:val="20"/>
                <w:color w:val="auto"/>
              </w:rPr>
            </w:pPr>
            <w:r>
              <w:rPr>
                <w:rFonts w:ascii="Times New Roman" w:cs="Times New Roman" w:eastAsia="Times New Roman" w:hAnsi="Times New Roman"/>
                <w:sz w:val="13"/>
                <w:szCs w:val="13"/>
                <w:color w:val="auto"/>
              </w:rPr>
              <w:t>3.750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2032 Senior Notes</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1740" w:type="dxa"/>
            <w:vAlign w:val="bottom"/>
            <w:gridSpan w:val="2"/>
          </w:tcPr>
          <w:p>
            <w:pPr>
              <w:jc w:val="center"/>
              <w:ind w:left="1296"/>
              <w:spacing w:after="0"/>
              <w:rPr>
                <w:sz w:val="20"/>
                <w:szCs w:val="20"/>
                <w:color w:val="auto"/>
              </w:rPr>
            </w:pPr>
            <w:r>
              <w:rPr>
                <w:rFonts w:ascii="Times New Roman" w:cs="Times New Roman" w:eastAsia="Times New Roman" w:hAnsi="Times New Roman"/>
                <w:sz w:val="13"/>
                <w:szCs w:val="13"/>
                <w:color w:val="auto"/>
              </w:rPr>
              <w:t>3.750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0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 xml:space="preserve">Clearway Energy LLC and Clearway Energy Operating LLC Revolving Credit Facility, due 2028 </w:t>
            </w:r>
            <w:r>
              <w:rPr>
                <w:rFonts w:ascii="Times New Roman" w:cs="Times New Roman" w:eastAsia="Times New Roman" w:hAnsi="Times New Roman"/>
                <w:sz w:val="16"/>
                <w:szCs w:val="16"/>
                <w:color w:val="auto"/>
                <w:vertAlign w:val="superscript"/>
              </w:rPr>
              <w:t>(b)</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S+1.850</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242424"/>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228</w:t>
            </w:r>
          </w:p>
        </w:tc>
        <w:tc>
          <w:tcPr>
            <w:tcW w:w="0" w:type="dxa"/>
            <w:vAlign w:val="bottom"/>
          </w:tcPr>
          <w:p>
            <w:pPr>
              <w:spacing w:after="0"/>
              <w:rPr>
                <w:sz w:val="1"/>
                <w:szCs w:val="1"/>
                <w:color w:val="auto"/>
              </w:rPr>
            </w:pPr>
          </w:p>
        </w:tc>
      </w:tr>
      <w:tr>
        <w:trPr>
          <w:trHeight w:val="169"/>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Non-recourse facility-level debt:</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Agua Caliente Solar LLC, due 2037</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612</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2.395-3.633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68"/>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Alta Wind Asset Management LLC, due 2031</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4"/>
                <w:szCs w:val="14"/>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S+2.775</w:t>
            </w: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Alta Wind I-V lease financing arrangements, due 2034 and 2035</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5.696-7.015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0" w:type="dxa"/>
            <w:vAlign w:val="bottom"/>
          </w:tcPr>
          <w:p>
            <w:pPr>
              <w:spacing w:after="0"/>
              <w:rPr>
                <w:sz w:val="1"/>
                <w:szCs w:val="1"/>
                <w:color w:val="auto"/>
              </w:rPr>
            </w:pPr>
          </w:p>
        </w:tc>
      </w:tr>
      <w:tr>
        <w:trPr>
          <w:trHeight w:val="168"/>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Alta Wind Realty Investments LLC, due 2031</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740" w:type="dxa"/>
            <w:vAlign w:val="bottom"/>
            <w:gridSpan w:val="2"/>
          </w:tcPr>
          <w:p>
            <w:pPr>
              <w:jc w:val="center"/>
              <w:ind w:left="1296"/>
              <w:spacing w:after="0"/>
              <w:rPr>
                <w:sz w:val="20"/>
                <w:szCs w:val="20"/>
                <w:color w:val="auto"/>
              </w:rPr>
            </w:pPr>
            <w:r>
              <w:rPr>
                <w:rFonts w:ascii="Times New Roman" w:cs="Times New Roman" w:eastAsia="Times New Roman" w:hAnsi="Times New Roman"/>
                <w:sz w:val="13"/>
                <w:szCs w:val="13"/>
                <w:color w:val="auto"/>
              </w:rPr>
              <w:t>7.000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Borrego, due 2024 and 2038</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center"/>
              <w:ind w:left="1078"/>
              <w:spacing w:after="0"/>
              <w:rPr>
                <w:sz w:val="20"/>
                <w:szCs w:val="20"/>
                <w:color w:val="auto"/>
              </w:rPr>
            </w:pPr>
            <w:r>
              <w:rPr>
                <w:rFonts w:ascii="Times New Roman" w:cs="Times New Roman" w:eastAsia="Times New Roman" w:hAnsi="Times New Roman"/>
                <w:sz w:val="13"/>
                <w:szCs w:val="13"/>
                <w:color w:val="auto"/>
                <w:w w:val="97"/>
              </w:rPr>
              <w:t>Various</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8"/>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Broken Bow, due 2031</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Pr>
          <w:p>
            <w:pPr>
              <w:spacing w:after="0"/>
              <w:rPr>
                <w:sz w:val="14"/>
                <w:szCs w:val="14"/>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S+2.100</w:t>
            </w: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6</w:t>
            </w:r>
          </w:p>
        </w:tc>
        <w:tc>
          <w:tcPr>
            <w:tcW w:w="0" w:type="dxa"/>
            <w:vAlign w:val="bottom"/>
          </w:tcPr>
          <w:p>
            <w:pPr>
              <w:spacing w:after="0"/>
              <w:rPr>
                <w:sz w:val="1"/>
                <w:szCs w:val="1"/>
                <w:color w:val="auto"/>
              </w:rPr>
            </w:pPr>
          </w:p>
        </w:tc>
      </w:tr>
      <w:tr>
        <w:trPr>
          <w:trHeight w:val="17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Buckthorn Solar, due 2025</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0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S+2.100</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68"/>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Carlsbad Energy Holdings LLC, due 2027</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Pr>
          <w:p>
            <w:pPr>
              <w:spacing w:after="0"/>
              <w:rPr>
                <w:sz w:val="14"/>
                <w:szCs w:val="14"/>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S+1.900</w:t>
            </w: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0" w:type="dxa"/>
            <w:vAlign w:val="bottom"/>
          </w:tcPr>
          <w:p>
            <w:pPr>
              <w:spacing w:after="0"/>
              <w:rPr>
                <w:sz w:val="1"/>
                <w:szCs w:val="1"/>
                <w:color w:val="auto"/>
              </w:rPr>
            </w:pPr>
          </w:p>
        </w:tc>
      </w:tr>
      <w:tr>
        <w:trPr>
          <w:trHeight w:val="17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Carlsbad Energy Holdings LLC, due 2038</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1740" w:type="dxa"/>
            <w:vAlign w:val="bottom"/>
            <w:gridSpan w:val="2"/>
            <w:shd w:val="clear" w:color="auto" w:fill="CCEEFF"/>
          </w:tcPr>
          <w:p>
            <w:pPr>
              <w:jc w:val="center"/>
              <w:ind w:left="1296"/>
              <w:spacing w:after="0"/>
              <w:rPr>
                <w:sz w:val="20"/>
                <w:szCs w:val="20"/>
                <w:color w:val="auto"/>
              </w:rPr>
            </w:pPr>
            <w:r>
              <w:rPr>
                <w:rFonts w:ascii="Times New Roman" w:cs="Times New Roman" w:eastAsia="Times New Roman" w:hAnsi="Times New Roman"/>
                <w:sz w:val="13"/>
                <w:szCs w:val="13"/>
                <w:color w:val="auto"/>
              </w:rPr>
              <w:t>4.120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Carlsbad Holdco, LLC, due 2038</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1740" w:type="dxa"/>
            <w:vAlign w:val="bottom"/>
            <w:gridSpan w:val="2"/>
          </w:tcPr>
          <w:p>
            <w:pPr>
              <w:jc w:val="center"/>
              <w:ind w:left="1296"/>
              <w:spacing w:after="0"/>
              <w:rPr>
                <w:sz w:val="20"/>
                <w:szCs w:val="20"/>
                <w:color w:val="auto"/>
              </w:rPr>
            </w:pPr>
            <w:r>
              <w:rPr>
                <w:rFonts w:ascii="Times New Roman" w:cs="Times New Roman" w:eastAsia="Times New Roman" w:hAnsi="Times New Roman"/>
                <w:sz w:val="13"/>
                <w:szCs w:val="13"/>
                <w:color w:val="auto"/>
              </w:rPr>
              <w:t>4.210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7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Cedro Hill, due 2024 and 2029</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10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S+1.375</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68"/>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Crofton Bluffs, due 2031</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4"/>
                <w:szCs w:val="14"/>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S+2.100</w:t>
            </w: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3</w:t>
            </w:r>
          </w:p>
        </w:tc>
        <w:tc>
          <w:tcPr>
            <w:tcW w:w="0" w:type="dxa"/>
            <w:vAlign w:val="bottom"/>
          </w:tcPr>
          <w:p>
            <w:pPr>
              <w:spacing w:after="0"/>
              <w:rPr>
                <w:sz w:val="1"/>
                <w:szCs w:val="1"/>
                <w:color w:val="auto"/>
              </w:rPr>
            </w:pPr>
          </w:p>
        </w:tc>
      </w:tr>
      <w:tr>
        <w:trPr>
          <w:trHeight w:val="17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CVSR, due 2037</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601</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2.339-3.775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CVSR Holdco Notes, due 2037</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1740" w:type="dxa"/>
            <w:vAlign w:val="bottom"/>
            <w:gridSpan w:val="2"/>
          </w:tcPr>
          <w:p>
            <w:pPr>
              <w:jc w:val="center"/>
              <w:ind w:left="1296"/>
              <w:spacing w:after="0"/>
              <w:rPr>
                <w:sz w:val="20"/>
                <w:szCs w:val="20"/>
                <w:color w:val="auto"/>
              </w:rPr>
            </w:pPr>
            <w:r>
              <w:rPr>
                <w:rFonts w:ascii="Times New Roman" w:cs="Times New Roman" w:eastAsia="Times New Roman" w:hAnsi="Times New Roman"/>
                <w:sz w:val="13"/>
                <w:szCs w:val="13"/>
                <w:color w:val="auto"/>
              </w:rPr>
              <w:t>4.680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12</w:t>
            </w:r>
          </w:p>
        </w:tc>
        <w:tc>
          <w:tcPr>
            <w:tcW w:w="0" w:type="dxa"/>
            <w:vAlign w:val="bottom"/>
          </w:tcPr>
          <w:p>
            <w:pPr>
              <w:spacing w:after="0"/>
              <w:rPr>
                <w:sz w:val="1"/>
                <w:szCs w:val="1"/>
                <w:color w:val="auto"/>
              </w:rPr>
            </w:pPr>
          </w:p>
        </w:tc>
      </w:tr>
      <w:tr>
        <w:trPr>
          <w:trHeight w:val="17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Daggett 2, due 2028</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0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S+1.762</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32</w:t>
            </w:r>
          </w:p>
        </w:tc>
        <w:tc>
          <w:tcPr>
            <w:tcW w:w="0" w:type="dxa"/>
            <w:vAlign w:val="bottom"/>
          </w:tcPr>
          <w:p>
            <w:pPr>
              <w:spacing w:after="0"/>
              <w:rPr>
                <w:sz w:val="1"/>
                <w:szCs w:val="1"/>
                <w:color w:val="auto"/>
              </w:rPr>
            </w:pPr>
          </w:p>
        </w:tc>
      </w:tr>
      <w:tr>
        <w:trPr>
          <w:trHeight w:val="168"/>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Daggett 3, due 2028</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100" w:type="dxa"/>
            <w:vAlign w:val="bottom"/>
          </w:tcPr>
          <w:p>
            <w:pPr>
              <w:spacing w:after="0"/>
              <w:rPr>
                <w:sz w:val="14"/>
                <w:szCs w:val="14"/>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S+1.762</w:t>
            </w: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0" w:type="dxa"/>
            <w:vAlign w:val="bottom"/>
          </w:tcPr>
          <w:p>
            <w:pPr>
              <w:spacing w:after="0"/>
              <w:rPr>
                <w:sz w:val="1"/>
                <w:szCs w:val="1"/>
                <w:color w:val="auto"/>
              </w:rPr>
            </w:pPr>
          </w:p>
        </w:tc>
      </w:tr>
      <w:tr>
        <w:trPr>
          <w:trHeight w:val="17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DG-CS Master Borrower LLC, due 2040</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w:t>
            </w:r>
          </w:p>
        </w:tc>
        <w:tc>
          <w:tcPr>
            <w:tcW w:w="1740" w:type="dxa"/>
            <w:vAlign w:val="bottom"/>
            <w:gridSpan w:val="2"/>
            <w:shd w:val="clear" w:color="auto" w:fill="CCEEFF"/>
          </w:tcPr>
          <w:p>
            <w:pPr>
              <w:jc w:val="center"/>
              <w:ind w:left="1296"/>
              <w:spacing w:after="0"/>
              <w:rPr>
                <w:sz w:val="20"/>
                <w:szCs w:val="20"/>
                <w:color w:val="auto"/>
              </w:rPr>
            </w:pPr>
            <w:r>
              <w:rPr>
                <w:rFonts w:ascii="Times New Roman" w:cs="Times New Roman" w:eastAsia="Times New Roman" w:hAnsi="Times New Roman"/>
                <w:sz w:val="13"/>
                <w:szCs w:val="13"/>
                <w:color w:val="auto"/>
              </w:rPr>
              <w:t>3.510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68"/>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Mililani Class B Member Holdco LLC, due 2028</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tcPr>
          <w:p>
            <w:pPr>
              <w:spacing w:after="0"/>
              <w:rPr>
                <w:sz w:val="14"/>
                <w:szCs w:val="14"/>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S+1.600</w:t>
            </w: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18</w:t>
            </w:r>
          </w:p>
        </w:tc>
        <w:tc>
          <w:tcPr>
            <w:tcW w:w="0" w:type="dxa"/>
            <w:vAlign w:val="bottom"/>
          </w:tcPr>
          <w:p>
            <w:pPr>
              <w:spacing w:after="0"/>
              <w:rPr>
                <w:sz w:val="1"/>
                <w:szCs w:val="1"/>
                <w:color w:val="auto"/>
              </w:rPr>
            </w:pPr>
          </w:p>
        </w:tc>
      </w:tr>
      <w:tr>
        <w:trPr>
          <w:trHeight w:val="17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NIMH Solar, due 2024</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10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S+2.275</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68"/>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Oahu Solar Holdings LLC, due 2026</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00" w:type="dxa"/>
            <w:vAlign w:val="bottom"/>
          </w:tcPr>
          <w:p>
            <w:pPr>
              <w:spacing w:after="0"/>
              <w:rPr>
                <w:sz w:val="14"/>
                <w:szCs w:val="14"/>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S+1.525</w:t>
            </w: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10</w:t>
            </w:r>
          </w:p>
        </w:tc>
        <w:tc>
          <w:tcPr>
            <w:tcW w:w="0" w:type="dxa"/>
            <w:vAlign w:val="bottom"/>
          </w:tcPr>
          <w:p>
            <w:pPr>
              <w:spacing w:after="0"/>
              <w:rPr>
                <w:sz w:val="1"/>
                <w:szCs w:val="1"/>
                <w:color w:val="auto"/>
              </w:rPr>
            </w:pPr>
          </w:p>
        </w:tc>
      </w:tr>
      <w:tr>
        <w:trPr>
          <w:trHeight w:val="17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Rosie Class B LLC, due 2024 and 2029</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10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S+1.250-1.375</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70"/>
        </w:trPr>
        <w:tc>
          <w:tcPr>
            <w:tcW w:w="540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Texas Solar Nova 1, due 2028 </w:t>
            </w:r>
            <w:r>
              <w:rPr>
                <w:rFonts w:ascii="Times New Roman" w:cs="Times New Roman" w:eastAsia="Times New Roman" w:hAnsi="Times New Roman"/>
                <w:sz w:val="16"/>
                <w:szCs w:val="16"/>
                <w:color w:val="auto"/>
                <w:vertAlign w:val="superscript"/>
              </w:rPr>
              <w:t>(c)</w:t>
            </w:r>
          </w:p>
        </w:tc>
        <w:tc>
          <w:tcPr>
            <w:tcW w:w="1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100" w:type="dxa"/>
            <w:vAlign w:val="bottom"/>
          </w:tcPr>
          <w:p>
            <w:pPr>
              <w:spacing w:after="0"/>
              <w:rPr>
                <w:sz w:val="14"/>
                <w:szCs w:val="14"/>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S+1.750</w:t>
            </w: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540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TSN1 Class B Member LLC, due 2029 </w:t>
            </w:r>
            <w:r>
              <w:rPr>
                <w:rFonts w:ascii="Times New Roman" w:cs="Times New Roman" w:eastAsia="Times New Roman" w:hAnsi="Times New Roman"/>
                <w:sz w:val="16"/>
                <w:szCs w:val="16"/>
                <w:color w:val="auto"/>
                <w:vertAlign w:val="superscript"/>
              </w:rPr>
              <w:t>(c)</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S+1.750</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88</w:t>
            </w:r>
          </w:p>
        </w:tc>
        <w:tc>
          <w:tcPr>
            <w:tcW w:w="0" w:type="dxa"/>
            <w:vAlign w:val="bottom"/>
          </w:tcPr>
          <w:p>
            <w:pPr>
              <w:spacing w:after="0"/>
              <w:rPr>
                <w:sz w:val="1"/>
                <w:szCs w:val="1"/>
                <w:color w:val="auto"/>
              </w:rPr>
            </w:pPr>
          </w:p>
        </w:tc>
      </w:tr>
      <w:tr>
        <w:trPr>
          <w:trHeight w:val="168"/>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Utah Solar Holdings, due 2036</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1740" w:type="dxa"/>
            <w:vAlign w:val="bottom"/>
            <w:gridSpan w:val="2"/>
          </w:tcPr>
          <w:p>
            <w:pPr>
              <w:jc w:val="center"/>
              <w:ind w:left="1296"/>
              <w:spacing w:after="0"/>
              <w:rPr>
                <w:sz w:val="20"/>
                <w:szCs w:val="20"/>
                <w:color w:val="auto"/>
              </w:rPr>
            </w:pPr>
            <w:r>
              <w:rPr>
                <w:rFonts w:ascii="Times New Roman" w:cs="Times New Roman" w:eastAsia="Times New Roman" w:hAnsi="Times New Roman"/>
                <w:sz w:val="13"/>
                <w:szCs w:val="13"/>
                <w:color w:val="auto"/>
              </w:rPr>
              <w:t>3.590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0" w:type="dxa"/>
            <w:vAlign w:val="bottom"/>
          </w:tcPr>
          <w:p>
            <w:pPr>
              <w:spacing w:after="0"/>
              <w:rPr>
                <w:sz w:val="1"/>
                <w:szCs w:val="1"/>
                <w:color w:val="auto"/>
              </w:rPr>
            </w:pPr>
          </w:p>
        </w:tc>
      </w:tr>
      <w:tr>
        <w:trPr>
          <w:trHeight w:val="17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Viento Funding II, LLC, due 2029</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S+1.475</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27</w:t>
            </w:r>
          </w:p>
        </w:tc>
        <w:tc>
          <w:tcPr>
            <w:tcW w:w="0" w:type="dxa"/>
            <w:vAlign w:val="bottom"/>
          </w:tcPr>
          <w:p>
            <w:pPr>
              <w:spacing w:after="0"/>
              <w:rPr>
                <w:sz w:val="1"/>
                <w:szCs w:val="1"/>
                <w:color w:val="auto"/>
              </w:rPr>
            </w:pPr>
          </w:p>
        </w:tc>
      </w:tr>
      <w:tr>
        <w:trPr>
          <w:trHeight w:val="168"/>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Victory Pass and Arica, due 2024</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w:t>
            </w:r>
          </w:p>
        </w:tc>
        <w:tc>
          <w:tcPr>
            <w:tcW w:w="100" w:type="dxa"/>
            <w:vAlign w:val="bottom"/>
          </w:tcPr>
          <w:p>
            <w:pPr>
              <w:spacing w:after="0"/>
              <w:rPr>
                <w:sz w:val="14"/>
                <w:szCs w:val="14"/>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S+1.125</w:t>
            </w: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7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center"/>
              <w:ind w:left="1078"/>
              <w:spacing w:after="0"/>
              <w:rPr>
                <w:sz w:val="20"/>
                <w:szCs w:val="20"/>
                <w:color w:val="auto"/>
              </w:rPr>
            </w:pPr>
            <w:r>
              <w:rPr>
                <w:rFonts w:ascii="Times New Roman" w:cs="Times New Roman" w:eastAsia="Times New Roman" w:hAnsi="Times New Roman"/>
                <w:sz w:val="13"/>
                <w:szCs w:val="13"/>
                <w:color w:val="auto"/>
                <w:w w:val="97"/>
              </w:rPr>
              <w:t>Various</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0" w:type="dxa"/>
            <w:vAlign w:val="bottom"/>
          </w:tcPr>
          <w:p>
            <w:pPr>
              <w:spacing w:after="0"/>
              <w:rPr>
                <w:sz w:val="1"/>
                <w:szCs w:val="1"/>
                <w:color w:val="auto"/>
              </w:rPr>
            </w:pPr>
          </w:p>
        </w:tc>
      </w:tr>
      <w:tr>
        <w:trPr>
          <w:trHeight w:val="158"/>
        </w:trPr>
        <w:tc>
          <w:tcPr>
            <w:tcW w:w="5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Subtotal non-recourse facility-level debt</w:t>
            </w: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6,076</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5,974</w:t>
            </w:r>
          </w:p>
        </w:tc>
        <w:tc>
          <w:tcPr>
            <w:tcW w:w="100" w:type="dxa"/>
            <w:vAlign w:val="bottom"/>
            <w:tcBorders>
              <w:bottom w:val="single" w:sz="8" w:color="CCEEFF"/>
            </w:tcBorders>
          </w:tcPr>
          <w:p>
            <w:pPr>
              <w:spacing w:after="0"/>
              <w:rPr>
                <w:sz w:val="13"/>
                <w:szCs w:val="13"/>
                <w:color w:val="auto"/>
              </w:rPr>
            </w:pPr>
          </w:p>
        </w:tc>
        <w:tc>
          <w:tcPr>
            <w:tcW w:w="16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3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debt</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8,202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8,100</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current maturities</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w:t>
            </w: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net debt issuance costs</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400" w:type="dxa"/>
            <w:vAlign w:val="bottom"/>
            <w:tcBorders>
              <w:bottom w:val="single" w:sz="8" w:color="CCEEFF"/>
            </w:tcBorders>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Add premiums </w:t>
            </w:r>
            <w:r>
              <w:rPr>
                <w:rFonts w:ascii="Times New Roman" w:cs="Times New Roman" w:eastAsia="Times New Roman" w:hAnsi="Times New Roman"/>
                <w:sz w:val="16"/>
                <w:szCs w:val="16"/>
                <w:color w:val="auto"/>
                <w:vertAlign w:val="superscript"/>
              </w:rPr>
              <w:t>(d)</w:t>
            </w: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long-term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7,579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7,479</w:t>
            </w:r>
          </w:p>
        </w:tc>
        <w:tc>
          <w:tcPr>
            <w:tcW w:w="10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61" w:lineRule="exact"/>
        <w:rPr>
          <w:sz w:val="20"/>
          <w:szCs w:val="20"/>
          <w:color w:val="auto"/>
        </w:rPr>
      </w:pPr>
    </w:p>
    <w:p>
      <w:pPr>
        <w:ind w:left="180" w:hanging="111"/>
        <w:spacing w:after="0"/>
        <w:tabs>
          <w:tab w:leader="none" w:pos="180" w:val="left"/>
        </w:tabs>
        <w:numPr>
          <w:ilvl w:val="0"/>
          <w:numId w:val="1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As of March 31, 2024, S+ equals SOFR plus x%.</w:t>
      </w:r>
    </w:p>
    <w:p>
      <w:pPr>
        <w:spacing w:after="0" w:line="13" w:lineRule="exact"/>
        <w:rPr>
          <w:rFonts w:ascii="Times New Roman" w:cs="Times New Roman" w:eastAsia="Times New Roman" w:hAnsi="Times New Roman"/>
          <w:sz w:val="14"/>
          <w:szCs w:val="14"/>
          <w:color w:val="auto"/>
          <w:vertAlign w:val="superscript"/>
        </w:rPr>
      </w:pPr>
    </w:p>
    <w:p>
      <w:pPr>
        <w:ind w:left="200" w:hanging="131"/>
        <w:spacing w:after="0" w:line="200" w:lineRule="auto"/>
        <w:tabs>
          <w:tab w:leader="none" w:pos="200" w:val="left"/>
        </w:tabs>
        <w:numPr>
          <w:ilvl w:val="0"/>
          <w:numId w:val="1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Applicable rate is determined by the borrower leverage ratio, as defined in the credit agreement.</w:t>
      </w:r>
    </w:p>
    <w:p>
      <w:pPr>
        <w:spacing w:after="0" w:line="35" w:lineRule="exact"/>
        <w:rPr>
          <w:rFonts w:ascii="Times New Roman" w:cs="Times New Roman" w:eastAsia="Times New Roman" w:hAnsi="Times New Roman"/>
          <w:sz w:val="14"/>
          <w:szCs w:val="14"/>
          <w:color w:val="auto"/>
          <w:vertAlign w:val="superscript"/>
        </w:rPr>
      </w:pPr>
    </w:p>
    <w:p>
      <w:pPr>
        <w:ind w:left="180" w:hanging="111"/>
        <w:spacing w:after="0" w:line="200" w:lineRule="auto"/>
        <w:tabs>
          <w:tab w:leader="none" w:pos="180" w:val="left"/>
        </w:tabs>
        <w:numPr>
          <w:ilvl w:val="0"/>
          <w:numId w:val="1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On March 15, 2024, Texas Solar Nova 1’s financing agreement was amended to merge the facility-level debt of Texas Solar Nova 1 and Texas Solar Nova 2 as a combined term loan under TSN1 Class B Member LLC.</w:t>
      </w:r>
    </w:p>
    <w:p>
      <w:pPr>
        <w:spacing w:after="0" w:line="24" w:lineRule="exact"/>
        <w:rPr>
          <w:rFonts w:ascii="Times New Roman" w:cs="Times New Roman" w:eastAsia="Times New Roman" w:hAnsi="Times New Roman"/>
          <w:sz w:val="14"/>
          <w:szCs w:val="14"/>
          <w:color w:val="auto"/>
          <w:vertAlign w:val="superscript"/>
        </w:rPr>
      </w:pPr>
    </w:p>
    <w:p>
      <w:pPr>
        <w:ind w:left="200" w:hanging="131"/>
        <w:spacing w:after="0" w:line="200" w:lineRule="auto"/>
        <w:tabs>
          <w:tab w:leader="none" w:pos="200" w:val="left"/>
        </w:tabs>
        <w:numPr>
          <w:ilvl w:val="0"/>
          <w:numId w:val="1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Premiums relate to the 2028 Senior Notes.</w:t>
      </w:r>
    </w:p>
    <w:p>
      <w:pPr>
        <w:spacing w:after="0" w:line="122"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The financing arrangements listed above contain certain covenants, including financial covenants that the Company is required to be in compliance with during the term of the respective arrangement. As of March 31, 2024, the Company was in compliance with all of the required covenants.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3" w:name="page24"/>
    <w:bookmarkEnd w:id="23"/>
    <w:p>
      <w:pPr>
        <w:ind w:left="320"/>
        <w:spacing w:after="0"/>
        <w:rPr>
          <w:sz w:val="20"/>
          <w:szCs w:val="20"/>
          <w:color w:val="auto"/>
        </w:rPr>
      </w:pPr>
      <w:r>
        <w:rPr>
          <w:rFonts w:ascii="Times New Roman" w:cs="Times New Roman" w:eastAsia="Times New Roman" w:hAnsi="Times New Roman"/>
          <w:sz w:val="14"/>
          <w:szCs w:val="14"/>
          <w:color w:val="auto"/>
        </w:rPr>
        <w:t>The discussion below describes material changes to or additions of long-term debt for the three months ended March 31,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Clearway Energy LLC and Clearway Energy Operating LLC Revolving Credit Facility</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March 31, 2024, the Company had no outstanding borrowings under the revolving credit facility and $228 million in letters of credit outstanding.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Facility-level Debt</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Victory Pass and Arica</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On May 1, 2024, when the Victory Pass and Arica solar and BESS facilities reached substantial completion, the Company paid $165 million to Clearway Renew as an additional purchase price, in connection with the Company’s acquisition of the Class A membership interests in VP-Arica TargetCo LLC on October 31, 2023, which was funded with existing sources of liquidity. During the three months ended March 31, 2024, the Company borrowed an additional $62 million in tax equity bridge loans. Also on May 1, 2024, the cash equity investor contributed an additional $347 million, the tax equity investor contributed an additional $410 million and CEG contributed $52 million, which were utilized, along with the $103 million in escrow, to repay the $351 million cash equity bridge loan, to repay the $468 million tax equity bridge loan, to fund $75 million in construction completion reserves and to pay $18 million in associated fees.</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Texas Solar Nova 1 and Texas Solar Nova 2</w:t>
      </w:r>
    </w:p>
    <w:p>
      <w:pPr>
        <w:spacing w:after="0" w:line="13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On March 15, 2024, as part of the acquisition of Texas Solar Nova 2, as further described in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the Company assumed the facility’s financing agreement, which included an $80 million term loan and a $115 million tax equity bridge loan, offset by $1 million in unamortized debt issuance costs. At acquisition date, the tax equity investor contributed $130 million, which was utilized, along with $9 million of the Company’s purchase price that was contributed back by CEG, to repay the $115 million tax equity bridge loan, to fund $19 million in construction completion reserves, which is included in restricted cash on the Company’s consolidated balance sheet, and to pay $4 million in associated fees.</w:t>
      </w:r>
    </w:p>
    <w:p>
      <w:pPr>
        <w:spacing w:after="0" w:line="97"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Additionally, on March 15, 2024, Texas Solar Nova 1’s financing agreement was amended to merge the Texas Solar Nova 1 and Texas Solar Nova 2 term loans as a combined term loan under TSN1 Class B Member LLC that matures on March 15, 2029.</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8 — </w:t>
      </w:r>
      <w:r>
        <w:rPr>
          <w:rFonts w:ascii="Times New Roman" w:cs="Times New Roman" w:eastAsia="Times New Roman" w:hAnsi="Times New Roman"/>
          <w:sz w:val="14"/>
          <w:szCs w:val="14"/>
          <w:b w:val="1"/>
          <w:bCs w:val="1"/>
          <w:i w:val="1"/>
          <w:iCs w:val="1"/>
          <w:color w:val="auto"/>
        </w:rPr>
        <w:t>Segment Reporting</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Company’s segment structure reflects how management currently operates and allocates resources. The Company’s businesses are segregated based on conventional power generation and renewable businesses, which consist of solar, wind and battery energy storage system, or BESS, facilities. The Corporate segment reflects the Company’s corporate costs and includes eliminating entries. The Company’s chief operating decision maker, its Chief Executive Officer, evaluates the performance of</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color w:val="auto"/>
        </w:rPr>
        <w:t>its segments based on operational measures including adjusted earnings before interest, taxes, depreciation and amortization, or Adjusted EBITDA, and CAFD, as well as net income (loss).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4"/>
          </w:tcPr>
          <w:p>
            <w:pPr>
              <w:jc w:val="right"/>
              <w:ind w:right="113"/>
              <w:spacing w:after="0"/>
              <w:rPr>
                <w:sz w:val="20"/>
                <w:szCs w:val="20"/>
                <w:color w:val="auto"/>
              </w:rPr>
            </w:pPr>
            <w:r>
              <w:rPr>
                <w:rFonts w:ascii="Times New Roman" w:cs="Times New Roman" w:eastAsia="Times New Roman" w:hAnsi="Times New Roman"/>
                <w:sz w:val="11"/>
                <w:szCs w:val="11"/>
                <w:b w:val="1"/>
                <w:bCs w:val="1"/>
                <w:color w:val="auto"/>
              </w:rPr>
              <w:t>Three months ended March 31, 2024</w:t>
            </w: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74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20" w:type="dxa"/>
            <w:vAlign w:val="bottom"/>
            <w:gridSpan w:val="5"/>
          </w:tcPr>
          <w:p>
            <w:pPr>
              <w:ind w:left="40"/>
              <w:spacing w:after="0"/>
              <w:rPr>
                <w:sz w:val="20"/>
                <w:szCs w:val="20"/>
                <w:color w:val="auto"/>
              </w:rPr>
            </w:pPr>
            <w:r>
              <w:rPr>
                <w:rFonts w:ascii="Times New Roman" w:cs="Times New Roman" w:eastAsia="Times New Roman" w:hAnsi="Times New Roman"/>
                <w:sz w:val="11"/>
                <w:szCs w:val="11"/>
                <w:b w:val="1"/>
                <w:bCs w:val="1"/>
                <w:color w:val="auto"/>
              </w:rPr>
              <w:t>Conventional Generation</w:t>
            </w:r>
          </w:p>
        </w:tc>
        <w:tc>
          <w:tcPr>
            <w:tcW w:w="220" w:type="dxa"/>
            <w:vAlign w:val="bottom"/>
          </w:tcPr>
          <w:p>
            <w:pPr>
              <w:spacing w:after="0"/>
              <w:rPr>
                <w:sz w:val="15"/>
                <w:szCs w:val="15"/>
                <w:color w:val="auto"/>
              </w:rPr>
            </w:pPr>
          </w:p>
        </w:tc>
        <w:tc>
          <w:tcPr>
            <w:tcW w:w="118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1020" w:type="dxa"/>
            <w:vAlign w:val="bottom"/>
          </w:tcPr>
          <w:p>
            <w:pPr>
              <w:jc w:val="right"/>
              <w:spacing w:after="0" w:line="181" w:lineRule="exact"/>
              <w:rPr>
                <w:sz w:val="20"/>
                <w:szCs w:val="20"/>
                <w:color w:val="auto"/>
              </w:rPr>
            </w:pPr>
            <w:r>
              <w:rPr>
                <w:rFonts w:ascii="Times New Roman" w:cs="Times New Roman" w:eastAsia="Times New Roman" w:hAnsi="Times New Roman"/>
                <w:sz w:val="11"/>
                <w:szCs w:val="11"/>
                <w:b w:val="1"/>
                <w:bCs w:val="1"/>
                <w:color w:val="auto"/>
              </w:rPr>
              <w:t xml:space="preserve">Corporate </w:t>
            </w:r>
            <w:r>
              <w:rPr>
                <w:rFonts w:ascii="Times New Roman" w:cs="Times New Roman" w:eastAsia="Times New Roman" w:hAnsi="Times New Roman"/>
                <w:sz w:val="16"/>
                <w:szCs w:val="16"/>
                <w:b w:val="1"/>
                <w:bCs w:val="1"/>
                <w:color w:val="auto"/>
                <w:vertAlign w:val="superscript"/>
              </w:rPr>
              <w:t>(a)</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574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520" w:type="dxa"/>
            <w:vAlign w:val="bottom"/>
            <w:tcBorders>
              <w:top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ind w:right="873"/>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263</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74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Cost of operations, exclusive of depreciation, amortization and accretion shown separately below</w:t>
            </w:r>
          </w:p>
        </w:tc>
        <w:tc>
          <w:tcPr>
            <w:tcW w:w="5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7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5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74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520" w:type="dxa"/>
            <w:vAlign w:val="bottom"/>
          </w:tcPr>
          <w:p>
            <w:pPr>
              <w:spacing w:after="0"/>
              <w:rPr>
                <w:sz w:val="15"/>
                <w:szCs w:val="15"/>
                <w:color w:val="auto"/>
              </w:rPr>
            </w:pPr>
          </w:p>
        </w:tc>
        <w:tc>
          <w:tcPr>
            <w:tcW w:w="9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7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Transaction and integration costs</w:t>
            </w:r>
          </w:p>
        </w:tc>
        <w:tc>
          <w:tcPr>
            <w:tcW w:w="520" w:type="dxa"/>
            <w:vAlign w:val="bottom"/>
            <w:shd w:val="clear" w:color="auto" w:fill="CCEEFF"/>
          </w:tcPr>
          <w:p>
            <w:pPr>
              <w:spacing w:after="0"/>
              <w:rPr>
                <w:sz w:val="15"/>
                <w:szCs w:val="15"/>
                <w:color w:val="auto"/>
              </w:rPr>
            </w:pPr>
          </w:p>
        </w:tc>
        <w:tc>
          <w:tcPr>
            <w:tcW w:w="9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57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5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7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5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74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Other income, net</w:t>
            </w:r>
          </w:p>
        </w:tc>
        <w:tc>
          <w:tcPr>
            <w:tcW w:w="5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7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520" w:type="dxa"/>
            <w:vAlign w:val="bottom"/>
            <w:shd w:val="clear" w:color="auto" w:fill="CCEEFF"/>
          </w:tcPr>
          <w:p>
            <w:pPr>
              <w:spacing w:after="0"/>
              <w:rPr>
                <w:sz w:val="15"/>
                <w:szCs w:val="15"/>
                <w:color w:val="auto"/>
              </w:rPr>
            </w:pPr>
          </w:p>
        </w:tc>
        <w:tc>
          <w:tcPr>
            <w:tcW w:w="9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740" w:type="dxa"/>
            <w:vAlign w:val="bottom"/>
            <w:tcBorders>
              <w:bottom w:val="single" w:sz="8" w:color="CCEEFF"/>
            </w:tcBorders>
            <w:gridSpan w:val="4"/>
          </w:tcPr>
          <w:p>
            <w:pPr>
              <w:ind w:left="100"/>
              <w:spacing w:after="0"/>
              <w:rPr>
                <w:sz w:val="20"/>
                <w:szCs w:val="20"/>
                <w:color w:val="auto"/>
              </w:rPr>
            </w:pPr>
            <w:r>
              <w:rPr>
                <w:rFonts w:ascii="Times New Roman" w:cs="Times New Roman" w:eastAsia="Times New Roman" w:hAnsi="Times New Roman"/>
                <w:sz w:val="14"/>
                <w:szCs w:val="14"/>
                <w:color w:val="auto"/>
              </w:rPr>
              <w:t>Interest expense</w:t>
            </w:r>
          </w:p>
        </w:tc>
        <w:tc>
          <w:tcPr>
            <w:tcW w:w="5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6"/>
                <w:szCs w:val="16"/>
                <w:color w:val="auto"/>
              </w:rPr>
            </w:pPr>
          </w:p>
        </w:tc>
        <w:tc>
          <w:tcPr>
            <w:tcW w:w="57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52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73"/>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74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0" w:type="dxa"/>
            <w:vAlign w:val="bottom"/>
          </w:tcPr>
          <w:p>
            <w:pPr>
              <w:spacing w:after="0"/>
              <w:rPr>
                <w:sz w:val="12"/>
                <w:szCs w:val="12"/>
                <w:color w:val="auto"/>
              </w:rPr>
            </w:pPr>
          </w:p>
        </w:tc>
        <w:tc>
          <w:tcPr>
            <w:tcW w:w="5740" w:type="dxa"/>
            <w:vAlign w:val="bottom"/>
            <w:gridSpan w:val="4"/>
            <w:vMerge w:val="continue"/>
          </w:tcPr>
          <w:p>
            <w:pPr>
              <w:spacing w:after="0"/>
              <w:rPr>
                <w:sz w:val="12"/>
                <w:szCs w:val="12"/>
                <w:color w:val="auto"/>
              </w:rPr>
            </w:pPr>
          </w:p>
        </w:tc>
        <w:tc>
          <w:tcPr>
            <w:tcW w:w="520" w:type="dxa"/>
            <w:vAlign w:val="bottom"/>
          </w:tcPr>
          <w:p>
            <w:pPr>
              <w:jc w:val="right"/>
              <w:ind w:right="373"/>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2,049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jc w:val="right"/>
              <w:ind w:right="75"/>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12,448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jc w:val="right"/>
              <w:ind w:right="873"/>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349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14,846</w:t>
            </w:r>
          </w:p>
        </w:tc>
        <w:tc>
          <w:tcPr>
            <w:tcW w:w="0" w:type="dxa"/>
            <w:vAlign w:val="bottom"/>
          </w:tcPr>
          <w:p>
            <w:pPr>
              <w:spacing w:after="0"/>
              <w:rPr>
                <w:sz w:val="1"/>
                <w:szCs w:val="1"/>
                <w:color w:val="auto"/>
              </w:rPr>
            </w:pPr>
          </w:p>
        </w:tc>
      </w:tr>
      <w:tr>
        <w:trPr>
          <w:trHeight w:val="134"/>
        </w:trPr>
        <w:tc>
          <w:tcPr>
            <w:tcW w:w="6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5740" w:type="dxa"/>
            <w:vAlign w:val="bottom"/>
            <w:gridSpan w:val="4"/>
          </w:tcPr>
          <w:p>
            <w:pPr>
              <w:spacing w:after="0"/>
              <w:rPr>
                <w:sz w:val="20"/>
                <w:szCs w:val="20"/>
                <w:color w:val="auto"/>
              </w:rPr>
            </w:pPr>
            <w:r>
              <w:rPr>
                <w:rFonts w:ascii="Times New Roman" w:cs="Times New Roman" w:eastAsia="Times New Roman" w:hAnsi="Times New Roman"/>
                <w:sz w:val="18"/>
                <w:szCs w:val="18"/>
                <w:color w:val="auto"/>
                <w:vertAlign w:val="superscript"/>
              </w:rPr>
              <w:t>(a)</w:t>
            </w:r>
            <w:r>
              <w:rPr>
                <w:rFonts w:ascii="Times New Roman" w:cs="Times New Roman" w:eastAsia="Times New Roman" w:hAnsi="Times New Roman"/>
                <w:sz w:val="13"/>
                <w:szCs w:val="13"/>
                <w:color w:val="auto"/>
              </w:rPr>
              <w:t xml:space="preserve"> Includes eliminations.</w:t>
            </w: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4"/>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Three months ended March 31, 2023</w:t>
            </w: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74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20" w:type="dxa"/>
            <w:vAlign w:val="bottom"/>
            <w:gridSpan w:val="5"/>
          </w:tcPr>
          <w:p>
            <w:pPr>
              <w:ind w:left="40"/>
              <w:spacing w:after="0"/>
              <w:rPr>
                <w:sz w:val="20"/>
                <w:szCs w:val="20"/>
                <w:color w:val="auto"/>
              </w:rPr>
            </w:pPr>
            <w:r>
              <w:rPr>
                <w:rFonts w:ascii="Times New Roman" w:cs="Times New Roman" w:eastAsia="Times New Roman" w:hAnsi="Times New Roman"/>
                <w:sz w:val="11"/>
                <w:szCs w:val="11"/>
                <w:b w:val="1"/>
                <w:bCs w:val="1"/>
                <w:color w:val="auto"/>
              </w:rPr>
              <w:t>Conventional Generation</w:t>
            </w:r>
          </w:p>
        </w:tc>
        <w:tc>
          <w:tcPr>
            <w:tcW w:w="220" w:type="dxa"/>
            <w:vAlign w:val="bottom"/>
          </w:tcPr>
          <w:p>
            <w:pPr>
              <w:spacing w:after="0"/>
              <w:rPr>
                <w:sz w:val="15"/>
                <w:szCs w:val="15"/>
                <w:color w:val="auto"/>
              </w:rPr>
            </w:pPr>
          </w:p>
        </w:tc>
        <w:tc>
          <w:tcPr>
            <w:tcW w:w="118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1020" w:type="dxa"/>
            <w:vAlign w:val="bottom"/>
          </w:tcPr>
          <w:p>
            <w:pPr>
              <w:jc w:val="right"/>
              <w:spacing w:after="0" w:line="181" w:lineRule="exact"/>
              <w:rPr>
                <w:sz w:val="20"/>
                <w:szCs w:val="20"/>
                <w:color w:val="auto"/>
              </w:rPr>
            </w:pPr>
            <w:r>
              <w:rPr>
                <w:rFonts w:ascii="Times New Roman" w:cs="Times New Roman" w:eastAsia="Times New Roman" w:hAnsi="Times New Roman"/>
                <w:sz w:val="11"/>
                <w:szCs w:val="11"/>
                <w:b w:val="1"/>
                <w:bCs w:val="1"/>
                <w:color w:val="auto"/>
              </w:rPr>
              <w:t xml:space="preserve">Corporate </w:t>
            </w:r>
            <w:r>
              <w:rPr>
                <w:rFonts w:ascii="Times New Roman" w:cs="Times New Roman" w:eastAsia="Times New Roman" w:hAnsi="Times New Roman"/>
                <w:sz w:val="16"/>
                <w:szCs w:val="16"/>
                <w:b w:val="1"/>
                <w:bCs w:val="1"/>
                <w:color w:val="auto"/>
                <w:vertAlign w:val="superscript"/>
              </w:rPr>
              <w:t>(a)</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57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ind w:right="873"/>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74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Cost of operations, exclusive of depreciation, amortization and accretion shown separately below</w:t>
            </w:r>
          </w:p>
        </w:tc>
        <w:tc>
          <w:tcPr>
            <w:tcW w:w="5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7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5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74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520" w:type="dxa"/>
            <w:vAlign w:val="bottom"/>
          </w:tcPr>
          <w:p>
            <w:pPr>
              <w:spacing w:after="0"/>
              <w:rPr>
                <w:sz w:val="15"/>
                <w:szCs w:val="15"/>
                <w:color w:val="auto"/>
              </w:rPr>
            </w:pPr>
          </w:p>
        </w:tc>
        <w:tc>
          <w:tcPr>
            <w:tcW w:w="9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57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74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Equity in earnings (losses) of unconsolidated affiliates</w:t>
            </w:r>
          </w:p>
        </w:tc>
        <w:tc>
          <w:tcPr>
            <w:tcW w:w="5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7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income, net</w:t>
            </w:r>
          </w:p>
        </w:tc>
        <w:tc>
          <w:tcPr>
            <w:tcW w:w="5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72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4"/>
                <w:szCs w:val="14"/>
                <w:color w:val="auto"/>
              </w:rPr>
              <w:t>Interest expense</w:t>
            </w: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57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52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60" w:type="dxa"/>
            <w:vAlign w:val="bottom"/>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52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vertAlign w:val="superscript"/>
        </w:rPr>
        <w:t>(a)</w:t>
      </w:r>
      <w:r>
        <w:rPr>
          <w:rFonts w:ascii="Times New Roman" w:cs="Times New Roman" w:eastAsia="Times New Roman" w:hAnsi="Times New Roman"/>
          <w:sz w:val="13"/>
          <w:szCs w:val="13"/>
          <w:color w:val="auto"/>
        </w:rPr>
        <w:t xml:space="preserve"> Includes eliminations.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9 — </w:t>
      </w:r>
      <w:r>
        <w:rPr>
          <w:rFonts w:ascii="Times New Roman" w:cs="Times New Roman" w:eastAsia="Times New Roman" w:hAnsi="Times New Roman"/>
          <w:sz w:val="14"/>
          <w:szCs w:val="14"/>
          <w:b w:val="1"/>
          <w:bCs w:val="1"/>
          <w:i w:val="1"/>
          <w:iCs w:val="1"/>
          <w:color w:val="auto"/>
        </w:rPr>
        <w:t>Related Party Transactions</w:t>
      </w:r>
    </w:p>
    <w:p>
      <w:pPr>
        <w:spacing w:after="0" w:line="138" w:lineRule="exact"/>
        <w:rPr>
          <w:sz w:val="20"/>
          <w:szCs w:val="20"/>
          <w:color w:val="auto"/>
        </w:rPr>
      </w:pPr>
    </w:p>
    <w:p>
      <w:pPr>
        <w:jc w:val="both"/>
        <w:ind w:right="60" w:firstLine="318"/>
        <w:spacing w:after="0" w:line="264" w:lineRule="auto"/>
        <w:rPr>
          <w:sz w:val="20"/>
          <w:szCs w:val="20"/>
          <w:color w:val="auto"/>
        </w:rPr>
      </w:pPr>
      <w:r>
        <w:rPr>
          <w:rFonts w:ascii="Times New Roman" w:cs="Times New Roman" w:eastAsia="Times New Roman" w:hAnsi="Times New Roman"/>
          <w:sz w:val="14"/>
          <w:szCs w:val="14"/>
          <w:color w:val="auto"/>
        </w:rPr>
        <w:t>In addition to the transactions and relationships described elsewhere in the notes to the consolidated financial statements, certain subsidiaries of CEG provide services to the Company and its subsidiaries. Amounts due to CEG subsidiaries are recorded as accounts payable — affiliates and amounts due to the Company from CEG subsidiaries are recorded as accounts receivable — affiliates in the Company’s consolidated balance sheets. The disclosures below summarize the Company’s material related party transactions with CEG and its subsidiaries that are included in the Company’s operating costs.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O&amp;M Services Agreements by and between the Company and Clearway Renewable Operation &amp; Maintenance LLC</w:t>
      </w:r>
    </w:p>
    <w:p>
      <w:pPr>
        <w:spacing w:after="0" w:line="138" w:lineRule="exact"/>
        <w:rPr>
          <w:sz w:val="20"/>
          <w:szCs w:val="20"/>
          <w:color w:val="auto"/>
        </w:rPr>
      </w:pPr>
    </w:p>
    <w:p>
      <w:pPr>
        <w:jc w:val="both"/>
        <w:ind w:right="60" w:firstLine="318"/>
        <w:spacing w:after="0" w:line="267" w:lineRule="auto"/>
        <w:rPr>
          <w:sz w:val="20"/>
          <w:szCs w:val="20"/>
          <w:color w:val="auto"/>
        </w:rPr>
      </w:pPr>
      <w:r>
        <w:rPr>
          <w:rFonts w:ascii="Times New Roman" w:cs="Times New Roman" w:eastAsia="Times New Roman" w:hAnsi="Times New Roman"/>
          <w:sz w:val="14"/>
          <w:szCs w:val="14"/>
          <w:color w:val="auto"/>
        </w:rPr>
        <w:t>Various wholly-owned subsidiaries of the Company in the Renewables segment are party to services agreements with Clearway Renewable Operation &amp; Maintenance LLC, or RENOM, a wholly-owned subsidiary of CEG, which provides operation and maintenance, or O&amp;M, services to these subsidiaries. The Company incurred total expenses for these services of $19 million and $17 million for the three months ended March 31, 2024 and 2023, respectively. There was a balance of $10 million and $13 million due to RENOM as of March 31,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40"/>
          </w:cols>
          <w:pgMar w:left="300" w:top="730" w:right="2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i w:val="1"/>
          <w:iCs w:val="1"/>
          <w:color w:val="auto"/>
        </w:rPr>
        <w:t>Administrative Services Agreements by and between the Company and CEG</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Various wholly-owned subsidiaries of the Company are parties to services agreements with Clearway Asset Services LLC and Solar Asset Management LLC, two wholly-owned subsidiaries of CEG, which provide various administrative services to the Company's subsidiaries. The Company incurred expenses under these agreements of $6 million and $4 million for the three months ended March 31, 2024, and 2023, respectively. There was a balance of $2 million due to CEG for each of the periods ended March 31, 2024 and December 31, 2023.</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CEG Master Services Agreement</w:t>
      </w:r>
    </w:p>
    <w:p>
      <w:pPr>
        <w:spacing w:after="0" w:line="138" w:lineRule="exact"/>
        <w:rPr>
          <w:sz w:val="20"/>
          <w:szCs w:val="20"/>
          <w:color w:val="auto"/>
        </w:rPr>
      </w:pPr>
    </w:p>
    <w:p>
      <w:pPr>
        <w:jc w:val="both"/>
        <w:ind w:firstLine="318"/>
        <w:spacing w:after="0" w:line="275" w:lineRule="auto"/>
        <w:rPr>
          <w:sz w:val="20"/>
          <w:szCs w:val="20"/>
          <w:color w:val="auto"/>
        </w:rPr>
      </w:pPr>
      <w:r>
        <w:rPr>
          <w:rFonts w:ascii="Times New Roman" w:cs="Times New Roman" w:eastAsia="Times New Roman" w:hAnsi="Times New Roman"/>
          <w:sz w:val="14"/>
          <w:szCs w:val="14"/>
          <w:color w:val="auto"/>
        </w:rPr>
        <w:t>The Company is a party to the CEG Master Services Agreement, pursuant to which CEG and certain of its affiliates or third-party service providers provide certain services to the Company, including operational and administrative services, which include human resources, information systems, cybersecurity, external affairs, accounting, procurement and risk management services, and the Company provides certain services to CEG, including accounting, internal audit, tax and treasury services, in exchange for the payment of fees in respect of such services. The Company incurred net expenses under these agreements of $1 million for each of the three months ended March 31, 2024 and 2023.</w:t>
      </w:r>
    </w:p>
    <w:p>
      <w:pPr>
        <w:spacing w:after="0" w:line="90"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On April 30, 2024, the CEG Master Services Agreement was amended and restated as a result of a reorganization effected by the Company pursuant to which all of the employees and operations of the Company will transfer to CEG as of January 1, 2025. Under the amended and restated agreement, CEG and certain of its affiliates or third-party service providers will continue to provide the operational and administrative services outlined above, and, effective January 1, 2025, CEG will also provide accounting, internal audit, tax, legal and treasury services, in exchange for payment of fees in respect of such services. Certain independent functions will be directed by the Company’s Governance, Conflicts and Nominating Committee and paid for by the Company, while being administered by CEG.</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6" w:name="page27"/>
    <w:bookmarkEnd w:id="26"/>
    <w:p>
      <w:pPr>
        <w:ind w:right="4920"/>
        <w:spacing w:after="0" w:line="444" w:lineRule="auto"/>
        <w:rPr>
          <w:sz w:val="20"/>
          <w:szCs w:val="20"/>
          <w:color w:val="auto"/>
        </w:rPr>
      </w:pPr>
      <w:r>
        <w:rPr>
          <w:rFonts w:ascii="Times New Roman" w:cs="Times New Roman" w:eastAsia="Times New Roman" w:hAnsi="Times New Roman"/>
          <w:sz w:val="14"/>
          <w:szCs w:val="14"/>
          <w:b w:val="1"/>
          <w:bCs w:val="1"/>
          <w:color w:val="auto"/>
        </w:rPr>
        <w:t xml:space="preserve">ITEM 2 — Management’s Discussion and Analysis of Financial Condition and the Results of Operations </w:t>
      </w:r>
      <w:r>
        <w:rPr>
          <w:rFonts w:ascii="Times New Roman" w:cs="Times New Roman" w:eastAsia="Times New Roman" w:hAnsi="Times New Roman"/>
          <w:sz w:val="14"/>
          <w:szCs w:val="14"/>
          <w:color w:val="auto"/>
        </w:rPr>
        <w:t>The following discussion analyzes the Company’s historical financial condition and results of operations.</w:t>
      </w:r>
    </w:p>
    <w:p>
      <w:pPr>
        <w:spacing w:after="0" w:line="1"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As you read this discussion and analysis, refer to the Company’s consolidated financial statements to this Form 10-Q, which present the results of operations for the three months ended March 31, 2024 and 2023. Also refer to the Company’s 2023 Form 10-K, which includes detailed discussions of various items impacting the Company’s business, results of operations and financial condition.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The discussion and analysis below has been organized as follows:</w:t>
      </w:r>
    </w:p>
    <w:p>
      <w:pPr>
        <w:spacing w:after="0" w:line="94" w:lineRule="exact"/>
        <w:rPr>
          <w:sz w:val="20"/>
          <w:szCs w:val="20"/>
          <w:color w:val="auto"/>
        </w:rPr>
      </w:pPr>
    </w:p>
    <w:p>
      <w:pPr>
        <w:ind w:left="1020" w:hanging="251"/>
        <w:spacing w:after="0"/>
        <w:tabs>
          <w:tab w:leader="none" w:pos="1020" w:val="left"/>
        </w:tabs>
        <w:numPr>
          <w:ilvl w:val="0"/>
          <w:numId w:val="1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Executive Summary, including a description of the business and significant events that are important to understanding the results of operations and financial condition;</w:t>
      </w:r>
    </w:p>
    <w:p>
      <w:pPr>
        <w:spacing w:after="0" w:line="51" w:lineRule="exact"/>
        <w:rPr>
          <w:rFonts w:ascii="Times New Roman" w:cs="Times New Roman" w:eastAsia="Times New Roman" w:hAnsi="Times New Roman"/>
          <w:sz w:val="14"/>
          <w:szCs w:val="14"/>
          <w:color w:val="231F20"/>
        </w:rPr>
      </w:pPr>
    </w:p>
    <w:p>
      <w:pPr>
        <w:ind w:left="1020" w:hanging="251"/>
        <w:spacing w:after="0"/>
        <w:tabs>
          <w:tab w:leader="none" w:pos="10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Results of operations, including an explanation of significant differences between the periods in the specific line items of the consolidated statements of operations;</w:t>
      </w:r>
    </w:p>
    <w:p>
      <w:pPr>
        <w:spacing w:after="0" w:line="5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Financial condition addressing liquidity position, sources and uses of cash, capital resources and requirements, commitments and off-balance sheet arrangements;</w:t>
      </w:r>
    </w:p>
    <w:p>
      <w:pPr>
        <w:spacing w:after="0" w:line="51" w:lineRule="exact"/>
        <w:rPr>
          <w:rFonts w:ascii="Times New Roman" w:cs="Times New Roman" w:eastAsia="Times New Roman" w:hAnsi="Times New Roman"/>
          <w:sz w:val="14"/>
          <w:szCs w:val="14"/>
          <w:color w:val="231F20"/>
        </w:rPr>
      </w:pPr>
    </w:p>
    <w:p>
      <w:pPr>
        <w:ind w:left="1020" w:hanging="251"/>
        <w:spacing w:after="0"/>
        <w:tabs>
          <w:tab w:leader="none" w:pos="1020" w:val="left"/>
        </w:tabs>
        <w:numPr>
          <w:ilvl w:val="0"/>
          <w:numId w:val="1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auto"/>
        </w:rPr>
        <w:t>Known trends that may affect the Company’s results of operations and financial condition in the future; and</w:t>
      </w:r>
    </w:p>
    <w:p>
      <w:pPr>
        <w:spacing w:after="0" w:line="51" w:lineRule="exact"/>
        <w:rPr>
          <w:rFonts w:ascii="Times New Roman" w:cs="Times New Roman" w:eastAsia="Times New Roman" w:hAnsi="Times New Roman"/>
          <w:sz w:val="14"/>
          <w:szCs w:val="14"/>
          <w:color w:val="231F20"/>
        </w:rPr>
      </w:pPr>
    </w:p>
    <w:p>
      <w:pPr>
        <w:ind w:left="760" w:right="60" w:firstLine="9"/>
        <w:spacing w:after="0" w:line="287" w:lineRule="auto"/>
        <w:tabs>
          <w:tab w:leader="none" w:pos="1011"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Critical accounting policies which are most important to both the portrayal of the Company’s financial condition and results of operations, and which require management's most difficult, subjective or complex judgment.</w:t>
      </w: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28"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color w:val="auto"/>
        </w:rPr>
        <w:t>Executive Summary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Introduction and Overview</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Clearway Energy LLC, together with its consolidated subsidiaries, or the Company, is an energy infrastructure investor with a focus on investments in clean energy and owner of modern, sustainable and long-term contracted assets across North America. The Company is sponsored by GIP and TotalEnergies through the portfolio company, Clearway Energy Group LLC, or CEG, which is equally owned by GIP and TotalEnergies. GIP is an independent infrastructure fund manager that makes equity and debt investments in infrastructure assets and businesses. TotalEnergies is a global multi-energy company. CEG is a leading developer of renewable energy infrastructure in the U.S. On January 12, 2024, BlackRock entered into a definitive agreement to acquire 100% of the business and assets of GIM, which is the investment manager of the GIP funds that own an interest in CEG. BlackRock has indicated that the transaction is expected to close in the third quarter of 2024, subject to regulatory approvals and other customary closing conditions. BlackRock is a publicly-traded global investment management firm.</w:t>
      </w:r>
    </w:p>
    <w:p>
      <w:pPr>
        <w:spacing w:after="0" w:line="10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 xml:space="preserve">The Company is one of the largest renewable energy owners in the U.S. with approximately 6,200 net MW of installed wind, solar and battery energy storage system, or BESS, facilities. The Company’s approximately 8,700 net MW of assets also includes approximately 2,500 net MW of environmentally-sound, highly efficient natural gas-fired generation facilities. Through this environmentally-sound, diversified and primarily contracted portfolio, the Company endeavors to increase distributions to its unit holders. </w:t>
      </w:r>
      <w:r>
        <w:rPr>
          <w:rFonts w:ascii="Times New Roman" w:cs="Times New Roman" w:eastAsia="Times New Roman" w:hAnsi="Times New Roman"/>
          <w:sz w:val="14"/>
          <w:szCs w:val="14"/>
          <w:color w:val="231F20"/>
        </w:rPr>
        <w:t>The majority</w:t>
      </w:r>
      <w:r>
        <w:rPr>
          <w:rFonts w:ascii="Times New Roman" w:cs="Times New Roman" w:eastAsia="Times New Roman" w:hAnsi="Times New Roman"/>
          <w:sz w:val="14"/>
          <w:szCs w:val="14"/>
          <w:color w:val="auto"/>
        </w:rPr>
        <w:t xml:space="preserve"> of the Company’s revenues are derived from long-term contractual arrangements for the output or capacity from these assets. The weighted average remaining contract duration of these offtake agreements was approximately 10 years </w:t>
      </w:r>
      <w:r>
        <w:rPr>
          <w:rFonts w:ascii="Times New Roman" w:cs="Times New Roman" w:eastAsia="Times New Roman" w:hAnsi="Times New Roman"/>
          <w:sz w:val="14"/>
          <w:szCs w:val="14"/>
          <w:color w:val="231F20"/>
        </w:rPr>
        <w:t>as of</w:t>
      </w:r>
      <w:r>
        <w:rPr>
          <w:rFonts w:ascii="Times New Roman" w:cs="Times New Roman" w:eastAsia="Times New Roman" w:hAnsi="Times New Roman"/>
          <w:sz w:val="14"/>
          <w:szCs w:val="14"/>
          <w:color w:val="auto"/>
        </w:rPr>
        <w:t xml:space="preserve"> March 31, 2024 </w:t>
      </w:r>
      <w:r>
        <w:rPr>
          <w:rFonts w:ascii="Times New Roman" w:cs="Times New Roman" w:eastAsia="Times New Roman" w:hAnsi="Times New Roman"/>
          <w:sz w:val="14"/>
          <w:szCs w:val="14"/>
          <w:color w:val="231F20"/>
        </w:rPr>
        <w:t>based on CAFD.</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March 31, 2024, the Company’s operating assets are comprised of the following facilities:</w:t>
      </w:r>
    </w:p>
    <w:p>
      <w:pPr>
        <w:spacing w:after="0" w:line="67" w:lineRule="exact"/>
        <w:rPr>
          <w:sz w:val="20"/>
          <w:szCs w:val="20"/>
          <w:color w:val="auto"/>
        </w:rPr>
      </w:pPr>
    </w:p>
    <w:tbl>
      <w:tblPr>
        <w:tblLayout w:type="fixed"/>
        <w:tblInd w:w="1600" w:type="dxa"/>
        <w:tblCellMar>
          <w:top w:w="0" w:type="dxa"/>
          <w:left w:w="0" w:type="dxa"/>
          <w:bottom w:w="0" w:type="dxa"/>
          <w:right w:w="0" w:type="dxa"/>
        </w:tblCellMar>
      </w:tblPr>
      <w:tr>
        <w:trPr>
          <w:trHeight w:val="126"/>
        </w:trPr>
        <w:tc>
          <w:tcPr>
            <w:tcW w:w="13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Facilities</w:t>
            </w:r>
          </w:p>
        </w:tc>
        <w:tc>
          <w:tcPr>
            <w:tcW w:w="2040" w:type="dxa"/>
            <w:vAlign w:val="bottom"/>
            <w:vMerge w:val="restart"/>
          </w:tcPr>
          <w:p>
            <w:pPr>
              <w:ind w:left="860"/>
              <w:spacing w:after="0"/>
              <w:rPr>
                <w:sz w:val="20"/>
                <w:szCs w:val="20"/>
                <w:color w:val="auto"/>
              </w:rPr>
            </w:pPr>
            <w:r>
              <w:rPr>
                <w:rFonts w:ascii="Times New Roman" w:cs="Times New Roman" w:eastAsia="Times New Roman" w:hAnsi="Times New Roman"/>
                <w:sz w:val="11"/>
                <w:szCs w:val="11"/>
                <w:b w:val="1"/>
                <w:bCs w:val="1"/>
                <w:color w:val="auto"/>
              </w:rPr>
              <w:t>Percentage Ownership</w:t>
            </w:r>
          </w:p>
        </w:tc>
        <w:tc>
          <w:tcPr>
            <w:tcW w:w="1960" w:type="dxa"/>
            <w:vAlign w:val="bottom"/>
          </w:tcPr>
          <w:p>
            <w:pPr>
              <w:jc w:val="center"/>
              <w:ind w:right="771"/>
              <w:spacing w:after="0"/>
              <w:rPr>
                <w:sz w:val="20"/>
                <w:szCs w:val="20"/>
                <w:color w:val="auto"/>
              </w:rPr>
            </w:pPr>
            <w:r>
              <w:rPr>
                <w:rFonts w:ascii="Times New Roman" w:cs="Times New Roman" w:eastAsia="Times New Roman" w:hAnsi="Times New Roman"/>
                <w:sz w:val="11"/>
                <w:szCs w:val="11"/>
                <w:b w:val="1"/>
                <w:bCs w:val="1"/>
                <w:color w:val="auto"/>
              </w:rPr>
              <w:t>Net Capacity (MW)</w:t>
            </w:r>
          </w:p>
        </w:tc>
        <w:tc>
          <w:tcPr>
            <w:tcW w:w="2580" w:type="dxa"/>
            <w:vAlign w:val="bottom"/>
            <w:vMerge w:val="restart"/>
          </w:tcPr>
          <w:p>
            <w:pPr>
              <w:ind w:left="900"/>
              <w:spacing w:after="0"/>
              <w:rPr>
                <w:sz w:val="20"/>
                <w:szCs w:val="20"/>
                <w:color w:val="auto"/>
              </w:rPr>
            </w:pPr>
            <w:r>
              <w:rPr>
                <w:rFonts w:ascii="Times New Roman" w:cs="Times New Roman" w:eastAsia="Times New Roman" w:hAnsi="Times New Roman"/>
                <w:sz w:val="11"/>
                <w:szCs w:val="11"/>
                <w:b w:val="1"/>
                <w:bCs w:val="1"/>
                <w:color w:val="auto"/>
              </w:rPr>
              <w:t>Counterparty</w:t>
            </w:r>
          </w:p>
        </w:tc>
        <w:tc>
          <w:tcPr>
            <w:tcW w:w="1520" w:type="dxa"/>
            <w:vAlign w:val="bottom"/>
            <w:vMerge w:val="restart"/>
          </w:tcPr>
          <w:p>
            <w:pPr>
              <w:ind w:left="1000"/>
              <w:spacing w:after="0"/>
              <w:rPr>
                <w:sz w:val="20"/>
                <w:szCs w:val="20"/>
                <w:color w:val="auto"/>
              </w:rPr>
            </w:pPr>
            <w:r>
              <w:rPr>
                <w:rFonts w:ascii="Times New Roman" w:cs="Times New Roman" w:eastAsia="Times New Roman" w:hAnsi="Times New Roman"/>
                <w:sz w:val="11"/>
                <w:szCs w:val="11"/>
                <w:b w:val="1"/>
                <w:bCs w:val="1"/>
                <w:color w:val="auto"/>
                <w:w w:val="98"/>
              </w:rPr>
              <w:t>Expiration</w:t>
            </w:r>
          </w:p>
        </w:tc>
        <w:tc>
          <w:tcPr>
            <w:tcW w:w="0" w:type="dxa"/>
            <w:vAlign w:val="bottom"/>
          </w:tcPr>
          <w:p>
            <w:pPr>
              <w:spacing w:after="0"/>
              <w:rPr>
                <w:sz w:val="1"/>
                <w:szCs w:val="1"/>
                <w:color w:val="auto"/>
              </w:rPr>
            </w:pPr>
          </w:p>
        </w:tc>
      </w:tr>
      <w:tr>
        <w:trPr>
          <w:trHeight w:val="108"/>
        </w:trPr>
        <w:tc>
          <w:tcPr>
            <w:tcW w:w="1300" w:type="dxa"/>
            <w:vAlign w:val="bottom"/>
            <w:vMerge w:val="continue"/>
          </w:tcPr>
          <w:p>
            <w:pPr>
              <w:spacing w:after="0"/>
              <w:rPr>
                <w:sz w:val="9"/>
                <w:szCs w:val="9"/>
                <w:color w:val="auto"/>
              </w:rPr>
            </w:pPr>
          </w:p>
        </w:tc>
        <w:tc>
          <w:tcPr>
            <w:tcW w:w="2040" w:type="dxa"/>
            <w:vAlign w:val="bottom"/>
            <w:vMerge w:val="continue"/>
          </w:tcPr>
          <w:p>
            <w:pPr>
              <w:spacing w:after="0"/>
              <w:rPr>
                <w:sz w:val="9"/>
                <w:szCs w:val="9"/>
                <w:color w:val="auto"/>
              </w:rPr>
            </w:pPr>
          </w:p>
        </w:tc>
        <w:tc>
          <w:tcPr>
            <w:tcW w:w="1960" w:type="dxa"/>
            <w:vAlign w:val="bottom"/>
          </w:tcPr>
          <w:p>
            <w:pPr>
              <w:jc w:val="center"/>
              <w:ind w:right="771"/>
              <w:spacing w:after="0"/>
              <w:rPr>
                <w:sz w:val="20"/>
                <w:szCs w:val="20"/>
                <w:color w:val="auto"/>
              </w:rPr>
            </w:pPr>
            <w:r>
              <w:rPr>
                <w:rFonts w:ascii="Times New Roman" w:cs="Times New Roman" w:eastAsia="Times New Roman" w:hAnsi="Times New Roman"/>
                <w:sz w:val="8"/>
                <w:szCs w:val="8"/>
                <w:b w:val="1"/>
                <w:bCs w:val="1"/>
                <w:color w:val="auto"/>
              </w:rPr>
              <w:t>(a)</w:t>
            </w:r>
          </w:p>
        </w:tc>
        <w:tc>
          <w:tcPr>
            <w:tcW w:w="258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61530" cy="1143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Conventional</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8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Carlsbad</w:t>
            </w:r>
          </w:p>
        </w:tc>
        <w:tc>
          <w:tcPr>
            <w:tcW w:w="214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527</w:t>
            </w:r>
          </w:p>
        </w:tc>
        <w:tc>
          <w:tcPr>
            <w:tcW w:w="2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San Diego Gas &amp; Electric</w:t>
            </w:r>
          </w:p>
        </w:tc>
        <w:tc>
          <w:tcPr>
            <w:tcW w:w="2340" w:type="dxa"/>
            <w:vAlign w:val="bottom"/>
          </w:tcPr>
          <w:p>
            <w:pPr>
              <w:jc w:val="center"/>
              <w:ind w:left="1223"/>
              <w:spacing w:after="0"/>
              <w:rPr>
                <w:sz w:val="20"/>
                <w:szCs w:val="20"/>
                <w:color w:val="auto"/>
              </w:rPr>
            </w:pPr>
            <w:r>
              <w:rPr>
                <w:rFonts w:ascii="Times New Roman" w:cs="Times New Roman" w:eastAsia="Times New Roman" w:hAnsi="Times New Roman"/>
                <w:sz w:val="11"/>
                <w:szCs w:val="11"/>
                <w:color w:val="auto"/>
                <w:w w:val="99"/>
              </w:rPr>
              <w:t>2038</w:t>
            </w:r>
          </w:p>
        </w:tc>
      </w:tr>
      <w:tr>
        <w:trPr>
          <w:trHeight w:val="168"/>
        </w:trPr>
        <w:tc>
          <w:tcPr>
            <w:tcW w:w="2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El Segundo</w:t>
            </w:r>
          </w:p>
        </w:tc>
        <w:tc>
          <w:tcPr>
            <w:tcW w:w="21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550</w:t>
            </w:r>
          </w:p>
        </w:tc>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2340" w:type="dxa"/>
            <w:vAlign w:val="bottom"/>
            <w:shd w:val="clear" w:color="auto" w:fill="CCEEFF"/>
          </w:tcPr>
          <w:p>
            <w:pPr>
              <w:jc w:val="center"/>
              <w:ind w:left="1223"/>
              <w:spacing w:after="0"/>
              <w:rPr>
                <w:sz w:val="20"/>
                <w:szCs w:val="20"/>
                <w:color w:val="auto"/>
              </w:rPr>
            </w:pPr>
            <w:r>
              <w:rPr>
                <w:rFonts w:ascii="Times New Roman" w:cs="Times New Roman" w:eastAsia="Times New Roman" w:hAnsi="Times New Roman"/>
                <w:sz w:val="11"/>
                <w:szCs w:val="11"/>
                <w:color w:val="auto"/>
              </w:rPr>
              <w:t>2026 - 2027</w:t>
            </w:r>
          </w:p>
        </w:tc>
      </w:tr>
      <w:tr>
        <w:trPr>
          <w:trHeight w:val="153"/>
        </w:trPr>
        <w:tc>
          <w:tcPr>
            <w:tcW w:w="28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GenConn Devon</w:t>
            </w:r>
          </w:p>
        </w:tc>
        <w:tc>
          <w:tcPr>
            <w:tcW w:w="214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50 %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2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Connecticut Light &amp; Power</w:t>
            </w:r>
          </w:p>
        </w:tc>
        <w:tc>
          <w:tcPr>
            <w:tcW w:w="2340" w:type="dxa"/>
            <w:vAlign w:val="bottom"/>
          </w:tcPr>
          <w:p>
            <w:pPr>
              <w:jc w:val="center"/>
              <w:ind w:left="1223"/>
              <w:spacing w:after="0"/>
              <w:rPr>
                <w:sz w:val="20"/>
                <w:szCs w:val="20"/>
                <w:color w:val="auto"/>
              </w:rPr>
            </w:pPr>
            <w:r>
              <w:rPr>
                <w:rFonts w:ascii="Times New Roman" w:cs="Times New Roman" w:eastAsia="Times New Roman" w:hAnsi="Times New Roman"/>
                <w:sz w:val="11"/>
                <w:szCs w:val="11"/>
                <w:color w:val="auto"/>
                <w:w w:val="99"/>
              </w:rPr>
              <w:t>2040</w:t>
            </w:r>
          </w:p>
        </w:tc>
      </w:tr>
      <w:tr>
        <w:trPr>
          <w:trHeight w:val="165"/>
        </w:trPr>
        <w:tc>
          <w:tcPr>
            <w:tcW w:w="2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GenConn Middletown</w:t>
            </w:r>
          </w:p>
        </w:tc>
        <w:tc>
          <w:tcPr>
            <w:tcW w:w="21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50 %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Connecticut Light &amp; Power</w:t>
            </w:r>
          </w:p>
        </w:tc>
        <w:tc>
          <w:tcPr>
            <w:tcW w:w="2340" w:type="dxa"/>
            <w:vAlign w:val="bottom"/>
            <w:shd w:val="clear" w:color="auto" w:fill="CCEEFF"/>
          </w:tcPr>
          <w:p>
            <w:pPr>
              <w:jc w:val="center"/>
              <w:ind w:left="1223"/>
              <w:spacing w:after="0"/>
              <w:rPr>
                <w:sz w:val="20"/>
                <w:szCs w:val="20"/>
                <w:color w:val="auto"/>
              </w:rPr>
            </w:pPr>
            <w:r>
              <w:rPr>
                <w:rFonts w:ascii="Times New Roman" w:cs="Times New Roman" w:eastAsia="Times New Roman" w:hAnsi="Times New Roman"/>
                <w:sz w:val="11"/>
                <w:szCs w:val="11"/>
                <w:color w:val="auto"/>
                <w:w w:val="99"/>
              </w:rPr>
              <w:t>2041</w:t>
            </w:r>
          </w:p>
        </w:tc>
      </w:tr>
      <w:tr>
        <w:trPr>
          <w:trHeight w:val="153"/>
        </w:trPr>
        <w:tc>
          <w:tcPr>
            <w:tcW w:w="28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Marsh Landing</w:t>
            </w:r>
          </w:p>
        </w:tc>
        <w:tc>
          <w:tcPr>
            <w:tcW w:w="214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720</w:t>
            </w:r>
          </w:p>
        </w:tc>
        <w:tc>
          <w:tcPr>
            <w:tcW w:w="2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2340" w:type="dxa"/>
            <w:vAlign w:val="bottom"/>
          </w:tcPr>
          <w:p>
            <w:pPr>
              <w:jc w:val="center"/>
              <w:ind w:left="1223"/>
              <w:spacing w:after="0"/>
              <w:rPr>
                <w:sz w:val="20"/>
                <w:szCs w:val="20"/>
                <w:color w:val="auto"/>
              </w:rPr>
            </w:pPr>
            <w:r>
              <w:rPr>
                <w:rFonts w:ascii="Times New Roman" w:cs="Times New Roman" w:eastAsia="Times New Roman" w:hAnsi="Times New Roman"/>
                <w:sz w:val="11"/>
                <w:szCs w:val="11"/>
                <w:color w:val="auto"/>
              </w:rPr>
              <w:t>2026 - 2030</w:t>
            </w:r>
          </w:p>
        </w:tc>
      </w:tr>
      <w:tr>
        <w:trPr>
          <w:trHeight w:val="159"/>
        </w:trPr>
        <w:tc>
          <w:tcPr>
            <w:tcW w:w="2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Walnut Creek</w:t>
            </w:r>
          </w:p>
        </w:tc>
        <w:tc>
          <w:tcPr>
            <w:tcW w:w="21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485</w:t>
            </w:r>
          </w:p>
        </w:tc>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2340" w:type="dxa"/>
            <w:vAlign w:val="bottom"/>
            <w:shd w:val="clear" w:color="auto" w:fill="CCEEFF"/>
          </w:tcPr>
          <w:p>
            <w:pPr>
              <w:jc w:val="center"/>
              <w:ind w:left="1223"/>
              <w:spacing w:after="0"/>
              <w:rPr>
                <w:sz w:val="20"/>
                <w:szCs w:val="20"/>
                <w:color w:val="auto"/>
              </w:rPr>
            </w:pPr>
            <w:r>
              <w:rPr>
                <w:rFonts w:ascii="Times New Roman" w:cs="Times New Roman" w:eastAsia="Times New Roman" w:hAnsi="Times New Roman"/>
                <w:sz w:val="11"/>
                <w:szCs w:val="11"/>
                <w:color w:val="auto"/>
                <w:w w:val="99"/>
              </w:rPr>
              <w:t>2026</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960" w:type="dxa"/>
            <w:vAlign w:val="bottom"/>
          </w:tcPr>
          <w:p>
            <w:pPr>
              <w:ind w:left="360"/>
              <w:spacing w:after="0"/>
              <w:rPr>
                <w:sz w:val="20"/>
                <w:szCs w:val="20"/>
                <w:color w:val="auto"/>
              </w:rPr>
            </w:pPr>
            <w:r>
              <w:rPr>
                <w:rFonts w:ascii="Times New Roman" w:cs="Times New Roman" w:eastAsia="Times New Roman" w:hAnsi="Times New Roman"/>
                <w:sz w:val="13"/>
                <w:szCs w:val="13"/>
                <w:b w:val="1"/>
                <w:bCs w:val="1"/>
                <w:i w:val="1"/>
                <w:iCs w:val="1"/>
                <w:color w:val="auto"/>
              </w:rPr>
              <w:t>Total Conventional</w:t>
            </w:r>
          </w:p>
        </w:tc>
        <w:tc>
          <w:tcPr>
            <w:tcW w:w="2340" w:type="dxa"/>
            <w:vAlign w:val="bottom"/>
          </w:tcPr>
          <w:p>
            <w:pPr>
              <w:spacing w:after="0"/>
              <w:rPr>
                <w:sz w:val="13"/>
                <w:szCs w:val="13"/>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2,472</w:t>
            </w:r>
          </w:p>
        </w:tc>
        <w:tc>
          <w:tcPr>
            <w:tcW w:w="288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7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Utility Scale Solar</w:t>
            </w:r>
          </w:p>
        </w:tc>
        <w:tc>
          <w:tcPr>
            <w:tcW w:w="2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r>
      <w:tr>
        <w:trPr>
          <w:trHeight w:val="153"/>
        </w:trPr>
        <w:tc>
          <w:tcPr>
            <w:tcW w:w="29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Agua Caliente</w:t>
            </w:r>
          </w:p>
        </w:tc>
        <w:tc>
          <w:tcPr>
            <w:tcW w:w="23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51 %</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148</w:t>
            </w:r>
          </w:p>
        </w:tc>
        <w:tc>
          <w:tcPr>
            <w:tcW w:w="2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PG&amp;E</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2039</w:t>
            </w:r>
          </w:p>
        </w:tc>
      </w:tr>
      <w:tr>
        <w:trPr>
          <w:trHeight w:val="165"/>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Alpine</w:t>
            </w:r>
          </w:p>
        </w:tc>
        <w:tc>
          <w:tcPr>
            <w:tcW w:w="23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100 %</w:t>
            </w: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66</w:t>
            </w:r>
          </w:p>
        </w:tc>
        <w:tc>
          <w:tcPr>
            <w:tcW w:w="2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PG&amp;E</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2033</w:t>
            </w:r>
          </w:p>
        </w:tc>
      </w:tr>
      <w:tr>
        <w:trPr>
          <w:trHeight w:val="159"/>
        </w:trPr>
        <w:tc>
          <w:tcPr>
            <w:tcW w:w="2960" w:type="dxa"/>
            <w:vAlign w:val="bottom"/>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Arica </w:t>
            </w:r>
            <w:r>
              <w:rPr>
                <w:rFonts w:ascii="Times New Roman" w:cs="Times New Roman" w:eastAsia="Times New Roman" w:hAnsi="Times New Roman"/>
                <w:sz w:val="16"/>
                <w:szCs w:val="16"/>
                <w:color w:val="auto"/>
                <w:vertAlign w:val="superscript"/>
              </w:rPr>
              <w:t>(b)</w:t>
            </w:r>
          </w:p>
        </w:tc>
        <w:tc>
          <w:tcPr>
            <w:tcW w:w="23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40 %</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40</w:t>
            </w:r>
          </w:p>
        </w:tc>
        <w:tc>
          <w:tcPr>
            <w:tcW w:w="2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Various</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2041</w:t>
            </w:r>
          </w:p>
        </w:tc>
      </w:tr>
      <w:tr>
        <w:trPr>
          <w:trHeight w:val="15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Avenal</w:t>
            </w:r>
          </w:p>
        </w:tc>
        <w:tc>
          <w:tcPr>
            <w:tcW w:w="23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50 %</w:t>
            </w: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23</w:t>
            </w:r>
          </w:p>
        </w:tc>
        <w:tc>
          <w:tcPr>
            <w:tcW w:w="2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PG&amp;E</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2031</w:t>
            </w:r>
          </w:p>
        </w:tc>
      </w:tr>
      <w:tr>
        <w:trPr>
          <w:trHeight w:val="153"/>
        </w:trPr>
        <w:tc>
          <w:tcPr>
            <w:tcW w:w="29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Avra Valley</w:t>
            </w:r>
          </w:p>
        </w:tc>
        <w:tc>
          <w:tcPr>
            <w:tcW w:w="23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100 %</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27</w:t>
            </w:r>
          </w:p>
        </w:tc>
        <w:tc>
          <w:tcPr>
            <w:tcW w:w="2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Tucson Electric Power</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2032</w:t>
            </w:r>
          </w:p>
        </w:tc>
      </w:tr>
      <w:tr>
        <w:trPr>
          <w:trHeight w:val="165"/>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Blythe</w:t>
            </w:r>
          </w:p>
        </w:tc>
        <w:tc>
          <w:tcPr>
            <w:tcW w:w="23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100 %</w:t>
            </w: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21</w:t>
            </w:r>
          </w:p>
        </w:tc>
        <w:tc>
          <w:tcPr>
            <w:tcW w:w="2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SCE</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2029</w:t>
            </w:r>
          </w:p>
        </w:tc>
      </w:tr>
      <w:tr>
        <w:trPr>
          <w:trHeight w:val="153"/>
        </w:trPr>
        <w:tc>
          <w:tcPr>
            <w:tcW w:w="29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Borrego</w:t>
            </w:r>
          </w:p>
        </w:tc>
        <w:tc>
          <w:tcPr>
            <w:tcW w:w="23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100 %</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26</w:t>
            </w:r>
          </w:p>
        </w:tc>
        <w:tc>
          <w:tcPr>
            <w:tcW w:w="2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San Diego Gas and Electric</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2038</w:t>
            </w:r>
          </w:p>
        </w:tc>
      </w:tr>
      <w:tr>
        <w:trPr>
          <w:trHeight w:val="187"/>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Buckthorn Solar </w:t>
            </w:r>
            <w:r>
              <w:rPr>
                <w:rFonts w:ascii="Times New Roman" w:cs="Times New Roman" w:eastAsia="Times New Roman" w:hAnsi="Times New Roman"/>
                <w:sz w:val="16"/>
                <w:szCs w:val="16"/>
                <w:color w:val="auto"/>
                <w:vertAlign w:val="superscript"/>
              </w:rPr>
              <w:t>(b)</w:t>
            </w:r>
          </w:p>
        </w:tc>
        <w:tc>
          <w:tcPr>
            <w:tcW w:w="23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100 %</w:t>
            </w: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150</w:t>
            </w:r>
          </w:p>
        </w:tc>
        <w:tc>
          <w:tcPr>
            <w:tcW w:w="2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City of Georgetown, TX</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2043</w:t>
            </w:r>
          </w:p>
        </w:tc>
      </w:tr>
      <w:tr>
        <w:trPr>
          <w:trHeight w:val="153"/>
        </w:trPr>
        <w:tc>
          <w:tcPr>
            <w:tcW w:w="29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CVSR</w:t>
            </w:r>
          </w:p>
        </w:tc>
        <w:tc>
          <w:tcPr>
            <w:tcW w:w="23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100 %</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250</w:t>
            </w:r>
          </w:p>
        </w:tc>
        <w:tc>
          <w:tcPr>
            <w:tcW w:w="2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PG&amp;E</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2038</w:t>
            </w:r>
          </w:p>
        </w:tc>
      </w:tr>
      <w:tr>
        <w:trPr>
          <w:trHeight w:val="165"/>
        </w:trPr>
        <w:tc>
          <w:tcPr>
            <w:tcW w:w="296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1"/>
                <w:szCs w:val="11"/>
                <w:color w:val="auto"/>
              </w:rPr>
              <w:t xml:space="preserve">Daggett 2 </w:t>
            </w:r>
            <w:r>
              <w:rPr>
                <w:rFonts w:ascii="Times New Roman" w:cs="Times New Roman" w:eastAsia="Times New Roman" w:hAnsi="Times New Roman"/>
                <w:sz w:val="16"/>
                <w:szCs w:val="16"/>
                <w:color w:val="auto"/>
                <w:vertAlign w:val="superscript"/>
              </w:rPr>
              <w:t>(b)</w:t>
            </w:r>
          </w:p>
        </w:tc>
        <w:tc>
          <w:tcPr>
            <w:tcW w:w="23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25 %</w:t>
            </w: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46</w:t>
            </w:r>
          </w:p>
        </w:tc>
        <w:tc>
          <w:tcPr>
            <w:tcW w:w="2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Various</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2038</w:t>
            </w:r>
          </w:p>
        </w:tc>
      </w:tr>
      <w:tr>
        <w:trPr>
          <w:trHeight w:val="159"/>
        </w:trPr>
        <w:tc>
          <w:tcPr>
            <w:tcW w:w="2960" w:type="dxa"/>
            <w:vAlign w:val="bottom"/>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Daggett 3 </w:t>
            </w:r>
            <w:r>
              <w:rPr>
                <w:rFonts w:ascii="Times New Roman" w:cs="Times New Roman" w:eastAsia="Times New Roman" w:hAnsi="Times New Roman"/>
                <w:sz w:val="16"/>
                <w:szCs w:val="16"/>
                <w:color w:val="auto"/>
                <w:vertAlign w:val="superscript"/>
              </w:rPr>
              <w:t>(b)</w:t>
            </w:r>
          </w:p>
        </w:tc>
        <w:tc>
          <w:tcPr>
            <w:tcW w:w="23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25 %</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75</w:t>
            </w:r>
          </w:p>
        </w:tc>
        <w:tc>
          <w:tcPr>
            <w:tcW w:w="2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Various</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rPr>
              <w:t>2033 - 2038</w:t>
            </w:r>
          </w:p>
        </w:tc>
      </w:tr>
      <w:tr>
        <w:trPr>
          <w:trHeight w:val="15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Desert Sunlight 250</w:t>
            </w:r>
          </w:p>
        </w:tc>
        <w:tc>
          <w:tcPr>
            <w:tcW w:w="23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25 %</w:t>
            </w: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63</w:t>
            </w:r>
          </w:p>
        </w:tc>
        <w:tc>
          <w:tcPr>
            <w:tcW w:w="2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SCE</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2034</w:t>
            </w:r>
          </w:p>
        </w:tc>
      </w:tr>
      <w:tr>
        <w:trPr>
          <w:trHeight w:val="153"/>
        </w:trPr>
        <w:tc>
          <w:tcPr>
            <w:tcW w:w="29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Desert Sunlight 300</w:t>
            </w:r>
          </w:p>
        </w:tc>
        <w:tc>
          <w:tcPr>
            <w:tcW w:w="23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25 %</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75</w:t>
            </w:r>
          </w:p>
        </w:tc>
        <w:tc>
          <w:tcPr>
            <w:tcW w:w="2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PG&amp;E</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2039</w:t>
            </w:r>
          </w:p>
        </w:tc>
      </w:tr>
      <w:tr>
        <w:trPr>
          <w:trHeight w:val="165"/>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Kansas South</w:t>
            </w:r>
          </w:p>
        </w:tc>
        <w:tc>
          <w:tcPr>
            <w:tcW w:w="23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100 %</w:t>
            </w: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20</w:t>
            </w:r>
          </w:p>
        </w:tc>
        <w:tc>
          <w:tcPr>
            <w:tcW w:w="2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PG&amp;E</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2033</w:t>
            </w:r>
          </w:p>
        </w:tc>
      </w:tr>
      <w:tr>
        <w:trPr>
          <w:trHeight w:val="159"/>
        </w:trPr>
        <w:tc>
          <w:tcPr>
            <w:tcW w:w="2960" w:type="dxa"/>
            <w:vAlign w:val="bottom"/>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Mililani I </w:t>
            </w:r>
            <w:r>
              <w:rPr>
                <w:rFonts w:ascii="Times New Roman" w:cs="Times New Roman" w:eastAsia="Times New Roman" w:hAnsi="Times New Roman"/>
                <w:sz w:val="16"/>
                <w:szCs w:val="16"/>
                <w:color w:val="auto"/>
                <w:vertAlign w:val="superscript"/>
              </w:rPr>
              <w:t>(b)</w:t>
            </w:r>
          </w:p>
        </w:tc>
        <w:tc>
          <w:tcPr>
            <w:tcW w:w="23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50 %</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20</w:t>
            </w:r>
          </w:p>
        </w:tc>
        <w:tc>
          <w:tcPr>
            <w:tcW w:w="2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Hawaiian Electric Company</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2042</w:t>
            </w:r>
          </w:p>
        </w:tc>
      </w:tr>
      <w:tr>
        <w:trPr>
          <w:trHeight w:val="159"/>
        </w:trPr>
        <w:tc>
          <w:tcPr>
            <w:tcW w:w="2960" w:type="dxa"/>
            <w:vAlign w:val="bottom"/>
            <w:shd w:val="clear" w:color="auto" w:fill="CCEEFF"/>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Oahu Solar </w:t>
            </w:r>
            <w:r>
              <w:rPr>
                <w:rFonts w:ascii="Times New Roman" w:cs="Times New Roman" w:eastAsia="Times New Roman" w:hAnsi="Times New Roman"/>
                <w:sz w:val="16"/>
                <w:szCs w:val="16"/>
                <w:color w:val="auto"/>
                <w:vertAlign w:val="superscript"/>
              </w:rPr>
              <w:t>(b)</w:t>
            </w:r>
          </w:p>
        </w:tc>
        <w:tc>
          <w:tcPr>
            <w:tcW w:w="23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100 %</w:t>
            </w: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61</w:t>
            </w:r>
          </w:p>
        </w:tc>
        <w:tc>
          <w:tcPr>
            <w:tcW w:w="2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Hawaiian Electric Company</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2041</w:t>
            </w:r>
          </w:p>
        </w:tc>
      </w:tr>
      <w:tr>
        <w:trPr>
          <w:trHeight w:val="153"/>
        </w:trPr>
        <w:tc>
          <w:tcPr>
            <w:tcW w:w="29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Roadrunner</w:t>
            </w:r>
          </w:p>
        </w:tc>
        <w:tc>
          <w:tcPr>
            <w:tcW w:w="23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100 %</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20</w:t>
            </w:r>
          </w:p>
        </w:tc>
        <w:tc>
          <w:tcPr>
            <w:tcW w:w="2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El Paso Electric</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2031</w:t>
            </w:r>
          </w:p>
        </w:tc>
      </w:tr>
      <w:tr>
        <w:trPr>
          <w:trHeight w:val="187"/>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Rosamond Central </w:t>
            </w:r>
            <w:r>
              <w:rPr>
                <w:rFonts w:ascii="Times New Roman" w:cs="Times New Roman" w:eastAsia="Times New Roman" w:hAnsi="Times New Roman"/>
                <w:sz w:val="16"/>
                <w:szCs w:val="16"/>
                <w:color w:val="auto"/>
                <w:vertAlign w:val="superscript"/>
              </w:rPr>
              <w:t>(b)</w:t>
            </w:r>
          </w:p>
        </w:tc>
        <w:tc>
          <w:tcPr>
            <w:tcW w:w="23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50 %</w:t>
            </w: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96</w:t>
            </w:r>
          </w:p>
        </w:tc>
        <w:tc>
          <w:tcPr>
            <w:tcW w:w="2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Various</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rPr>
              <w:t>2035 - 2047</w:t>
            </w:r>
          </w:p>
        </w:tc>
      </w:tr>
      <w:tr>
        <w:trPr>
          <w:trHeight w:val="147"/>
        </w:trPr>
        <w:tc>
          <w:tcPr>
            <w:tcW w:w="29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TA High Desert</w:t>
            </w:r>
          </w:p>
        </w:tc>
        <w:tc>
          <w:tcPr>
            <w:tcW w:w="23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100 %</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20</w:t>
            </w:r>
          </w:p>
        </w:tc>
        <w:tc>
          <w:tcPr>
            <w:tcW w:w="2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SCE</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2033</w:t>
            </w:r>
          </w:p>
        </w:tc>
      </w:tr>
    </w:tbl>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26"/>
        </w:trPr>
        <w:tc>
          <w:tcPr>
            <w:tcW w:w="3720" w:type="dxa"/>
            <w:vAlign w:val="bottom"/>
            <w:gridSpan w:val="2"/>
            <w:vMerge w:val="restart"/>
          </w:tcPr>
          <w:p>
            <w:pPr>
              <w:ind w:left="1600"/>
              <w:spacing w:after="0"/>
              <w:rPr>
                <w:sz w:val="20"/>
                <w:szCs w:val="20"/>
                <w:color w:val="auto"/>
              </w:rPr>
            </w:pPr>
            <w:r>
              <w:rPr>
                <w:rFonts w:ascii="Times New Roman" w:cs="Times New Roman" w:eastAsia="Times New Roman" w:hAnsi="Times New Roman"/>
                <w:sz w:val="11"/>
                <w:szCs w:val="11"/>
                <w:b w:val="1"/>
                <w:bCs w:val="1"/>
                <w:color w:val="auto"/>
              </w:rPr>
              <w:t>Facilities</w:t>
            </w: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Percentage Ownership</w:t>
            </w:r>
          </w:p>
        </w:tc>
        <w:tc>
          <w:tcPr>
            <w:tcW w:w="106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Net Capacity (MW)</w:t>
            </w:r>
          </w:p>
        </w:tc>
        <w:tc>
          <w:tcPr>
            <w:tcW w:w="100" w:type="dxa"/>
            <w:vAlign w:val="bottom"/>
          </w:tcPr>
          <w:p>
            <w:pPr>
              <w:spacing w:after="0"/>
              <w:rPr>
                <w:sz w:val="11"/>
                <w:szCs w:val="11"/>
                <w:color w:val="auto"/>
              </w:rPr>
            </w:pPr>
          </w:p>
        </w:tc>
        <w:tc>
          <w:tcPr>
            <w:tcW w:w="4080" w:type="dxa"/>
            <w:vAlign w:val="bottom"/>
            <w:gridSpan w:val="2"/>
            <w:vMerge w:val="restart"/>
          </w:tcPr>
          <w:p>
            <w:pPr>
              <w:ind w:left="1660"/>
              <w:spacing w:after="0"/>
              <w:rPr>
                <w:sz w:val="20"/>
                <w:szCs w:val="20"/>
                <w:color w:val="auto"/>
              </w:rPr>
            </w:pPr>
            <w:r>
              <w:rPr>
                <w:rFonts w:ascii="Times New Roman" w:cs="Times New Roman" w:eastAsia="Times New Roman" w:hAnsi="Times New Roman"/>
                <w:sz w:val="11"/>
                <w:szCs w:val="11"/>
                <w:b w:val="1"/>
                <w:bCs w:val="1"/>
                <w:color w:val="auto"/>
              </w:rPr>
              <w:t>Counterparty</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0" w:type="dxa"/>
            <w:vAlign w:val="bottom"/>
          </w:tcPr>
          <w:p>
            <w:pPr>
              <w:spacing w:after="0"/>
              <w:rPr>
                <w:sz w:val="1"/>
                <w:szCs w:val="1"/>
                <w:color w:val="auto"/>
              </w:rPr>
            </w:pPr>
          </w:p>
        </w:tc>
      </w:tr>
      <w:tr>
        <w:trPr>
          <w:trHeight w:val="118"/>
        </w:trPr>
        <w:tc>
          <w:tcPr>
            <w:tcW w:w="3720" w:type="dxa"/>
            <w:vAlign w:val="bottom"/>
            <w:gridSpan w:val="2"/>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060" w:type="dxa"/>
            <w:vAlign w:val="bottom"/>
          </w:tcPr>
          <w:p>
            <w:pPr>
              <w:jc w:val="right"/>
              <w:ind w:right="426"/>
              <w:spacing w:after="0"/>
              <w:rPr>
                <w:sz w:val="20"/>
                <w:szCs w:val="20"/>
                <w:color w:val="auto"/>
              </w:rPr>
            </w:pPr>
            <w:r>
              <w:rPr>
                <w:rFonts w:ascii="Times New Roman" w:cs="Times New Roman" w:eastAsia="Times New Roman" w:hAnsi="Times New Roman"/>
                <w:sz w:val="8"/>
                <w:szCs w:val="8"/>
                <w:b w:val="1"/>
                <w:bCs w:val="1"/>
                <w:color w:val="auto"/>
              </w:rPr>
              <w:t>(a)</w:t>
            </w:r>
          </w:p>
        </w:tc>
        <w:tc>
          <w:tcPr>
            <w:tcW w:w="100" w:type="dxa"/>
            <w:vAlign w:val="bottom"/>
          </w:tcPr>
          <w:p>
            <w:pPr>
              <w:spacing w:after="0"/>
              <w:rPr>
                <w:sz w:val="10"/>
                <w:szCs w:val="10"/>
                <w:color w:val="auto"/>
              </w:rPr>
            </w:pPr>
          </w:p>
        </w:tc>
        <w:tc>
          <w:tcPr>
            <w:tcW w:w="4080" w:type="dxa"/>
            <w:vAlign w:val="bottom"/>
            <w:gridSpan w:val="2"/>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620" w:type="dxa"/>
            <w:vAlign w:val="bottom"/>
            <w:tcBorders>
              <w:top w:val="single" w:sz="8" w:color="auto"/>
            </w:tcBorders>
            <w:shd w:val="clear" w:color="auto" w:fill="CCEEFF"/>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Texas Solar Nova 1 </w:t>
            </w:r>
            <w:r>
              <w:rPr>
                <w:rFonts w:ascii="Times New Roman" w:cs="Times New Roman" w:eastAsia="Times New Roman" w:hAnsi="Times New Roman"/>
                <w:sz w:val="16"/>
                <w:szCs w:val="16"/>
                <w:color w:val="auto"/>
                <w:vertAlign w:val="superscript"/>
              </w:rPr>
              <w:t>(b)</w:t>
            </w: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100" w:type="dxa"/>
            <w:vAlign w:val="bottom"/>
            <w:tcBorders>
              <w:top w:val="single" w:sz="8" w:color="CCEEFF"/>
            </w:tcBorders>
            <w:shd w:val="clear" w:color="auto" w:fill="CCEEFF"/>
          </w:tcPr>
          <w:p>
            <w:pPr>
              <w:spacing w:after="0"/>
              <w:rPr>
                <w:sz w:val="13"/>
                <w:szCs w:val="13"/>
                <w:color w:val="auto"/>
              </w:rPr>
            </w:pPr>
          </w:p>
        </w:tc>
        <w:tc>
          <w:tcPr>
            <w:tcW w:w="3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Verizon</w:t>
            </w:r>
          </w:p>
        </w:tc>
        <w:tc>
          <w:tcPr>
            <w:tcW w:w="1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2042</w:t>
            </w:r>
          </w:p>
        </w:tc>
        <w:tc>
          <w:tcPr>
            <w:tcW w:w="0" w:type="dxa"/>
            <w:vAlign w:val="bottom"/>
          </w:tcPr>
          <w:p>
            <w:pPr>
              <w:spacing w:after="0"/>
              <w:rPr>
                <w:sz w:val="1"/>
                <w:szCs w:val="1"/>
                <w:color w:val="auto"/>
              </w:rPr>
            </w:pPr>
          </w:p>
        </w:tc>
      </w:tr>
      <w:tr>
        <w:trPr>
          <w:trHeight w:val="159"/>
        </w:trPr>
        <w:tc>
          <w:tcPr>
            <w:tcW w:w="3720" w:type="dxa"/>
            <w:vAlign w:val="bottom"/>
            <w:gridSpan w:val="2"/>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Texas Solar Nova 2 </w:t>
            </w:r>
            <w:r>
              <w:rPr>
                <w:rFonts w:ascii="Times New Roman" w:cs="Times New Roman" w:eastAsia="Times New Roman" w:hAnsi="Times New Roman"/>
                <w:sz w:val="16"/>
                <w:szCs w:val="16"/>
                <w:color w:val="auto"/>
                <w:vertAlign w:val="superscript"/>
              </w:rPr>
              <w:t>(b)</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tcPr>
          <w:p>
            <w:pPr>
              <w:spacing w:after="0"/>
              <w:rPr>
                <w:sz w:val="13"/>
                <w:szCs w:val="13"/>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Verizon</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2042</w:t>
            </w:r>
          </w:p>
        </w:tc>
        <w:tc>
          <w:tcPr>
            <w:tcW w:w="0" w:type="dxa"/>
            <w:vAlign w:val="bottom"/>
          </w:tcPr>
          <w:p>
            <w:pPr>
              <w:spacing w:after="0"/>
              <w:rPr>
                <w:sz w:val="1"/>
                <w:szCs w:val="1"/>
                <w:color w:val="auto"/>
              </w:rPr>
            </w:pPr>
          </w:p>
        </w:tc>
      </w:tr>
      <w:tr>
        <w:trPr>
          <w:trHeight w:val="159"/>
        </w:trPr>
        <w:tc>
          <w:tcPr>
            <w:tcW w:w="3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Utah Solar Portfolio</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530</w:t>
            </w:r>
          </w:p>
        </w:tc>
        <w:tc>
          <w:tcPr>
            <w:tcW w:w="100" w:type="dxa"/>
            <w:vAlign w:val="bottom"/>
            <w:shd w:val="clear" w:color="auto" w:fill="CCEEFF"/>
          </w:tcPr>
          <w:p>
            <w:pPr>
              <w:spacing w:after="0"/>
              <w:rPr>
                <w:sz w:val="13"/>
                <w:szCs w:val="13"/>
                <w:color w:val="auto"/>
              </w:rPr>
            </w:pPr>
          </w:p>
        </w:tc>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2036</w:t>
            </w:r>
          </w:p>
        </w:tc>
        <w:tc>
          <w:tcPr>
            <w:tcW w:w="0" w:type="dxa"/>
            <w:vAlign w:val="bottom"/>
          </w:tcPr>
          <w:p>
            <w:pPr>
              <w:spacing w:after="0"/>
              <w:rPr>
                <w:sz w:val="1"/>
                <w:szCs w:val="1"/>
                <w:color w:val="auto"/>
              </w:rPr>
            </w:pPr>
          </w:p>
        </w:tc>
      </w:tr>
      <w:tr>
        <w:trPr>
          <w:trHeight w:val="159"/>
        </w:trPr>
        <w:tc>
          <w:tcPr>
            <w:tcW w:w="3720" w:type="dxa"/>
            <w:vAlign w:val="bottom"/>
            <w:gridSpan w:val="2"/>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Victory Pass </w:t>
            </w:r>
            <w:r>
              <w:rPr>
                <w:rFonts w:ascii="Times New Roman" w:cs="Times New Roman" w:eastAsia="Times New Roman" w:hAnsi="Times New Roman"/>
                <w:sz w:val="14"/>
                <w:szCs w:val="14"/>
                <w:color w:val="auto"/>
                <w:vertAlign w:val="superscript"/>
              </w:rPr>
              <w:t>(b)</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40 %</w:t>
            </w: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00" w:type="dxa"/>
            <w:vAlign w:val="bottom"/>
          </w:tcPr>
          <w:p>
            <w:pPr>
              <w:spacing w:after="0"/>
              <w:rPr>
                <w:sz w:val="13"/>
                <w:szCs w:val="13"/>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2039</w:t>
            </w:r>
          </w:p>
        </w:tc>
        <w:tc>
          <w:tcPr>
            <w:tcW w:w="0" w:type="dxa"/>
            <w:vAlign w:val="bottom"/>
          </w:tcPr>
          <w:p>
            <w:pPr>
              <w:spacing w:after="0"/>
              <w:rPr>
                <w:sz w:val="1"/>
                <w:szCs w:val="1"/>
                <w:color w:val="auto"/>
              </w:rPr>
            </w:pPr>
          </w:p>
        </w:tc>
      </w:tr>
      <w:tr>
        <w:trPr>
          <w:trHeight w:val="159"/>
        </w:trPr>
        <w:tc>
          <w:tcPr>
            <w:tcW w:w="3720" w:type="dxa"/>
            <w:vAlign w:val="bottom"/>
            <w:gridSpan w:val="2"/>
            <w:shd w:val="clear" w:color="auto" w:fill="CCEEFF"/>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Waiawa </w:t>
            </w:r>
            <w:r>
              <w:rPr>
                <w:rFonts w:ascii="Times New Roman" w:cs="Times New Roman" w:eastAsia="Times New Roman" w:hAnsi="Times New Roman"/>
                <w:sz w:val="16"/>
                <w:szCs w:val="16"/>
                <w:color w:val="auto"/>
                <w:vertAlign w:val="superscript"/>
              </w:rPr>
              <w:t>(b)</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shd w:val="clear" w:color="auto" w:fill="CCEEFF"/>
          </w:tcPr>
          <w:p>
            <w:pPr>
              <w:spacing w:after="0"/>
              <w:rPr>
                <w:sz w:val="13"/>
                <w:szCs w:val="13"/>
                <w:color w:val="auto"/>
              </w:rPr>
            </w:pPr>
          </w:p>
        </w:tc>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Hawaiian Electric Company</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2043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080" w:type="dxa"/>
            <w:vAlign w:val="bottom"/>
          </w:tcPr>
          <w:p>
            <w:pPr>
              <w:ind w:left="360"/>
              <w:spacing w:after="0"/>
              <w:rPr>
                <w:sz w:val="20"/>
                <w:szCs w:val="20"/>
                <w:color w:val="auto"/>
              </w:rPr>
            </w:pPr>
            <w:r>
              <w:rPr>
                <w:rFonts w:ascii="Times New Roman" w:cs="Times New Roman" w:eastAsia="Times New Roman" w:hAnsi="Times New Roman"/>
                <w:sz w:val="13"/>
                <w:szCs w:val="13"/>
                <w:b w:val="1"/>
                <w:bCs w:val="1"/>
                <w:i w:val="1"/>
                <w:iCs w:val="1"/>
                <w:color w:val="auto"/>
              </w:rPr>
              <w:t>Total Utility Scale Solar</w:t>
            </w:r>
          </w:p>
        </w:tc>
        <w:tc>
          <w:tcPr>
            <w:tcW w:w="19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2,101</w:t>
            </w:r>
          </w:p>
        </w:tc>
        <w:tc>
          <w:tcPr>
            <w:tcW w:w="40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7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BESS</w:t>
            </w:r>
          </w:p>
        </w:tc>
        <w:tc>
          <w:tcPr>
            <w:tcW w:w="19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59"/>
        </w:trPr>
        <w:tc>
          <w:tcPr>
            <w:tcW w:w="3080" w:type="dxa"/>
            <w:vAlign w:val="bottom"/>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Daggett 2 </w:t>
            </w:r>
            <w:r>
              <w:rPr>
                <w:rFonts w:ascii="Times New Roman" w:cs="Times New Roman" w:eastAsia="Times New Roman" w:hAnsi="Times New Roman"/>
                <w:sz w:val="16"/>
                <w:szCs w:val="16"/>
                <w:color w:val="auto"/>
                <w:vertAlign w:val="superscript"/>
              </w:rPr>
              <w:t>(b)</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25 %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2038</w:t>
            </w:r>
          </w:p>
        </w:tc>
      </w:tr>
      <w:tr>
        <w:trPr>
          <w:trHeight w:val="159"/>
        </w:trPr>
        <w:tc>
          <w:tcPr>
            <w:tcW w:w="3080" w:type="dxa"/>
            <w:vAlign w:val="bottom"/>
            <w:shd w:val="clear" w:color="auto" w:fill="CCEEFF"/>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Daggett 3 </w:t>
            </w:r>
            <w:r>
              <w:rPr>
                <w:rFonts w:ascii="Times New Roman" w:cs="Times New Roman" w:eastAsia="Times New Roman" w:hAnsi="Times New Roman"/>
                <w:sz w:val="16"/>
                <w:szCs w:val="16"/>
                <w:color w:val="auto"/>
                <w:vertAlign w:val="superscript"/>
              </w:rPr>
              <w:t>(b)</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25 %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rPr>
              <w:t>2033 - 2038</w:t>
            </w:r>
          </w:p>
        </w:tc>
      </w:tr>
      <w:tr>
        <w:trPr>
          <w:trHeight w:val="159"/>
        </w:trPr>
        <w:tc>
          <w:tcPr>
            <w:tcW w:w="3080" w:type="dxa"/>
            <w:vAlign w:val="bottom"/>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Mililani I </w:t>
            </w:r>
            <w:r>
              <w:rPr>
                <w:rFonts w:ascii="Times New Roman" w:cs="Times New Roman" w:eastAsia="Times New Roman" w:hAnsi="Times New Roman"/>
                <w:sz w:val="16"/>
                <w:szCs w:val="16"/>
                <w:color w:val="auto"/>
                <w:vertAlign w:val="superscript"/>
              </w:rPr>
              <w:t>(b)</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50 %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Hawaiian Electric Company</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2042</w:t>
            </w:r>
          </w:p>
        </w:tc>
      </w:tr>
      <w:tr>
        <w:trPr>
          <w:trHeight w:val="159"/>
        </w:trPr>
        <w:tc>
          <w:tcPr>
            <w:tcW w:w="3080" w:type="dxa"/>
            <w:vAlign w:val="bottom"/>
            <w:shd w:val="clear" w:color="auto" w:fill="CCEEFF"/>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Victory Pass </w:t>
            </w:r>
            <w:r>
              <w:rPr>
                <w:rFonts w:ascii="Times New Roman" w:cs="Times New Roman" w:eastAsia="Times New Roman" w:hAnsi="Times New Roman"/>
                <w:sz w:val="16"/>
                <w:szCs w:val="16"/>
                <w:color w:val="auto"/>
                <w:vertAlign w:val="superscript"/>
              </w:rPr>
              <w:t>(b)</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40 %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2039</w:t>
            </w:r>
          </w:p>
        </w:tc>
      </w:tr>
      <w:tr>
        <w:trPr>
          <w:trHeight w:val="159"/>
        </w:trPr>
        <w:tc>
          <w:tcPr>
            <w:tcW w:w="3080" w:type="dxa"/>
            <w:vAlign w:val="bottom"/>
            <w:tcBorders>
              <w:bottom w:val="single" w:sz="8" w:color="CCEEFF"/>
            </w:tcBorders>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Waiawa </w:t>
            </w:r>
            <w:r>
              <w:rPr>
                <w:rFonts w:ascii="Times New Roman" w:cs="Times New Roman" w:eastAsia="Times New Roman" w:hAnsi="Times New Roman"/>
                <w:sz w:val="16"/>
                <w:szCs w:val="16"/>
                <w:color w:val="auto"/>
                <w:vertAlign w:val="superscript"/>
              </w:rPr>
              <w:t>(b)</w:t>
            </w:r>
          </w:p>
        </w:tc>
        <w:tc>
          <w:tcPr>
            <w:tcW w:w="1900" w:type="dxa"/>
            <w:vAlign w:val="bottom"/>
            <w:tcBorders>
              <w:bottom w:val="single" w:sz="8" w:color="CCEEFF"/>
            </w:tcBorders>
          </w:tcPr>
          <w:p>
            <w:pPr>
              <w:jc w:val="right"/>
              <w:ind w:right="43"/>
              <w:spacing w:after="0"/>
              <w:rPr>
                <w:sz w:val="20"/>
                <w:szCs w:val="20"/>
                <w:color w:val="auto"/>
              </w:rPr>
            </w:pPr>
            <w:r>
              <w:rPr>
                <w:rFonts w:ascii="Times New Roman" w:cs="Times New Roman" w:eastAsia="Times New Roman" w:hAnsi="Times New Roman"/>
                <w:sz w:val="11"/>
                <w:szCs w:val="11"/>
                <w:color w:val="auto"/>
              </w:rPr>
              <w:t>50 %</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4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Hawaiian Electric Company</w:t>
            </w:r>
          </w:p>
        </w:tc>
        <w:tc>
          <w:tcPr>
            <w:tcW w:w="1180" w:type="dxa"/>
            <w:vAlign w:val="bottom"/>
            <w:tcBorders>
              <w:bottom w:val="single" w:sz="8" w:color="CCEEFF"/>
            </w:tcBorders>
          </w:tcPr>
          <w:p>
            <w:pPr>
              <w:jc w:val="center"/>
              <w:ind w:left="63"/>
              <w:spacing w:after="0"/>
              <w:rPr>
                <w:sz w:val="20"/>
                <w:szCs w:val="20"/>
                <w:color w:val="auto"/>
              </w:rPr>
            </w:pPr>
            <w:r>
              <w:rPr>
                <w:rFonts w:ascii="Times New Roman" w:cs="Times New Roman" w:eastAsia="Times New Roman" w:hAnsi="Times New Roman"/>
                <w:sz w:val="11"/>
                <w:szCs w:val="11"/>
                <w:color w:val="auto"/>
                <w:w w:val="99"/>
              </w:rPr>
              <w:t>2043</w:t>
            </w:r>
          </w:p>
        </w:tc>
      </w:tr>
      <w:tr>
        <w:trPr>
          <w:trHeight w:val="150"/>
        </w:trPr>
        <w:tc>
          <w:tcPr>
            <w:tcW w:w="3080" w:type="dxa"/>
            <w:vAlign w:val="bottom"/>
            <w:shd w:val="clear" w:color="auto" w:fill="CCEEFF"/>
          </w:tcPr>
          <w:p>
            <w:pPr>
              <w:ind w:left="340"/>
              <w:spacing w:after="0" w:line="147" w:lineRule="exact"/>
              <w:rPr>
                <w:sz w:val="20"/>
                <w:szCs w:val="20"/>
                <w:color w:val="auto"/>
              </w:rPr>
            </w:pPr>
            <w:r>
              <w:rPr>
                <w:rFonts w:ascii="Times New Roman" w:cs="Times New Roman" w:eastAsia="Times New Roman" w:hAnsi="Times New Roman"/>
                <w:sz w:val="13"/>
                <w:szCs w:val="13"/>
                <w:b w:val="1"/>
                <w:bCs w:val="1"/>
                <w:i w:val="1"/>
                <w:iCs w:val="1"/>
                <w:color w:val="auto"/>
              </w:rPr>
              <w:t>Total BESS</w:t>
            </w:r>
          </w:p>
        </w:tc>
        <w:tc>
          <w:tcPr>
            <w:tcW w:w="19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40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69"/>
        </w:trPr>
        <w:tc>
          <w:tcPr>
            <w:tcW w:w="3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Distributed Solar</w:t>
            </w:r>
          </w:p>
        </w:tc>
        <w:tc>
          <w:tcPr>
            <w:tcW w:w="1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2"/>
        </w:trPr>
        <w:tc>
          <w:tcPr>
            <w:tcW w:w="308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1"/>
                <w:szCs w:val="11"/>
                <w:color w:val="auto"/>
              </w:rPr>
              <w:t xml:space="preserve">DGPV Funds </w:t>
            </w:r>
            <w:r>
              <w:rPr>
                <w:rFonts w:ascii="Times New Roman" w:cs="Times New Roman" w:eastAsia="Times New Roman" w:hAnsi="Times New Roman"/>
                <w:sz w:val="16"/>
                <w:szCs w:val="16"/>
                <w:color w:val="auto"/>
                <w:vertAlign w:val="superscript"/>
              </w:rPr>
              <w:t>(b)</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rPr>
              <w:t>2030 - 2044</w:t>
            </w:r>
          </w:p>
        </w:tc>
      </w:tr>
      <w:tr>
        <w:trPr>
          <w:trHeight w:val="153"/>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Solar Power Partners (SPP)</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rPr>
              <w:t>2026 - 2037</w:t>
            </w:r>
          </w:p>
        </w:tc>
      </w:tr>
      <w:tr>
        <w:trPr>
          <w:trHeight w:val="165"/>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DG Facilities</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rPr>
              <w:t>2025 - 2039</w:t>
            </w:r>
          </w:p>
        </w:tc>
      </w:tr>
      <w:tr>
        <w:trPr>
          <w:trHeight w:val="149"/>
        </w:trPr>
        <w:tc>
          <w:tcPr>
            <w:tcW w:w="3080" w:type="dxa"/>
            <w:vAlign w:val="bottom"/>
          </w:tcPr>
          <w:p>
            <w:pPr>
              <w:ind w:left="360"/>
              <w:spacing w:after="0" w:line="147" w:lineRule="exact"/>
              <w:rPr>
                <w:sz w:val="20"/>
                <w:szCs w:val="20"/>
                <w:color w:val="auto"/>
              </w:rPr>
            </w:pPr>
            <w:r>
              <w:rPr>
                <w:rFonts w:ascii="Times New Roman" w:cs="Times New Roman" w:eastAsia="Times New Roman" w:hAnsi="Times New Roman"/>
                <w:sz w:val="13"/>
                <w:szCs w:val="13"/>
                <w:b w:val="1"/>
                <w:bCs w:val="1"/>
                <w:i w:val="1"/>
                <w:iCs w:val="1"/>
                <w:color w:val="auto"/>
              </w:rPr>
              <w:t>Total Distributed Solar</w:t>
            </w:r>
          </w:p>
        </w:tc>
        <w:tc>
          <w:tcPr>
            <w:tcW w:w="19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332</w:t>
            </w:r>
          </w:p>
        </w:tc>
        <w:tc>
          <w:tcPr>
            <w:tcW w:w="40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71"/>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Wind</w:t>
            </w:r>
          </w:p>
        </w:tc>
        <w:tc>
          <w:tcPr>
            <w:tcW w:w="19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53"/>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Alta I</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2035</w:t>
            </w:r>
          </w:p>
        </w:tc>
      </w:tr>
      <w:tr>
        <w:trPr>
          <w:trHeight w:val="165"/>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Alta II</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2035</w:t>
            </w:r>
          </w:p>
        </w:tc>
      </w:tr>
      <w:tr>
        <w:trPr>
          <w:trHeight w:val="153"/>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Alta III</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2035</w:t>
            </w:r>
          </w:p>
        </w:tc>
      </w:tr>
      <w:tr>
        <w:trPr>
          <w:trHeight w:val="165"/>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Alta IV</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2035</w:t>
            </w:r>
          </w:p>
        </w:tc>
      </w:tr>
      <w:tr>
        <w:trPr>
          <w:trHeight w:val="153"/>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Alta V</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2035</w:t>
            </w:r>
          </w:p>
        </w:tc>
      </w:tr>
      <w:tr>
        <w:trPr>
          <w:trHeight w:val="165"/>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Alta X</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2038</w:t>
            </w:r>
          </w:p>
        </w:tc>
      </w:tr>
      <w:tr>
        <w:trPr>
          <w:trHeight w:val="153"/>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Alta XI</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2038</w:t>
            </w:r>
          </w:p>
        </w:tc>
      </w:tr>
      <w:tr>
        <w:trPr>
          <w:trHeight w:val="187"/>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Black Rock </w:t>
            </w:r>
            <w:r>
              <w:rPr>
                <w:rFonts w:ascii="Times New Roman" w:cs="Times New Roman" w:eastAsia="Times New Roman" w:hAnsi="Times New Roman"/>
                <w:sz w:val="16"/>
                <w:szCs w:val="16"/>
                <w:color w:val="auto"/>
                <w:vertAlign w:val="superscript"/>
              </w:rPr>
              <w:t>(b)</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50 %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Toyota and AEP</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2036</w:t>
            </w:r>
          </w:p>
        </w:tc>
      </w:tr>
      <w:tr>
        <w:trPr>
          <w:trHeight w:val="153"/>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Broken Bow</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Nebraska Public Power District</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2032</w:t>
            </w:r>
          </w:p>
        </w:tc>
      </w:tr>
      <w:tr>
        <w:trPr>
          <w:trHeight w:val="165"/>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Buffalo Bear</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Western Farmers Electric Co-operative</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2033</w:t>
            </w:r>
          </w:p>
        </w:tc>
      </w:tr>
      <w:tr>
        <w:trPr>
          <w:trHeight w:val="153"/>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Cedro Hill</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CPS Energy</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2030</w:t>
            </w:r>
          </w:p>
        </w:tc>
      </w:tr>
      <w:tr>
        <w:trPr>
          <w:trHeight w:val="165"/>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Crofton Bluffs</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Nebraska Public Power District</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2032</w:t>
            </w:r>
          </w:p>
        </w:tc>
      </w:tr>
      <w:tr>
        <w:trPr>
          <w:trHeight w:val="180"/>
        </w:trPr>
        <w:tc>
          <w:tcPr>
            <w:tcW w:w="3080" w:type="dxa"/>
            <w:vAlign w:val="bottom"/>
          </w:tcPr>
          <w:p>
            <w:pPr>
              <w:ind w:left="100"/>
              <w:spacing w:after="0" w:line="181" w:lineRule="exact"/>
              <w:rPr>
                <w:sz w:val="20"/>
                <w:szCs w:val="20"/>
                <w:color w:val="auto"/>
              </w:rPr>
            </w:pPr>
            <w:r>
              <w:rPr>
                <w:rFonts w:ascii="Times New Roman" w:cs="Times New Roman" w:eastAsia="Times New Roman" w:hAnsi="Times New Roman"/>
                <w:sz w:val="11"/>
                <w:szCs w:val="11"/>
                <w:color w:val="auto"/>
              </w:rPr>
              <w:t xml:space="preserve">Elbow Creek </w:t>
            </w:r>
            <w:r>
              <w:rPr>
                <w:rFonts w:ascii="Times New Roman" w:cs="Times New Roman" w:eastAsia="Times New Roman" w:hAnsi="Times New Roman"/>
                <w:sz w:val="16"/>
                <w:szCs w:val="16"/>
                <w:color w:val="auto"/>
                <w:vertAlign w:val="superscript"/>
              </w:rPr>
              <w:t>(b)</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2029</w:t>
            </w:r>
          </w:p>
        </w:tc>
      </w:tr>
      <w:tr>
        <w:trPr>
          <w:trHeight w:val="159"/>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Elkhorn Ridge</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66.7 %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Nebraska Public Power District</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2029</w:t>
            </w:r>
          </w:p>
        </w:tc>
      </w:tr>
      <w:tr>
        <w:trPr>
          <w:trHeight w:val="153"/>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Forward</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Constellation NewEnergy, Inc.</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2025</w:t>
            </w:r>
          </w:p>
        </w:tc>
      </w:tr>
      <w:tr>
        <w:trPr>
          <w:trHeight w:val="165"/>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Goat Wind</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Dow Pipeline Company</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2025</w:t>
            </w:r>
          </w:p>
        </w:tc>
      </w:tr>
      <w:tr>
        <w:trPr>
          <w:trHeight w:val="180"/>
        </w:trPr>
        <w:tc>
          <w:tcPr>
            <w:tcW w:w="3080" w:type="dxa"/>
            <w:vAlign w:val="bottom"/>
          </w:tcPr>
          <w:p>
            <w:pPr>
              <w:ind w:left="100"/>
              <w:spacing w:after="0" w:line="181" w:lineRule="exact"/>
              <w:rPr>
                <w:sz w:val="20"/>
                <w:szCs w:val="20"/>
                <w:color w:val="auto"/>
              </w:rPr>
            </w:pPr>
            <w:r>
              <w:rPr>
                <w:rFonts w:ascii="Times New Roman" w:cs="Times New Roman" w:eastAsia="Times New Roman" w:hAnsi="Times New Roman"/>
                <w:sz w:val="11"/>
                <w:szCs w:val="11"/>
                <w:color w:val="auto"/>
              </w:rPr>
              <w:t xml:space="preserve">Langford </w:t>
            </w:r>
            <w:r>
              <w:rPr>
                <w:rFonts w:ascii="Times New Roman" w:cs="Times New Roman" w:eastAsia="Times New Roman" w:hAnsi="Times New Roman"/>
                <w:sz w:val="16"/>
                <w:szCs w:val="16"/>
                <w:color w:val="auto"/>
                <w:vertAlign w:val="superscript"/>
              </w:rPr>
              <w:t>(b)</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Goldman Sachs</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2033</w:t>
            </w:r>
          </w:p>
        </w:tc>
      </w:tr>
      <w:tr>
        <w:trPr>
          <w:trHeight w:val="159"/>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Laredo Ridge</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Nebraska Public Power District</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2031</w:t>
            </w:r>
          </w:p>
        </w:tc>
      </w:tr>
      <w:tr>
        <w:trPr>
          <w:trHeight w:val="153"/>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Lookout</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Southern Maryland Electric Cooperative</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2030</w:t>
            </w:r>
          </w:p>
        </w:tc>
      </w:tr>
      <w:tr>
        <w:trPr>
          <w:trHeight w:val="165"/>
        </w:trPr>
        <w:tc>
          <w:tcPr>
            <w:tcW w:w="308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1"/>
                <w:szCs w:val="11"/>
                <w:color w:val="auto"/>
              </w:rPr>
              <w:t xml:space="preserve">Mesquite Sky </w:t>
            </w:r>
            <w:r>
              <w:rPr>
                <w:rFonts w:ascii="Times New Roman" w:cs="Times New Roman" w:eastAsia="Times New Roman" w:hAnsi="Times New Roman"/>
                <w:sz w:val="16"/>
                <w:szCs w:val="16"/>
                <w:color w:val="auto"/>
                <w:vertAlign w:val="superscript"/>
              </w:rPr>
              <w:t>(b)</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50 %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rPr>
              <w:t>2033 - 2036</w:t>
            </w:r>
          </w:p>
        </w:tc>
      </w:tr>
      <w:tr>
        <w:trPr>
          <w:trHeight w:val="180"/>
        </w:trPr>
        <w:tc>
          <w:tcPr>
            <w:tcW w:w="3080" w:type="dxa"/>
            <w:vAlign w:val="bottom"/>
          </w:tcPr>
          <w:p>
            <w:pPr>
              <w:ind w:left="100"/>
              <w:spacing w:after="0" w:line="181" w:lineRule="exact"/>
              <w:rPr>
                <w:sz w:val="20"/>
                <w:szCs w:val="20"/>
                <w:color w:val="auto"/>
              </w:rPr>
            </w:pPr>
            <w:r>
              <w:rPr>
                <w:rFonts w:ascii="Times New Roman" w:cs="Times New Roman" w:eastAsia="Times New Roman" w:hAnsi="Times New Roman"/>
                <w:sz w:val="11"/>
                <w:szCs w:val="11"/>
                <w:color w:val="auto"/>
              </w:rPr>
              <w:t xml:space="preserve">Mesquite Star </w:t>
            </w:r>
            <w:r>
              <w:rPr>
                <w:rFonts w:ascii="Times New Roman" w:cs="Times New Roman" w:eastAsia="Times New Roman" w:hAnsi="Times New Roman"/>
                <w:sz w:val="16"/>
                <w:szCs w:val="16"/>
                <w:color w:val="auto"/>
                <w:vertAlign w:val="superscript"/>
              </w:rPr>
              <w:t>(b)</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50 %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rPr>
              <w:t>2032 - 2035</w:t>
            </w:r>
          </w:p>
        </w:tc>
      </w:tr>
      <w:tr>
        <w:trPr>
          <w:trHeight w:val="159"/>
        </w:trPr>
        <w:tc>
          <w:tcPr>
            <w:tcW w:w="3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Mountain Wind 1</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PacifiCorp</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2033</w:t>
            </w:r>
          </w:p>
        </w:tc>
      </w:tr>
      <w:tr>
        <w:trPr>
          <w:trHeight w:val="153"/>
        </w:trPr>
        <w:tc>
          <w:tcPr>
            <w:tcW w:w="30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Mountain Wind 2</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PacifiCorp</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2033</w:t>
            </w:r>
          </w:p>
        </w:tc>
      </w:tr>
      <w:tr>
        <w:trPr>
          <w:trHeight w:val="165"/>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Mt. Storm</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264</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Citigroup</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2031</w:t>
            </w:r>
          </w:p>
        </w:tc>
      </w:tr>
      <w:tr>
        <w:trPr>
          <w:trHeight w:val="153"/>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Ocotillo</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N/A</w:t>
            </w:r>
          </w:p>
        </w:tc>
        <w:tc>
          <w:tcPr>
            <w:tcW w:w="1180" w:type="dxa"/>
            <w:vAlign w:val="bottom"/>
          </w:tcPr>
          <w:p>
            <w:pPr>
              <w:spacing w:after="0"/>
              <w:rPr>
                <w:sz w:val="13"/>
                <w:szCs w:val="13"/>
                <w:color w:val="auto"/>
              </w:rPr>
            </w:pPr>
          </w:p>
        </w:tc>
      </w:tr>
      <w:tr>
        <w:trPr>
          <w:trHeight w:val="165"/>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Odin</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99.9 %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Missouri River Energy Services</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2028</w:t>
            </w:r>
          </w:p>
        </w:tc>
      </w:tr>
      <w:tr>
        <w:trPr>
          <w:trHeight w:val="180"/>
        </w:trPr>
        <w:tc>
          <w:tcPr>
            <w:tcW w:w="3080" w:type="dxa"/>
            <w:vAlign w:val="bottom"/>
          </w:tcPr>
          <w:p>
            <w:pPr>
              <w:ind w:left="100"/>
              <w:spacing w:after="0" w:line="181" w:lineRule="exact"/>
              <w:rPr>
                <w:sz w:val="20"/>
                <w:szCs w:val="20"/>
                <w:color w:val="auto"/>
              </w:rPr>
            </w:pPr>
            <w:r>
              <w:rPr>
                <w:rFonts w:ascii="Times New Roman" w:cs="Times New Roman" w:eastAsia="Times New Roman" w:hAnsi="Times New Roman"/>
                <w:sz w:val="11"/>
                <w:szCs w:val="11"/>
                <w:color w:val="auto"/>
              </w:rPr>
              <w:t xml:space="preserve">Pinnacle </w:t>
            </w:r>
            <w:r>
              <w:rPr>
                <w:rFonts w:ascii="Times New Roman" w:cs="Times New Roman" w:eastAsia="Times New Roman" w:hAnsi="Times New Roman"/>
                <w:sz w:val="16"/>
                <w:szCs w:val="16"/>
                <w:color w:val="auto"/>
                <w:vertAlign w:val="superscript"/>
              </w:rPr>
              <w:t>(b)</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Maryland Department of General Services and University System of Maryland</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2031</w:t>
            </w:r>
          </w:p>
        </w:tc>
      </w:tr>
      <w:tr>
        <w:trPr>
          <w:trHeight w:val="159"/>
        </w:trPr>
        <w:tc>
          <w:tcPr>
            <w:tcW w:w="3080" w:type="dxa"/>
            <w:vAlign w:val="bottom"/>
            <w:shd w:val="clear" w:color="auto" w:fill="CCEEFF"/>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Rattlesnake </w:t>
            </w:r>
            <w:r>
              <w:rPr>
                <w:rFonts w:ascii="Times New Roman" w:cs="Times New Roman" w:eastAsia="Times New Roman" w:hAnsi="Times New Roman"/>
                <w:sz w:val="16"/>
                <w:szCs w:val="16"/>
                <w:color w:val="auto"/>
                <w:vertAlign w:val="superscript"/>
              </w:rPr>
              <w:t>(b) (c)</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Avista Corporation</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2040</w:t>
            </w: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5" w:right="31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26"/>
        </w:trPr>
        <w:tc>
          <w:tcPr>
            <w:tcW w:w="3720" w:type="dxa"/>
            <w:vAlign w:val="bottom"/>
            <w:gridSpan w:val="2"/>
            <w:vMerge w:val="restart"/>
          </w:tcPr>
          <w:p>
            <w:pPr>
              <w:ind w:left="1600"/>
              <w:spacing w:after="0"/>
              <w:rPr>
                <w:sz w:val="20"/>
                <w:szCs w:val="20"/>
                <w:color w:val="auto"/>
              </w:rPr>
            </w:pPr>
            <w:r>
              <w:rPr>
                <w:rFonts w:ascii="Times New Roman" w:cs="Times New Roman" w:eastAsia="Times New Roman" w:hAnsi="Times New Roman"/>
                <w:sz w:val="11"/>
                <w:szCs w:val="11"/>
                <w:b w:val="1"/>
                <w:bCs w:val="1"/>
                <w:color w:val="auto"/>
              </w:rPr>
              <w:t>Facilities</w:t>
            </w: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Percentage Ownership</w:t>
            </w: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Net Capacity (MW)</w:t>
            </w:r>
          </w:p>
        </w:tc>
        <w:tc>
          <w:tcPr>
            <w:tcW w:w="80" w:type="dxa"/>
            <w:vAlign w:val="bottom"/>
          </w:tcPr>
          <w:p>
            <w:pPr>
              <w:spacing w:after="0"/>
              <w:rPr>
                <w:sz w:val="11"/>
                <w:szCs w:val="11"/>
                <w:color w:val="auto"/>
              </w:rPr>
            </w:pPr>
          </w:p>
        </w:tc>
        <w:tc>
          <w:tcPr>
            <w:tcW w:w="4100" w:type="dxa"/>
            <w:vAlign w:val="bottom"/>
            <w:gridSpan w:val="2"/>
            <w:vMerge w:val="restart"/>
          </w:tcPr>
          <w:p>
            <w:pPr>
              <w:ind w:left="1680"/>
              <w:spacing w:after="0"/>
              <w:rPr>
                <w:sz w:val="20"/>
                <w:szCs w:val="20"/>
                <w:color w:val="auto"/>
              </w:rPr>
            </w:pPr>
            <w:r>
              <w:rPr>
                <w:rFonts w:ascii="Times New Roman" w:cs="Times New Roman" w:eastAsia="Times New Roman" w:hAnsi="Times New Roman"/>
                <w:sz w:val="11"/>
                <w:szCs w:val="11"/>
                <w:b w:val="1"/>
                <w:bCs w:val="1"/>
                <w:color w:val="auto"/>
              </w:rPr>
              <w:t>Counterparty</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0" w:type="dxa"/>
            <w:vAlign w:val="bottom"/>
          </w:tcPr>
          <w:p>
            <w:pPr>
              <w:spacing w:after="0"/>
              <w:rPr>
                <w:sz w:val="1"/>
                <w:szCs w:val="1"/>
                <w:color w:val="auto"/>
              </w:rPr>
            </w:pPr>
          </w:p>
        </w:tc>
      </w:tr>
      <w:tr>
        <w:trPr>
          <w:trHeight w:val="118"/>
        </w:trPr>
        <w:tc>
          <w:tcPr>
            <w:tcW w:w="3720" w:type="dxa"/>
            <w:vAlign w:val="bottom"/>
            <w:gridSpan w:val="2"/>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060" w:type="dxa"/>
            <w:vAlign w:val="bottom"/>
          </w:tcPr>
          <w:p>
            <w:pPr>
              <w:jc w:val="right"/>
              <w:ind w:right="445"/>
              <w:spacing w:after="0"/>
              <w:rPr>
                <w:sz w:val="20"/>
                <w:szCs w:val="20"/>
                <w:color w:val="auto"/>
              </w:rPr>
            </w:pPr>
            <w:r>
              <w:rPr>
                <w:rFonts w:ascii="Times New Roman" w:cs="Times New Roman" w:eastAsia="Times New Roman" w:hAnsi="Times New Roman"/>
                <w:sz w:val="8"/>
                <w:szCs w:val="8"/>
                <w:b w:val="1"/>
                <w:bCs w:val="1"/>
                <w:color w:val="auto"/>
              </w:rPr>
              <w:t>(a)</w:t>
            </w:r>
          </w:p>
        </w:tc>
        <w:tc>
          <w:tcPr>
            <w:tcW w:w="80" w:type="dxa"/>
            <w:vAlign w:val="bottom"/>
          </w:tcPr>
          <w:p>
            <w:pPr>
              <w:spacing w:after="0"/>
              <w:rPr>
                <w:sz w:val="10"/>
                <w:szCs w:val="10"/>
                <w:color w:val="auto"/>
              </w:rPr>
            </w:pPr>
          </w:p>
        </w:tc>
        <w:tc>
          <w:tcPr>
            <w:tcW w:w="4100" w:type="dxa"/>
            <w:vAlign w:val="bottom"/>
            <w:gridSpan w:val="2"/>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6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San Juan Mesa</w:t>
            </w:r>
          </w:p>
        </w:tc>
        <w:tc>
          <w:tcPr>
            <w:tcW w:w="100" w:type="dxa"/>
            <w:vAlign w:val="bottom"/>
          </w:tcPr>
          <w:p>
            <w:pPr>
              <w:spacing w:after="0"/>
              <w:rPr>
                <w:sz w:val="13"/>
                <w:szCs w:val="13"/>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75 %</w:t>
            </w:r>
          </w:p>
        </w:tc>
        <w:tc>
          <w:tcPr>
            <w:tcW w:w="100" w:type="dxa"/>
            <w:vAlign w:val="bottom"/>
          </w:tcPr>
          <w:p>
            <w:pPr>
              <w:spacing w:after="0"/>
              <w:rPr>
                <w:sz w:val="13"/>
                <w:szCs w:val="13"/>
                <w:color w:val="auto"/>
              </w:rPr>
            </w:pPr>
          </w:p>
        </w:tc>
        <w:tc>
          <w:tcPr>
            <w:tcW w:w="106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90</w:t>
            </w:r>
          </w:p>
        </w:tc>
        <w:tc>
          <w:tcPr>
            <w:tcW w:w="80" w:type="dxa"/>
            <w:vAlign w:val="bottom"/>
          </w:tcPr>
          <w:p>
            <w:pPr>
              <w:spacing w:after="0"/>
              <w:rPr>
                <w:sz w:val="13"/>
                <w:szCs w:val="13"/>
                <w:color w:val="auto"/>
              </w:rPr>
            </w:pPr>
          </w:p>
        </w:tc>
        <w:tc>
          <w:tcPr>
            <w:tcW w:w="4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Southwestern Public Service Company</w:t>
            </w:r>
          </w:p>
        </w:tc>
        <w:tc>
          <w:tcPr>
            <w:tcW w:w="100" w:type="dxa"/>
            <w:vAlign w:val="bottom"/>
          </w:tcPr>
          <w:p>
            <w:pPr>
              <w:spacing w:after="0"/>
              <w:rPr>
                <w:sz w:val="13"/>
                <w:szCs w:val="13"/>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2025</w:t>
            </w:r>
          </w:p>
        </w:tc>
        <w:tc>
          <w:tcPr>
            <w:tcW w:w="0" w:type="dxa"/>
            <w:vAlign w:val="bottom"/>
          </w:tcPr>
          <w:p>
            <w:pPr>
              <w:spacing w:after="0"/>
              <w:rPr>
                <w:sz w:val="1"/>
                <w:szCs w:val="1"/>
                <w:color w:val="auto"/>
              </w:rPr>
            </w:pPr>
          </w:p>
        </w:tc>
      </w:tr>
      <w:tr>
        <w:trPr>
          <w:trHeight w:val="165"/>
        </w:trPr>
        <w:tc>
          <w:tcPr>
            <w:tcW w:w="3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Sleeping Bear</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95</w:t>
            </w:r>
          </w:p>
        </w:tc>
        <w:tc>
          <w:tcPr>
            <w:tcW w:w="80" w:type="dxa"/>
            <w:vAlign w:val="bottom"/>
            <w:shd w:val="clear" w:color="auto" w:fill="CCEEFF"/>
          </w:tcPr>
          <w:p>
            <w:pPr>
              <w:spacing w:after="0"/>
              <w:rPr>
                <w:sz w:val="14"/>
                <w:szCs w:val="14"/>
                <w:color w:val="auto"/>
              </w:rPr>
            </w:pP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Public Service Company of Oklahoma</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2032</w:t>
            </w:r>
          </w:p>
        </w:tc>
        <w:tc>
          <w:tcPr>
            <w:tcW w:w="0" w:type="dxa"/>
            <w:vAlign w:val="bottom"/>
          </w:tcPr>
          <w:p>
            <w:pPr>
              <w:spacing w:after="0"/>
              <w:rPr>
                <w:sz w:val="1"/>
                <w:szCs w:val="1"/>
                <w:color w:val="auto"/>
              </w:rPr>
            </w:pPr>
          </w:p>
        </w:tc>
      </w:tr>
      <w:tr>
        <w:trPr>
          <w:trHeight w:val="153"/>
        </w:trPr>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South Trent</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101</w:t>
            </w:r>
          </w:p>
        </w:tc>
        <w:tc>
          <w:tcPr>
            <w:tcW w:w="80" w:type="dxa"/>
            <w:vAlign w:val="bottom"/>
          </w:tcPr>
          <w:p>
            <w:pPr>
              <w:spacing w:after="0"/>
              <w:rPr>
                <w:sz w:val="13"/>
                <w:szCs w:val="13"/>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AEP Energy Partners</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2029</w:t>
            </w:r>
          </w:p>
        </w:tc>
        <w:tc>
          <w:tcPr>
            <w:tcW w:w="0" w:type="dxa"/>
            <w:vAlign w:val="bottom"/>
          </w:tcPr>
          <w:p>
            <w:pPr>
              <w:spacing w:after="0"/>
              <w:rPr>
                <w:sz w:val="1"/>
                <w:szCs w:val="1"/>
                <w:color w:val="auto"/>
              </w:rPr>
            </w:pPr>
          </w:p>
        </w:tc>
      </w:tr>
      <w:tr>
        <w:trPr>
          <w:trHeight w:val="165"/>
        </w:trPr>
        <w:tc>
          <w:tcPr>
            <w:tcW w:w="3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Spanish Fork</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19</w:t>
            </w:r>
          </w:p>
        </w:tc>
        <w:tc>
          <w:tcPr>
            <w:tcW w:w="80" w:type="dxa"/>
            <w:vAlign w:val="bottom"/>
            <w:shd w:val="clear" w:color="auto" w:fill="CCEEFF"/>
          </w:tcPr>
          <w:p>
            <w:pPr>
              <w:spacing w:after="0"/>
              <w:rPr>
                <w:sz w:val="14"/>
                <w:szCs w:val="14"/>
                <w:color w:val="auto"/>
              </w:rPr>
            </w:pP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2028</w:t>
            </w:r>
          </w:p>
        </w:tc>
        <w:tc>
          <w:tcPr>
            <w:tcW w:w="0" w:type="dxa"/>
            <w:vAlign w:val="bottom"/>
          </w:tcPr>
          <w:p>
            <w:pPr>
              <w:spacing w:after="0"/>
              <w:rPr>
                <w:sz w:val="1"/>
                <w:szCs w:val="1"/>
                <w:color w:val="auto"/>
              </w:rPr>
            </w:pPr>
          </w:p>
        </w:tc>
      </w:tr>
      <w:tr>
        <w:trPr>
          <w:trHeight w:val="180"/>
        </w:trPr>
        <w:tc>
          <w:tcPr>
            <w:tcW w:w="3720" w:type="dxa"/>
            <w:vAlign w:val="bottom"/>
            <w:gridSpan w:val="2"/>
          </w:tcPr>
          <w:p>
            <w:pPr>
              <w:ind w:left="100"/>
              <w:spacing w:after="0" w:line="181" w:lineRule="exact"/>
              <w:rPr>
                <w:sz w:val="20"/>
                <w:szCs w:val="20"/>
                <w:color w:val="auto"/>
              </w:rPr>
            </w:pPr>
            <w:r>
              <w:rPr>
                <w:rFonts w:ascii="Times New Roman" w:cs="Times New Roman" w:eastAsia="Times New Roman" w:hAnsi="Times New Roman"/>
                <w:sz w:val="11"/>
                <w:szCs w:val="11"/>
                <w:color w:val="auto"/>
              </w:rPr>
              <w:t xml:space="preserve">Spring Canyon II </w:t>
            </w:r>
            <w:r>
              <w:rPr>
                <w:rFonts w:ascii="Times New Roman" w:cs="Times New Roman" w:eastAsia="Times New Roman" w:hAnsi="Times New Roman"/>
                <w:sz w:val="16"/>
                <w:szCs w:val="16"/>
                <w:color w:val="auto"/>
                <w:vertAlign w:val="superscript"/>
              </w:rPr>
              <w:t>(b)</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90.1 %</w:t>
            </w:r>
          </w:p>
        </w:tc>
        <w:tc>
          <w:tcPr>
            <w:tcW w:w="100" w:type="dxa"/>
            <w:vAlign w:val="bottom"/>
          </w:tcPr>
          <w:p>
            <w:pPr>
              <w:spacing w:after="0"/>
              <w:rPr>
                <w:sz w:val="15"/>
                <w:szCs w:val="15"/>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tcPr>
          <w:p>
            <w:pPr>
              <w:spacing w:after="0"/>
              <w:rPr>
                <w:sz w:val="15"/>
                <w:szCs w:val="15"/>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Platte River Power Authority</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2039</w:t>
            </w:r>
          </w:p>
        </w:tc>
        <w:tc>
          <w:tcPr>
            <w:tcW w:w="0" w:type="dxa"/>
            <w:vAlign w:val="bottom"/>
          </w:tcPr>
          <w:p>
            <w:pPr>
              <w:spacing w:after="0"/>
              <w:rPr>
                <w:sz w:val="1"/>
                <w:szCs w:val="1"/>
                <w:color w:val="auto"/>
              </w:rPr>
            </w:pPr>
          </w:p>
        </w:tc>
      </w:tr>
      <w:tr>
        <w:trPr>
          <w:trHeight w:val="180"/>
        </w:trPr>
        <w:tc>
          <w:tcPr>
            <w:tcW w:w="3720" w:type="dxa"/>
            <w:vAlign w:val="bottom"/>
            <w:gridSpan w:val="2"/>
            <w:shd w:val="clear" w:color="auto" w:fill="CCEEFF"/>
          </w:tcPr>
          <w:p>
            <w:pPr>
              <w:ind w:left="100"/>
              <w:spacing w:after="0" w:line="181" w:lineRule="exact"/>
              <w:rPr>
                <w:sz w:val="20"/>
                <w:szCs w:val="20"/>
                <w:color w:val="auto"/>
              </w:rPr>
            </w:pPr>
            <w:r>
              <w:rPr>
                <w:rFonts w:ascii="Times New Roman" w:cs="Times New Roman" w:eastAsia="Times New Roman" w:hAnsi="Times New Roman"/>
                <w:sz w:val="11"/>
                <w:szCs w:val="11"/>
                <w:color w:val="auto"/>
              </w:rPr>
              <w:t xml:space="preserve">Spring Canyon III </w:t>
            </w:r>
            <w:r>
              <w:rPr>
                <w:rFonts w:ascii="Times New Roman" w:cs="Times New Roman" w:eastAsia="Times New Roman" w:hAnsi="Times New Roman"/>
                <w:sz w:val="16"/>
                <w:szCs w:val="16"/>
                <w:color w:val="auto"/>
                <w:vertAlign w:val="superscript"/>
              </w:rPr>
              <w:t>(b)</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90.1 %</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26</w:t>
            </w:r>
          </w:p>
        </w:tc>
        <w:tc>
          <w:tcPr>
            <w:tcW w:w="80" w:type="dxa"/>
            <w:vAlign w:val="bottom"/>
            <w:shd w:val="clear" w:color="auto" w:fill="CCEEFF"/>
          </w:tcPr>
          <w:p>
            <w:pPr>
              <w:spacing w:after="0"/>
              <w:rPr>
                <w:sz w:val="15"/>
                <w:szCs w:val="15"/>
                <w:color w:val="auto"/>
              </w:rPr>
            </w:pP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Platte River Power Authority</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2039</w:t>
            </w:r>
          </w:p>
        </w:tc>
        <w:tc>
          <w:tcPr>
            <w:tcW w:w="0" w:type="dxa"/>
            <w:vAlign w:val="bottom"/>
          </w:tcPr>
          <w:p>
            <w:pPr>
              <w:spacing w:after="0"/>
              <w:rPr>
                <w:sz w:val="1"/>
                <w:szCs w:val="1"/>
                <w:color w:val="auto"/>
              </w:rPr>
            </w:pPr>
          </w:p>
        </w:tc>
      </w:tr>
      <w:tr>
        <w:trPr>
          <w:trHeight w:val="153"/>
        </w:trPr>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Taloga</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130</w:t>
            </w:r>
          </w:p>
        </w:tc>
        <w:tc>
          <w:tcPr>
            <w:tcW w:w="80" w:type="dxa"/>
            <w:vAlign w:val="bottom"/>
          </w:tcPr>
          <w:p>
            <w:pPr>
              <w:spacing w:after="0"/>
              <w:rPr>
                <w:sz w:val="13"/>
                <w:szCs w:val="13"/>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Oklahoma Gas &amp; Electric</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2031</w:t>
            </w:r>
          </w:p>
        </w:tc>
        <w:tc>
          <w:tcPr>
            <w:tcW w:w="0" w:type="dxa"/>
            <w:vAlign w:val="bottom"/>
          </w:tcPr>
          <w:p>
            <w:pPr>
              <w:spacing w:after="0"/>
              <w:rPr>
                <w:sz w:val="1"/>
                <w:szCs w:val="1"/>
                <w:color w:val="auto"/>
              </w:rPr>
            </w:pPr>
          </w:p>
        </w:tc>
      </w:tr>
      <w:tr>
        <w:trPr>
          <w:trHeight w:val="165"/>
        </w:trPr>
        <w:tc>
          <w:tcPr>
            <w:tcW w:w="3720" w:type="dxa"/>
            <w:vAlign w:val="bottom"/>
            <w:gridSpan w:val="2"/>
            <w:shd w:val="clear" w:color="auto" w:fill="CCEEFF"/>
          </w:tcPr>
          <w:p>
            <w:pPr>
              <w:ind w:left="100"/>
              <w:spacing w:after="0" w:line="165" w:lineRule="exact"/>
              <w:rPr>
                <w:sz w:val="20"/>
                <w:szCs w:val="20"/>
                <w:color w:val="auto"/>
              </w:rPr>
            </w:pPr>
            <w:r>
              <w:rPr>
                <w:rFonts w:ascii="Times New Roman" w:cs="Times New Roman" w:eastAsia="Times New Roman" w:hAnsi="Times New Roman"/>
                <w:sz w:val="11"/>
                <w:szCs w:val="11"/>
                <w:color w:val="auto"/>
              </w:rPr>
              <w:t xml:space="preserve">Wildorado </w:t>
            </w:r>
            <w:r>
              <w:rPr>
                <w:rFonts w:ascii="Times New Roman" w:cs="Times New Roman" w:eastAsia="Times New Roman" w:hAnsi="Times New Roman"/>
                <w:sz w:val="16"/>
                <w:szCs w:val="16"/>
                <w:color w:val="auto"/>
                <w:vertAlign w:val="superscript"/>
              </w:rPr>
              <w:t>(b)</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161</w:t>
            </w:r>
          </w:p>
        </w:tc>
        <w:tc>
          <w:tcPr>
            <w:tcW w:w="80" w:type="dxa"/>
            <w:vAlign w:val="bottom"/>
            <w:shd w:val="clear" w:color="auto" w:fill="CCEEFF"/>
          </w:tcPr>
          <w:p>
            <w:pPr>
              <w:spacing w:after="0"/>
              <w:rPr>
                <w:sz w:val="14"/>
                <w:szCs w:val="14"/>
                <w:color w:val="auto"/>
              </w:rPr>
            </w:pP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Southwestern Public Service Company</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2027</w:t>
            </w:r>
          </w:p>
        </w:tc>
        <w:tc>
          <w:tcPr>
            <w:tcW w:w="0" w:type="dxa"/>
            <w:vAlign w:val="bottom"/>
          </w:tcPr>
          <w:p>
            <w:pPr>
              <w:spacing w:after="0"/>
              <w:rPr>
                <w:sz w:val="1"/>
                <w:szCs w:val="1"/>
                <w:color w:val="auto"/>
              </w:rPr>
            </w:pPr>
          </w:p>
        </w:tc>
      </w:tr>
      <w:tr>
        <w:trPr>
          <w:trHeight w:val="149"/>
        </w:trPr>
        <w:tc>
          <w:tcPr>
            <w:tcW w:w="3720" w:type="dxa"/>
            <w:vAlign w:val="bottom"/>
            <w:tcBorders>
              <w:bottom w:val="single" w:sz="8" w:color="CCEEFF"/>
            </w:tcBorders>
            <w:gridSpan w:val="2"/>
          </w:tcPr>
          <w:p>
            <w:pPr>
              <w:ind w:left="360"/>
              <w:spacing w:after="0" w:line="147" w:lineRule="exact"/>
              <w:rPr>
                <w:sz w:val="20"/>
                <w:szCs w:val="20"/>
                <w:color w:val="auto"/>
              </w:rPr>
            </w:pPr>
            <w:r>
              <w:rPr>
                <w:rFonts w:ascii="Times New Roman" w:cs="Times New Roman" w:eastAsia="Times New Roman" w:hAnsi="Times New Roman"/>
                <w:sz w:val="13"/>
                <w:szCs w:val="13"/>
                <w:b w:val="1"/>
                <w:bCs w:val="1"/>
                <w:i w:val="1"/>
                <w:iCs w:val="1"/>
                <w:color w:val="auto"/>
              </w:rPr>
              <w:t>Total Wind</w:t>
            </w:r>
          </w:p>
        </w:tc>
        <w:tc>
          <w:tcPr>
            <w:tcW w:w="1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3,658</w:t>
            </w:r>
          </w:p>
        </w:tc>
        <w:tc>
          <w:tcPr>
            <w:tcW w:w="80" w:type="dxa"/>
            <w:vAlign w:val="bottom"/>
            <w:tcBorders>
              <w:bottom w:val="single" w:sz="8" w:color="CCEEFF"/>
            </w:tcBorders>
          </w:tcPr>
          <w:p>
            <w:pPr>
              <w:spacing w:after="0"/>
              <w:rPr>
                <w:sz w:val="12"/>
                <w:szCs w:val="12"/>
                <w:color w:val="auto"/>
              </w:rPr>
            </w:pPr>
          </w:p>
        </w:tc>
        <w:tc>
          <w:tcPr>
            <w:tcW w:w="40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7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Total net generation capacity</w:t>
            </w:r>
          </w:p>
        </w:tc>
        <w:tc>
          <w:tcPr>
            <w:tcW w:w="1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8,691</w:t>
            </w:r>
          </w:p>
        </w:tc>
        <w:tc>
          <w:tcPr>
            <w:tcW w:w="80" w:type="dxa"/>
            <w:vAlign w:val="bottom"/>
            <w:tcBorders>
              <w:bottom w:val="single" w:sz="8" w:color="CCEEFF"/>
            </w:tcBorders>
            <w:shd w:val="clear" w:color="auto" w:fill="CCEEFF"/>
          </w:tcPr>
          <w:p>
            <w:pPr>
              <w:spacing w:after="0"/>
              <w:rPr>
                <w:sz w:val="14"/>
                <w:szCs w:val="14"/>
                <w:color w:val="auto"/>
              </w:rPr>
            </w:pPr>
          </w:p>
        </w:tc>
        <w:tc>
          <w:tcPr>
            <w:tcW w:w="4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138811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05" w:lineRule="exact"/>
        <w:rPr>
          <w:sz w:val="20"/>
          <w:szCs w:val="20"/>
          <w:color w:val="auto"/>
        </w:rPr>
      </w:pPr>
    </w:p>
    <w:p>
      <w:pPr>
        <w:ind w:left="200" w:hanging="131"/>
        <w:spacing w:after="0"/>
        <w:tabs>
          <w:tab w:leader="none" w:pos="200"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Net capacity represents the maximum, or rated, generating or storage capacity of the facility multiplied by the Company’s percentage ownership in the facility as of March 31, 2024.</w:t>
      </w:r>
    </w:p>
    <w:p>
      <w:pPr>
        <w:spacing w:after="0" w:line="45" w:lineRule="exact"/>
        <w:rPr>
          <w:rFonts w:ascii="Times New Roman" w:cs="Times New Roman" w:eastAsia="Times New Roman" w:hAnsi="Times New Roman"/>
          <w:sz w:val="17"/>
          <w:szCs w:val="17"/>
          <w:color w:val="auto"/>
          <w:vertAlign w:val="superscript"/>
        </w:rPr>
      </w:pPr>
    </w:p>
    <w:p>
      <w:pPr>
        <w:ind w:left="200" w:hanging="131"/>
        <w:spacing w:after="0" w:line="187" w:lineRule="auto"/>
        <w:tabs>
          <w:tab w:leader="none" w:pos="200" w:val="left"/>
        </w:tabs>
        <w:numPr>
          <w:ilvl w:val="0"/>
          <w:numId w:val="1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 xml:space="preserve">Facilities are part of tax equity arrangements, as further described in Note 4, </w:t>
      </w:r>
      <w:r>
        <w:rPr>
          <w:rFonts w:ascii="Times New Roman" w:cs="Times New Roman" w:eastAsia="Times New Roman" w:hAnsi="Times New Roman"/>
          <w:sz w:val="10"/>
          <w:szCs w:val="10"/>
          <w:i w:val="1"/>
          <w:iCs w:val="1"/>
          <w:color w:val="auto"/>
        </w:rPr>
        <w:t>Investments Accounted for by the Equity Method and Variable Interest Entities</w:t>
      </w:r>
      <w:r>
        <w:rPr>
          <w:rFonts w:ascii="Times New Roman" w:cs="Times New Roman" w:eastAsia="Times New Roman" w:hAnsi="Times New Roman"/>
          <w:sz w:val="10"/>
          <w:szCs w:val="10"/>
          <w:color w:val="auto"/>
        </w:rPr>
        <w:t>.</w:t>
      </w:r>
    </w:p>
    <w:p>
      <w:pPr>
        <w:spacing w:after="0" w:line="45" w:lineRule="exact"/>
        <w:rPr>
          <w:rFonts w:ascii="Times New Roman" w:cs="Times New Roman" w:eastAsia="Times New Roman" w:hAnsi="Times New Roman"/>
          <w:sz w:val="15"/>
          <w:szCs w:val="15"/>
          <w:color w:val="auto"/>
          <w:vertAlign w:val="superscript"/>
        </w:rPr>
      </w:pPr>
    </w:p>
    <w:p>
      <w:pPr>
        <w:ind w:left="200" w:hanging="131"/>
        <w:spacing w:after="0" w:line="187" w:lineRule="auto"/>
        <w:tabs>
          <w:tab w:leader="none" w:pos="200" w:val="left"/>
        </w:tabs>
        <w:numPr>
          <w:ilvl w:val="0"/>
          <w:numId w:val="1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Rattlesnake has a deliverable capacity of 144 MW.</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color w:val="auto"/>
        </w:rPr>
        <w:t>Significant Events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Drop Down Transactions</w:t>
      </w:r>
    </w:p>
    <w:p>
      <w:pPr>
        <w:spacing w:after="0" w:line="138" w:lineRule="exact"/>
        <w:rPr>
          <w:sz w:val="20"/>
          <w:szCs w:val="20"/>
          <w:color w:val="auto"/>
        </w:rPr>
      </w:pPr>
    </w:p>
    <w:p>
      <w:pPr>
        <w:jc w:val="both"/>
        <w:ind w:left="520" w:hanging="260"/>
        <w:spacing w:after="0" w:line="270"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3, 2024, the Company, through an indirect subsidiary, entered into an agreement with Clearway Renew to acquire the Class A membership interests in Dan’s Mountain, a 55 MW wind facility currently under construction in Allegany County, Maryland, for $44 million in cash consideration, subject to closing adjustments. The consummation of the transaction is subject to customary closing conditions and certain third-party approvals and is expected in the first half of 2025.</w:t>
      </w:r>
    </w:p>
    <w:p>
      <w:pPr>
        <w:spacing w:after="0" w:line="82"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7, 2024, the Company, through an indirect subsidiary, entered into an agreement with Clearway Renew to acquire the Class A membership interests in Rosamond South I, a 140 MW solar facility that will be paired with a 117 MW BESS currently under development in Rosamond, California, for $21 million in cash consideration, subject to closing adjustments. The consummation of the transaction is subject to customary closing conditions and certain third-party approvals and is expected in the first half of 2025.</w:t>
      </w:r>
    </w:p>
    <w:p>
      <w:pPr>
        <w:spacing w:after="0" w:line="93"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April 16, 2024, the Company, through its indirect subsidiary, Cedar Creek Wind Holdco LLC, acquired Cedar Creek Holdco LLC, a 160 MW wind facility that is located in Bingham County, Idaho, from Clearway Renew for cash consideration of $117 million. Cedar Creek Wind Holdco LLC consolidates as primary beneficiary, Cedar Creek TE Holdco LLC, a tax equity fund that owns the Cedar Creek wind facility. See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for further discussion of the transaction.</w:t>
      </w:r>
    </w:p>
    <w:p>
      <w:pPr>
        <w:spacing w:after="0" w:line="82"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March 15, 2024, the Company, through its indirect subsidiary, TSN1 TE Holdco LLC, acquired Texas Solar Nova 2, LLC, a 200 MW solar facility that is located in Kent County, Texas, from Clearway Renew for cash consideration of $112 million, $17 million of which was funded by the Company with the remaining $95 million funded through a contribution from the cash equity investor in Lighthouse Renewable Holdco 2 LLC, which is a partnership. Lighthouse Renewable Holdco 2 LLC indirectly consolidates as primary beneficiary, TSN1 TE Holdco LLC, a tax equity fund that owns the Texas Solar Nova 1 and Texas Solar Nova 2 solar facilities. See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for further discussion of the transaction.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RA Agreements</w:t>
      </w:r>
    </w:p>
    <w:p>
      <w:pPr>
        <w:spacing w:after="0" w:line="138" w:lineRule="exact"/>
        <w:rPr>
          <w:sz w:val="20"/>
          <w:szCs w:val="20"/>
          <w:color w:val="auto"/>
        </w:rPr>
      </w:pPr>
    </w:p>
    <w:p>
      <w:pPr>
        <w:ind w:left="520" w:hanging="260"/>
        <w:spacing w:after="0" w:line="287"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6, 2024, the Company contracted with a load serving entity to sell approximately 97 MW of Walnut Creek’s RA commencing in January 2027 and ending in December 2027. Walnut Creek is contracted for 100% of its capacity through 2026 and is now contracted for approximately 20% of its capacity through 2027.</w:t>
      </w:r>
    </w:p>
    <w:p>
      <w:pPr>
        <w:spacing w:after="0" w:line="8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28, 2024, the Company contracted with a load serving entity to sell approximately 90 MW of Marsh Landing’s RA commencing in September 2026 and ending in December 2030. Marsh Landing is now contracted for 100% of its capacity through the majority of 2026 and approximately 74% of its capacity through 2027.</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Facility-level Financing Activities</w:t>
      </w:r>
    </w:p>
    <w:p>
      <w:pPr>
        <w:spacing w:after="0" w:line="136" w:lineRule="exact"/>
        <w:rPr>
          <w:sz w:val="20"/>
          <w:szCs w:val="20"/>
          <w:color w:val="auto"/>
        </w:rPr>
      </w:pPr>
    </w:p>
    <w:p>
      <w:pPr>
        <w:ind w:left="520" w:hanging="260"/>
        <w:spacing w:after="0" w:line="290"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connection with the 2024 Drop Down of Texas Solar Nova 2, the Company assumed non-recourse facility-level debt. See Note 7,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for further discussion of the non-recourse facility-level debt.</w:t>
      </w:r>
    </w:p>
    <w:p>
      <w:pPr>
        <w:spacing w:after="0" w:line="79" w:lineRule="exact"/>
        <w:rPr>
          <w:rFonts w:ascii="Times New Roman" w:cs="Times New Roman" w:eastAsia="Times New Roman" w:hAnsi="Times New Roman"/>
          <w:sz w:val="14"/>
          <w:szCs w:val="14"/>
          <w:color w:val="auto"/>
        </w:rPr>
      </w:pPr>
    </w:p>
    <w:p>
      <w:pPr>
        <w:jc w:val="both"/>
        <w:ind w:left="520" w:hanging="260"/>
        <w:spacing w:after="0" w:line="261"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May 1, 2024, when the Victory Pass and Arica solar and BESS facilities reached substantial completion, the Company paid $165 million to Clearway Renew as an additional purchase price, in connection with the Company’s acquisition of the Class A membership interests in VP-Arica TargetCo LLC on October 31, 2023. Also on May 1, 2024, the cash equity investor contributed an additional $347 million, the tax equity investor contributed an additional $410 million and CEG contributed $52 million, which were utilized, along with the $103 million in escrow, to repay the cash equity bridge loan, to repay the tax equity bridge loan, to fund construction completion reserves and to pay associated fees. See Note 7,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for further discussion of the non-recourse facility-level debt.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Matters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and state environmental laws have historically become more stringent over time, although this trend could change in the future.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1" w:name="page32"/>
    <w:bookmarkEnd w:id="31"/>
    <w:p>
      <w:pPr>
        <w:ind w:right="1320" w:firstLine="318"/>
        <w:spacing w:after="0" w:line="442" w:lineRule="auto"/>
        <w:rPr>
          <w:sz w:val="20"/>
          <w:szCs w:val="20"/>
          <w:color w:val="auto"/>
        </w:rPr>
      </w:pPr>
      <w:r>
        <w:rPr>
          <w:rFonts w:ascii="Times New Roman" w:cs="Times New Roman" w:eastAsia="Times New Roman" w:hAnsi="Times New Roman"/>
          <w:sz w:val="14"/>
          <w:szCs w:val="14"/>
          <w:color w:val="auto"/>
        </w:rPr>
        <w:t xml:space="preserve">The Company’s environmental matters are further described in the Company’s 2023 Form 10-K in Item 1,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Environmental Matters</w:t>
      </w:r>
      <w:r>
        <w:rPr>
          <w:rFonts w:ascii="Times New Roman" w:cs="Times New Roman" w:eastAsia="Times New Roman" w:hAnsi="Times New Roman"/>
          <w:sz w:val="14"/>
          <w:szCs w:val="14"/>
          <w:color w:val="auto"/>
        </w:rPr>
        <w:t xml:space="preserve"> and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Regulatory Matters</w:t>
      </w:r>
    </w:p>
    <w:p>
      <w:pPr>
        <w:spacing w:after="0" w:line="1"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The following disclosures about the Company’s regulatory matters provide an update to, and should be read in conjunction with, Item 1,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Regulatory Matters</w:t>
      </w:r>
      <w:r>
        <w:rPr>
          <w:rFonts w:ascii="Times New Roman" w:cs="Times New Roman" w:eastAsia="Times New Roman" w:hAnsi="Times New Roman"/>
          <w:sz w:val="14"/>
          <w:szCs w:val="14"/>
          <w:color w:val="auto"/>
        </w:rPr>
        <w:t xml:space="preserve"> and Item 1A, </w:t>
      </w:r>
      <w:r>
        <w:rPr>
          <w:rFonts w:ascii="Times New Roman" w:cs="Times New Roman" w:eastAsia="Times New Roman" w:hAnsi="Times New Roman"/>
          <w:sz w:val="14"/>
          <w:szCs w:val="14"/>
          <w:i w:val="1"/>
          <w:iCs w:val="1"/>
          <w:color w:val="auto"/>
        </w:rPr>
        <w:t>Risk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Factors</w:t>
      </w:r>
      <w:r>
        <w:rPr>
          <w:rFonts w:ascii="Times New Roman" w:cs="Times New Roman" w:eastAsia="Times New Roman" w:hAnsi="Times New Roman"/>
          <w:sz w:val="14"/>
          <w:szCs w:val="14"/>
          <w:color w:val="auto"/>
        </w:rPr>
        <w:t>, of the Company’s 2023 Form 10-K</w:t>
      </w:r>
      <w:r>
        <w:rPr>
          <w:rFonts w:ascii="Times New Roman" w:cs="Times New Roman" w:eastAsia="Times New Roman" w:hAnsi="Times New Roman"/>
          <w:sz w:val="14"/>
          <w:szCs w:val="14"/>
          <w:i w:val="1"/>
          <w:iCs w:val="1"/>
          <w:color w:val="auto"/>
        </w:rPr>
        <w:t>.</w:t>
      </w:r>
    </w:p>
    <w:p>
      <w:pPr>
        <w:spacing w:after="0" w:line="80"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On March 6, 2024, the SEC adopted a new set of rules that require a wide range of climate-related disclosures, including material climate-related risks, information on any climate-related targets or goals that are material to the registrant’s business, results of operations or financial condition, Scope 1 and Scope 2 GHG emissions on a phased-in basis by certain larger registrants when those emissions are material and the filing of an attestation report covering the same, and disclosure of the financial statement effects of severe weather events and other natural conditions including costs and losses. Compliance dates under the final rule are phased in by registrant category. Multiple lawsuits have been filed challenging the SEC’s new climate rules, which have been consolidated and will be heard in the U.S. Court of Appeals for the Eighth Circuit. On April 4, 2024, the SEC issued an order staying the final rules until judicial review is complete.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color w:val="auto"/>
        </w:rPr>
        <w:t>Consolidated Results of Operations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provides selected financial information:</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7"/>
          </w:tcPr>
          <w:p>
            <w:pPr>
              <w:ind w:left="58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0" w:type="dxa"/>
            <w:vAlign w:val="bottom"/>
            <w:tcBorders>
              <w:bottom w:val="single" w:sz="8" w:color="auto"/>
            </w:tcBorders>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(In millions)</w:t>
            </w:r>
          </w:p>
        </w:tc>
        <w:tc>
          <w:tcPr>
            <w:tcW w:w="692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right"/>
              <w:ind w:right="311"/>
              <w:spacing w:after="0" w:line="117"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gridSpan w:val="2"/>
          </w:tcPr>
          <w:p>
            <w:pPr>
              <w:jc w:val="right"/>
              <w:ind w:right="309"/>
              <w:spacing w:after="0" w:line="117"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gridSpan w:val="2"/>
          </w:tcPr>
          <w:p>
            <w:pPr>
              <w:jc w:val="right"/>
              <w:ind w:right="300"/>
              <w:spacing w:after="0" w:line="117" w:lineRule="exact"/>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75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Operating Revenues</w:t>
            </w: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752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7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Energy and capacity revenues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460" w:type="dxa"/>
            <w:vAlign w:val="bottom"/>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5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Other revenues</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Contract amortization</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752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4"/>
                <w:szCs w:val="14"/>
                <w:color w:val="auto"/>
              </w:rPr>
              <w:t>Mark-to-market for economic hedges</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5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operating revenues</w:t>
            </w: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Operating Costs and Expenses</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Cost of fuels</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5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Operations and maintenance</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Mark-to-market for economic hedges</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5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Other costs of operations</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5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Transaction and integration costs</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752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4"/>
                <w:szCs w:val="14"/>
                <w:color w:val="auto"/>
              </w:rPr>
              <w:t>Total operating costs and expenses</w:t>
            </w:r>
          </w:p>
        </w:tc>
        <w:tc>
          <w:tcPr>
            <w:tcW w:w="2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(Loss) Income</w:t>
            </w: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Equity in earnings (losses) of unconsolidated affiliates</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5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Other income, net</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5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Derivative interest income (expense)</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interest expense</w:t>
            </w:r>
          </w:p>
        </w:tc>
        <w:tc>
          <w:tcPr>
            <w:tcW w:w="2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752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4"/>
                <w:szCs w:val="14"/>
                <w:color w:val="auto"/>
              </w:rPr>
              <w:t>Total other expense, net</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752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4"/>
                <w:szCs w:val="14"/>
                <w:color w:val="auto"/>
              </w:rPr>
              <w:t>Less: Net loss attributable to noncontrolling interests and redeemable noncontrolling interests</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7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Loss Attributable to Clearway Energy LLC</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gridSpan w:val="2"/>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7"/>
          </w:tcPr>
          <w:p>
            <w:pPr>
              <w:ind w:left="52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0" w:type="dxa"/>
            <w:vAlign w:val="bottom"/>
            <w:tcBorders>
              <w:bottom w:val="single" w:sz="8" w:color="CCEEFF"/>
            </w:tcBorders>
          </w:tcPr>
          <w:p>
            <w:pPr>
              <w:spacing w:after="0"/>
              <w:rPr>
                <w:sz w:val="14"/>
                <w:szCs w:val="14"/>
                <w:color w:val="auto"/>
              </w:rPr>
            </w:pPr>
          </w:p>
        </w:tc>
        <w:tc>
          <w:tcPr>
            <w:tcW w:w="7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Business metrics:</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480" w:type="dxa"/>
            <w:vAlign w:val="bottom"/>
            <w:gridSpan w:val="2"/>
            <w:shd w:val="clear" w:color="auto" w:fill="CCEEFF"/>
          </w:tcPr>
          <w:p>
            <w:pPr>
              <w:ind w:left="80"/>
              <w:spacing w:after="0" w:line="171" w:lineRule="exact"/>
              <w:rPr>
                <w:sz w:val="20"/>
                <w:szCs w:val="20"/>
                <w:color w:val="auto"/>
              </w:rPr>
            </w:pPr>
            <w:r>
              <w:rPr>
                <w:rFonts w:ascii="Times New Roman" w:cs="Times New Roman" w:eastAsia="Times New Roman" w:hAnsi="Times New Roman"/>
                <w:sz w:val="14"/>
                <w:szCs w:val="14"/>
                <w:color w:val="auto"/>
              </w:rPr>
              <w:t xml:space="preserve">Solar MWh generated/sold (in thousands) </w:t>
            </w:r>
            <w:r>
              <w:rPr>
                <w:rFonts w:ascii="Times New Roman" w:cs="Times New Roman" w:eastAsia="Times New Roman" w:hAnsi="Times New Roman"/>
                <w:sz w:val="18"/>
                <w:szCs w:val="18"/>
                <w:color w:val="auto"/>
                <w:vertAlign w:val="superscript"/>
              </w:rPr>
              <w:t>(a)</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1,443</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866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7480" w:type="dxa"/>
            <w:vAlign w:val="bottom"/>
            <w:tcBorders>
              <w:bottom w:val="single" w:sz="8" w:color="CCEEFF"/>
            </w:tcBorders>
            <w:gridSpan w:val="2"/>
          </w:tcPr>
          <w:p>
            <w:pPr>
              <w:ind w:left="60"/>
              <w:spacing w:after="0" w:line="181" w:lineRule="exact"/>
              <w:rPr>
                <w:sz w:val="20"/>
                <w:szCs w:val="20"/>
                <w:color w:val="auto"/>
              </w:rPr>
            </w:pPr>
            <w:r>
              <w:rPr>
                <w:rFonts w:ascii="Times New Roman" w:cs="Times New Roman" w:eastAsia="Times New Roman" w:hAnsi="Times New Roman"/>
                <w:sz w:val="14"/>
                <w:szCs w:val="14"/>
                <w:color w:val="auto"/>
              </w:rPr>
              <w:t xml:space="preserve">Wind MWh generated/sold (in thousands) </w:t>
            </w:r>
            <w:r>
              <w:rPr>
                <w:rFonts w:ascii="Times New Roman" w:cs="Times New Roman" w:eastAsia="Times New Roman" w:hAnsi="Times New Roman"/>
                <w:sz w:val="18"/>
                <w:szCs w:val="18"/>
                <w:color w:val="auto"/>
                <w:vertAlign w:val="superscript"/>
              </w:rPr>
              <w:t>(a)</w:t>
            </w: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109"/>
              <w:spacing w:after="0"/>
              <w:rPr>
                <w:sz w:val="20"/>
                <w:szCs w:val="20"/>
                <w:color w:val="auto"/>
              </w:rPr>
            </w:pPr>
            <w:r>
              <w:rPr>
                <w:rFonts w:ascii="Times New Roman" w:cs="Times New Roman" w:eastAsia="Times New Roman" w:hAnsi="Times New Roman"/>
                <w:sz w:val="14"/>
                <w:szCs w:val="14"/>
                <w:color w:val="auto"/>
              </w:rPr>
              <w:t>2,519</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2,744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7520" w:type="dxa"/>
            <w:vAlign w:val="bottom"/>
            <w:gridSpan w:val="3"/>
            <w:shd w:val="clear" w:color="auto" w:fill="CCEEFF"/>
          </w:tcPr>
          <w:p>
            <w:pPr>
              <w:spacing w:after="0" w:line="171" w:lineRule="exact"/>
              <w:rPr>
                <w:sz w:val="20"/>
                <w:szCs w:val="20"/>
                <w:color w:val="auto"/>
              </w:rPr>
            </w:pPr>
            <w:r>
              <w:rPr>
                <w:rFonts w:ascii="Times New Roman" w:cs="Times New Roman" w:eastAsia="Times New Roman" w:hAnsi="Times New Roman"/>
                <w:sz w:val="14"/>
                <w:szCs w:val="14"/>
                <w:color w:val="auto"/>
              </w:rPr>
              <w:t xml:space="preserve">Renewables MWh generated/sold (in thousands) </w:t>
            </w:r>
            <w:r>
              <w:rPr>
                <w:rFonts w:ascii="Times New Roman" w:cs="Times New Roman" w:eastAsia="Times New Roman" w:hAnsi="Times New Roman"/>
                <w:sz w:val="18"/>
                <w:szCs w:val="18"/>
                <w:color w:val="auto"/>
                <w:vertAlign w:val="superscript"/>
              </w:rPr>
              <w:t>(a)</w:t>
            </w:r>
          </w:p>
        </w:tc>
        <w:tc>
          <w:tcPr>
            <w:tcW w:w="24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3,962</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3,610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80" w:type="dxa"/>
            <w:vAlign w:val="bottom"/>
            <w:tcBorders>
              <w:top w:val="single" w:sz="8" w:color="CCEEFF"/>
              <w:bottom w:val="single" w:sz="8" w:color="CCEEFF"/>
            </w:tcBorders>
            <w:gridSpan w:val="2"/>
            <w:vMerge w:val="restart"/>
          </w:tcPr>
          <w:p>
            <w:pPr>
              <w:spacing w:after="0" w:line="182" w:lineRule="exact"/>
              <w:rPr>
                <w:sz w:val="20"/>
                <w:szCs w:val="20"/>
                <w:color w:val="auto"/>
              </w:rPr>
            </w:pPr>
            <w:r>
              <w:rPr>
                <w:rFonts w:ascii="Times New Roman" w:cs="Times New Roman" w:eastAsia="Times New Roman" w:hAnsi="Times New Roman"/>
                <w:sz w:val="14"/>
                <w:szCs w:val="14"/>
                <w:color w:val="auto"/>
              </w:rPr>
              <w:t xml:space="preserve">Solar weighted-average capacity factor </w:t>
            </w:r>
            <w:r>
              <w:rPr>
                <w:rFonts w:ascii="Times New Roman" w:cs="Times New Roman" w:eastAsia="Times New Roman" w:hAnsi="Times New Roman"/>
                <w:sz w:val="18"/>
                <w:szCs w:val="18"/>
                <w:color w:val="auto"/>
                <w:vertAlign w:val="superscript"/>
              </w:rPr>
              <w:t>(b)</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4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21.0 %</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19.9 %</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520" w:type="dxa"/>
            <w:vAlign w:val="bottom"/>
            <w:gridSpan w:val="3"/>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 xml:space="preserve">Wind weighted-average capacity factor </w:t>
            </w:r>
            <w:r>
              <w:rPr>
                <w:rFonts w:ascii="Times New Roman" w:cs="Times New Roman" w:eastAsia="Times New Roman" w:hAnsi="Times New Roman"/>
                <w:sz w:val="18"/>
                <w:szCs w:val="18"/>
                <w:color w:val="auto"/>
                <w:vertAlign w:val="superscript"/>
              </w:rPr>
              <w:t>(c)</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31.0 %</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33.6 %</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Conventional MWh generated (in thousands)</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Conventional equivalent availability factor</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86.3 %</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74.4 %</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135445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54455" cy="6985"/>
                    </a:xfrm>
                    <a:prstGeom prst="rect">
                      <a:avLst/>
                    </a:prstGeom>
                    <a:noFill/>
                  </pic:spPr>
                </pic:pic>
              </a:graphicData>
            </a:graphic>
          </wp:anchor>
        </w:drawing>
      </w:r>
    </w:p>
    <w:p>
      <w:pPr>
        <w:spacing w:after="0" w:line="126" w:lineRule="exact"/>
        <w:rPr>
          <w:sz w:val="20"/>
          <w:szCs w:val="20"/>
          <w:color w:val="auto"/>
        </w:rPr>
      </w:pPr>
    </w:p>
    <w:p>
      <w:pPr>
        <w:ind w:left="200" w:hanging="131"/>
        <w:spacing w:after="0"/>
        <w:tabs>
          <w:tab w:leader="none" w:pos="200" w:val="left"/>
        </w:tabs>
        <w:numPr>
          <w:ilvl w:val="0"/>
          <w:numId w:val="1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Volumes do not include the MWh generated/sold by the Company’s equity method investments.</w:t>
      </w:r>
    </w:p>
    <w:p>
      <w:pPr>
        <w:spacing w:after="0" w:line="3" w:lineRule="exact"/>
        <w:rPr>
          <w:rFonts w:ascii="Times New Roman" w:cs="Times New Roman" w:eastAsia="Times New Roman" w:hAnsi="Times New Roman"/>
          <w:sz w:val="17"/>
          <w:szCs w:val="17"/>
          <w:color w:val="auto"/>
          <w:vertAlign w:val="superscript"/>
        </w:rPr>
      </w:pPr>
    </w:p>
    <w:p>
      <w:pPr>
        <w:ind w:left="200" w:hanging="131"/>
        <w:spacing w:after="0" w:line="187" w:lineRule="auto"/>
        <w:tabs>
          <w:tab w:leader="none" w:pos="200" w:val="left"/>
        </w:tabs>
        <w:numPr>
          <w:ilvl w:val="0"/>
          <w:numId w:val="1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Typical average capacity factors for solar facilities is 25%. The weighted-average capacity factors can vary based on seasonality and weather.</w:t>
      </w:r>
    </w:p>
    <w:p>
      <w:pPr>
        <w:spacing w:after="0" w:line="14" w:lineRule="exact"/>
        <w:rPr>
          <w:rFonts w:ascii="Times New Roman" w:cs="Times New Roman" w:eastAsia="Times New Roman" w:hAnsi="Times New Roman"/>
          <w:sz w:val="15"/>
          <w:szCs w:val="15"/>
          <w:color w:val="auto"/>
          <w:vertAlign w:val="superscript"/>
        </w:rPr>
      </w:pPr>
    </w:p>
    <w:p>
      <w:pPr>
        <w:ind w:left="200" w:hanging="131"/>
        <w:spacing w:after="0" w:line="187" w:lineRule="auto"/>
        <w:tabs>
          <w:tab w:leader="none" w:pos="200" w:val="left"/>
        </w:tabs>
        <w:numPr>
          <w:ilvl w:val="0"/>
          <w:numId w:val="1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Typical average capacity factors for wind facilities is 25-45%. The weighted-average capacity factors can vary based on seasonality and weather.</w:t>
      </w:r>
    </w:p>
    <w:p>
      <w:pPr>
        <w:spacing w:after="0" w:line="200" w:lineRule="exact"/>
        <w:rPr>
          <w:sz w:val="20"/>
          <w:szCs w:val="20"/>
          <w:color w:val="auto"/>
        </w:rPr>
      </w:pPr>
    </w:p>
    <w:p>
      <w:pPr>
        <w:spacing w:after="0" w:line="24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00"/>
          </w:cols>
          <w:pgMar w:left="300" w:top="728" w:right="8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color w:val="auto"/>
        </w:rPr>
        <w:t>Management’s Discussion of the Results of Operations for the Three Months Ended March 31, 2024 and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Revenues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Operating revenues decreased by $25 million during the three months ended March 31, 2024, compared to the same period in 2023, due to a combination of the drivers summarized in the table below:</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00" w:type="dxa"/>
            <w:vAlign w:val="bottom"/>
            <w:tcBorders>
              <w:bottom w:val="single" w:sz="8" w:color="CCEEFF"/>
            </w:tcBorders>
          </w:tcPr>
          <w:p>
            <w:pPr>
              <w:spacing w:after="0"/>
              <w:rPr>
                <w:sz w:val="14"/>
                <w:szCs w:val="14"/>
                <w:color w:val="auto"/>
              </w:rPr>
            </w:pPr>
          </w:p>
        </w:tc>
        <w:tc>
          <w:tcPr>
            <w:tcW w:w="75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20"/>
        </w:trPr>
        <w:tc>
          <w:tcPr>
            <w:tcW w:w="2400" w:type="dxa"/>
            <w:vAlign w:val="bottom"/>
            <w:shd w:val="clear" w:color="auto" w:fill="CCEEFF"/>
          </w:tcPr>
          <w:p>
            <w:pPr>
              <w:ind w:left="20"/>
              <w:spacing w:after="0" w:line="120" w:lineRule="exact"/>
              <w:rPr>
                <w:sz w:val="20"/>
                <w:szCs w:val="20"/>
                <w:color w:val="auto"/>
              </w:rPr>
            </w:pPr>
            <w:r>
              <w:rPr>
                <w:rFonts w:ascii="Times New Roman" w:cs="Times New Roman" w:eastAsia="Times New Roman" w:hAnsi="Times New Roman"/>
                <w:sz w:val="13"/>
                <w:szCs w:val="13"/>
                <w:b w:val="1"/>
                <w:bCs w:val="1"/>
                <w:color w:val="auto"/>
              </w:rPr>
              <w:t>Conventional Segment</w:t>
            </w:r>
          </w:p>
        </w:tc>
        <w:tc>
          <w:tcPr>
            <w:tcW w:w="7520" w:type="dxa"/>
            <w:vAlign w:val="bottom"/>
            <w:shd w:val="clear" w:color="auto" w:fill="CCEEFF"/>
          </w:tcPr>
          <w:p>
            <w:pPr>
              <w:ind w:left="260"/>
              <w:spacing w:after="0" w:line="120" w:lineRule="exact"/>
              <w:rPr>
                <w:sz w:val="20"/>
                <w:szCs w:val="20"/>
                <w:color w:val="auto"/>
              </w:rPr>
            </w:pPr>
            <w:r>
              <w:rPr>
                <w:rFonts w:ascii="Times New Roman" w:cs="Times New Roman" w:eastAsia="Times New Roman" w:hAnsi="Times New Roman"/>
                <w:sz w:val="13"/>
                <w:szCs w:val="13"/>
                <w:color w:val="auto"/>
              </w:rPr>
              <w:t>Decrease primarily driven by lower prices for capacity revenue due to the expiration of PPAs and commencement of RA</w:t>
            </w: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191"/>
        </w:trPr>
        <w:tc>
          <w:tcPr>
            <w:tcW w:w="2400" w:type="dxa"/>
            <w:vAlign w:val="bottom"/>
            <w:shd w:val="clear" w:color="auto" w:fill="CCEEFF"/>
          </w:tcPr>
          <w:p>
            <w:pPr>
              <w:spacing w:after="0"/>
              <w:rPr>
                <w:sz w:val="16"/>
                <w:szCs w:val="16"/>
                <w:color w:val="auto"/>
              </w:rPr>
            </w:pPr>
          </w:p>
        </w:tc>
        <w:tc>
          <w:tcPr>
            <w:tcW w:w="7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capacity revenue at the Walnut Creek, Marsh Landing and El Segundo facilities during 2023.</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38"/>
        </w:trPr>
        <w:tc>
          <w:tcPr>
            <w:tcW w:w="2400" w:type="dxa"/>
            <w:vAlign w:val="bottom"/>
          </w:tcPr>
          <w:p>
            <w:pPr>
              <w:spacing w:after="0"/>
              <w:rPr>
                <w:sz w:val="11"/>
                <w:szCs w:val="11"/>
                <w:color w:val="auto"/>
              </w:rPr>
            </w:pPr>
          </w:p>
        </w:tc>
        <w:tc>
          <w:tcPr>
            <w:tcW w:w="7520" w:type="dxa"/>
            <w:vAlign w:val="bottom"/>
          </w:tcPr>
          <w:p>
            <w:pPr>
              <w:ind w:left="260"/>
              <w:spacing w:after="0" w:line="138" w:lineRule="exact"/>
              <w:rPr>
                <w:sz w:val="20"/>
                <w:szCs w:val="20"/>
                <w:color w:val="auto"/>
              </w:rPr>
            </w:pPr>
            <w:r>
              <w:rPr>
                <w:rFonts w:ascii="Times New Roman" w:cs="Times New Roman" w:eastAsia="Times New Roman" w:hAnsi="Times New Roman"/>
                <w:sz w:val="14"/>
                <w:szCs w:val="14"/>
                <w:color w:val="auto"/>
              </w:rPr>
              <w:t>Increase primarily driven by higher energy revenue due to the commencement of merchant operations following the expiration</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44"/>
        </w:trPr>
        <w:tc>
          <w:tcPr>
            <w:tcW w:w="2400" w:type="dxa"/>
            <w:vAlign w:val="bottom"/>
          </w:tcPr>
          <w:p>
            <w:pPr>
              <w:spacing w:after="0"/>
              <w:rPr>
                <w:sz w:val="12"/>
                <w:szCs w:val="12"/>
                <w:color w:val="auto"/>
              </w:rPr>
            </w:pPr>
          </w:p>
        </w:tc>
        <w:tc>
          <w:tcPr>
            <w:tcW w:w="7520" w:type="dxa"/>
            <w:vAlign w:val="bottom"/>
          </w:tcPr>
          <w:p>
            <w:pPr>
              <w:ind w:left="260"/>
              <w:spacing w:after="0" w:line="145" w:lineRule="exact"/>
              <w:rPr>
                <w:sz w:val="20"/>
                <w:szCs w:val="20"/>
                <w:color w:val="auto"/>
              </w:rPr>
            </w:pPr>
            <w:r>
              <w:rPr>
                <w:rFonts w:ascii="Times New Roman" w:cs="Times New Roman" w:eastAsia="Times New Roman" w:hAnsi="Times New Roman"/>
                <w:sz w:val="14"/>
                <w:szCs w:val="14"/>
                <w:color w:val="auto"/>
              </w:rPr>
              <w:t>of PPAs at the Walnut Creek and Marsh Landing facilities during the second quarter of 2023 and the El Segundo facility during</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84"/>
        </w:trPr>
        <w:tc>
          <w:tcPr>
            <w:tcW w:w="2400" w:type="dxa"/>
            <w:vAlign w:val="bottom"/>
          </w:tcPr>
          <w:p>
            <w:pPr>
              <w:spacing w:after="0"/>
              <w:rPr>
                <w:sz w:val="16"/>
                <w:szCs w:val="16"/>
                <w:color w:val="auto"/>
              </w:rPr>
            </w:pPr>
          </w:p>
        </w:tc>
        <w:tc>
          <w:tcPr>
            <w:tcW w:w="7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third quarter of 2023.</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1"/>
        </w:trPr>
        <w:tc>
          <w:tcPr>
            <w:tcW w:w="2400" w:type="dxa"/>
            <w:vAlign w:val="bottom"/>
            <w:shd w:val="clear" w:color="auto" w:fill="CCEEFF"/>
          </w:tcPr>
          <w:p>
            <w:pPr>
              <w:spacing w:after="0"/>
              <w:rPr>
                <w:sz w:val="15"/>
                <w:szCs w:val="15"/>
                <w:color w:val="auto"/>
              </w:rPr>
            </w:pPr>
          </w:p>
        </w:tc>
        <w:tc>
          <w:tcPr>
            <w:tcW w:w="7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Increase driven by lower availability at El Segundo facility in 2023 due to the timing of annual planned maintenance outages.</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38"/>
        </w:trPr>
        <w:tc>
          <w:tcPr>
            <w:tcW w:w="24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Renewables Segment</w:t>
            </w:r>
          </w:p>
        </w:tc>
        <w:tc>
          <w:tcPr>
            <w:tcW w:w="7520" w:type="dxa"/>
            <w:vAlign w:val="bottom"/>
          </w:tcPr>
          <w:p>
            <w:pPr>
              <w:ind w:left="260"/>
              <w:spacing w:after="0" w:line="138" w:lineRule="exact"/>
              <w:rPr>
                <w:sz w:val="20"/>
                <w:szCs w:val="20"/>
                <w:color w:val="auto"/>
              </w:rPr>
            </w:pPr>
            <w:r>
              <w:rPr>
                <w:rFonts w:ascii="Times New Roman" w:cs="Times New Roman" w:eastAsia="Times New Roman" w:hAnsi="Times New Roman"/>
                <w:sz w:val="14"/>
                <w:szCs w:val="14"/>
                <w:color w:val="auto"/>
              </w:rPr>
              <w:t>Increase for solar and BESS acquisitions driven by Daggett 2, Daggett 3 and Arica, which reached commercial operations in</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91"/>
        </w:trPr>
        <w:tc>
          <w:tcPr>
            <w:tcW w:w="2400" w:type="dxa"/>
            <w:vAlign w:val="bottom"/>
          </w:tcPr>
          <w:p>
            <w:pPr>
              <w:spacing w:after="0"/>
              <w:rPr>
                <w:sz w:val="16"/>
                <w:szCs w:val="16"/>
                <w:color w:val="auto"/>
              </w:rPr>
            </w:pPr>
          </w:p>
        </w:tc>
        <w:tc>
          <w:tcPr>
            <w:tcW w:w="7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December 2023, July 2023 and March 2024, respectively, and the acquisition of Texas Solar Nova 1 in December 2023.</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1"/>
        </w:trPr>
        <w:tc>
          <w:tcPr>
            <w:tcW w:w="2400" w:type="dxa"/>
            <w:vAlign w:val="bottom"/>
            <w:shd w:val="clear" w:color="auto" w:fill="CCEEFF"/>
          </w:tcPr>
          <w:p>
            <w:pPr>
              <w:spacing w:after="0"/>
              <w:rPr>
                <w:sz w:val="15"/>
                <w:szCs w:val="15"/>
                <w:color w:val="auto"/>
              </w:rPr>
            </w:pPr>
          </w:p>
        </w:tc>
        <w:tc>
          <w:tcPr>
            <w:tcW w:w="7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Increase driven by higher wind production primarily at the Alta wind facilities.</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Contract amortization</w:t>
            </w:r>
          </w:p>
        </w:tc>
        <w:tc>
          <w:tcPr>
            <w:tcW w:w="7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Decrease driven by the Walnut Creek PPA, which was fully amortized during the second quarter of 2023.</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38"/>
        </w:trPr>
        <w:tc>
          <w:tcPr>
            <w:tcW w:w="24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Mark-to-market economic hedging</w:t>
            </w:r>
          </w:p>
        </w:tc>
        <w:tc>
          <w:tcPr>
            <w:tcW w:w="7520" w:type="dxa"/>
            <w:vAlign w:val="bottom"/>
            <w:shd w:val="clear" w:color="auto" w:fill="CCEEFF"/>
          </w:tcPr>
          <w:p>
            <w:pPr>
              <w:ind w:left="260"/>
              <w:spacing w:after="0" w:line="138" w:lineRule="exact"/>
              <w:rPr>
                <w:sz w:val="20"/>
                <w:szCs w:val="20"/>
                <w:color w:val="auto"/>
              </w:rPr>
            </w:pPr>
            <w:r>
              <w:rPr>
                <w:rFonts w:ascii="Times New Roman" w:cs="Times New Roman" w:eastAsia="Times New Roman" w:hAnsi="Times New Roman"/>
                <w:sz w:val="14"/>
                <w:szCs w:val="14"/>
                <w:color w:val="auto"/>
              </w:rPr>
              <w:t>Decrease driven by increases in forward power prices in the ERCOT and PJM markets.</w:t>
            </w: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91"/>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7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38"/>
        </w:trPr>
        <w:tc>
          <w:tcPr>
            <w:tcW w:w="2400" w:type="dxa"/>
            <w:vAlign w:val="bottom"/>
          </w:tcPr>
          <w:p>
            <w:pPr>
              <w:spacing w:after="0"/>
              <w:rPr>
                <w:sz w:val="11"/>
                <w:szCs w:val="11"/>
                <w:color w:val="auto"/>
              </w:rPr>
            </w:pPr>
          </w:p>
        </w:tc>
        <w:tc>
          <w:tcPr>
            <w:tcW w:w="7520" w:type="dxa"/>
            <w:vAlign w:val="bottom"/>
          </w:tcPr>
          <w:p>
            <w:pPr>
              <w:ind w:left="260"/>
              <w:spacing w:after="0" w:line="138" w:lineRule="exact"/>
              <w:rPr>
                <w:sz w:val="20"/>
                <w:szCs w:val="20"/>
                <w:color w:val="auto"/>
              </w:rPr>
            </w:pPr>
            <w:r>
              <w:rPr>
                <w:rFonts w:ascii="Times New Roman" w:cs="Times New Roman" w:eastAsia="Times New Roman" w:hAnsi="Times New Roman"/>
                <w:sz w:val="14"/>
                <w:szCs w:val="14"/>
                <w:color w:val="auto"/>
              </w:rPr>
              <w:t>Increase due to heat rate call option contracts entered into by El Segundo, Marsh Landing and Walnut Creek during the fourth</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91"/>
        </w:trPr>
        <w:tc>
          <w:tcPr>
            <w:tcW w:w="2400" w:type="dxa"/>
            <w:vAlign w:val="bottom"/>
            <w:tcBorders>
              <w:bottom w:val="single" w:sz="8" w:color="CCEEFF"/>
            </w:tcBorders>
          </w:tcPr>
          <w:p>
            <w:pPr>
              <w:spacing w:after="0"/>
              <w:rPr>
                <w:sz w:val="16"/>
                <w:szCs w:val="16"/>
                <w:color w:val="auto"/>
              </w:rPr>
            </w:pPr>
          </w:p>
        </w:tc>
        <w:tc>
          <w:tcPr>
            <w:tcW w:w="75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quarter of 2023.</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96"/>
        </w:trPr>
        <w:tc>
          <w:tcPr>
            <w:tcW w:w="2400" w:type="dxa"/>
            <w:vAlign w:val="bottom"/>
            <w:tcBorders>
              <w:bottom w:val="single" w:sz="8" w:color="CCEEFF"/>
            </w:tcBorders>
            <w:shd w:val="clear" w:color="auto" w:fill="CCEEFF"/>
          </w:tcPr>
          <w:p>
            <w:pPr>
              <w:spacing w:after="0"/>
              <w:rPr>
                <w:sz w:val="16"/>
                <w:szCs w:val="16"/>
                <w:color w:val="auto"/>
              </w:rPr>
            </w:pPr>
          </w:p>
        </w:tc>
        <w:tc>
          <w:tcPr>
            <w:tcW w:w="75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7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Fuels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Cost of fuels increased by $14 million during the three months ended March 31, 2024, compared to the same period in 2023, primarily driven by fuel purchases and the related cost of emissions obligations as a result of the expiration of PPAs and the commencement of merchant operations at the Walnut Creek and Marsh Landing facilities in the second quarter of 2023 and the El Segundo facility in the third quarter of 2023.</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Depreciation, Amortization and Accretion</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Depreciation, amortization and accretion increased $26 million during the three months ended March 31, 2024, compared to the same period in 2023, due to a $27 million increase in the Renewables segment primarily related to the Daggett 2 and Daggett 3 solar and BESS facilities, which reached commercial operations in December 2023 and July 2023, respectively, and the acquisition of the Texas Solar Nova 1 solar facility in December 2023, offset by a $1 million decrease in the Conventional segment.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Interest expense decreased by $42 million during the three months ended March 31, 2024, compared to the same period in 2023, primarily due to the following:</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9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17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interest rate swaps due to changes in interest rates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38"/>
        </w:trPr>
        <w:tc>
          <w:tcPr>
            <w:tcW w:w="992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Increase in interest expense for the Renewables segment primarily due to the Daggett 2 and Daggett 3 solar and BESS acquisitions in February 2023 and August 2023,</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respectively, and the Texas Solar Nova 1 acquisition in December 2023</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1"/>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992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0"/>
        </w:trPr>
        <w:tc>
          <w:tcPr>
            <w:tcW w:w="9920" w:type="dxa"/>
            <w:vAlign w:val="bottom"/>
            <w:vMerge w:val="restart"/>
          </w:tcPr>
          <w:p>
            <w:pPr>
              <w:ind w:left="5580"/>
              <w:spacing w:after="0"/>
              <w:rPr>
                <w:sz w:val="20"/>
                <w:szCs w:val="20"/>
                <w:color w:val="auto"/>
              </w:rPr>
            </w:pPr>
            <w:r>
              <w:rPr>
                <w:rFonts w:ascii="Times New Roman" w:cs="Times New Roman" w:eastAsia="Times New Roman" w:hAnsi="Times New Roman"/>
                <w:sz w:val="14"/>
                <w:szCs w:val="14"/>
                <w:color w:val="auto"/>
              </w:rPr>
              <w:t>34</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8"/>
        </w:trPr>
        <w:tc>
          <w:tcPr>
            <w:tcW w:w="9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99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 Attributable to Noncontrolling Interests and Redeemable Noncontrolling Interests</w:t>
      </w:r>
    </w:p>
    <w:p>
      <w:pPr>
        <w:spacing w:after="0" w:line="138" w:lineRule="exact"/>
        <w:rPr>
          <w:sz w:val="20"/>
          <w:szCs w:val="20"/>
          <w:color w:val="auto"/>
        </w:rPr>
      </w:pPr>
    </w:p>
    <w:p>
      <w:pPr>
        <w:ind w:firstLine="318"/>
        <w:spacing w:after="0" w:line="263" w:lineRule="auto"/>
        <w:rPr>
          <w:sz w:val="20"/>
          <w:szCs w:val="20"/>
          <w:color w:val="auto"/>
        </w:rPr>
      </w:pPr>
      <w:r>
        <w:rPr>
          <w:rFonts w:ascii="Times New Roman" w:cs="Times New Roman" w:eastAsia="Times New Roman" w:hAnsi="Times New Roman"/>
          <w:sz w:val="14"/>
          <w:szCs w:val="14"/>
          <w:color w:val="auto"/>
        </w:rPr>
        <w:t>For the three months ended March 31, 2024, the Company had a net loss of $33 million attributable to noncontrolling interests and redeemable noncontrolling interests comprised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9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7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Losses attributable to tax equity financing arrangements and the application of the HLBV method</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80"/>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attributable to third-party partnerships</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6"/>
        </w:trPr>
        <w:tc>
          <w:tcPr>
            <w:tcW w:w="99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4"/>
          <w:szCs w:val="14"/>
          <w:color w:val="auto"/>
        </w:rPr>
        <w:t>For the three months ended March 31, 2023, the Company had a net loss of $30 million attributable to noncontrolling interests and redeemable noncontrolling interests comprised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60" w:type="dxa"/>
            <w:vAlign w:val="bottom"/>
            <w:tcBorders>
              <w:bottom w:val="single" w:sz="8" w:color="CCEEFF"/>
            </w:tcBorders>
          </w:tcPr>
          <w:p>
            <w:pPr>
              <w:spacing w:after="0"/>
              <w:rPr>
                <w:sz w:val="14"/>
                <w:szCs w:val="14"/>
                <w:color w:val="auto"/>
              </w:rPr>
            </w:pPr>
          </w:p>
        </w:tc>
        <w:tc>
          <w:tcPr>
            <w:tcW w:w="43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17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Losses attributable to tax equity financing arrangements and the application of the HLBV method</w:t>
            </w:r>
          </w:p>
        </w:tc>
        <w:tc>
          <w:tcPr>
            <w:tcW w:w="436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8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attributable to third-party partnerships</w:t>
            </w:r>
          </w:p>
        </w:tc>
        <w:tc>
          <w:tcPr>
            <w:tcW w:w="43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6"/>
        </w:trPr>
        <w:tc>
          <w:tcPr>
            <w:tcW w:w="5560" w:type="dxa"/>
            <w:vAlign w:val="bottom"/>
            <w:tcBorders>
              <w:bottom w:val="single" w:sz="8" w:color="CCEEFF"/>
            </w:tcBorders>
            <w:shd w:val="clear" w:color="auto" w:fill="CCEEFF"/>
          </w:tcPr>
          <w:p>
            <w:pPr>
              <w:spacing w:after="0"/>
              <w:rPr>
                <w:sz w:val="16"/>
                <w:szCs w:val="16"/>
                <w:color w:val="auto"/>
              </w:rPr>
            </w:pPr>
          </w:p>
        </w:tc>
        <w:tc>
          <w:tcPr>
            <w:tcW w:w="43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bottom w:val="single" w:sz="8" w:color="CCEEFF"/>
            </w:tcBorders>
            <w:vMerge w:val="restart"/>
          </w:tcPr>
          <w:p>
            <w:pPr>
              <w:jc w:val="right"/>
              <w:ind w:right="4129"/>
              <w:spacing w:after="0"/>
              <w:rPr>
                <w:sz w:val="20"/>
                <w:szCs w:val="20"/>
                <w:color w:val="auto"/>
              </w:rPr>
            </w:pPr>
            <w:r>
              <w:rPr>
                <w:rFonts w:ascii="Times New Roman" w:cs="Times New Roman" w:eastAsia="Times New Roman" w:hAnsi="Times New Roman"/>
                <w:sz w:val="14"/>
                <w:szCs w:val="14"/>
                <w:color w:val="auto"/>
                <w:w w:val="99"/>
              </w:rPr>
              <w:t>35</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556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560" w:type="dxa"/>
            <w:vAlign w:val="bottom"/>
            <w:tcBorders>
              <w:bottom w:val="single" w:sz="8" w:color="9A9A9A"/>
            </w:tcBorders>
          </w:tcPr>
          <w:p>
            <w:pPr>
              <w:spacing w:after="0"/>
              <w:rPr>
                <w:sz w:val="7"/>
                <w:szCs w:val="7"/>
                <w:color w:val="auto"/>
              </w:rPr>
            </w:pPr>
          </w:p>
        </w:tc>
        <w:tc>
          <w:tcPr>
            <w:tcW w:w="43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231F20"/>
        </w:rPr>
        <w:t xml:space="preserve">The Company’s principal liquidity requirements are to meet its financial commitments, finance current operations, fund capital expenditures, including acquisitions from time to time, service debt and pay distributions. </w:t>
      </w:r>
      <w:r>
        <w:rPr>
          <w:rFonts w:ascii="Times New Roman" w:cs="Times New Roman" w:eastAsia="Times New Roman" w:hAnsi="Times New Roman"/>
          <w:sz w:val="14"/>
          <w:szCs w:val="14"/>
          <w:color w:val="000000"/>
        </w:rPr>
        <w:t>As a normal part of the Company’s business, depending on market conditions, the Company will from time to time consider opportunities to repay, redeem, repurchase or</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Current Liquidity Position</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As of </w:t>
      </w:r>
      <w:r>
        <w:rPr>
          <w:rFonts w:ascii="Times New Roman" w:cs="Times New Roman" w:eastAsia="Times New Roman" w:hAnsi="Times New Roman"/>
          <w:sz w:val="14"/>
          <w:szCs w:val="14"/>
          <w:color w:val="000000"/>
        </w:rPr>
        <w:t>March 31, 2024</w:t>
      </w:r>
      <w:r>
        <w:rPr>
          <w:rFonts w:ascii="Times New Roman" w:cs="Times New Roman" w:eastAsia="Times New Roman" w:hAnsi="Times New Roman"/>
          <w:sz w:val="14"/>
          <w:szCs w:val="14"/>
          <w:color w:val="231F20"/>
        </w:rPr>
        <w:t xml:space="preserve"> and </w:t>
      </w:r>
      <w:r>
        <w:rPr>
          <w:rFonts w:ascii="Times New Roman" w:cs="Times New Roman" w:eastAsia="Times New Roman" w:hAnsi="Times New Roman"/>
          <w:sz w:val="14"/>
          <w:szCs w:val="14"/>
          <w:color w:val="000000"/>
        </w:rPr>
        <w:t>December 31, 2023</w:t>
      </w:r>
      <w:r>
        <w:rPr>
          <w:rFonts w:ascii="Times New Roman" w:cs="Times New Roman" w:eastAsia="Times New Roman" w:hAnsi="Times New Roman"/>
          <w:sz w:val="14"/>
          <w:szCs w:val="14"/>
          <w:color w:val="231F20"/>
        </w:rPr>
        <w:t>, the Company’s liquidity was approximately $1.44 billion and $1.51 billion, respectively, comprised of cash, restricted cash and availability under the Company’s revolving credit facility.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76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00" w:type="dxa"/>
            <w:vAlign w:val="bottom"/>
          </w:tcPr>
          <w:p>
            <w:pPr>
              <w:spacing w:after="0"/>
              <w:rPr>
                <w:sz w:val="11"/>
                <w:szCs w:val="11"/>
                <w:color w:val="auto"/>
              </w:rPr>
            </w:pP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260" w:type="dxa"/>
            <w:vAlign w:val="bottom"/>
          </w:tcPr>
          <w:p>
            <w:pPr>
              <w:spacing w:after="0"/>
              <w:rPr>
                <w:sz w:val="11"/>
                <w:szCs w:val="11"/>
                <w:color w:val="auto"/>
              </w:rPr>
            </w:pPr>
          </w:p>
        </w:tc>
        <w:tc>
          <w:tcPr>
            <w:tcW w:w="1500" w:type="dxa"/>
            <w:vAlign w:val="bottom"/>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w:t>
            </w:r>
          </w:p>
        </w:tc>
        <w:tc>
          <w:tcPr>
            <w:tcW w:w="3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76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Clearway Energy LLC, excluding subsidiaries</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r>
      <w:tr>
        <w:trPr>
          <w:trHeight w:val="180"/>
        </w:trPr>
        <w:tc>
          <w:tcPr>
            <w:tcW w:w="20" w:type="dxa"/>
            <w:vAlign w:val="bottom"/>
            <w:shd w:val="clear" w:color="auto" w:fill="CCEEFF"/>
          </w:tcPr>
          <w:p>
            <w:pPr>
              <w:spacing w:after="0"/>
              <w:rPr>
                <w:sz w:val="15"/>
                <w:szCs w:val="15"/>
                <w:color w:val="auto"/>
              </w:rPr>
            </w:pPr>
          </w:p>
        </w:tc>
        <w:tc>
          <w:tcPr>
            <w:tcW w:w="7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Subsidiaries</w:t>
            </w: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180"/>
        </w:trPr>
        <w:tc>
          <w:tcPr>
            <w:tcW w:w="20" w:type="dxa"/>
            <w:vAlign w:val="bottom"/>
          </w:tcPr>
          <w:p>
            <w:pPr>
              <w:spacing w:after="0"/>
              <w:rPr>
                <w:sz w:val="15"/>
                <w:szCs w:val="15"/>
                <w:color w:val="auto"/>
              </w:rPr>
            </w:pPr>
          </w:p>
        </w:tc>
        <w:tc>
          <w:tcPr>
            <w:tcW w:w="7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Restricted cash:</w:t>
            </w: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7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Operating accounts</w:t>
            </w: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r>
      <w:tr>
        <w:trPr>
          <w:trHeight w:val="180"/>
        </w:trPr>
        <w:tc>
          <w:tcPr>
            <w:tcW w:w="20" w:type="dxa"/>
            <w:vAlign w:val="bottom"/>
            <w:tcBorders>
              <w:bottom w:val="single" w:sz="8" w:color="CCEEFF"/>
            </w:tcBorders>
          </w:tcPr>
          <w:p>
            <w:pPr>
              <w:spacing w:after="0"/>
              <w:rPr>
                <w:sz w:val="15"/>
                <w:szCs w:val="15"/>
                <w:color w:val="auto"/>
              </w:rPr>
            </w:pPr>
          </w:p>
        </w:tc>
        <w:tc>
          <w:tcPr>
            <w:tcW w:w="76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Reserves, including debt service, distributions, performance obligations and other reserves</w:t>
            </w: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w:t>
            </w:r>
          </w:p>
        </w:tc>
      </w:tr>
      <w:tr>
        <w:trPr>
          <w:trHeight w:val="171"/>
        </w:trPr>
        <w:tc>
          <w:tcPr>
            <w:tcW w:w="20" w:type="dxa"/>
            <w:vAlign w:val="bottom"/>
            <w:shd w:val="clear" w:color="auto" w:fill="CCEEFF"/>
          </w:tcPr>
          <w:p>
            <w:pPr>
              <w:spacing w:after="0"/>
              <w:rPr>
                <w:sz w:val="14"/>
                <w:szCs w:val="14"/>
                <w:color w:val="auto"/>
              </w:rPr>
            </w:pPr>
          </w:p>
        </w:tc>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w:t>
            </w:r>
          </w:p>
        </w:tc>
      </w:tr>
      <w:tr>
        <w:trPr>
          <w:trHeight w:val="180"/>
        </w:trPr>
        <w:tc>
          <w:tcPr>
            <w:tcW w:w="20" w:type="dxa"/>
            <w:vAlign w:val="bottom"/>
            <w:tcBorders>
              <w:bottom w:val="single" w:sz="8" w:color="CCEEFF"/>
            </w:tcBorders>
          </w:tcPr>
          <w:p>
            <w:pPr>
              <w:spacing w:after="0"/>
              <w:rPr>
                <w:sz w:val="15"/>
                <w:szCs w:val="15"/>
                <w:color w:val="auto"/>
              </w:rPr>
            </w:pPr>
          </w:p>
        </w:tc>
        <w:tc>
          <w:tcPr>
            <w:tcW w:w="764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4"/>
                <w:szCs w:val="14"/>
                <w:color w:val="auto"/>
              </w:rPr>
              <w:t>Revolving credit facility availability</w:t>
            </w: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7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liquidity</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231F20"/>
        </w:rPr>
        <w:t xml:space="preserve">The Company’s liquidity includes $485 million and $516 million of restricted cash balances as of March 31, 2024 and December 31, </w:t>
      </w:r>
      <w:r>
        <w:rPr>
          <w:rFonts w:ascii="Times New Roman" w:cs="Times New Roman" w:eastAsia="Times New Roman" w:hAnsi="Times New Roman"/>
          <w:sz w:val="14"/>
          <w:szCs w:val="14"/>
          <w:color w:val="000000"/>
        </w:rPr>
        <w:t>2023</w:t>
      </w:r>
      <w:r>
        <w:rPr>
          <w:rFonts w:ascii="Times New Roman" w:cs="Times New Roman" w:eastAsia="Times New Roman" w:hAnsi="Times New Roman"/>
          <w:sz w:val="14"/>
          <w:szCs w:val="14"/>
          <w:color w:val="231F20"/>
        </w:rPr>
        <w:t xml:space="preserve">, respectively. Restricted cash consists primarily of funds to satisfy the requirements of certain debt arrangements and funds held within the Company’s facilities that are restricted in their use. As of </w:t>
      </w:r>
      <w:r>
        <w:rPr>
          <w:rFonts w:ascii="Times New Roman" w:cs="Times New Roman" w:eastAsia="Times New Roman" w:hAnsi="Times New Roman"/>
          <w:sz w:val="14"/>
          <w:szCs w:val="14"/>
          <w:color w:val="000000"/>
        </w:rPr>
        <w:t>March 31, 2024, these restricted funds were</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comprised of $173 million designated to fund operating expenses, approximately $187 million designated for current debt service payments and $87 million restricted for reserves including debt service, performance obligations and other reserves, as well as capital expenditures. The remaining $38 million is held in distribution reserve accounts.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Clearway Energy LLC and Clearway Energy Operating LLC Revolving Credit Facility</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 xml:space="preserve">As of March 31, 2024, the Company had no outstanding borrowings under the revolving credit facility and $228 million in letters of credit outstanding. </w:t>
      </w:r>
      <w:r>
        <w:rPr>
          <w:rFonts w:ascii="Times New Roman" w:cs="Times New Roman" w:eastAsia="Times New Roman" w:hAnsi="Times New Roman"/>
          <w:sz w:val="14"/>
          <w:szCs w:val="14"/>
          <w:color w:val="231F20"/>
        </w:rPr>
        <w:t>The facility will continue to be used for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general corporate purposes including financing of future acquisitions and posting letters of credit.</w:t>
      </w:r>
    </w:p>
    <w:p>
      <w:pPr>
        <w:spacing w:after="0" w:line="82"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distributions to Clearway, Inc. and CEG. Management continues to regularly monitor the Company’s ability to finance the needs of its operating, financing and investing activity within the dictates of prudent balance sheet management.</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Credit Ratings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 As of March 31, 2024, the Company’s 2028 Senior Notes, 2031 Senior Notes and 2032 Senior Notes were rated BB by S&amp;P and Ba2 by Moody’s.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i w:val="1"/>
          <w:iCs w:val="1"/>
          <w:color w:val="231F20"/>
        </w:rPr>
        <w:t>Sources of Liquidity</w:t>
      </w:r>
    </w:p>
    <w:p>
      <w:pPr>
        <w:spacing w:after="0" w:line="138"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4"/>
          <w:szCs w:val="14"/>
          <w:color w:val="231F20"/>
        </w:rPr>
        <w:t xml:space="preserve">The Company’s principal sources of liquidity include cash on hand, cash generated from operations, proceeds from sales of assets, borrowings under new and existing financing arrangements and the issuance of additional equity and debt securities by Clearway, Inc. or the Company as appropriate given market conditions. As described in Note 7, </w:t>
      </w:r>
      <w:r>
        <w:rPr>
          <w:rFonts w:ascii="Times New Roman" w:cs="Times New Roman" w:eastAsia="Times New Roman" w:hAnsi="Times New Roman"/>
          <w:sz w:val="14"/>
          <w:szCs w:val="14"/>
          <w:i w:val="1"/>
          <w:iCs w:val="1"/>
          <w:color w:val="231F20"/>
        </w:rPr>
        <w:t>Long-term Debt</w:t>
      </w:r>
      <w:r>
        <w:rPr>
          <w:rFonts w:ascii="Times New Roman" w:cs="Times New Roman" w:eastAsia="Times New Roman" w:hAnsi="Times New Roman"/>
          <w:sz w:val="14"/>
          <w:szCs w:val="14"/>
          <w:color w:val="231F20"/>
        </w:rPr>
        <w:t xml:space="preserve">, to this Form 10-Q and Item 15 — Note 10, </w:t>
      </w:r>
      <w:r>
        <w:rPr>
          <w:rFonts w:ascii="Times New Roman" w:cs="Times New Roman" w:eastAsia="Times New Roman" w:hAnsi="Times New Roman"/>
          <w:sz w:val="14"/>
          <w:szCs w:val="14"/>
          <w:i w:val="1"/>
          <w:iCs w:val="1"/>
          <w:color w:val="231F20"/>
        </w:rPr>
        <w:t>Long-term Debt</w:t>
      </w:r>
      <w:r>
        <w:rPr>
          <w:rFonts w:ascii="Times New Roman" w:cs="Times New Roman" w:eastAsia="Times New Roman" w:hAnsi="Times New Roman"/>
          <w:sz w:val="14"/>
          <w:szCs w:val="14"/>
          <w:color w:val="231F20"/>
        </w:rPr>
        <w:t xml:space="preserve">, to the consolidated financial statements included in the Company’s </w:t>
      </w:r>
      <w:r>
        <w:rPr>
          <w:rFonts w:ascii="Times New Roman" w:cs="Times New Roman" w:eastAsia="Times New Roman" w:hAnsi="Times New Roman"/>
          <w:sz w:val="14"/>
          <w:szCs w:val="14"/>
          <w:color w:val="000000"/>
        </w:rPr>
        <w:t>2023 Form 10-K</w:t>
      </w:r>
      <w:r>
        <w:rPr>
          <w:rFonts w:ascii="Times New Roman" w:cs="Times New Roman" w:eastAsia="Times New Roman" w:hAnsi="Times New Roman"/>
          <w:sz w:val="14"/>
          <w:szCs w:val="14"/>
          <w:color w:val="231F20"/>
        </w:rPr>
        <w:t xml:space="preserve">, the Company’s financing arrangements consist of </w:t>
      </w:r>
      <w:r>
        <w:rPr>
          <w:rFonts w:ascii="Times New Roman" w:cs="Times New Roman" w:eastAsia="Times New Roman" w:hAnsi="Times New Roman"/>
          <w:sz w:val="14"/>
          <w:szCs w:val="14"/>
          <w:color w:val="000000"/>
        </w:rPr>
        <w:t>corporate level debt,</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which includes Senior Notes, intercompany borrowings with Clearway, Inc. and the revolving credit facility; the ATM Program; and facility-level financings for its various assets.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Uses of Liquidity</w:t>
      </w:r>
    </w:p>
    <w:p>
      <w:pPr>
        <w:spacing w:after="0" w:line="136"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231F20"/>
        </w:rPr>
        <w:t xml:space="preserve">The Company’s requirements for liquidity and capital resources, other than for operating its facilities, are categorized as: (i) debt service obligations, as described more fully in </w:t>
      </w:r>
      <w:r>
        <w:rPr>
          <w:rFonts w:ascii="Times New Roman" w:cs="Times New Roman" w:eastAsia="Times New Roman" w:hAnsi="Times New Roman"/>
          <w:sz w:val="14"/>
          <w:szCs w:val="14"/>
          <w:color w:val="000000"/>
        </w:rPr>
        <w:t>Note 7</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Long-term Debt</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i w:val="1"/>
          <w:iCs w:val="1"/>
          <w:color w:val="000000"/>
        </w:rPr>
        <w:t xml:space="preserve"> </w:t>
      </w:r>
      <w:r>
        <w:rPr>
          <w:rFonts w:ascii="Times New Roman" w:cs="Times New Roman" w:eastAsia="Times New Roman" w:hAnsi="Times New Roman"/>
          <w:sz w:val="14"/>
          <w:szCs w:val="14"/>
          <w:color w:val="231F20"/>
        </w:rPr>
        <w:t>(ii) capital expenditures; (iii) off-balance sheet arrangements; (iv) acquisitions and investments, as described more fully in</w:t>
      </w:r>
      <w:r>
        <w:rPr>
          <w:rFonts w:ascii="Times New Roman" w:cs="Times New Roman" w:eastAsia="Times New Roman" w:hAnsi="Times New Roman"/>
          <w:sz w:val="14"/>
          <w:szCs w:val="14"/>
          <w:i w:val="1"/>
          <w:iCs w:val="1"/>
          <w:color w:val="000000"/>
        </w:rPr>
        <w:t xml:space="preserve"> </w:t>
      </w:r>
      <w:r>
        <w:rPr>
          <w:rFonts w:ascii="Times New Roman" w:cs="Times New Roman" w:eastAsia="Times New Roman" w:hAnsi="Times New Roman"/>
          <w:sz w:val="14"/>
          <w:szCs w:val="14"/>
          <w:color w:val="000000"/>
        </w:rPr>
        <w:t>Note 3,</w:t>
      </w:r>
      <w:r>
        <w:rPr>
          <w:rFonts w:ascii="Times New Roman" w:cs="Times New Roman" w:eastAsia="Times New Roman" w:hAnsi="Times New Roman"/>
          <w:sz w:val="14"/>
          <w:szCs w:val="14"/>
          <w:i w:val="1"/>
          <w:iCs w:val="1"/>
          <w:color w:val="000000"/>
        </w:rPr>
        <w:t xml:space="preserve"> Acquisitions; </w:t>
      </w:r>
      <w:r>
        <w:rPr>
          <w:rFonts w:ascii="Times New Roman" w:cs="Times New Roman" w:eastAsia="Times New Roman" w:hAnsi="Times New Roman"/>
          <w:sz w:val="14"/>
          <w:szCs w:val="14"/>
          <w:color w:val="231F20"/>
        </w:rPr>
        <w:t>and (v) distributions.</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Capital Expenditures</w:t>
      </w:r>
    </w:p>
    <w:p>
      <w:pPr>
        <w:spacing w:after="0" w:line="138" w:lineRule="exact"/>
        <w:rPr>
          <w:sz w:val="20"/>
          <w:szCs w:val="20"/>
          <w:color w:val="auto"/>
        </w:rPr>
      </w:pPr>
    </w:p>
    <w:p>
      <w:pPr>
        <w:jc w:val="both"/>
        <w:ind w:firstLine="318"/>
        <w:spacing w:after="0" w:line="280" w:lineRule="auto"/>
        <w:rPr>
          <w:sz w:val="20"/>
          <w:szCs w:val="20"/>
          <w:color w:val="auto"/>
        </w:rPr>
      </w:pPr>
      <w:r>
        <w:rPr>
          <w:rFonts w:ascii="Times New Roman" w:cs="Times New Roman" w:eastAsia="Times New Roman" w:hAnsi="Times New Roman"/>
          <w:sz w:val="14"/>
          <w:szCs w:val="14"/>
          <w:color w:val="231F20"/>
        </w:rPr>
        <w:t>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and costs to complete the construction of assets where construction is in process.</w:t>
      </w:r>
    </w:p>
    <w:p>
      <w:pPr>
        <w:spacing w:after="0" w:line="26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231F20"/>
        </w:rPr>
        <w:t xml:space="preserve">For the three months ended </w:t>
      </w:r>
      <w:r>
        <w:rPr>
          <w:rFonts w:ascii="Times New Roman" w:cs="Times New Roman" w:eastAsia="Times New Roman" w:hAnsi="Times New Roman"/>
          <w:sz w:val="14"/>
          <w:szCs w:val="14"/>
          <w:color w:val="000000"/>
        </w:rPr>
        <w:t>March 31, 2024</w:t>
      </w:r>
      <w:r>
        <w:rPr>
          <w:rFonts w:ascii="Times New Roman" w:cs="Times New Roman" w:eastAsia="Times New Roman" w:hAnsi="Times New Roman"/>
          <w:sz w:val="14"/>
          <w:szCs w:val="14"/>
          <w:color w:val="231F20"/>
        </w:rPr>
        <w:t xml:space="preserve">, the Company used approximately $98 million to fund capital expenditures, including growth </w:t>
      </w:r>
      <w:r>
        <w:rPr>
          <w:rFonts w:ascii="Times New Roman" w:cs="Times New Roman" w:eastAsia="Times New Roman" w:hAnsi="Times New Roman"/>
          <w:sz w:val="14"/>
          <w:szCs w:val="14"/>
          <w:color w:val="000000"/>
        </w:rPr>
        <w:t>expenditures of $96 million in the Renewables</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segment, funded through construction-related financing. Renewables segment capital expenditures included $56 million incurred in connection with the Victory Pass and Arica solar and BESS facilities, $14 million incurred in connection with the Daggett 2 solar and BESS facility, $8 million incurred in connection with the Rosamond Central BESS addition, $8 million incurred in connection with the Daggett 3 solar and BESS facility, $7 million incurred in connection with the Texas Solar Nova 1 solar facility and $3 million incurred by other wind and solar facilities. In addition, the Company incurred $2 million in maintenance capital expenditures. The Company estimates $40 million of maintenance expenditures for 2024. These estimates are subject to continuing review and adjustment. Actual capital expenditures may vary from these estimates.</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Obligations under Certain Guarantee Contracts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Company may enter into guarantee arrangements in the normal course of business to facilitate commercial transactions with third parties.</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Retained or Contingent Interests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does not have any material retained or contingent interests in assets transferred to an unconsolidated entity.</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Obligations Arising Out of a Variable Interest in an Unconsolidated Entity</w:t>
      </w:r>
    </w:p>
    <w:p>
      <w:pPr>
        <w:spacing w:after="0" w:line="13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Variable interest in equity investments </w:t>
      </w:r>
      <w:r>
        <w:rPr>
          <w:rFonts w:ascii="Times New Roman" w:cs="Times New Roman" w:eastAsia="Times New Roman" w:hAnsi="Times New Roman"/>
          <w:sz w:val="14"/>
          <w:szCs w:val="14"/>
          <w:color w:val="auto"/>
        </w:rPr>
        <w:t>— As of March 31, 2024, the Company has several investments with an ownership interest percentage of 50% or less. GenConn and Rosie Central BESS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are VIEs for which the Company is not the primary beneficiary. The Company’s pro-rata share of non-recourse debt held by unconsolidated affiliates was approximately $299 million as of March 31, 2024. This indebtedness may restrict the ability of these subsidiaries to issue dividends or distributions to the Company.</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Contractual Obligations and Commercial Commitments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 xml:space="preserve">The Company has a variety of contractual obligations and other commercial commitments that represent prospective cash requirements in addition to the Company’s capital expenditure programs, as disclosed in the Company’s </w:t>
      </w:r>
      <w:r>
        <w:rPr>
          <w:rFonts w:ascii="Times New Roman" w:cs="Times New Roman" w:eastAsia="Times New Roman" w:hAnsi="Times New Roman"/>
          <w:sz w:val="14"/>
          <w:szCs w:val="14"/>
          <w:color w:val="231F20"/>
        </w:rPr>
        <w:t>2023</w:t>
      </w:r>
      <w:r>
        <w:rPr>
          <w:rFonts w:ascii="Times New Roman" w:cs="Times New Roman" w:eastAsia="Times New Roman" w:hAnsi="Times New Roman"/>
          <w:sz w:val="14"/>
          <w:szCs w:val="14"/>
          <w:color w:val="auto"/>
        </w:rPr>
        <w:t xml:space="preserve"> Form 10-K.</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Acquisitions and Investments</w:t>
      </w:r>
    </w:p>
    <w:p>
      <w:pPr>
        <w:spacing w:after="0" w:line="127"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The Company intends to acquire generation assets developed and constructed by CEG, as well as generation assets from third parties where the Company believes its knowledge of the market and operating expertise provides a competitive advantage, and to utilize such acquisitions as a means to grow its business.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7" w:name="page38"/>
    <w:bookmarkEnd w:id="37"/>
    <w:p>
      <w:pPr>
        <w:jc w:val="both"/>
        <w:ind w:firstLine="318"/>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Victory Pass and Arica Drop Down — </w:t>
      </w:r>
      <w:r>
        <w:rPr>
          <w:rFonts w:ascii="Times New Roman" w:cs="Times New Roman" w:eastAsia="Times New Roman" w:hAnsi="Times New Roman"/>
          <w:sz w:val="14"/>
          <w:szCs w:val="14"/>
          <w:color w:val="auto"/>
        </w:rPr>
        <w:t>On May 1, 2024, when the Victory Pass and Arica solar and BESS facilities reached substantial completion, the Company paid $165 million to Clearway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Renew as an additional purchase price, in connection with the Company’s acquisition of the Class A membership interests in VP-Arica TargetCo LLC on October 31, 2023, which was funded with existing sources of liquidity. During the three months ended March 31, 2024, the Company borrowed an additional $62 million in tax equity bridge loans. Also on May 1, 2024, the cash equity investor contributed an additional $347 million, the tax equity investor contributed an additional $410 million and CEG contributed $52 million, which were utilized, along with the $103 million in escrow, to repay the cash equity bridge loan, to repay the tax equity bridge loan, to fund construction completion reserves and to pay associated fees.</w:t>
      </w:r>
    </w:p>
    <w:p>
      <w:pPr>
        <w:spacing w:after="0" w:line="97"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Cedar Creek Drop Down — </w:t>
      </w:r>
      <w:r>
        <w:rPr>
          <w:rFonts w:ascii="Times New Roman" w:cs="Times New Roman" w:eastAsia="Times New Roman" w:hAnsi="Times New Roman"/>
          <w:sz w:val="14"/>
          <w:szCs w:val="14"/>
          <w:color w:val="auto"/>
        </w:rPr>
        <w:t>On April 16, 2024, the Company, through its indirect subsidiary, Cedar Creek Wind Holdco LLC, acquired Cedar Creek Holdco LLC, a 160 MW wind facility that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is located in Bingham County, Idaho, from Clearway Renew for cash consideration of $117 million. Cedar Creek Wind Holdco LLC consolidates as primary beneficiary, Cedar Creek TE Holdco LLC, a tax equity fund that owns the Cedar Creek wind facility. Also on April 16, 2024, a tax equity investor contributed $108 million to acquire the Class A membership interests in Cedar Creek TE Holdco LLC. Cedar Creek has a 25-year PPA with an investment-grade utility that commenced in March 2024. The acquisition was funded with existing sources of liquidity.</w:t>
      </w:r>
    </w:p>
    <w:p>
      <w:pPr>
        <w:spacing w:after="0" w:line="95"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Texas Solar Nova 2 Drop Down — </w:t>
      </w:r>
      <w:r>
        <w:rPr>
          <w:rFonts w:ascii="Times New Roman" w:cs="Times New Roman" w:eastAsia="Times New Roman" w:hAnsi="Times New Roman"/>
          <w:sz w:val="14"/>
          <w:szCs w:val="14"/>
          <w:color w:val="auto"/>
        </w:rPr>
        <w:t>On March 15, 2024, the Company, through its indirect subsidiary, TSN1 TE Holdco LLC, acquired Texas Solar Nova 2, LLC, a 200 MW solar facility that is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located in Kent County, Texas, from Clearway Renew for cash consideration of $112 million, $17 million of which was funded by the Company with the remaining $95 million funded through a contribution from the cash equity investor in Lighthouse Renewable Holdco 2 LLC, which is a partnership. Lighthouse Renewable Holdco 2 LLC indirectly consolidates as primary beneficiary, TSN1 TE Holdco LLC, a tax equity fund that owns the Texas Solar Nova 1 and Texas Solar Nova 2 solar facilities. Texas Solar Nova 2 has an 18-year PPA with an investment-grade counterparty that commenced in March 2024. The Company’s portion of the purchase price was funded with existing sources of liquidity. Additionally, the Company assumed the facility’s financing agreement, which included a tax equity bridge loan that was repaid at acquisition date and a term loan.</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Cash Distributions to Clearway, Inc. and CEG</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intends to distribute to its unit holders in the form of a quarterly distribution all of the CAFD it generates each quarter less reserves for the prudent conduct of the business, including among others, maintenance capital expenditures to maintain the operating capacity of the assets. Distributions on the Company’s units are subject to available capital, market conditions and compliance with associated laws, regulations and other contractual obligations. The Company expects that, based on current circumstances, comparable cash distributions will continue to be paid in the foreseeable future.</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lists the distributions paid on the Company’s Class A, B, C and D units during the three months ended March 31, 2024:</w:t>
      </w:r>
    </w:p>
    <w:p>
      <w:pPr>
        <w:spacing w:after="0" w:line="78"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1"/>
          <w:szCs w:val="11"/>
          <w:b w:val="1"/>
          <w:bCs w:val="1"/>
          <w:color w:val="auto"/>
        </w:rPr>
        <w:t>First Quarter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61530" cy="1212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8" w:lineRule="exact"/>
        <w:rPr>
          <w:sz w:val="20"/>
          <w:szCs w:val="20"/>
          <w:color w:val="auto"/>
        </w:rPr>
      </w:pPr>
    </w:p>
    <w:p>
      <w:pPr>
        <w:ind w:left="20"/>
        <w:spacing w:after="0"/>
        <w:tabs>
          <w:tab w:leader="none" w:pos="9760" w:val="left"/>
          <w:tab w:leader="none" w:pos="10820" w:val="left"/>
        </w:tabs>
        <w:rPr>
          <w:sz w:val="20"/>
          <w:szCs w:val="20"/>
          <w:color w:val="auto"/>
        </w:rPr>
      </w:pPr>
      <w:r>
        <w:rPr>
          <w:rFonts w:ascii="Times New Roman" w:cs="Times New Roman" w:eastAsia="Times New Roman" w:hAnsi="Times New Roman"/>
          <w:sz w:val="14"/>
          <w:szCs w:val="14"/>
          <w:color w:val="auto"/>
        </w:rPr>
        <w:t>Distributions per Class A, B, C and D unit</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3"/>
          <w:szCs w:val="13"/>
          <w:color w:val="auto"/>
        </w:rPr>
        <w:t>0.4033</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May 9, 2024, the Company declared a distribution on its Class A, Class B, Class C and Class D units of $0.4102 per unit payable on June 17, 2024 to unit holders of record as of June 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2024.</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color w:val="auto"/>
        </w:rPr>
        <w:t>Cash Flow Discussion</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reflect the changes in cash flows for the comparative periods: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240" w:type="dxa"/>
            <w:vAlign w:val="bottom"/>
          </w:tcPr>
          <w:p>
            <w:pPr>
              <w:spacing w:after="0"/>
              <w:rPr>
                <w:sz w:val="13"/>
                <w:szCs w:val="13"/>
                <w:color w:val="auto"/>
              </w:rPr>
            </w:pPr>
          </w:p>
        </w:tc>
        <w:tc>
          <w:tcPr>
            <w:tcW w:w="2400" w:type="dxa"/>
            <w:vAlign w:val="bottom"/>
            <w:tcBorders>
              <w:bottom w:val="single" w:sz="8" w:color="auto"/>
            </w:tcBorders>
            <w:gridSpan w:val="3"/>
          </w:tcPr>
          <w:p>
            <w:pPr>
              <w:jc w:val="right"/>
              <w:ind w:right="219"/>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3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r>
      <w:tr>
        <w:trPr>
          <w:trHeight w:val="154"/>
        </w:trPr>
        <w:tc>
          <w:tcPr>
            <w:tcW w:w="7240" w:type="dxa"/>
            <w:vAlign w:val="bottom"/>
          </w:tcPr>
          <w:p>
            <w:pPr>
              <w:spacing w:after="0"/>
              <w:rPr>
                <w:sz w:val="13"/>
                <w:szCs w:val="13"/>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rPr>
              <w:t>2024</w:t>
            </w:r>
          </w:p>
        </w:tc>
        <w:tc>
          <w:tcPr>
            <w:tcW w:w="5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1"/>
                <w:szCs w:val="11"/>
                <w:b w:val="1"/>
                <w:bCs w:val="1"/>
                <w:color w:val="auto"/>
              </w:rPr>
              <w:t>2023</w:t>
            </w:r>
          </w:p>
        </w:tc>
        <w:tc>
          <w:tcPr>
            <w:tcW w:w="3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50"/>
        </w:trPr>
        <w:tc>
          <w:tcPr>
            <w:tcW w:w="7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6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81</w:t>
            </w:r>
          </w:p>
        </w:tc>
        <w:tc>
          <w:tcPr>
            <w:tcW w:w="104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w w:val="99"/>
              </w:rPr>
              <w:t>75</w:t>
            </w:r>
          </w:p>
        </w:tc>
        <w:tc>
          <w:tcPr>
            <w:tcW w:w="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shd w:val="clear" w:color="auto" w:fill="CCEEFF"/>
          </w:tcPr>
          <w:p>
            <w:pPr>
              <w:spacing w:after="0"/>
              <w:rPr>
                <w:sz w:val="16"/>
                <w:szCs w:val="16"/>
                <w:color w:val="auto"/>
              </w:rPr>
            </w:pPr>
          </w:p>
        </w:tc>
      </w:tr>
      <w:tr>
        <w:trPr>
          <w:trHeight w:val="180"/>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60" w:type="dxa"/>
            <w:vAlign w:val="bottom"/>
          </w:tcPr>
          <w:p>
            <w:pPr>
              <w:spacing w:after="0"/>
              <w:rPr>
                <w:sz w:val="15"/>
                <w:szCs w:val="15"/>
                <w:color w:val="auto"/>
              </w:rPr>
            </w:pPr>
          </w:p>
        </w:tc>
        <w:tc>
          <w:tcPr>
            <w:tcW w:w="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(203)</w:t>
            </w:r>
          </w:p>
        </w:tc>
        <w:tc>
          <w:tcPr>
            <w:tcW w:w="1040" w:type="dxa"/>
            <w:vAlign w:val="bottom"/>
          </w:tcPr>
          <w:p>
            <w:pPr>
              <w:spacing w:after="0"/>
              <w:rPr>
                <w:sz w:val="15"/>
                <w:szCs w:val="15"/>
                <w:color w:val="auto"/>
              </w:rPr>
            </w:pPr>
          </w:p>
        </w:tc>
        <w:tc>
          <w:tcPr>
            <w:tcW w:w="34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4"/>
              </w:rPr>
              <w:t>(86)</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(117)</w:t>
            </w:r>
          </w:p>
        </w:tc>
      </w:tr>
      <w:tr>
        <w:trPr>
          <w:trHeight w:val="18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34</w:t>
            </w:r>
          </w:p>
        </w:tc>
        <w:tc>
          <w:tcPr>
            <w:tcW w:w="1040" w:type="dxa"/>
            <w:vAlign w:val="bottom"/>
            <w:shd w:val="clear" w:color="auto" w:fill="CCEEFF"/>
          </w:tcPr>
          <w:p>
            <w:pPr>
              <w:spacing w:after="0"/>
              <w:rPr>
                <w:sz w:val="15"/>
                <w:szCs w:val="15"/>
                <w:color w:val="auto"/>
              </w:rPr>
            </w:pPr>
          </w:p>
        </w:tc>
        <w:tc>
          <w:tcPr>
            <w:tcW w:w="34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w w:val="99"/>
              </w:rPr>
              <w:t>28</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shd w:val="clear" w:color="auto" w:fill="CCEEFF"/>
          </w:tcPr>
          <w:p>
            <w:pPr>
              <w:spacing w:after="0"/>
              <w:rPr>
                <w:sz w:val="15"/>
                <w:szCs w:val="15"/>
                <w:color w:val="auto"/>
              </w:rPr>
            </w:pPr>
          </w:p>
        </w:tc>
      </w:tr>
      <w:tr>
        <w:trPr>
          <w:trHeight w:val="371"/>
        </w:trPr>
        <w:tc>
          <w:tcPr>
            <w:tcW w:w="72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Net Cash Provided by Operating Activities</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4"/>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to net cash provided by operating activities were driven by:</w:t>
            </w: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r>
      <w:tr>
        <w:trPr>
          <w:trHeight w:val="171"/>
        </w:trPr>
        <w:tc>
          <w:tcPr>
            <w:tcW w:w="72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Increase in operating income after adjusting for non-cash items</w:t>
            </w:r>
          </w:p>
        </w:tc>
        <w:tc>
          <w:tcPr>
            <w:tcW w:w="86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center"/>
              <w:ind w:left="752"/>
              <w:spacing w:after="0"/>
              <w:rPr>
                <w:sz w:val="20"/>
                <w:szCs w:val="20"/>
                <w:color w:val="auto"/>
              </w:rPr>
            </w:pPr>
            <w:r>
              <w:rPr>
                <w:rFonts w:ascii="Times New Roman" w:cs="Times New Roman" w:eastAsia="Times New Roman" w:hAnsi="Times New Roman"/>
                <w:sz w:val="14"/>
                <w:szCs w:val="14"/>
                <w:color w:val="auto"/>
                <w:w w:val="85"/>
              </w:rPr>
              <w:t>4</w:t>
            </w:r>
          </w:p>
        </w:tc>
        <w:tc>
          <w:tcPr>
            <w:tcW w:w="40" w:type="dxa"/>
            <w:vAlign w:val="bottom"/>
          </w:tcPr>
          <w:p>
            <w:pPr>
              <w:spacing w:after="0"/>
              <w:rPr>
                <w:sz w:val="14"/>
                <w:szCs w:val="14"/>
                <w:color w:val="auto"/>
              </w:rPr>
            </w:pPr>
          </w:p>
        </w:tc>
      </w:tr>
      <w:tr>
        <w:trPr>
          <w:trHeight w:val="180"/>
        </w:trPr>
        <w:tc>
          <w:tcPr>
            <w:tcW w:w="7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Increase in distributions from unconsolidated affiliates</w:t>
            </w: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left="752"/>
              <w:spacing w:after="0"/>
              <w:rPr>
                <w:sz w:val="20"/>
                <w:szCs w:val="20"/>
                <w:color w:val="auto"/>
              </w:rPr>
            </w:pPr>
            <w:r>
              <w:rPr>
                <w:rFonts w:ascii="Times New Roman" w:cs="Times New Roman" w:eastAsia="Times New Roman" w:hAnsi="Times New Roman"/>
                <w:sz w:val="14"/>
                <w:szCs w:val="14"/>
                <w:color w:val="auto"/>
                <w:w w:val="85"/>
              </w:rPr>
              <w:t>3</w:t>
            </w:r>
          </w:p>
        </w:tc>
        <w:tc>
          <w:tcPr>
            <w:tcW w:w="40" w:type="dxa"/>
            <w:vAlign w:val="bottom"/>
          </w:tcPr>
          <w:p>
            <w:pPr>
              <w:spacing w:after="0"/>
              <w:rPr>
                <w:sz w:val="15"/>
                <w:szCs w:val="15"/>
                <w:color w:val="auto"/>
              </w:rPr>
            </w:pPr>
          </w:p>
        </w:tc>
      </w:tr>
      <w:tr>
        <w:trPr>
          <w:trHeight w:val="180"/>
        </w:trPr>
        <w:tc>
          <w:tcPr>
            <w:tcW w:w="8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Decrease in working capital primarily driven by the timing of accounts receivable collections and payments of accounts payable</w:t>
            </w: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center"/>
              <w:ind w:left="732"/>
              <w:spacing w:after="0"/>
              <w:rPr>
                <w:sz w:val="20"/>
                <w:szCs w:val="20"/>
                <w:color w:val="auto"/>
              </w:rPr>
            </w:pPr>
            <w:r>
              <w:rPr>
                <w:rFonts w:ascii="Times New Roman" w:cs="Times New Roman" w:eastAsia="Times New Roman" w:hAnsi="Times New Roman"/>
                <w:sz w:val="14"/>
                <w:szCs w:val="14"/>
                <w:color w:val="auto"/>
                <w:w w:val="97"/>
              </w:rPr>
              <w:t>(1)</w:t>
            </w:r>
          </w:p>
        </w:tc>
        <w:tc>
          <w:tcPr>
            <w:tcW w:w="40" w:type="dxa"/>
            <w:vAlign w:val="bottom"/>
          </w:tcPr>
          <w:p>
            <w:pPr>
              <w:spacing w:after="0"/>
              <w:rPr>
                <w:sz w:val="15"/>
                <w:szCs w:val="15"/>
                <w:color w:val="auto"/>
              </w:rPr>
            </w:pPr>
          </w:p>
        </w:tc>
      </w:tr>
      <w:tr>
        <w:trPr>
          <w:trHeight w:val="171"/>
        </w:trPr>
        <w:tc>
          <w:tcPr>
            <w:tcW w:w="7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left="752"/>
              <w:spacing w:after="0"/>
              <w:rPr>
                <w:sz w:val="20"/>
                <w:szCs w:val="20"/>
                <w:color w:val="auto"/>
              </w:rPr>
            </w:pPr>
            <w:r>
              <w:rPr>
                <w:rFonts w:ascii="Times New Roman" w:cs="Times New Roman" w:eastAsia="Times New Roman" w:hAnsi="Times New Roman"/>
                <w:sz w:val="14"/>
                <w:szCs w:val="14"/>
                <w:color w:val="auto"/>
                <w:w w:val="85"/>
              </w:rPr>
              <w:t>6</w:t>
            </w:r>
          </w:p>
        </w:tc>
        <w:tc>
          <w:tcPr>
            <w:tcW w:w="40" w:type="dxa"/>
            <w:vAlign w:val="bottom"/>
          </w:tcPr>
          <w:p>
            <w:pPr>
              <w:spacing w:after="0"/>
              <w:rPr>
                <w:sz w:val="14"/>
                <w:szCs w:val="14"/>
                <w:color w:val="auto"/>
              </w:rPr>
            </w:pPr>
          </w:p>
        </w:tc>
      </w:tr>
      <w:tr>
        <w:trPr>
          <w:trHeight w:val="20"/>
        </w:trPr>
        <w:tc>
          <w:tcPr>
            <w:tcW w:w="7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Investing Activities</w:t>
      </w:r>
    </w:p>
    <w:p>
      <w:pPr>
        <w:sectPr>
          <w:pgSz w:w="11900" w:h="16838" w:orient="portrait"/>
          <w:cols w:equalWidth="0" w:num="1">
            <w:col w:w="11280"/>
          </w:cols>
          <w:pgMar w:left="300" w:top="728" w:right="319" w:bottom="1440" w:gutter="0" w:footer="0" w:header="0"/>
        </w:sectPr>
      </w:pPr>
    </w:p>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Changes to net cash used in investing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4860" cy="1212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860" cy="121285"/>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Increase in cash paid for Drop Down Assets, net of cash acquired</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Increase in capital expenditures</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Decrease in the return of investment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34860" cy="1143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860" cy="11430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34860" cy="134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3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Net Cash Provided by Financing Activities</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3"/>
          <w:szCs w:val="13"/>
          <w:b w:val="1"/>
          <w:bCs w:val="1"/>
          <w:color w:val="auto"/>
        </w:rPr>
        <w:t>(In millions)</w:t>
      </w:r>
    </w:p>
    <w:p>
      <w:pPr>
        <w:spacing w:after="0" w:line="29" w:lineRule="exact"/>
        <w:rPr>
          <w:sz w:val="20"/>
          <w:szCs w:val="20"/>
          <w:color w:val="auto"/>
        </w:rPr>
      </w:pPr>
    </w:p>
    <w:p>
      <w:pPr>
        <w:ind w:left="928" w:hanging="928"/>
        <w:spacing w:after="0"/>
        <w:tabs>
          <w:tab w:leader="none" w:pos="928"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(104)</w:t>
      </w:r>
    </w:p>
    <w:p>
      <w:pPr>
        <w:spacing w:after="0" w:line="34" w:lineRule="exact"/>
        <w:rPr>
          <w:rFonts w:ascii="Times New Roman" w:cs="Times New Roman" w:eastAsia="Times New Roman" w:hAnsi="Times New Roman"/>
          <w:sz w:val="13"/>
          <w:szCs w:val="13"/>
          <w:color w:val="auto"/>
        </w:rPr>
      </w:pPr>
    </w:p>
    <w:p>
      <w:pPr>
        <w:ind w:left="988"/>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(10)</w:t>
      </w:r>
    </w:p>
    <w:p>
      <w:pPr>
        <w:spacing w:after="0" w:line="19" w:lineRule="exact"/>
        <w:rPr>
          <w:rFonts w:ascii="Times New Roman" w:cs="Times New Roman" w:eastAsia="Times New Roman" w:hAnsi="Times New Roman"/>
          <w:sz w:val="13"/>
          <w:szCs w:val="13"/>
          <w:color w:val="auto"/>
        </w:rPr>
      </w:pPr>
    </w:p>
    <w:p>
      <w:pPr>
        <w:ind w:left="1068"/>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(5)</w:t>
      </w:r>
    </w:p>
    <w:p>
      <w:pPr>
        <w:spacing w:after="0" w:line="30" w:lineRule="exact"/>
        <w:rPr>
          <w:rFonts w:ascii="Times New Roman" w:cs="Times New Roman" w:eastAsia="Times New Roman" w:hAnsi="Times New Roman"/>
          <w:sz w:val="13"/>
          <w:szCs w:val="13"/>
          <w:color w:val="auto"/>
        </w:rPr>
      </w:pPr>
    </w:p>
    <w:p>
      <w:pPr>
        <w:ind w:left="1128"/>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2</w:t>
      </w:r>
    </w:p>
    <w:p>
      <w:pPr>
        <w:spacing w:after="0" w:line="26" w:lineRule="exact"/>
        <w:rPr>
          <w:sz w:val="20"/>
          <w:szCs w:val="20"/>
          <w:color w:val="auto"/>
        </w:rPr>
      </w:pPr>
    </w:p>
    <w:p>
      <w:pPr>
        <w:ind w:left="928" w:hanging="928"/>
        <w:spacing w:after="0"/>
        <w:tabs>
          <w:tab w:leader="none" w:pos="928"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wp:posOffset>
            </wp:positionV>
            <wp:extent cx="80200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02005" cy="6985"/>
                    </a:xfrm>
                    <a:prstGeom prst="rect">
                      <a:avLst/>
                    </a:prstGeom>
                    <a:noFill/>
                  </pic:spPr>
                </pic:pic>
              </a:graphicData>
            </a:graphic>
          </wp:anchor>
        </w:drawing>
      </w:r>
    </w:p>
    <w:p>
      <w:pPr>
        <w:spacing w:after="0" w:line="487" w:lineRule="exact"/>
        <w:rPr>
          <w:sz w:val="20"/>
          <w:szCs w:val="20"/>
          <w:color w:val="auto"/>
        </w:rPr>
      </w:pPr>
    </w:p>
    <w:p>
      <w:pPr>
        <w:sectPr>
          <w:pgSz w:w="11900" w:h="16838" w:orient="portrait"/>
          <w:cols w:equalWidth="0" w:num="2">
            <w:col w:w="9272" w:space="720"/>
            <w:col w:w="1288"/>
          </w:cols>
          <w:pgMar w:left="300" w:top="728"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color w:val="auto"/>
        </w:rPr>
        <w:t>Changes in net cash provided by financing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4860" cy="1212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860" cy="121285"/>
                    </a:xfrm>
                    <a:prstGeom prst="rect">
                      <a:avLst/>
                    </a:prstGeom>
                    <a:noFill/>
                  </pic:spPr>
                </pic:pic>
              </a:graphicData>
            </a:graphic>
          </wp:anchor>
        </w:drawing>
      </w:r>
    </w:p>
    <w:p>
      <w:pPr>
        <w:spacing w:after="0" w:line="10" w:lineRule="exact"/>
        <w:rPr>
          <w:sz w:val="20"/>
          <w:szCs w:val="20"/>
          <w:color w:val="auto"/>
        </w:rPr>
      </w:pPr>
    </w:p>
    <w:p>
      <w:pPr>
        <w:ind w:left="100" w:right="3412"/>
        <w:spacing w:after="0" w:line="271" w:lineRule="auto"/>
        <w:rPr>
          <w:sz w:val="20"/>
          <w:szCs w:val="20"/>
          <w:color w:val="auto"/>
        </w:rPr>
      </w:pPr>
      <w:r>
        <w:rPr>
          <w:rFonts w:ascii="Times New Roman" w:cs="Times New Roman" w:eastAsia="Times New Roman" w:hAnsi="Times New Roman"/>
          <w:sz w:val="14"/>
          <w:szCs w:val="14"/>
          <w:color w:val="auto"/>
        </w:rPr>
        <w:t>Decrease in payments for long-term debt and an increase in proceeds from issuance of long-term debt Payment of debt issuance costs in 2023</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Decrease in contributions from noncontrolling interests and CEG, net of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34860" cy="1143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860" cy="11430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4"/>
          <w:szCs w:val="14"/>
          <w:color w:val="auto"/>
        </w:rPr>
        <w:t>Increase in distributions paid to unit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34860" cy="134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88"/>
        <w:spacing w:after="0"/>
        <w:rPr>
          <w:sz w:val="20"/>
          <w:szCs w:val="20"/>
          <w:color w:val="auto"/>
        </w:rPr>
      </w:pPr>
      <w:r>
        <w:rPr>
          <w:rFonts w:ascii="Times New Roman" w:cs="Times New Roman" w:eastAsia="Times New Roman" w:hAnsi="Times New Roman"/>
          <w:sz w:val="13"/>
          <w:szCs w:val="13"/>
          <w:b w:val="1"/>
          <w:bCs w:val="1"/>
          <w:color w:val="auto"/>
        </w:rPr>
        <w:t>(In millions)</w:t>
      </w:r>
    </w:p>
    <w:p>
      <w:pPr>
        <w:spacing w:after="0" w:line="29" w:lineRule="exact"/>
        <w:rPr>
          <w:sz w:val="20"/>
          <w:szCs w:val="20"/>
          <w:color w:val="auto"/>
        </w:rPr>
      </w:pPr>
    </w:p>
    <w:p>
      <w:pPr>
        <w:ind w:left="1048" w:hanging="1048"/>
        <w:spacing w:after="0"/>
        <w:tabs>
          <w:tab w:leader="none" w:pos="1048"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70</w:t>
      </w:r>
    </w:p>
    <w:p>
      <w:pPr>
        <w:spacing w:after="0" w:line="23" w:lineRule="exact"/>
        <w:rPr>
          <w:rFonts w:ascii="Times New Roman" w:cs="Times New Roman" w:eastAsia="Times New Roman" w:hAnsi="Times New Roman"/>
          <w:sz w:val="14"/>
          <w:szCs w:val="14"/>
          <w:color w:val="auto"/>
        </w:rPr>
      </w:pPr>
    </w:p>
    <w:p>
      <w:pPr>
        <w:ind w:left="112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w:t>
      </w:r>
    </w:p>
    <w:p>
      <w:pPr>
        <w:spacing w:after="0" w:line="1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(66)</w:t>
      </w:r>
    </w:p>
    <w:p>
      <w:pPr>
        <w:spacing w:after="0" w:line="1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(5)</w:t>
      </w:r>
    </w:p>
    <w:p>
      <w:pPr>
        <w:spacing w:after="0" w:line="26" w:lineRule="exact"/>
        <w:rPr>
          <w:sz w:val="20"/>
          <w:szCs w:val="20"/>
          <w:color w:val="auto"/>
        </w:rPr>
      </w:pPr>
    </w:p>
    <w:p>
      <w:pPr>
        <w:ind w:left="1128" w:hanging="1128"/>
        <w:spacing w:after="0"/>
        <w:tabs>
          <w:tab w:leader="none" w:pos="1128"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34925</wp:posOffset>
            </wp:positionV>
            <wp:extent cx="80200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0200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72" w:space="720"/>
            <w:col w:w="1288"/>
          </w:cols>
          <w:pgMar w:left="300" w:top="728" w:right="319" w:bottom="1440" w:gutter="0" w:footer="0" w:header="0"/>
          <w:type w:val="continuous"/>
        </w:sectPr>
      </w:pP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 of Derivative Instruments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The Company may enter into energy-related commodity contracts to mitigate variability in earnings due to fluctuations in spot market prices. In addition, in order to mitigate interest rate risk associated with the issuance of variable rate debt, the Company enters into interest rate swap agreements.</w:t>
      </w:r>
    </w:p>
    <w:p>
      <w:pPr>
        <w:spacing w:after="0" w:line="82"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Times New Roman" w:cs="Times New Roman" w:eastAsia="Times New Roman" w:hAnsi="Times New Roman"/>
          <w:sz w:val="14"/>
          <w:szCs w:val="14"/>
          <w:color w:val="000000"/>
        </w:rPr>
        <w:t>March 31, 2024</w:t>
      </w:r>
      <w:r>
        <w:rPr>
          <w:rFonts w:ascii="Times New Roman" w:cs="Times New Roman" w:eastAsia="Times New Roman" w:hAnsi="Times New Roman"/>
          <w:sz w:val="14"/>
          <w:szCs w:val="14"/>
          <w:color w:val="231F20"/>
        </w:rPr>
        <w:t xml:space="preserve">, based on their level within the fair value hierarchy defined in ASC 820; and indicate the maturities of contracts at </w:t>
      </w:r>
      <w:r>
        <w:rPr>
          <w:rFonts w:ascii="Times New Roman" w:cs="Times New Roman" w:eastAsia="Times New Roman" w:hAnsi="Times New Roman"/>
          <w:sz w:val="14"/>
          <w:szCs w:val="14"/>
          <w:color w:val="000000"/>
        </w:rPr>
        <w:t>March 31, 2024</w:t>
      </w:r>
      <w:r>
        <w:rPr>
          <w:rFonts w:ascii="Times New Roman" w:cs="Times New Roman" w:eastAsia="Times New Roman" w:hAnsi="Times New Roman"/>
          <w:sz w:val="14"/>
          <w:szCs w:val="14"/>
          <w:color w:val="231F20"/>
        </w:rPr>
        <w:t>. For a full discussion of the Company’s valuation methodology of its contracts, see</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i w:val="1"/>
          <w:iCs w:val="1"/>
          <w:color w:val="231F20"/>
        </w:rPr>
        <w:t>Derivative Fair Value Measurements</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31F20"/>
        </w:rPr>
        <w:t>in</w:t>
      </w:r>
      <w:r>
        <w:rPr>
          <w:rFonts w:ascii="Times New Roman" w:cs="Times New Roman" w:eastAsia="Times New Roman" w:hAnsi="Times New Roman"/>
          <w:sz w:val="14"/>
          <w:szCs w:val="14"/>
          <w:color w:val="000000"/>
        </w:rPr>
        <w:t xml:space="preserve"> Note 5</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i w:val="1"/>
          <w:iCs w:val="1"/>
          <w:color w:val="000000"/>
        </w:rPr>
        <w:t>Fair Value of Financial Instruments</w:t>
      </w:r>
      <w:r>
        <w:rPr>
          <w:rFonts w:ascii="Times New Roman" w:cs="Times New Roman" w:eastAsia="Times New Roman" w:hAnsi="Times New Roman"/>
          <w:sz w:val="14"/>
          <w:szCs w:val="14"/>
          <w:color w:val="231F20"/>
        </w:rPr>
        <w: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Derivative Activity (Losses) Gains</w:t>
            </w:r>
          </w:p>
        </w:tc>
        <w:tc>
          <w:tcPr>
            <w:tcW w:w="5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60" w:type="dxa"/>
            <w:vAlign w:val="bottom"/>
            <w:tcBorders>
              <w:top w:val="single" w:sz="8" w:color="auto"/>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5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Fair value of contracts as of December 31, 2023</w:t>
            </w:r>
          </w:p>
        </w:tc>
        <w:tc>
          <w:tcPr>
            <w:tcW w:w="57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20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4"/>
                <w:szCs w:val="14"/>
                <w:color w:val="auto"/>
              </w:rPr>
              <w:t>Changes in fair value</w:t>
            </w:r>
          </w:p>
        </w:tc>
        <w:tc>
          <w:tcPr>
            <w:tcW w:w="57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Fair value of contracts as of March 31, 2024</w:t>
            </w:r>
          </w:p>
        </w:tc>
        <w:tc>
          <w:tcPr>
            <w:tcW w:w="57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5700" w:type="dxa"/>
            <w:vAlign w:val="bottom"/>
            <w:tcBorders>
              <w:top w:val="single" w:sz="8" w:color="CCEEFF"/>
              <w:bottom w:val="single" w:sz="8" w:color="CCEEFF"/>
            </w:tcBorders>
            <w:vMerge w:val="restart"/>
          </w:tcPr>
          <w:p>
            <w:pPr>
              <w:jc w:val="right"/>
              <w:ind w:right="4129"/>
              <w:spacing w:after="0"/>
              <w:rPr>
                <w:sz w:val="20"/>
                <w:szCs w:val="20"/>
                <w:color w:val="auto"/>
              </w:rPr>
            </w:pPr>
            <w:r>
              <w:rPr>
                <w:rFonts w:ascii="Times New Roman" w:cs="Times New Roman" w:eastAsia="Times New Roman" w:hAnsi="Times New Roman"/>
                <w:sz w:val="14"/>
                <w:szCs w:val="14"/>
                <w:color w:val="auto"/>
              </w:rPr>
              <w:t>39</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2060" w:type="dxa"/>
            <w:vAlign w:val="bottom"/>
            <w:tcBorders>
              <w:bottom w:val="single" w:sz="8" w:color="9A9A9A"/>
            </w:tcBorders>
          </w:tcPr>
          <w:p>
            <w:pPr>
              <w:spacing w:after="0"/>
              <w:rPr>
                <w:sz w:val="7"/>
                <w:szCs w:val="7"/>
                <w:color w:val="auto"/>
              </w:rPr>
            </w:pPr>
          </w:p>
        </w:tc>
        <w:tc>
          <w:tcPr>
            <w:tcW w:w="2140" w:type="dxa"/>
            <w:vAlign w:val="bottom"/>
            <w:tcBorders>
              <w:bottom w:val="single" w:sz="8" w:color="9A9A9A"/>
            </w:tcBorders>
          </w:tcPr>
          <w:p>
            <w:pPr>
              <w:spacing w:after="0"/>
              <w:rPr>
                <w:sz w:val="7"/>
                <w:szCs w:val="7"/>
                <w:color w:val="auto"/>
              </w:rPr>
            </w:pPr>
          </w:p>
        </w:tc>
        <w:tc>
          <w:tcPr>
            <w:tcW w:w="57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780" w:type="dxa"/>
            <w:vAlign w:val="bottom"/>
            <w:tcBorders>
              <w:bottom w:val="single" w:sz="8" w:color="auto"/>
            </w:tcBorders>
            <w:gridSpan w:val="8"/>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Fair value of contracts as of March 31, 2024</w:t>
            </w: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7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Fair Value Hierarchy (Losses) Gains</w:t>
            </w:r>
          </w:p>
        </w:tc>
        <w:tc>
          <w:tcPr>
            <w:tcW w:w="3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1 Year or Less</w:t>
            </w:r>
          </w:p>
        </w:tc>
        <w:tc>
          <w:tcPr>
            <w:tcW w:w="100" w:type="dxa"/>
            <w:vAlign w:val="bottom"/>
          </w:tcPr>
          <w:p>
            <w:pPr>
              <w:spacing w:after="0"/>
              <w:rPr>
                <w:sz w:val="10"/>
                <w:szCs w:val="10"/>
                <w:color w:val="auto"/>
              </w:rPr>
            </w:pPr>
          </w:p>
        </w:tc>
        <w:tc>
          <w:tcPr>
            <w:tcW w:w="1140" w:type="dxa"/>
            <w:vAlign w:val="bottom"/>
            <w:gridSpan w:val="2"/>
          </w:tcPr>
          <w:p>
            <w:pPr>
              <w:jc w:val="center"/>
              <w:ind w:right="240"/>
              <w:spacing w:after="0" w:line="125" w:lineRule="exact"/>
              <w:rPr>
                <w:sz w:val="20"/>
                <w:szCs w:val="20"/>
                <w:color w:val="auto"/>
              </w:rPr>
            </w:pPr>
            <w:r>
              <w:rPr>
                <w:rFonts w:ascii="Times New Roman" w:cs="Times New Roman" w:eastAsia="Times New Roman" w:hAnsi="Times New Roman"/>
                <w:sz w:val="11"/>
                <w:szCs w:val="11"/>
                <w:b w:val="1"/>
                <w:bCs w:val="1"/>
                <w:color w:val="auto"/>
              </w:rPr>
              <w:t>Greater Than</w:t>
            </w:r>
          </w:p>
        </w:tc>
        <w:tc>
          <w:tcPr>
            <w:tcW w:w="100" w:type="dxa"/>
            <w:vAlign w:val="bottom"/>
          </w:tcPr>
          <w:p>
            <w:pPr>
              <w:spacing w:after="0"/>
              <w:rPr>
                <w:sz w:val="10"/>
                <w:szCs w:val="10"/>
                <w:color w:val="auto"/>
              </w:rPr>
            </w:pPr>
          </w:p>
        </w:tc>
        <w:tc>
          <w:tcPr>
            <w:tcW w:w="1160" w:type="dxa"/>
            <w:vAlign w:val="bottom"/>
            <w:gridSpan w:val="2"/>
          </w:tcPr>
          <w:p>
            <w:pPr>
              <w:jc w:val="center"/>
              <w:ind w:right="240"/>
              <w:spacing w:after="0" w:line="125" w:lineRule="exact"/>
              <w:rPr>
                <w:sz w:val="20"/>
                <w:szCs w:val="20"/>
                <w:color w:val="auto"/>
              </w:rPr>
            </w:pPr>
            <w:r>
              <w:rPr>
                <w:rFonts w:ascii="Times New Roman" w:cs="Times New Roman" w:eastAsia="Times New Roman" w:hAnsi="Times New Roman"/>
                <w:sz w:val="11"/>
                <w:szCs w:val="11"/>
                <w:b w:val="1"/>
                <w:bCs w:val="1"/>
                <w:color w:val="auto"/>
              </w:rPr>
              <w:t>Greater Than</w:t>
            </w:r>
          </w:p>
        </w:tc>
        <w:tc>
          <w:tcPr>
            <w:tcW w:w="180" w:type="dxa"/>
            <w:vAlign w:val="bottom"/>
          </w:tcPr>
          <w:p>
            <w:pPr>
              <w:spacing w:after="0"/>
              <w:rPr>
                <w:sz w:val="10"/>
                <w:szCs w:val="10"/>
                <w:color w:val="auto"/>
              </w:rPr>
            </w:pPr>
          </w:p>
        </w:tc>
        <w:tc>
          <w:tcPr>
            <w:tcW w:w="1200" w:type="dxa"/>
            <w:vAlign w:val="bottom"/>
            <w:gridSpan w:val="2"/>
          </w:tcPr>
          <w:p>
            <w:pPr>
              <w:jc w:val="center"/>
              <w:ind w:right="300"/>
              <w:spacing w:after="0" w:line="125" w:lineRule="exact"/>
              <w:rPr>
                <w:sz w:val="20"/>
                <w:szCs w:val="20"/>
                <w:color w:val="auto"/>
              </w:rPr>
            </w:pPr>
            <w:r>
              <w:rPr>
                <w:rFonts w:ascii="Times New Roman" w:cs="Times New Roman" w:eastAsia="Times New Roman" w:hAnsi="Times New Roman"/>
                <w:sz w:val="11"/>
                <w:szCs w:val="11"/>
                <w:b w:val="1"/>
                <w:bCs w:val="1"/>
                <w:color w:val="auto"/>
              </w:rPr>
              <w:t>Greater Than</w:t>
            </w:r>
          </w:p>
        </w:tc>
        <w:tc>
          <w:tcPr>
            <w:tcW w:w="220" w:type="dxa"/>
            <w:vAlign w:val="bottom"/>
          </w:tcPr>
          <w:p>
            <w:pPr>
              <w:spacing w:after="0"/>
              <w:rPr>
                <w:sz w:val="10"/>
                <w:szCs w:val="10"/>
                <w:color w:val="auto"/>
              </w:rPr>
            </w:pPr>
          </w:p>
        </w:tc>
        <w:tc>
          <w:tcPr>
            <w:tcW w:w="920" w:type="dxa"/>
            <w:vAlign w:val="bottom"/>
          </w:tcPr>
          <w:p>
            <w:pPr>
              <w:jc w:val="center"/>
              <w:ind w:right="136"/>
              <w:spacing w:after="0" w:line="125" w:lineRule="exact"/>
              <w:rPr>
                <w:sz w:val="20"/>
                <w:szCs w:val="20"/>
                <w:color w:val="auto"/>
              </w:rPr>
            </w:pPr>
            <w:r>
              <w:rPr>
                <w:rFonts w:ascii="Times New Roman" w:cs="Times New Roman" w:eastAsia="Times New Roman" w:hAnsi="Times New Roman"/>
                <w:sz w:val="11"/>
                <w:szCs w:val="11"/>
                <w:b w:val="1"/>
                <w:bCs w:val="1"/>
                <w:color w:val="auto"/>
                <w:w w:val="99"/>
              </w:rPr>
              <w:t>Total Fair</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760" w:type="dxa"/>
            <w:vAlign w:val="bottom"/>
            <w:tcBorders>
              <w:bottom w:val="single" w:sz="8" w:color="auto"/>
            </w:tcBorders>
            <w:vMerge w:val="continue"/>
          </w:tcPr>
          <w:p>
            <w:pPr>
              <w:spacing w:after="0"/>
              <w:rPr>
                <w:sz w:val="9"/>
                <w:szCs w:val="9"/>
                <w:color w:val="auto"/>
              </w:rPr>
            </w:pPr>
          </w:p>
        </w:tc>
        <w:tc>
          <w:tcPr>
            <w:tcW w:w="3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1 Year to 3 Years</w:t>
            </w:r>
          </w:p>
        </w:tc>
        <w:tc>
          <w:tcPr>
            <w:tcW w:w="100" w:type="dxa"/>
            <w:vAlign w:val="bottom"/>
          </w:tcPr>
          <w:p>
            <w:pPr>
              <w:spacing w:after="0"/>
              <w:rPr>
                <w:sz w:val="9"/>
                <w:szCs w:val="9"/>
                <w:color w:val="auto"/>
              </w:rPr>
            </w:pPr>
          </w:p>
        </w:tc>
        <w:tc>
          <w:tcPr>
            <w:tcW w:w="1160" w:type="dxa"/>
            <w:vAlign w:val="bottom"/>
            <w:gridSpan w:val="2"/>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3 Years to 5 Years</w:t>
            </w:r>
          </w:p>
        </w:tc>
        <w:tc>
          <w:tcPr>
            <w:tcW w:w="180" w:type="dxa"/>
            <w:vAlign w:val="bottom"/>
          </w:tcPr>
          <w:p>
            <w:pPr>
              <w:spacing w:after="0"/>
              <w:rPr>
                <w:sz w:val="9"/>
                <w:szCs w:val="9"/>
                <w:color w:val="auto"/>
              </w:rPr>
            </w:pPr>
          </w:p>
        </w:tc>
        <w:tc>
          <w:tcPr>
            <w:tcW w:w="1200" w:type="dxa"/>
            <w:vAlign w:val="bottom"/>
            <w:gridSpan w:val="2"/>
          </w:tcPr>
          <w:p>
            <w:pPr>
              <w:jc w:val="center"/>
              <w:ind w:right="300"/>
              <w:spacing w:after="0" w:line="95" w:lineRule="exact"/>
              <w:rPr>
                <w:sz w:val="20"/>
                <w:szCs w:val="20"/>
                <w:color w:val="auto"/>
              </w:rPr>
            </w:pPr>
            <w:r>
              <w:rPr>
                <w:rFonts w:ascii="Times New Roman" w:cs="Times New Roman" w:eastAsia="Times New Roman" w:hAnsi="Times New Roman"/>
                <w:sz w:val="10"/>
                <w:szCs w:val="10"/>
                <w:b w:val="1"/>
                <w:bCs w:val="1"/>
                <w:color w:val="auto"/>
              </w:rPr>
              <w:t>5 Years</w:t>
            </w:r>
          </w:p>
        </w:tc>
        <w:tc>
          <w:tcPr>
            <w:tcW w:w="220" w:type="dxa"/>
            <w:vAlign w:val="bottom"/>
          </w:tcPr>
          <w:p>
            <w:pPr>
              <w:spacing w:after="0"/>
              <w:rPr>
                <w:sz w:val="9"/>
                <w:szCs w:val="9"/>
                <w:color w:val="auto"/>
              </w:rPr>
            </w:pPr>
          </w:p>
        </w:tc>
        <w:tc>
          <w:tcPr>
            <w:tcW w:w="920" w:type="dxa"/>
            <w:vAlign w:val="bottom"/>
          </w:tcPr>
          <w:p>
            <w:pPr>
              <w:jc w:val="center"/>
              <w:ind w:right="136"/>
              <w:spacing w:after="0" w:line="95" w:lineRule="exact"/>
              <w:rPr>
                <w:sz w:val="20"/>
                <w:szCs w:val="20"/>
                <w:color w:val="auto"/>
              </w:rPr>
            </w:pPr>
            <w:r>
              <w:rPr>
                <w:rFonts w:ascii="Times New Roman" w:cs="Times New Roman" w:eastAsia="Times New Roman" w:hAnsi="Times New Roman"/>
                <w:sz w:val="10"/>
                <w:szCs w:val="10"/>
                <w:b w:val="1"/>
                <w:bCs w:val="1"/>
                <w:color w:val="auto"/>
              </w:rPr>
              <w:t>Value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Level 2</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center"/>
              <w:ind w:left="738"/>
              <w:spacing w:after="0"/>
              <w:rPr>
                <w:sz w:val="20"/>
                <w:szCs w:val="20"/>
                <w:color w:val="auto"/>
              </w:rPr>
            </w:pPr>
            <w:r>
              <w:rPr>
                <w:rFonts w:ascii="Times New Roman" w:cs="Times New Roman" w:eastAsia="Times New Roman" w:hAnsi="Times New Roman"/>
                <w:sz w:val="14"/>
                <w:szCs w:val="14"/>
                <w:color w:val="auto"/>
                <w:w w:val="99"/>
              </w:rPr>
              <w:t>61</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center"/>
              <w:ind w:left="536"/>
              <w:spacing w:after="0"/>
              <w:rPr>
                <w:sz w:val="20"/>
                <w:szCs w:val="20"/>
                <w:color w:val="auto"/>
              </w:rPr>
            </w:pPr>
            <w:r>
              <w:rPr>
                <w:rFonts w:ascii="Times New Roman" w:cs="Times New Roman" w:eastAsia="Times New Roman" w:hAnsi="Times New Roman"/>
                <w:sz w:val="14"/>
                <w:szCs w:val="14"/>
                <w:color w:val="auto"/>
                <w:w w:val="95"/>
              </w:rPr>
              <w:t>157</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Level 3</w:t>
            </w: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left="698"/>
              <w:spacing w:after="0"/>
              <w:rPr>
                <w:sz w:val="20"/>
                <w:szCs w:val="20"/>
                <w:color w:val="auto"/>
              </w:rPr>
            </w:pPr>
            <w:r>
              <w:rPr>
                <w:rFonts w:ascii="Times New Roman" w:cs="Times New Roman" w:eastAsia="Times New Roman" w:hAnsi="Times New Roman"/>
                <w:sz w:val="14"/>
                <w:szCs w:val="14"/>
                <w:color w:val="auto"/>
                <w:w w:val="94"/>
              </w:rPr>
              <w:t>(95)</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left="516"/>
              <w:spacing w:after="0"/>
              <w:rPr>
                <w:sz w:val="20"/>
                <w:szCs w:val="20"/>
                <w:color w:val="auto"/>
              </w:rPr>
            </w:pPr>
            <w:r>
              <w:rPr>
                <w:rFonts w:ascii="Times New Roman" w:cs="Times New Roman" w:eastAsia="Times New Roman" w:hAnsi="Times New Roman"/>
                <w:sz w:val="14"/>
                <w:szCs w:val="14"/>
                <w:color w:val="auto"/>
                <w:w w:val="98"/>
              </w:rPr>
              <w:t>(353)</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8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center"/>
              <w:ind w:left="698"/>
              <w:spacing w:after="0"/>
              <w:rPr>
                <w:sz w:val="20"/>
                <w:szCs w:val="20"/>
                <w:color w:val="auto"/>
              </w:rPr>
            </w:pPr>
            <w:r>
              <w:rPr>
                <w:rFonts w:ascii="Times New Roman" w:cs="Times New Roman" w:eastAsia="Times New Roman" w:hAnsi="Times New Roman"/>
                <w:sz w:val="14"/>
                <w:szCs w:val="14"/>
                <w:color w:val="auto"/>
                <w:w w:val="94"/>
              </w:rPr>
              <w:t>(34)</w:t>
            </w: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center"/>
              <w:ind w:left="516"/>
              <w:spacing w:after="0"/>
              <w:rPr>
                <w:sz w:val="20"/>
                <w:szCs w:val="20"/>
                <w:color w:val="auto"/>
              </w:rPr>
            </w:pPr>
            <w:r>
              <w:rPr>
                <w:rFonts w:ascii="Times New Roman" w:cs="Times New Roman" w:eastAsia="Times New Roman" w:hAnsi="Times New Roman"/>
                <w:sz w:val="14"/>
                <w:szCs w:val="14"/>
                <w:color w:val="auto"/>
                <w:w w:val="98"/>
              </w:rPr>
              <w:t>(196)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Company has elected to disclose derivative assets and liabilities on a trade-by-trade basis and does not offset amounts at the counterparty master agreement level.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facilities,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0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accounting utilizing HLBV, acquisition accounting and determining the fair value of financial instruments.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Developments</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 xml:space="preserve">See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for a discussion of recent accounting developments.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color w:val="auto"/>
        </w:rPr>
        <w:t>ITEM 3 — Quantitative and Qualitative Disclosures About Market Risk</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231F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Times New Roman" w:cs="Times New Roman" w:eastAsia="Times New Roman" w:hAnsi="Times New Roman"/>
          <w:sz w:val="14"/>
          <w:szCs w:val="14"/>
          <w:color w:val="000000"/>
        </w:rPr>
        <w:t>The following disclosures about market risk provide an update to, and should be read in conjunction with, Item 7A —</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Quantitative and Qualitative Disclosures About Market Risk,</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of the</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Company’s 2023 Form 10-K.</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Commodity Price Risk</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Commodity price risks result from exposures to changes in spot prices, forward prices, volatilities and correlations between various commodities, such as electricity, natural gas and emissions credits. The Company manages the commodity price risk of certain of its merchant generation operations by entering into derivative or non-derivative instruments to hedge the variability in future cash flows from forecasted power sales. The portion of forecasted transactions hedged may vary based upon management's assessment of market, weather, operation and other factors.</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Based on a sensitivity analysis using simplified assumptions, the impact of a $0.50 per MWh increase or decrease in power prices across the term of the long-term power commodity contracts would cause a change of approximately $6 million to the net value of the related derivatives as of March 31, 2024.</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Interest Rate Risk</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w:t>
      </w:r>
      <w:r>
        <w:rPr>
          <w:rFonts w:ascii="Times New Roman" w:cs="Times New Roman" w:eastAsia="Times New Roman" w:hAnsi="Times New Roman"/>
          <w:sz w:val="14"/>
          <w:szCs w:val="14"/>
          <w:color w:val="000000"/>
        </w:rPr>
        <w:t>Note 6</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Derivative Instruments and Hedging Activities</w:t>
      </w:r>
      <w:r>
        <w:rPr>
          <w:rFonts w:ascii="Times New Roman" w:cs="Times New Roman" w:eastAsia="Times New Roman" w:hAnsi="Times New Roman"/>
          <w:sz w:val="14"/>
          <w:szCs w:val="14"/>
          <w:color w:val="231F20"/>
        </w:rPr>
        <w:t>, for more information.</w:t>
      </w:r>
    </w:p>
    <w:p>
      <w:pPr>
        <w:spacing w:after="0" w:line="91"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231F20"/>
        </w:rPr>
        <w:t xml:space="preserve">Most of the Company’s subsidiaries enter into interest rate swaps intended to hedge the risks associated with interest rates on non-recourse facility-level debt. See Item 15 — </w:t>
      </w:r>
      <w:r>
        <w:rPr>
          <w:rFonts w:ascii="Times New Roman" w:cs="Times New Roman" w:eastAsia="Times New Roman" w:hAnsi="Times New Roman"/>
          <w:sz w:val="14"/>
          <w:szCs w:val="14"/>
          <w:color w:val="000000"/>
        </w:rPr>
        <w:t>Note 10</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Long-term Debt</w:t>
      </w:r>
      <w:r>
        <w:rPr>
          <w:rFonts w:ascii="Times New Roman" w:cs="Times New Roman" w:eastAsia="Times New Roman" w:hAnsi="Times New Roman"/>
          <w:sz w:val="14"/>
          <w:szCs w:val="14"/>
          <w:i w:val="1"/>
          <w:iCs w:val="1"/>
          <w:color w:val="231F20"/>
        </w:rPr>
        <w:t>,</w:t>
      </w:r>
      <w:r>
        <w:rPr>
          <w:rFonts w:ascii="Times New Roman" w:cs="Times New Roman" w:eastAsia="Times New Roman" w:hAnsi="Times New Roman"/>
          <w:sz w:val="14"/>
          <w:szCs w:val="14"/>
          <w:i w:val="1"/>
          <w:iCs w:val="1"/>
          <w:color w:val="000000"/>
        </w:rPr>
        <w:t xml:space="preserve"> </w:t>
      </w:r>
      <w:r>
        <w:rPr>
          <w:rFonts w:ascii="Times New Roman" w:cs="Times New Roman" w:eastAsia="Times New Roman" w:hAnsi="Times New Roman"/>
          <w:sz w:val="14"/>
          <w:szCs w:val="14"/>
          <w:color w:val="231F20"/>
        </w:rPr>
        <w:t>to the Company’s</w:t>
      </w:r>
      <w:r>
        <w:rPr>
          <w:rFonts w:ascii="Times New Roman" w:cs="Times New Roman" w:eastAsia="Times New Roman" w:hAnsi="Times New Roman"/>
          <w:sz w:val="14"/>
          <w:szCs w:val="14"/>
          <w:i w:val="1"/>
          <w:iCs w:val="1"/>
          <w:color w:val="000000"/>
        </w:rPr>
        <w:t xml:space="preserve"> </w:t>
      </w:r>
      <w:r>
        <w:rPr>
          <w:rFonts w:ascii="Times New Roman" w:cs="Times New Roman" w:eastAsia="Times New Roman" w:hAnsi="Times New Roman"/>
          <w:sz w:val="14"/>
          <w:szCs w:val="14"/>
          <w:color w:val="000000"/>
        </w:rPr>
        <w:t>audited consolidated financial statements for the year ended December 31, 2023 included in the 2023 Form 10-K</w:t>
      </w:r>
      <w:r>
        <w:rPr>
          <w:rFonts w:ascii="Times New Roman" w:cs="Times New Roman" w:eastAsia="Times New Roman" w:hAnsi="Times New Roman"/>
          <w:sz w:val="14"/>
          <w:szCs w:val="14"/>
          <w:i w:val="1"/>
          <w:iCs w:val="1"/>
          <w:color w:val="000000"/>
        </w:rPr>
        <w:t xml:space="preserve"> </w:t>
      </w:r>
      <w:r>
        <w:rPr>
          <w:rFonts w:ascii="Times New Roman" w:cs="Times New Roman" w:eastAsia="Times New Roman" w:hAnsi="Times New Roman"/>
          <w:sz w:val="14"/>
          <w:szCs w:val="14"/>
          <w:color w:val="231F20"/>
        </w:rPr>
        <w:t>for more information about interest rate swaps of the</w:t>
      </w:r>
      <w:r>
        <w:rPr>
          <w:rFonts w:ascii="Times New Roman" w:cs="Times New Roman" w:eastAsia="Times New Roman" w:hAnsi="Times New Roman"/>
          <w:sz w:val="14"/>
          <w:szCs w:val="14"/>
          <w:i w:val="1"/>
          <w:iCs w:val="1"/>
          <w:color w:val="000000"/>
        </w:rPr>
        <w:t xml:space="preserve"> </w:t>
      </w:r>
      <w:r>
        <w:rPr>
          <w:rFonts w:ascii="Times New Roman" w:cs="Times New Roman" w:eastAsia="Times New Roman" w:hAnsi="Times New Roman"/>
          <w:sz w:val="14"/>
          <w:szCs w:val="14"/>
          <w:color w:val="231F20"/>
        </w:rPr>
        <w:t>Company’s subsidiaries.</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If all of the interest rate swaps had been discontinued on </w:t>
      </w:r>
      <w:r>
        <w:rPr>
          <w:rFonts w:ascii="Times New Roman" w:cs="Times New Roman" w:eastAsia="Times New Roman" w:hAnsi="Times New Roman"/>
          <w:sz w:val="14"/>
          <w:szCs w:val="14"/>
          <w:color w:val="000000"/>
        </w:rPr>
        <w:t>March 31, 2024</w:t>
      </w:r>
      <w:r>
        <w:rPr>
          <w:rFonts w:ascii="Times New Roman" w:cs="Times New Roman" w:eastAsia="Times New Roman" w:hAnsi="Times New Roman"/>
          <w:sz w:val="14"/>
          <w:szCs w:val="14"/>
          <w:color w:val="231F20"/>
        </w:rPr>
        <w:t xml:space="preserve">, the counterparties would have owed the Company </w:t>
      </w:r>
      <w:r>
        <w:rPr>
          <w:rFonts w:ascii="Times New Roman" w:cs="Times New Roman" w:eastAsia="Times New Roman" w:hAnsi="Times New Roman"/>
          <w:sz w:val="14"/>
          <w:szCs w:val="14"/>
          <w:color w:val="000000"/>
        </w:rPr>
        <w:t>$163 million.</w:t>
      </w:r>
      <w:r>
        <w:rPr>
          <w:rFonts w:ascii="Times New Roman" w:cs="Times New Roman" w:eastAsia="Times New Roman" w:hAnsi="Times New Roman"/>
          <w:sz w:val="14"/>
          <w:szCs w:val="14"/>
          <w:color w:val="231F20"/>
        </w:rPr>
        <w:t xml:space="preserve"> Based on the credit ratings of the counterparties, the Company believes its exposure to credit risk due to nonperformance by counterparties to its hedge contracts to be insignificant.</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The Company has long-term debt instruments that subject it to the risk of loss associated with movements in market interest rates. As of </w:t>
      </w:r>
      <w:r>
        <w:rPr>
          <w:rFonts w:ascii="Times New Roman" w:cs="Times New Roman" w:eastAsia="Times New Roman" w:hAnsi="Times New Roman"/>
          <w:sz w:val="14"/>
          <w:szCs w:val="14"/>
          <w:color w:val="000000"/>
        </w:rPr>
        <w:t>March 31, 2024</w:t>
      </w:r>
      <w:r>
        <w:rPr>
          <w:rFonts w:ascii="Times New Roman" w:cs="Times New Roman" w:eastAsia="Times New Roman" w:hAnsi="Times New Roman"/>
          <w:sz w:val="14"/>
          <w:szCs w:val="14"/>
          <w:color w:val="231F20"/>
        </w:rPr>
        <w:t>, a change of 1%, or 100 basis points, in interest rates would result in an approximately $5 million change in market interest expense on a rolling twelve-month basis.</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As of </w:t>
      </w:r>
      <w:r>
        <w:rPr>
          <w:rFonts w:ascii="Times New Roman" w:cs="Times New Roman" w:eastAsia="Times New Roman" w:hAnsi="Times New Roman"/>
          <w:sz w:val="14"/>
          <w:szCs w:val="14"/>
          <w:color w:val="000000"/>
        </w:rPr>
        <w:t>March 31, 2024</w:t>
      </w:r>
      <w:r>
        <w:rPr>
          <w:rFonts w:ascii="Times New Roman" w:cs="Times New Roman" w:eastAsia="Times New Roman" w:hAnsi="Times New Roman"/>
          <w:sz w:val="14"/>
          <w:szCs w:val="14"/>
          <w:color w:val="231F20"/>
        </w:rPr>
        <w:t>, the fair value of the Company’s debt was $7.63 billion and the carrying value was $8.20 billion. The Company estimates that a decrease of 1%, or 100 basis points, in market interest rates would have increased the fair value of its long-term debt by approximately $322 million.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Liquidity Risk</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Liquidity risk arises from the general funding needs of the Company’s activities and in the management of the Company’s assets and liabilities.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Counterparty Credit Risk</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w:t>
      </w:r>
      <w:r>
        <w:rPr>
          <w:rFonts w:ascii="Times New Roman" w:cs="Times New Roman" w:eastAsia="Times New Roman" w:hAnsi="Times New Roman"/>
          <w:sz w:val="14"/>
          <w:szCs w:val="14"/>
          <w:color w:val="000000"/>
        </w:rPr>
        <w:t>Note 5</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Fair Value of Financial Instruments</w:t>
      </w:r>
      <w:r>
        <w:rPr>
          <w:rFonts w:ascii="Times New Roman" w:cs="Times New Roman" w:eastAsia="Times New Roman" w:hAnsi="Times New Roman"/>
          <w:sz w:val="14"/>
          <w:szCs w:val="14"/>
          <w:color w:val="231F20"/>
        </w:rPr>
        <w:t>, to the consolidated financial statements for more information about concentration of credit risk.</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color w:val="auto"/>
        </w:rPr>
        <w:t>ITEM 4 — Controls and Procedures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Conclusion Regarding the Effectiveness of Disclosure Controls and Procedures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Changes in Internal Control over Financial Reporting</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There were no changes in the Company’s internal control over financial reporting (as such term is defined in Rule 13a-15(f) under the Exchange Act) during the quarter ended March 31, 2024 that materially affected, or are reasonably likely to materially affect, the Company’s internal control over financial reporting.</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 LEGAL PROCEEDINGS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 RISK FACTORS</w:t>
      </w:r>
    </w:p>
    <w:p>
      <w:pPr>
        <w:spacing w:after="0" w:line="136" w:lineRule="exact"/>
        <w:rPr>
          <w:sz w:val="20"/>
          <w:szCs w:val="20"/>
          <w:color w:val="auto"/>
        </w:rPr>
      </w:pPr>
    </w:p>
    <w:p>
      <w:pPr>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Information regarding risk factors appears in Part I,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in the Company’s 2023 Form 10-K. There have been no material changes in the Company’s risk factors since those reported in its 2023 Form 10-K.</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 UNREGISTERED SALES OF EQUITY SECURITIES AND USE OF PROCEEDS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 DEFAULTS UPON SENIOR SECURITIES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 MINE SAFETY DISCLOSURES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 OTHER INFORMATION</w:t>
      </w:r>
    </w:p>
    <w:p>
      <w:pPr>
        <w:spacing w:after="0" w:line="127"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4"/>
          <w:szCs w:val="14"/>
          <w:color w:val="auto"/>
        </w:rPr>
        <w:t>During the three months ended March 31, 2024,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color w:val="auto"/>
        </w:rPr>
        <w:t>ITEM 6 — EXHIBITS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582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44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Method of Filing</w:t>
            </w:r>
          </w:p>
        </w:tc>
      </w:tr>
      <w:tr>
        <w:trPr>
          <w:trHeight w:val="142"/>
        </w:trPr>
        <w:tc>
          <w:tcPr>
            <w:tcW w:w="24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auto"/>
                <w:w w:val="87"/>
              </w:rPr>
              <w:t>10.1</w:t>
            </w:r>
          </w:p>
        </w:tc>
        <w:tc>
          <w:tcPr>
            <w:tcW w:w="780" w:type="dxa"/>
            <w:vAlign w:val="bottom"/>
          </w:tcPr>
          <w:p>
            <w:pPr>
              <w:spacing w:after="0"/>
              <w:rPr>
                <w:sz w:val="12"/>
                <w:szCs w:val="12"/>
                <w:color w:val="auto"/>
              </w:rPr>
            </w:pPr>
          </w:p>
        </w:tc>
        <w:tc>
          <w:tcPr>
            <w:tcW w:w="5820" w:type="dxa"/>
            <w:vAlign w:val="bottom"/>
            <w:gridSpan w:val="6"/>
          </w:tcPr>
          <w:p>
            <w:pPr>
              <w:spacing w:after="0" w:line="143" w:lineRule="exact"/>
              <w:rPr>
                <w:sz w:val="20"/>
                <w:szCs w:val="20"/>
                <w:color w:val="auto"/>
              </w:rPr>
            </w:pPr>
            <w:r>
              <w:rPr>
                <w:rFonts w:ascii="Times New Roman" w:cs="Times New Roman" w:eastAsia="Times New Roman" w:hAnsi="Times New Roman"/>
                <w:sz w:val="13"/>
                <w:szCs w:val="13"/>
                <w:color w:val="0000FF"/>
                <w:w w:val="99"/>
              </w:rPr>
              <w:t>Amended and Restated Master Services Agreement, dated as of April 30, 2024, by and among Clearway Energy</w:t>
            </w:r>
          </w:p>
        </w:tc>
        <w:tc>
          <w:tcPr>
            <w:tcW w:w="444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auto"/>
              </w:rPr>
              <w:t>Filed herewith.</w:t>
            </w:r>
          </w:p>
        </w:tc>
      </w:tr>
      <w:tr>
        <w:trPr>
          <w:trHeight w:val="107"/>
        </w:trPr>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720" w:type="dxa"/>
            <w:vAlign w:val="bottom"/>
            <w:tcBorders>
              <w:top w:val="single" w:sz="8" w:color="0000FF"/>
            </w:tcBorders>
            <w:gridSpan w:val="5"/>
          </w:tcPr>
          <w:p>
            <w:pPr>
              <w:spacing w:after="0" w:line="107" w:lineRule="exact"/>
              <w:rPr>
                <w:sz w:val="20"/>
                <w:szCs w:val="20"/>
                <w:color w:val="auto"/>
              </w:rPr>
            </w:pPr>
            <w:r>
              <w:rPr>
                <w:rFonts w:ascii="Times New Roman" w:cs="Times New Roman" w:eastAsia="Times New Roman" w:hAnsi="Times New Roman"/>
                <w:sz w:val="12"/>
                <w:szCs w:val="12"/>
                <w:color w:val="0000FF"/>
              </w:rPr>
              <w:t>Group LLC, Clearway Energy, Inc., Clearway Energy LLC and Clearway Energy Operating LLC</w:t>
            </w:r>
          </w:p>
        </w:tc>
        <w:tc>
          <w:tcPr>
            <w:tcW w:w="100" w:type="dxa"/>
            <w:vAlign w:val="bottom"/>
          </w:tcPr>
          <w:p>
            <w:pPr>
              <w:spacing w:after="0"/>
              <w:rPr>
                <w:sz w:val="9"/>
                <w:szCs w:val="9"/>
                <w:color w:val="auto"/>
              </w:rPr>
            </w:pPr>
          </w:p>
        </w:tc>
        <w:tc>
          <w:tcPr>
            <w:tcW w:w="4440" w:type="dxa"/>
            <w:vAlign w:val="bottom"/>
          </w:tcPr>
          <w:p>
            <w:pPr>
              <w:spacing w:after="0"/>
              <w:rPr>
                <w:sz w:val="9"/>
                <w:szCs w:val="9"/>
                <w:color w:val="auto"/>
              </w:rPr>
            </w:pPr>
          </w:p>
        </w:tc>
      </w:tr>
      <w:tr>
        <w:trPr>
          <w:trHeight w:val="160"/>
        </w:trPr>
        <w:tc>
          <w:tcPr>
            <w:tcW w:w="24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87"/>
              </w:rPr>
              <w:t>31.1</w:t>
            </w:r>
          </w:p>
        </w:tc>
        <w:tc>
          <w:tcPr>
            <w:tcW w:w="780" w:type="dxa"/>
            <w:vAlign w:val="bottom"/>
          </w:tcPr>
          <w:p>
            <w:pPr>
              <w:spacing w:after="0"/>
              <w:rPr>
                <w:sz w:val="13"/>
                <w:szCs w:val="13"/>
                <w:color w:val="auto"/>
              </w:rPr>
            </w:pPr>
          </w:p>
        </w:tc>
        <w:tc>
          <w:tcPr>
            <w:tcW w:w="32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3"/>
                <w:szCs w:val="13"/>
                <w:color w:val="0000FF"/>
                <w:w w:val="97"/>
              </w:rPr>
              <w:t>Rule 13a-14(a)/15d-14(a) certification of Christopher S. Sotos.</w:t>
            </w:r>
          </w:p>
        </w:tc>
        <w:tc>
          <w:tcPr>
            <w:tcW w:w="1740" w:type="dxa"/>
            <w:vAlign w:val="bottom"/>
            <w:tcBorders>
              <w:top w:val="single" w:sz="8" w:color="0000FF"/>
            </w:tcBorders>
          </w:tcPr>
          <w:p>
            <w:pPr>
              <w:spacing w:after="0"/>
              <w:rPr>
                <w:sz w:val="13"/>
                <w:szCs w:val="13"/>
                <w:color w:val="auto"/>
              </w:rPr>
            </w:pPr>
          </w:p>
        </w:tc>
        <w:tc>
          <w:tcPr>
            <w:tcW w:w="860" w:type="dxa"/>
            <w:vAlign w:val="bottom"/>
            <w:gridSpan w:val="2"/>
          </w:tcPr>
          <w:p>
            <w:pPr>
              <w:spacing w:after="0"/>
              <w:rPr>
                <w:sz w:val="13"/>
                <w:szCs w:val="13"/>
                <w:color w:val="auto"/>
              </w:rPr>
            </w:pPr>
          </w:p>
        </w:tc>
        <w:tc>
          <w:tcPr>
            <w:tcW w:w="4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60"/>
        </w:trPr>
        <w:tc>
          <w:tcPr>
            <w:tcW w:w="24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87"/>
              </w:rPr>
              <w:t>31.2</w:t>
            </w:r>
          </w:p>
        </w:tc>
        <w:tc>
          <w:tcPr>
            <w:tcW w:w="780" w:type="dxa"/>
            <w:vAlign w:val="bottom"/>
          </w:tcPr>
          <w:p>
            <w:pPr>
              <w:spacing w:after="0"/>
              <w:rPr>
                <w:sz w:val="13"/>
                <w:szCs w:val="13"/>
                <w:color w:val="auto"/>
              </w:rPr>
            </w:pPr>
          </w:p>
        </w:tc>
        <w:tc>
          <w:tcPr>
            <w:tcW w:w="30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3"/>
                <w:szCs w:val="13"/>
                <w:color w:val="0000FF"/>
                <w:w w:val="97"/>
              </w:rPr>
              <w:t>Rule 13a-14(a)/15d-14(a) certification of Sarah Rubenstein.</w:t>
            </w:r>
          </w:p>
        </w:tc>
        <w:tc>
          <w:tcPr>
            <w:tcW w:w="2760" w:type="dxa"/>
            <w:vAlign w:val="bottom"/>
            <w:gridSpan w:val="4"/>
          </w:tcPr>
          <w:p>
            <w:pPr>
              <w:spacing w:after="0"/>
              <w:rPr>
                <w:sz w:val="13"/>
                <w:szCs w:val="13"/>
                <w:color w:val="auto"/>
              </w:rPr>
            </w:pPr>
          </w:p>
        </w:tc>
        <w:tc>
          <w:tcPr>
            <w:tcW w:w="4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60"/>
        </w:trPr>
        <w:tc>
          <w:tcPr>
            <w:tcW w:w="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32</w:t>
            </w:r>
          </w:p>
        </w:tc>
        <w:tc>
          <w:tcPr>
            <w:tcW w:w="780" w:type="dxa"/>
            <w:vAlign w:val="bottom"/>
          </w:tcPr>
          <w:p>
            <w:pPr>
              <w:spacing w:after="0"/>
              <w:rPr>
                <w:sz w:val="13"/>
                <w:szCs w:val="13"/>
                <w:color w:val="auto"/>
              </w:rPr>
            </w:pPr>
          </w:p>
        </w:tc>
        <w:tc>
          <w:tcPr>
            <w:tcW w:w="5820" w:type="dxa"/>
            <w:vAlign w:val="bottom"/>
            <w:gridSpan w:val="6"/>
          </w:tcPr>
          <w:p>
            <w:pPr>
              <w:spacing w:after="0"/>
              <w:rPr>
                <w:sz w:val="20"/>
                <w:szCs w:val="20"/>
                <w:color w:val="auto"/>
              </w:rPr>
            </w:pPr>
            <w:r>
              <w:rPr>
                <w:rFonts w:ascii="Times New Roman" w:cs="Times New Roman" w:eastAsia="Times New Roman" w:hAnsi="Times New Roman"/>
                <w:sz w:val="13"/>
                <w:szCs w:val="13"/>
                <w:color w:val="0000FF"/>
              </w:rPr>
              <w:t>Section 1350 Certification.</w:t>
            </w:r>
          </w:p>
        </w:tc>
        <w:tc>
          <w:tcPr>
            <w:tcW w:w="4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Furnished herewith.</w:t>
            </w:r>
          </w:p>
        </w:tc>
      </w:tr>
      <w:tr>
        <w:trPr>
          <w:trHeight w:val="20"/>
        </w:trPr>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177"/>
        </w:trPr>
        <w:tc>
          <w:tcPr>
            <w:tcW w:w="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w:t>
            </w: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INS</w:t>
            </w:r>
          </w:p>
        </w:tc>
        <w:tc>
          <w:tcPr>
            <w:tcW w:w="582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Inline XBRL Instance Document.</w:t>
            </w:r>
          </w:p>
        </w:tc>
        <w:tc>
          <w:tcPr>
            <w:tcW w:w="4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70"/>
        </w:trPr>
        <w:tc>
          <w:tcPr>
            <w:tcW w:w="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w:t>
            </w: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SCH</w:t>
            </w:r>
          </w:p>
        </w:tc>
        <w:tc>
          <w:tcPr>
            <w:tcW w:w="582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Inline XBRL Taxonomy Extension Schema.</w:t>
            </w:r>
          </w:p>
        </w:tc>
        <w:tc>
          <w:tcPr>
            <w:tcW w:w="4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70"/>
        </w:trPr>
        <w:tc>
          <w:tcPr>
            <w:tcW w:w="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w:t>
            </w: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CAL</w:t>
            </w:r>
          </w:p>
        </w:tc>
        <w:tc>
          <w:tcPr>
            <w:tcW w:w="582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Inline XBRL Taxonomy Extension Calculation Linkbase.</w:t>
            </w:r>
          </w:p>
        </w:tc>
        <w:tc>
          <w:tcPr>
            <w:tcW w:w="4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70"/>
        </w:trPr>
        <w:tc>
          <w:tcPr>
            <w:tcW w:w="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w:t>
            </w: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DEF</w:t>
            </w:r>
          </w:p>
        </w:tc>
        <w:tc>
          <w:tcPr>
            <w:tcW w:w="582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Inline XBRL Taxonomy Extension Definition Linkbase.</w:t>
            </w:r>
          </w:p>
        </w:tc>
        <w:tc>
          <w:tcPr>
            <w:tcW w:w="4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70"/>
        </w:trPr>
        <w:tc>
          <w:tcPr>
            <w:tcW w:w="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w:t>
            </w: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LAB</w:t>
            </w:r>
          </w:p>
        </w:tc>
        <w:tc>
          <w:tcPr>
            <w:tcW w:w="582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Inline XBRL Taxonomy Extension Label Linkbase.</w:t>
            </w:r>
          </w:p>
        </w:tc>
        <w:tc>
          <w:tcPr>
            <w:tcW w:w="4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70"/>
        </w:trPr>
        <w:tc>
          <w:tcPr>
            <w:tcW w:w="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w:t>
            </w: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PRE</w:t>
            </w:r>
          </w:p>
        </w:tc>
        <w:tc>
          <w:tcPr>
            <w:tcW w:w="582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Inline XBRL Taxonomy Extension Presentation Linkbase.</w:t>
            </w:r>
          </w:p>
        </w:tc>
        <w:tc>
          <w:tcPr>
            <w:tcW w:w="4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32"/>
        </w:trPr>
        <w:tc>
          <w:tcPr>
            <w:tcW w:w="240" w:type="dxa"/>
            <w:vAlign w:val="bottom"/>
          </w:tcPr>
          <w:p>
            <w:pPr>
              <w:ind w:left="20"/>
              <w:spacing w:after="0" w:line="132" w:lineRule="exact"/>
              <w:rPr>
                <w:sz w:val="20"/>
                <w:szCs w:val="20"/>
                <w:color w:val="auto"/>
              </w:rPr>
            </w:pPr>
            <w:r>
              <w:rPr>
                <w:rFonts w:ascii="Times New Roman" w:cs="Times New Roman" w:eastAsia="Times New Roman" w:hAnsi="Times New Roman"/>
                <w:sz w:val="13"/>
                <w:szCs w:val="13"/>
                <w:color w:val="auto"/>
              </w:rPr>
              <w:t>104</w:t>
            </w:r>
          </w:p>
        </w:tc>
        <w:tc>
          <w:tcPr>
            <w:tcW w:w="780" w:type="dxa"/>
            <w:vAlign w:val="bottom"/>
          </w:tcPr>
          <w:p>
            <w:pPr>
              <w:spacing w:after="0"/>
              <w:rPr>
                <w:sz w:val="11"/>
                <w:szCs w:val="11"/>
                <w:color w:val="auto"/>
              </w:rPr>
            </w:pPr>
          </w:p>
        </w:tc>
        <w:tc>
          <w:tcPr>
            <w:tcW w:w="5820" w:type="dxa"/>
            <w:vAlign w:val="bottom"/>
            <w:gridSpan w:val="6"/>
          </w:tcPr>
          <w:p>
            <w:pPr>
              <w:spacing w:after="0" w:line="132" w:lineRule="exact"/>
              <w:rPr>
                <w:sz w:val="20"/>
                <w:szCs w:val="20"/>
                <w:color w:val="auto"/>
              </w:rPr>
            </w:pPr>
            <w:r>
              <w:rPr>
                <w:rFonts w:ascii="Times New Roman" w:cs="Times New Roman" w:eastAsia="Times New Roman" w:hAnsi="Times New Roman"/>
                <w:sz w:val="13"/>
                <w:szCs w:val="13"/>
                <w:color w:val="auto"/>
              </w:rPr>
              <w:t>Cover Page Interactive Data File (the cover page interactive data file does not appear in Exhibit 104 because its</w:t>
            </w:r>
          </w:p>
        </w:tc>
        <w:tc>
          <w:tcPr>
            <w:tcW w:w="4440" w:type="dxa"/>
            <w:vAlign w:val="bottom"/>
          </w:tcPr>
          <w:p>
            <w:pPr>
              <w:ind w:left="80"/>
              <w:spacing w:after="0" w:line="132" w:lineRule="exact"/>
              <w:rPr>
                <w:sz w:val="20"/>
                <w:szCs w:val="20"/>
                <w:color w:val="auto"/>
              </w:rPr>
            </w:pPr>
            <w:r>
              <w:rPr>
                <w:rFonts w:ascii="Times New Roman" w:cs="Times New Roman" w:eastAsia="Times New Roman" w:hAnsi="Times New Roman"/>
                <w:sz w:val="13"/>
                <w:szCs w:val="13"/>
                <w:color w:val="auto"/>
              </w:rPr>
              <w:t>Filed herewith.</w:t>
            </w:r>
          </w:p>
        </w:tc>
      </w:tr>
      <w:tr>
        <w:trPr>
          <w:trHeight w:val="165"/>
        </w:trPr>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2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Inline XBRL tags are embedded within the Inline XBRL document).</w:t>
            </w:r>
          </w:p>
        </w:tc>
        <w:tc>
          <w:tcPr>
            <w:tcW w:w="4440" w:type="dxa"/>
            <w:vAlign w:val="bottom"/>
          </w:tcPr>
          <w:p>
            <w:pPr>
              <w:spacing w:after="0"/>
              <w:rPr>
                <w:sz w:val="14"/>
                <w:szCs w:val="14"/>
                <w:color w:val="auto"/>
              </w:rPr>
            </w:pPr>
          </w:p>
        </w:tc>
      </w:tr>
      <w:tr>
        <w:trPr>
          <w:trHeight w:val="810"/>
        </w:trPr>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960" w:type="dxa"/>
            <w:vAlign w:val="bottom"/>
            <w:gridSpan w:val="4"/>
          </w:tcPr>
          <w:p>
            <w:pPr>
              <w:ind w:left="4560"/>
              <w:spacing w:after="0"/>
              <w:rPr>
                <w:sz w:val="20"/>
                <w:szCs w:val="20"/>
                <w:color w:val="auto"/>
              </w:rPr>
            </w:pPr>
            <w:r>
              <w:rPr>
                <w:rFonts w:ascii="Times New Roman" w:cs="Times New Roman" w:eastAsia="Times New Roman" w:hAnsi="Times New Roman"/>
                <w:sz w:val="14"/>
                <w:szCs w:val="14"/>
                <w:color w:val="auto"/>
              </w:rPr>
              <w:t>44</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87"/>
        </w:trPr>
        <w:tc>
          <w:tcPr>
            <w:tcW w:w="2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7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4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38"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2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color w:val="auto"/>
        </w:rPr>
        <w:t>CLEARWAY ENERGY LLC</w:t>
      </w:r>
    </w:p>
    <w:p>
      <w:pPr>
        <w:ind w:left="6800"/>
        <w:spacing w:after="0"/>
        <w:rPr>
          <w:sz w:val="20"/>
          <w:szCs w:val="20"/>
          <w:color w:val="auto"/>
        </w:rPr>
      </w:pPr>
      <w:r>
        <w:rPr>
          <w:rFonts w:ascii="Times New Roman" w:cs="Times New Roman" w:eastAsia="Times New Roman" w:hAnsi="Times New Roman"/>
          <w:sz w:val="14"/>
          <w:szCs w:val="14"/>
          <w:color w:val="auto"/>
        </w:rPr>
        <w:t>(Registrant)</w:t>
      </w:r>
    </w:p>
    <w:p>
      <w:pPr>
        <w:spacing w:after="0" w:line="2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4314825</wp:posOffset>
            </wp:positionH>
            <wp:positionV relativeFrom="paragraph">
              <wp:posOffset>14605</wp:posOffset>
            </wp:positionV>
            <wp:extent cx="279590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95905" cy="6985"/>
                    </a:xfrm>
                    <a:prstGeom prst="rect">
                      <a:avLst/>
                    </a:prstGeom>
                    <a:noFill/>
                  </pic:spPr>
                </pic:pic>
              </a:graphicData>
            </a:graphic>
          </wp:anchor>
        </w:drawing>
      </w:r>
    </w:p>
    <w:p>
      <w:pPr>
        <w:spacing w:after="0" w:line="10"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color w:val="auto"/>
        </w:rPr>
        <w:t>Christopher S. Sotos</w:t>
      </w:r>
    </w:p>
    <w:p>
      <w:pPr>
        <w:spacing w:after="0" w:line="1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ind w:left="680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375"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4314825</wp:posOffset>
            </wp:positionH>
            <wp:positionV relativeFrom="paragraph">
              <wp:posOffset>14605</wp:posOffset>
            </wp:positionV>
            <wp:extent cx="279590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795905" cy="6985"/>
                    </a:xfrm>
                    <a:prstGeom prst="rect">
                      <a:avLst/>
                    </a:prstGeom>
                    <a:noFill/>
                  </pic:spPr>
                </pic:pic>
              </a:graphicData>
            </a:graphic>
          </wp:anchor>
        </w:drawing>
      </w:r>
    </w:p>
    <w:p>
      <w:pPr>
        <w:spacing w:after="0" w:line="10"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color w:val="auto"/>
        </w:rPr>
        <w:t>Sarah Rubenstein</w:t>
      </w:r>
    </w:p>
    <w:p>
      <w:pPr>
        <w:spacing w:after="0" w:line="1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i w:val="1"/>
          <w:iCs w:val="1"/>
          <w:color w:val="auto"/>
        </w:rPr>
        <w:t>Executive Vice President and Chief Financial Officer</w:t>
      </w:r>
    </w:p>
    <w:p>
      <w:pPr>
        <w:ind w:left="6800"/>
        <w:spacing w:after="0" w:line="221" w:lineRule="auto"/>
        <w:rPr>
          <w:sz w:val="20"/>
          <w:szCs w:val="20"/>
          <w:color w:val="auto"/>
        </w:rPr>
      </w:pPr>
      <w:r>
        <w:rPr>
          <w:rFonts w:ascii="Times New Roman" w:cs="Times New Roman" w:eastAsia="Times New Roman" w:hAnsi="Times New Roman"/>
          <w:sz w:val="14"/>
          <w:szCs w:val="14"/>
          <w:i w:val="1"/>
          <w:iCs w:val="1"/>
          <w:color w:val="auto"/>
        </w:rPr>
        <w:t>(Principal Financial Officer and Principal Accounting</w:t>
      </w:r>
    </w:p>
    <w:p>
      <w:pPr>
        <w:ind w:left="100"/>
        <w:spacing w:after="0"/>
        <w:tabs>
          <w:tab w:leader="none" w:pos="6780" w:val="left"/>
        </w:tabs>
        <w:rPr>
          <w:sz w:val="20"/>
          <w:szCs w:val="20"/>
          <w:color w:val="auto"/>
        </w:rPr>
      </w:pPr>
      <w:r>
        <w:rPr>
          <w:rFonts w:ascii="Times New Roman" w:cs="Times New Roman" w:eastAsia="Times New Roman" w:hAnsi="Times New Roman"/>
          <w:sz w:val="14"/>
          <w:szCs w:val="14"/>
          <w:color w:val="auto"/>
        </w:rPr>
        <w:t>Date: May 9, 2024</w:t>
      </w:r>
      <w:r>
        <w:rPr>
          <w:sz w:val="20"/>
          <w:szCs w:val="20"/>
          <w:color w:val="auto"/>
        </w:rPr>
        <w:tab/>
      </w:r>
      <w:r>
        <w:rPr>
          <w:rFonts w:ascii="Times New Roman" w:cs="Times New Roman" w:eastAsia="Times New Roman" w:hAnsi="Times New Roman"/>
          <w:sz w:val="14"/>
          <w:szCs w:val="14"/>
          <w:i w:val="1"/>
          <w:iCs w:val="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1280"/>
          </w:cols>
          <w:pgMar w:left="300" w:top="728" w:right="319" w:bottom="1440"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9733280</wp:posOffset>
            </wp:positionV>
            <wp:extent cx="7105650" cy="196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Christopher S. Sotos, certify that:</w:t>
      </w:r>
    </w:p>
    <w:p>
      <w:pPr>
        <w:spacing w:after="0" w:line="274" w:lineRule="exact"/>
        <w:rPr>
          <w:sz w:val="20"/>
          <w:szCs w:val="20"/>
          <w:color w:val="auto"/>
        </w:rPr>
      </w:pPr>
    </w:p>
    <w:p>
      <w:pPr>
        <w:ind w:left="520" w:hanging="515"/>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Clearway Energy LLC;</w:t>
      </w:r>
    </w:p>
    <w:p>
      <w:pPr>
        <w:spacing w:after="0" w:line="178"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8"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3"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3"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4"/>
          <w:szCs w:val="14"/>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4570730</wp:posOffset>
            </wp:positionH>
            <wp:positionV relativeFrom="paragraph">
              <wp:posOffset>14605</wp:posOffset>
            </wp:positionV>
            <wp:extent cx="180530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05305" cy="6985"/>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4"/>
          <w:szCs w:val="14"/>
          <w:color w:val="auto"/>
        </w:rPr>
        <w:t>Christopher S. Sotos</w:t>
      </w:r>
    </w:p>
    <w:p>
      <w:pPr>
        <w:ind w:left="7220"/>
        <w:spacing w:after="0" w:line="205" w:lineRule="auto"/>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ind w:left="72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9, 2024</w:t>
      </w:r>
    </w:p>
    <w:p>
      <w:pPr>
        <w:sectPr>
          <w:pgSz w:w="11900" w:h="16838" w:orient="portrait"/>
          <w:cols w:equalWidth="0" w:num="1">
            <w:col w:w="11280"/>
          </w:cols>
          <w:pgMar w:left="300" w:top="802" w:right="31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Sarah Rubenstein, certify that:</w:t>
      </w:r>
    </w:p>
    <w:p>
      <w:pPr>
        <w:spacing w:after="0" w:line="274" w:lineRule="exact"/>
        <w:rPr>
          <w:sz w:val="20"/>
          <w:szCs w:val="20"/>
          <w:color w:val="auto"/>
        </w:rPr>
      </w:pPr>
    </w:p>
    <w:p>
      <w:pPr>
        <w:ind w:left="520" w:hanging="515"/>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Clearway Energy LLC;</w:t>
      </w:r>
    </w:p>
    <w:p>
      <w:pPr>
        <w:spacing w:after="0" w:line="178"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8"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3"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3"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4"/>
          <w:szCs w:val="14"/>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4745990</wp:posOffset>
            </wp:positionH>
            <wp:positionV relativeFrom="paragraph">
              <wp:posOffset>14605</wp:posOffset>
            </wp:positionV>
            <wp:extent cx="186626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866265" cy="6985"/>
                    </a:xfrm>
                    <a:prstGeom prst="rect">
                      <a:avLst/>
                    </a:prstGeom>
                    <a:noFill/>
                  </pic:spPr>
                </pic:pic>
              </a:graphicData>
            </a:graphic>
          </wp:anchor>
        </w:drawing>
      </w:r>
    </w:p>
    <w:p>
      <w:pPr>
        <w:spacing w:after="0" w:line="3"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4"/>
          <w:szCs w:val="14"/>
          <w:color w:val="auto"/>
        </w:rPr>
        <w:t>Sarah Rubenstein</w:t>
      </w:r>
    </w:p>
    <w:p>
      <w:pPr>
        <w:ind w:left="7480"/>
        <w:spacing w:after="0" w:line="221" w:lineRule="auto"/>
        <w:rPr>
          <w:sz w:val="20"/>
          <w:szCs w:val="20"/>
          <w:color w:val="auto"/>
        </w:rPr>
      </w:pPr>
      <w:r>
        <w:rPr>
          <w:rFonts w:ascii="Times New Roman" w:cs="Times New Roman" w:eastAsia="Times New Roman" w:hAnsi="Times New Roman"/>
          <w:sz w:val="14"/>
          <w:szCs w:val="14"/>
          <w:i w:val="1"/>
          <w:iCs w:val="1"/>
          <w:color w:val="auto"/>
        </w:rPr>
        <w:t>Executive Vice President and Chief Financial</w:t>
      </w:r>
    </w:p>
    <w:p>
      <w:pPr>
        <w:ind w:left="7480"/>
        <w:spacing w:after="0" w:line="206" w:lineRule="auto"/>
        <w:rPr>
          <w:sz w:val="20"/>
          <w:szCs w:val="20"/>
          <w:color w:val="auto"/>
        </w:rPr>
      </w:pPr>
      <w:r>
        <w:rPr>
          <w:rFonts w:ascii="Times New Roman" w:cs="Times New Roman" w:eastAsia="Times New Roman" w:hAnsi="Times New Roman"/>
          <w:sz w:val="14"/>
          <w:szCs w:val="14"/>
          <w:i w:val="1"/>
          <w:iCs w:val="1"/>
          <w:color w:val="auto"/>
        </w:rPr>
        <w:t>Officer</w:t>
      </w:r>
    </w:p>
    <w:p>
      <w:pPr>
        <w:ind w:left="7480"/>
        <w:spacing w:after="0" w:line="205" w:lineRule="auto"/>
        <w:rPr>
          <w:sz w:val="20"/>
          <w:szCs w:val="20"/>
          <w:color w:val="auto"/>
        </w:rPr>
      </w:pPr>
      <w:r>
        <w:rPr>
          <w:rFonts w:ascii="Times New Roman" w:cs="Times New Roman" w:eastAsia="Times New Roman" w:hAnsi="Times New Roman"/>
          <w:sz w:val="14"/>
          <w:szCs w:val="14"/>
          <w:i w:val="1"/>
          <w:iCs w:val="1"/>
          <w:color w:val="auto"/>
        </w:rPr>
        <w:t>(Principal Financial Officer and Principal</w:t>
      </w:r>
    </w:p>
    <w:p>
      <w:pPr>
        <w:ind w:left="7480"/>
        <w:spacing w:after="0"/>
        <w:rPr>
          <w:sz w:val="20"/>
          <w:szCs w:val="20"/>
          <w:color w:val="auto"/>
        </w:rPr>
      </w:pPr>
      <w:r>
        <w:rPr>
          <w:rFonts w:ascii="Times New Roman" w:cs="Times New Roman" w:eastAsia="Times New Roman" w:hAnsi="Times New Roman"/>
          <w:sz w:val="14"/>
          <w:szCs w:val="14"/>
          <w:i w:val="1"/>
          <w:iCs w:val="1"/>
          <w:color w:val="auto"/>
        </w:rPr>
        <w:t>Accounting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9, 2024</w:t>
      </w:r>
    </w:p>
    <w:p>
      <w:pPr>
        <w:sectPr>
          <w:pgSz w:w="11900" w:h="16838" w:orient="portrait"/>
          <w:cols w:equalWidth="0" w:num="1">
            <w:col w:w="11280"/>
          </w:cols>
          <w:pgMar w:left="300" w:top="727" w:right="31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4"/>
          <w:szCs w:val="14"/>
          <w:b w:val="1"/>
          <w:bCs w:val="1"/>
          <w:color w:val="auto"/>
        </w:rPr>
        <w:t>EXHIBIT 32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8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of Clearway Energy LLC on Form 10-Q for the quarter ended March 31, 2024,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8" w:lineRule="exact"/>
        <w:rPr>
          <w:sz w:val="20"/>
          <w:szCs w:val="20"/>
          <w:color w:val="auto"/>
        </w:rPr>
      </w:pPr>
    </w:p>
    <w:p>
      <w:pPr>
        <w:ind w:left="500" w:hanging="240"/>
        <w:spacing w:after="0"/>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10-Q fully complies with the requirements of Section 13(a) or 15(d) of the Securities Exchange Act of 1934; and</w:t>
      </w:r>
    </w:p>
    <w:p>
      <w:pPr>
        <w:spacing w:after="0" w:line="51" w:lineRule="exact"/>
        <w:rPr>
          <w:rFonts w:ascii="Times New Roman" w:cs="Times New Roman" w:eastAsia="Times New Roman" w:hAnsi="Times New Roman"/>
          <w:sz w:val="14"/>
          <w:szCs w:val="14"/>
          <w:color w:val="auto"/>
        </w:rPr>
      </w:pPr>
    </w:p>
    <w:p>
      <w:pPr>
        <w:ind w:left="520" w:hanging="260"/>
        <w:spacing w:after="0" w:line="287" w:lineRule="auto"/>
        <w:tabs>
          <w:tab w:leader="none" w:pos="515"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Form 10-Q fairly presents, in all material respects, the financial condition and results of operations of the Company as of the dates and for the periods expressed in the Form 10-Q.</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9, 2024</w:t>
      </w:r>
    </w:p>
    <w:p>
      <w:pPr>
        <w:spacing w:after="0" w:line="8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14605</wp:posOffset>
            </wp:positionV>
            <wp:extent cx="309245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092450" cy="6985"/>
                    </a:xfrm>
                    <a:prstGeom prst="rect">
                      <a:avLst/>
                    </a:prstGeom>
                    <a:noFill/>
                  </pic:spPr>
                </pic:pic>
              </a:graphicData>
            </a:graphic>
          </wp:anchor>
        </w:drawing>
      </w:r>
    </w:p>
    <w:p>
      <w:pPr>
        <w:spacing w:after="0" w:line="1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Christopher S. Sotos</w:t>
      </w:r>
    </w:p>
    <w:p>
      <w:pPr>
        <w:spacing w:after="0" w:line="1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ind w:left="588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37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14605</wp:posOffset>
            </wp:positionV>
            <wp:extent cx="309245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092450" cy="6985"/>
                    </a:xfrm>
                    <a:prstGeom prst="rect">
                      <a:avLst/>
                    </a:prstGeom>
                    <a:noFill/>
                  </pic:spPr>
                </pic:pic>
              </a:graphicData>
            </a:graphic>
          </wp:anchor>
        </w:drawing>
      </w:r>
    </w:p>
    <w:p>
      <w:pPr>
        <w:spacing w:after="0" w:line="1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Sarah Rubenstein</w:t>
      </w:r>
    </w:p>
    <w:p>
      <w:pPr>
        <w:spacing w:after="0" w:line="1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i w:val="1"/>
          <w:iCs w:val="1"/>
          <w:color w:val="auto"/>
        </w:rPr>
        <w:t>Executive Vice President and Chief Financial Officer</w:t>
      </w:r>
    </w:p>
    <w:p>
      <w:pPr>
        <w:ind w:left="5880"/>
        <w:spacing w:after="0"/>
        <w:rPr>
          <w:sz w:val="20"/>
          <w:szCs w:val="20"/>
          <w:color w:val="auto"/>
        </w:rPr>
      </w:pPr>
      <w:r>
        <w:rPr>
          <w:rFonts w:ascii="Times New Roman" w:cs="Times New Roman" w:eastAsia="Times New Roman" w:hAnsi="Times New Roman"/>
          <w:sz w:val="14"/>
          <w:szCs w:val="14"/>
          <w:i w:val="1"/>
          <w:iCs w:val="1"/>
          <w:color w:val="auto"/>
        </w:rPr>
        <w:t>(Principal Financial Officer and Principal Accounting Officer</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foregoing certification is being furnished solely pursuant to 18 U.S.C. Section 1350 and is not being filed as part of this Form 10-Q or as a separate disclosure document.</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LLC and will be retained by Clearway Energy LLC and furnished to the Securities and Exchange Commission or its staff upon request.</w:t>
      </w:r>
    </w:p>
    <w:sectPr>
      <w:pgSz w:w="11900" w:h="16838" w:orient="portrait"/>
      <w:cols w:equalWidth="0" w:num="1">
        <w:col w:w="11280"/>
      </w:cols>
      <w:pgMar w:left="300" w:top="7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lowerLetter"/>
      <w:start w:val="1"/>
    </w:lvl>
  </w:abstractNum>
  <w:abstractNum w:abstractNumId="4">
    <w:nsid w:val="41A7C4C9"/>
    <w:multiLevelType w:val="hybridMultilevel"/>
    <w:lvl w:ilvl="0">
      <w:lvlJc w:val="left"/>
      <w:lvlText w:val="(%1)"/>
      <w:numFmt w:val="lowerLetter"/>
      <w:start w:val="1"/>
    </w:lvl>
  </w:abstractNum>
  <w:abstractNum w:abstractNumId="5">
    <w:nsid w:val="6B68079A"/>
    <w:multiLevelType w:val="hybridMultilevel"/>
    <w:lvl w:ilvl="0">
      <w:lvlJc w:val="left"/>
      <w:lvlText w:val="(%1)"/>
      <w:numFmt w:val="lowerLetter"/>
      <w:start w:val="1"/>
    </w:lvl>
  </w:abstractNum>
  <w:abstractNum w:abstractNumId="6">
    <w:nsid w:val="4E6AFB66"/>
    <w:multiLevelType w:val="hybridMultilevel"/>
    <w:lvl w:ilvl="0">
      <w:lvlJc w:val="left"/>
      <w:lvlText w:val="(%1)"/>
      <w:numFmt w:val="lowerLetter"/>
      <w:start w:val="1"/>
    </w:lvl>
  </w:abstractNum>
  <w:abstractNum w:abstractNumId="7">
    <w:nsid w:val="25E45D32"/>
    <w:multiLevelType w:val="hybridMultilevel"/>
    <w:lvl w:ilvl="0">
      <w:lvlJc w:val="left"/>
      <w:lvlText w:val="(%1)"/>
      <w:numFmt w:val="lowerLetter"/>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lowerLetter"/>
      <w:start w:val="1"/>
    </w:lvl>
  </w:abstractNum>
  <w:abstractNum w:abstractNumId="10">
    <w:nsid w:val="3F2DBA31"/>
    <w:multiLevelType w:val="hybridMultilevel"/>
    <w:lvl w:ilvl="0">
      <w:lvlJc w:val="left"/>
      <w:lvlText w:val="(%1)"/>
      <w:numFmt w:val="lowerLetter"/>
      <w:start w:val="1"/>
    </w:lvl>
  </w:abstractNum>
  <w:abstractNum w:abstractNumId="11">
    <w:nsid w:val="7C83E458"/>
    <w:multiLevelType w:val="hybridMultilevel"/>
    <w:lvl w:ilvl="0">
      <w:lvlJc w:val="left"/>
      <w:lvlText w:val="(%1)"/>
      <w:numFmt w:val="lowerLetter"/>
      <w:start w:val="1"/>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lowerLetter"/>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2024-05-09T13:09:42Z</dcterms:created>
  <dcterms:modified xsi:type="dcterms:W3CDTF">2024-05-09T13:09:42Z</dcterms:modified>
</cp:coreProperties>
</file>