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restart"/>
          </w:tcPr>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Ford Brian R</w:t>
              </w:r>
              <w:r>
                <w:rPr>
                  <w:rFonts w:ascii="Arial" w:cs="Arial" w:eastAsia="Arial" w:hAnsi="Arial"/>
                  <w:sz w:val="21"/>
                  <w:szCs w:val="21"/>
                  <w:color w:val="0000EE"/>
                </w:rPr>
                <w:t>.</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6"/>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03/01/2021</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4"/>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4"/>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A Common Stock, par value $.01 per</w:t>
            </w:r>
          </w:p>
        </w:tc>
        <w:tc>
          <w:tcPr>
            <w:tcW w:w="1140" w:type="dxa"/>
            <w:vAlign w:val="bottom"/>
            <w:gridSpan w:val="4"/>
            <w:vMerge w:val="restart"/>
          </w:tcPr>
          <w:p>
            <w:pPr>
              <w:jc w:val="right"/>
              <w:ind w:right="57"/>
              <w:spacing w:after="0"/>
              <w:rPr>
                <w:sz w:val="20"/>
                <w:szCs w:val="20"/>
                <w:color w:val="auto"/>
              </w:rPr>
            </w:pPr>
            <w:r>
              <w:rPr>
                <w:rFonts w:ascii="Arial" w:cs="Arial" w:eastAsia="Arial" w:hAnsi="Arial"/>
                <w:sz w:val="17"/>
                <w:szCs w:val="17"/>
                <w:color w:val="0000FF"/>
              </w:rPr>
              <w:t>03/01/2021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jc w:val="right"/>
              <w:ind w:right="113"/>
              <w:spacing w:after="0"/>
              <w:rPr>
                <w:sz w:val="20"/>
                <w:szCs w:val="20"/>
                <w:color w:val="auto"/>
              </w:rPr>
            </w:pPr>
            <w:r>
              <w:rPr>
                <w:rFonts w:ascii="Arial" w:cs="Arial" w:eastAsia="Arial" w:hAnsi="Arial"/>
                <w:sz w:val="17"/>
                <w:szCs w:val="17"/>
                <w:color w:val="0000FF"/>
              </w:rPr>
              <w:t>78</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7"/>
                <w:szCs w:val="17"/>
                <w:color w:val="0000FF"/>
              </w:rPr>
              <w:t>7,644</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5"/>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4"/>
            <w:vMerge w:val="restart"/>
          </w:tcPr>
          <w:p>
            <w:pPr>
              <w:jc w:val="right"/>
              <w:ind w:right="57"/>
              <w:spacing w:after="0"/>
              <w:rPr>
                <w:sz w:val="20"/>
                <w:szCs w:val="20"/>
                <w:color w:val="auto"/>
              </w:rPr>
            </w:pPr>
            <w:r>
              <w:rPr>
                <w:rFonts w:ascii="Arial" w:cs="Arial" w:eastAsia="Arial" w:hAnsi="Arial"/>
                <w:sz w:val="17"/>
                <w:szCs w:val="17"/>
                <w:color w:val="0000FF"/>
              </w:rPr>
              <w:t>03/01/2021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jc w:val="right"/>
              <w:ind w:right="73"/>
              <w:spacing w:after="0"/>
              <w:rPr>
                <w:sz w:val="20"/>
                <w:szCs w:val="20"/>
                <w:color w:val="auto"/>
              </w:rPr>
            </w:pPr>
            <w:r>
              <w:rPr>
                <w:rFonts w:ascii="Arial" w:cs="Arial" w:eastAsia="Arial" w:hAnsi="Arial"/>
                <w:sz w:val="17"/>
                <w:szCs w:val="17"/>
                <w:color w:val="0000FF"/>
              </w:rPr>
              <w:t>509</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0000FF"/>
              </w:rPr>
              <w:t>46,850</w:t>
            </w:r>
            <w:r>
              <w:rPr>
                <w:rFonts w:ascii="Arial" w:cs="Arial" w:eastAsia="Arial" w:hAnsi="Arial"/>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4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-3364865</wp:posOffset>
            </wp:positionV>
            <wp:extent cx="7031355"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099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2,097 dividend equivalent rights that may only be settled in Class A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8,147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8874"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2021-03-03T16:14:58Z</dcterms:created>
  <dcterms:modified xsi:type="dcterms:W3CDTF">2021-03-03T16:14:58Z</dcterms:modified>
</cp:coreProperties>
</file>