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36" w:lineRule="exact"/>
        <w:rPr>
          <w:sz w:val="24"/>
          <w:szCs w:val="24"/>
          <w:color w:val="auto"/>
        </w:rPr>
      </w:pPr>
    </w:p>
    <w:p>
      <w:pPr>
        <w:ind w:left="820" w:hanging="346"/>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333-203369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13"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25"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32-0407370</w:t>
      </w:r>
    </w:p>
    <w:p>
      <w:pPr>
        <w:spacing w:after="0" w:line="25"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13" w:right="3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08540</w:t>
      </w:r>
    </w:p>
    <w:p>
      <w:pPr>
        <w:spacing w:after="0" w:line="61" w:lineRule="exact"/>
        <w:rPr>
          <w:sz w:val="24"/>
          <w:szCs w:val="24"/>
          <w:color w:val="auto"/>
        </w:rPr>
      </w:pPr>
    </w:p>
    <w:p>
      <w:pPr>
        <w:sectPr>
          <w:pgSz w:w="11900" w:h="16838" w:orient="portrait"/>
          <w:cols w:equalWidth="0" w:num="4">
            <w:col w:w="3460" w:space="720"/>
            <w:col w:w="940" w:space="720"/>
            <w:col w:w="2360" w:space="720"/>
            <w:col w:w="2320"/>
          </w:cols>
          <w:pgMar w:left="320" w:top="1413" w:right="339" w:bottom="1440" w:gutter="0" w:footer="0" w:header="0"/>
          <w:type w:val="continuous"/>
        </w:sectPr>
      </w:pPr>
    </w:p>
    <w:p>
      <w:pPr>
        <w:ind w:lef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1413"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08" w:lineRule="exact"/>
        <w:rPr>
          <w:sz w:val="24"/>
          <w:szCs w:val="24"/>
          <w:color w:val="auto"/>
        </w:rPr>
      </w:pPr>
    </w:p>
    <w:p>
      <w:pPr>
        <w:jc w:val="both"/>
        <w:ind w:firstLine="283"/>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ind w:right="-279"/>
        <w:spacing w:after="0"/>
        <w:tabs>
          <w:tab w:leader="none" w:pos="18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90"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0" w:lineRule="exact"/>
        <w:rPr>
          <w:sz w:val="24"/>
          <w:szCs w:val="24"/>
          <w:color w:val="auto"/>
        </w:rPr>
      </w:pPr>
    </w:p>
    <w:p>
      <w:pPr>
        <w:jc w:val="center"/>
        <w:ind w:right="-279"/>
        <w:spacing w:after="0"/>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90" w:lineRule="exact"/>
        <w:rPr>
          <w:sz w:val="24"/>
          <w:szCs w:val="24"/>
          <w:color w:val="auto"/>
        </w:rPr>
      </w:pPr>
    </w:p>
    <w:p>
      <w:pPr>
        <w:jc w:val="both"/>
        <w:ind w:firstLine="283"/>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34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8" w:lineRule="exact"/>
        <w:rPr>
          <w:sz w:val="24"/>
          <w:szCs w:val="24"/>
          <w:color w:val="auto"/>
        </w:rPr>
      </w:pPr>
    </w:p>
    <w:p>
      <w:pPr>
        <w:ind w:firstLine="324"/>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0"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4" w:lineRule="exact"/>
        <w:rPr>
          <w:sz w:val="24"/>
          <w:szCs w:val="24"/>
          <w:color w:val="auto"/>
        </w:rPr>
      </w:pPr>
    </w:p>
    <w:p>
      <w:pPr>
        <w:ind w:firstLine="283"/>
        <w:spacing w:after="0"/>
        <w:rPr>
          <w:sz w:val="20"/>
          <w:szCs w:val="20"/>
          <w:color w:val="auto"/>
        </w:rPr>
      </w:pPr>
      <w:r>
        <w:rPr>
          <w:rFonts w:ascii="Arial" w:cs="Arial" w:eastAsia="Arial" w:hAnsi="Arial"/>
          <w:sz w:val="16"/>
          <w:szCs w:val="16"/>
          <w:color w:val="auto"/>
        </w:rPr>
        <w:t>As of October 31, 2023, there were 34,613,853 Class A units outstanding, 42,738,750 Class B units outstanding, 82,390,447 Class C units outstanding, and 42,336,750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Arial" w:cs="Arial" w:eastAsia="Arial" w:hAnsi="Arial"/>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Arial" w:cs="Arial" w:eastAsia="Arial" w:hAnsi="Arial"/>
                <w:sz w:val="18"/>
                <w:szCs w:val="18"/>
                <w:color w:val="0000FF"/>
                <w:w w:val="96"/>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OPERATIONS</w:t>
            </w:r>
          </w:p>
        </w:tc>
        <w:tc>
          <w:tcPr>
            <w:tcW w:w="10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3 — QUANTITATIVE AND QUALITATIVE DISCLOSURES ABOUT MARKET RISK</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4"/>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4</w:t>
            </w:r>
          </w:p>
        </w:tc>
        <w:tc>
          <w:tcPr>
            <w:tcW w:w="9100" w:type="dxa"/>
            <w:vAlign w:val="bottom"/>
            <w:gridSpan w:val="18"/>
          </w:tcPr>
          <w:p>
            <w:pPr>
              <w:ind w:left="20"/>
              <w:spacing w:after="0"/>
              <w:rPr>
                <w:sz w:val="20"/>
                <w:szCs w:val="20"/>
                <w:color w:val="auto"/>
              </w:rPr>
            </w:pPr>
            <w:r>
              <w:rPr>
                <w:rFonts w:ascii="Arial" w:cs="Arial" w:eastAsia="Arial" w:hAnsi="Arial"/>
                <w:sz w:val="18"/>
                <w:szCs w:val="18"/>
                <w:color w:val="0000FF"/>
              </w:rPr>
              <w:t>— MINE SAFETY DISCLOSURES</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6</w:t>
            </w:r>
          </w:p>
        </w:tc>
        <w:tc>
          <w:tcPr>
            <w:tcW w:w="9100" w:type="dxa"/>
            <w:vAlign w:val="bottom"/>
            <w:gridSpan w:val="18"/>
          </w:tcPr>
          <w:p>
            <w:pPr>
              <w:ind w:left="20"/>
              <w:spacing w:after="0"/>
              <w:rPr>
                <w:sz w:val="20"/>
                <w:szCs w:val="20"/>
                <w:color w:val="auto"/>
              </w:rPr>
            </w:pPr>
            <w:r>
              <w:rPr>
                <w:rFonts w:ascii="Arial" w:cs="Arial" w:eastAsia="Arial" w:hAnsi="Arial"/>
                <w:sz w:val="18"/>
                <w:szCs w:val="18"/>
                <w:color w:val="0000FF"/>
              </w:rPr>
              <w:t>— EXHIBITS</w:t>
            </w:r>
          </w:p>
        </w:tc>
        <w:tc>
          <w:tcPr>
            <w:tcW w:w="126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2022,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TotalEnergies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CEG;</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540" w:type="dxa"/>
            <w:vAlign w:val="bottom"/>
          </w:tcPr>
          <w:p>
            <w:pPr>
              <w:ind w:left="1940"/>
              <w:spacing w:after="0"/>
              <w:rPr>
                <w:sz w:val="20"/>
                <w:szCs w:val="20"/>
                <w:color w:val="auto"/>
              </w:rPr>
            </w:pPr>
            <w:r>
              <w:rPr>
                <w:rFonts w:ascii="Arial" w:cs="Arial" w:eastAsia="Arial" w:hAnsi="Arial"/>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r>
      <w:tr>
        <w:trPr>
          <w:trHeight w:val="202"/>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2028 Senior Notes</w:t>
            </w:r>
          </w:p>
        </w:tc>
        <w:tc>
          <w:tcPr>
            <w:tcW w:w="8540" w:type="dxa"/>
            <w:vAlign w:val="bottom"/>
          </w:tcPr>
          <w:p>
            <w:pPr>
              <w:ind w:left="200"/>
              <w:spacing w:after="0" w:line="202" w:lineRule="exact"/>
              <w:rPr>
                <w:sz w:val="20"/>
                <w:szCs w:val="20"/>
                <w:color w:val="auto"/>
              </w:rPr>
            </w:pPr>
            <w:r>
              <w:rPr>
                <w:rFonts w:ascii="Arial" w:cs="Arial" w:eastAsia="Arial" w:hAnsi="Arial"/>
                <w:sz w:val="18"/>
                <w:szCs w:val="18"/>
                <w:color w:val="auto"/>
                <w:w w:val="92"/>
              </w:rPr>
              <w:t>$850 million aggregate principal amount of 4.75% unsecured senior notes due 2028,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2031 Senior Notes</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2"/>
              </w:rPr>
              <w:t>$925 million aggregate principal amount of 3.75% unsecured senior notes due 2031,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2032 Senior Notes</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2"/>
              </w:rPr>
              <w:t>$350 million aggregate principal amount of 3.75% unsecured senior notes due 2032,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40" w:type="dxa"/>
            <w:vAlign w:val="bottom"/>
          </w:tcPr>
          <w:p>
            <w:pPr>
              <w:ind w:left="200"/>
              <w:spacing w:after="0"/>
              <w:rPr>
                <w:sz w:val="20"/>
                <w:szCs w:val="20"/>
                <w:color w:val="auto"/>
              </w:rPr>
            </w:pPr>
            <w:r>
              <w:rPr>
                <w:rFonts w:ascii="Arial" w:cs="Arial" w:eastAsia="Arial" w:hAnsi="Arial"/>
                <w:sz w:val="18"/>
                <w:szCs w:val="18"/>
                <w:color w:val="auto"/>
                <w:w w:val="94"/>
              </w:rPr>
              <w:t>A  non-GAAP  measure,  represents  earnings  before  interest  (including  loss  on  debt  extinguishment),  tax,</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ASC</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authoritative GAAP</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ASU</w:t>
            </w:r>
          </w:p>
        </w:tc>
        <w:tc>
          <w:tcPr>
            <w:tcW w:w="8540" w:type="dxa"/>
            <w:vAlign w:val="bottom"/>
          </w:tcPr>
          <w:p>
            <w:pPr>
              <w:ind w:left="200"/>
              <w:spacing w:after="0"/>
              <w:rPr>
                <w:sz w:val="20"/>
                <w:szCs w:val="20"/>
                <w:color w:val="auto"/>
              </w:rPr>
            </w:pPr>
            <w:r>
              <w:rPr>
                <w:rFonts w:ascii="Arial" w:cs="Arial" w:eastAsia="Arial" w:hAnsi="Arial"/>
                <w:sz w:val="18"/>
                <w:szCs w:val="18"/>
                <w:color w:val="auto"/>
              </w:rPr>
              <w:t>Accounting Standards Updates - updates to the ASC</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40" w:type="dxa"/>
            <w:vAlign w:val="bottom"/>
          </w:tcPr>
          <w:p>
            <w:pPr>
              <w:ind w:left="200"/>
              <w:spacing w:after="0"/>
              <w:rPr>
                <w:sz w:val="20"/>
                <w:szCs w:val="20"/>
                <w:color w:val="auto"/>
              </w:rPr>
            </w:pPr>
            <w:r>
              <w:rPr>
                <w:rFonts w:ascii="Arial" w:cs="Arial" w:eastAsia="Arial" w:hAnsi="Arial"/>
                <w:sz w:val="18"/>
                <w:szCs w:val="18"/>
                <w:color w:val="auto"/>
              </w:rPr>
              <w:t>At-The-Market Equity Offering Program</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Bridge Loan Agreement</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provided a term loan</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facility in an aggregate principal amount of $335 million that was repaid on May 3, 2022</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BESS</w:t>
            </w:r>
          </w:p>
        </w:tc>
        <w:tc>
          <w:tcPr>
            <w:tcW w:w="8540" w:type="dxa"/>
            <w:vAlign w:val="bottom"/>
          </w:tcPr>
          <w:p>
            <w:pPr>
              <w:ind w:left="200"/>
              <w:spacing w:after="0"/>
              <w:rPr>
                <w:sz w:val="20"/>
                <w:szCs w:val="20"/>
                <w:color w:val="auto"/>
              </w:rPr>
            </w:pPr>
            <w:r>
              <w:rPr>
                <w:rFonts w:ascii="Arial" w:cs="Arial" w:eastAsia="Arial" w:hAnsi="Arial"/>
                <w:sz w:val="18"/>
                <w:szCs w:val="18"/>
                <w:color w:val="auto"/>
              </w:rPr>
              <w:t>Battery energy storage system</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Black Start</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4"/>
              </w:rPr>
              <w:t>The capability of a generating asset to restore the grid in the event of a blackout without relying on the external</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electric power transmission network</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CAFD</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3"/>
              </w:rPr>
              <w:t>A non-GAAP measure, Cash Available for Distribution is defined as of September 30, 2023 as Adjusted EBITDA</w:t>
            </w:r>
          </w:p>
        </w:tc>
      </w:tr>
      <w:tr>
        <w:trPr>
          <w:trHeight w:val="188"/>
        </w:trPr>
        <w:tc>
          <w:tcPr>
            <w:tcW w:w="2700" w:type="dxa"/>
            <w:vAlign w:val="bottom"/>
          </w:tcPr>
          <w:p>
            <w:pPr>
              <w:spacing w:after="0"/>
              <w:rPr>
                <w:sz w:val="16"/>
                <w:szCs w:val="16"/>
                <w:color w:val="auto"/>
              </w:rPr>
            </w:pP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4"/>
              </w:rPr>
              <w:t>plus cash distributions/return of investment from unconsolidated affiliates, cash receipts from notes receivable,</w:t>
            </w:r>
          </w:p>
        </w:tc>
      </w:tr>
      <w:tr>
        <w:trPr>
          <w:trHeight w:val="176"/>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8"/>
              </w:rPr>
              <w:t>cash distributions from noncontrolling interests, adjustments to reflect sales-type lease cash payments and</w:t>
            </w:r>
          </w:p>
        </w:tc>
      </w:tr>
      <w:tr>
        <w:trPr>
          <w:trHeight w:val="175"/>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1"/>
              </w:rPr>
              <w:t>payments for lease expenses, less cash distributions to noncontrolling interests, maintenance capital expenditures,</w:t>
            </w:r>
          </w:p>
        </w:tc>
      </w:tr>
      <w:tr>
        <w:trPr>
          <w:trHeight w:val="188"/>
        </w:trPr>
        <w:tc>
          <w:tcPr>
            <w:tcW w:w="2700" w:type="dxa"/>
            <w:vAlign w:val="bottom"/>
          </w:tcPr>
          <w:p>
            <w:pPr>
              <w:spacing w:after="0"/>
              <w:rPr>
                <w:sz w:val="16"/>
                <w:szCs w:val="16"/>
                <w:color w:val="auto"/>
              </w:rPr>
            </w:pP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rPr>
              <w:t>pro-rata Adjusted EBITDA from unconsolidated affiliates, cash interest paid, income taxes paid, principal</w:t>
            </w:r>
          </w:p>
        </w:tc>
      </w:tr>
      <w:tr>
        <w:trPr>
          <w:trHeight w:val="176"/>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3"/>
              </w:rPr>
              <w:t>amortization of indebtedness, changes in prepaid and accrued capacity payments and adjusted for development</w:t>
            </w:r>
          </w:p>
        </w:tc>
      </w:tr>
      <w:tr>
        <w:trPr>
          <w:trHeight w:val="229"/>
        </w:trPr>
        <w:tc>
          <w:tcPr>
            <w:tcW w:w="270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expenses</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Capistrano Wind Portfolio</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5"/>
              </w:rPr>
              <w:t>Five wind projects representing 413 MW of capacity, which includes Broken Bow and Crofton Bluffs located in</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Nebraska, Cedro Hill located in Texas and Mountain Wind Power I and II located in Wyoming</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CEG</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w w:val="96"/>
              </w:rPr>
              <w:t>CEG Master Services Agreements</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2"/>
              </w:rPr>
              <w:t>Master Services Agreements entered into as of August 31, 2018 and amended on February 2, 2023 between the</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Company, Clearway, Inc., Clearway Energy Operating LLC and CEG</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Clearway, Inc.</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Energy, Inc., the holder of the Company’s Class A and Class C units</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0"/>
              </w:rPr>
              <w:t>The holder of all of Clearway, Inc.’s Class B and Class D common stock, the Company’s Class B and Class D units</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and, from time to time, possibly shares of Clearway, Inc.’s Class A and/or Class C common stock</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40" w:type="dxa"/>
            <w:vAlign w:val="bottom"/>
          </w:tcPr>
          <w:p>
            <w:pPr>
              <w:ind w:left="200"/>
              <w:spacing w:after="0"/>
              <w:rPr>
                <w:sz w:val="20"/>
                <w:szCs w:val="20"/>
                <w:color w:val="auto"/>
              </w:rPr>
            </w:pPr>
            <w:r>
              <w:rPr>
                <w:rFonts w:ascii="Arial" w:cs="Arial" w:eastAsia="Arial" w:hAnsi="Arial"/>
                <w:sz w:val="18"/>
                <w:szCs w:val="18"/>
                <w:color w:val="auto"/>
              </w:rPr>
              <w:t>The holder of the project assets that are owned by the Company</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Clearway Renew</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Renew LLC, a subsidiary of CEG</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Company</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Energy LLC, together with its consolidated subsidiaries</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CVSR</w:t>
            </w:r>
          </w:p>
        </w:tc>
        <w:tc>
          <w:tcPr>
            <w:tcW w:w="8540" w:type="dxa"/>
            <w:vAlign w:val="bottom"/>
          </w:tcPr>
          <w:p>
            <w:pPr>
              <w:ind w:left="200"/>
              <w:spacing w:after="0"/>
              <w:rPr>
                <w:sz w:val="20"/>
                <w:szCs w:val="20"/>
                <w:color w:val="auto"/>
              </w:rPr>
            </w:pPr>
            <w:r>
              <w:rPr>
                <w:rFonts w:ascii="Arial" w:cs="Arial" w:eastAsia="Arial" w:hAnsi="Arial"/>
                <w:sz w:val="18"/>
                <w:szCs w:val="18"/>
                <w:color w:val="auto"/>
              </w:rPr>
              <w:t>California Valley Solar Ranch</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40" w:type="dxa"/>
            <w:vAlign w:val="bottom"/>
          </w:tcPr>
          <w:p>
            <w:pPr>
              <w:ind w:left="200"/>
              <w:spacing w:after="0"/>
              <w:rPr>
                <w:sz w:val="20"/>
                <w:szCs w:val="20"/>
                <w:color w:val="auto"/>
              </w:rPr>
            </w:pPr>
            <w:r>
              <w:rPr>
                <w:rFonts w:ascii="Arial" w:cs="Arial" w:eastAsia="Arial" w:hAnsi="Arial"/>
                <w:sz w:val="18"/>
                <w:szCs w:val="18"/>
                <w:color w:val="auto"/>
              </w:rPr>
              <w:t>CVSR Holdco LLC, the indirect owner of CVSR</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3"/>
              </w:rPr>
              <w:t>power produced to customers for usage on site, or are interconnected to sell power into the local distribution grid</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40" w:type="dxa"/>
            <w:vAlign w:val="bottom"/>
          </w:tcPr>
          <w:p>
            <w:pPr>
              <w:ind w:left="200"/>
              <w:spacing w:after="0"/>
              <w:rPr>
                <w:sz w:val="20"/>
                <w:szCs w:val="20"/>
                <w:color w:val="auto"/>
              </w:rPr>
            </w:pPr>
            <w:r>
              <w:rPr>
                <w:rFonts w:ascii="Arial" w:cs="Arial" w:eastAsia="Arial" w:hAnsi="Arial"/>
                <w:sz w:val="18"/>
                <w:szCs w:val="18"/>
                <w:color w:val="auto"/>
              </w:rPr>
              <w:t>Assets under common control acquired by the Company from CEG</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40" w:type="dxa"/>
            <w:vAlign w:val="bottom"/>
          </w:tcPr>
          <w:p>
            <w:pPr>
              <w:ind w:left="200"/>
              <w:spacing w:after="0"/>
              <w:rPr>
                <w:sz w:val="20"/>
                <w:szCs w:val="20"/>
                <w:color w:val="auto"/>
              </w:rPr>
            </w:pPr>
            <w:r>
              <w:rPr>
                <w:rFonts w:ascii="Arial" w:cs="Arial" w:eastAsia="Arial" w:hAnsi="Arial"/>
                <w:sz w:val="18"/>
                <w:szCs w:val="18"/>
                <w:color w:val="auto"/>
              </w:rPr>
              <w:t>The Securities Exchange Act of 1934, as amended</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FASB</w:t>
            </w:r>
          </w:p>
        </w:tc>
        <w:tc>
          <w:tcPr>
            <w:tcW w:w="8540" w:type="dxa"/>
            <w:vAlign w:val="bottom"/>
          </w:tcPr>
          <w:p>
            <w:pPr>
              <w:ind w:left="20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GAAP</w:t>
            </w:r>
          </w:p>
        </w:tc>
        <w:tc>
          <w:tcPr>
            <w:tcW w:w="8540" w:type="dxa"/>
            <w:vAlign w:val="bottom"/>
          </w:tcPr>
          <w:p>
            <w:pPr>
              <w:ind w:left="200"/>
              <w:spacing w:after="0"/>
              <w:rPr>
                <w:sz w:val="20"/>
                <w:szCs w:val="20"/>
                <w:color w:val="auto"/>
              </w:rPr>
            </w:pPr>
            <w:r>
              <w:rPr>
                <w:rFonts w:ascii="Arial" w:cs="Arial" w:eastAsia="Arial" w:hAnsi="Arial"/>
                <w:sz w:val="18"/>
                <w:szCs w:val="18"/>
                <w:color w:val="auto"/>
              </w:rPr>
              <w:t>Accounting principles generally accepted in the U.S.</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GenConn</w:t>
            </w:r>
          </w:p>
        </w:tc>
        <w:tc>
          <w:tcPr>
            <w:tcW w:w="8540" w:type="dxa"/>
            <w:vAlign w:val="bottom"/>
          </w:tcPr>
          <w:p>
            <w:pPr>
              <w:ind w:left="200"/>
              <w:spacing w:after="0"/>
              <w:rPr>
                <w:sz w:val="20"/>
                <w:szCs w:val="20"/>
                <w:color w:val="auto"/>
              </w:rPr>
            </w:pPr>
            <w:r>
              <w:rPr>
                <w:rFonts w:ascii="Arial" w:cs="Arial" w:eastAsia="Arial" w:hAnsi="Arial"/>
                <w:sz w:val="18"/>
                <w:szCs w:val="18"/>
                <w:color w:val="auto"/>
              </w:rPr>
              <w:t>GenConn Energy LLC</w:t>
            </w:r>
          </w:p>
        </w:tc>
      </w:tr>
      <w:tr>
        <w:trPr>
          <w:trHeight w:val="864"/>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auto"/>
              </w:rPr>
              <w:t>4</w:t>
            </w:r>
          </w:p>
        </w:tc>
      </w:tr>
      <w:tr>
        <w:trPr>
          <w:trHeight w:val="115"/>
        </w:trPr>
        <w:tc>
          <w:tcPr>
            <w:tcW w:w="270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Infrastructure Partners</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KKR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KKR Thor Bidco, LLC, an affiliate of Kohlberg Kravis Roberts &amp; Co. L.P.</w:t>
      </w:r>
    </w:p>
    <w:p>
      <w:pPr>
        <w:spacing w:after="0" w:line="34"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Mesquite Star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Mesquite Star Special LLC</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Mt. Storm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NedPower Mount Storm LLC</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Clearway, Inc. net of collateral</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NPNS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Normal Purchases and Normal Sales</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Operations and Maintenance</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Pacific Gas and Electric Company</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5"/>
          <w:szCs w:val="15"/>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57"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Resource adequacy</w:t>
      </w:r>
    </w:p>
    <w:p>
      <w:pPr>
        <w:spacing w:after="0" w:line="57"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Renewable Operation &amp; Maintenance LLC</w:t>
      </w:r>
    </w:p>
    <w:p>
      <w:pPr>
        <w:spacing w:after="0" w:line="45"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Rosie Central BESS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Rosie BESS Devco LLC</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Southern California Edison</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6"/>
          <w:szCs w:val="16"/>
          <w:color w:val="auto"/>
        </w:rPr>
        <w:t>Collectively, the 2028 Senior Notes, the 2031 Senior Notes and the 2032 Senior Notes</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Secured Overnight Financing Rate</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3"/>
          <w:szCs w:val="13"/>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57"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Solar Renewable Energy Credit</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Thermal Business</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2"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TotalEnergies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TotalEnergies SE</w:t>
      </w:r>
    </w:p>
    <w:p>
      <w:pPr>
        <w:spacing w:after="0" w:line="57"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Seven utility-scale solar farms located in Utah, representing 530 MW of capacity</w:t>
      </w:r>
    </w:p>
    <w:p>
      <w:pPr>
        <w:spacing w:after="0" w:line="46"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14"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222" w:lineRule="exact"/>
        <w:rPr>
          <w:sz w:val="20"/>
          <w:szCs w:val="20"/>
          <w:color w:val="auto"/>
        </w:rPr>
      </w:pPr>
    </w:p>
    <w:p>
      <w:pPr>
        <w:sectPr>
          <w:pgSz w:w="11900" w:h="16838" w:orient="portrait"/>
          <w:cols w:equalWidth="0" w:num="2">
            <w:col w:w="2160" w:space="720"/>
            <w:col w:w="8320"/>
          </w:cols>
          <w:pgMar w:left="340" w:top="93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474747"/>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371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60" w:type="dxa"/>
            <w:vAlign w:val="bottom"/>
          </w:tcPr>
          <w:p>
            <w:pPr>
              <w:ind w:left="140"/>
              <w:spacing w:after="0" w:line="176" w:lineRule="exact"/>
              <w:rPr>
                <w:sz w:val="20"/>
                <w:szCs w:val="20"/>
                <w:color w:val="auto"/>
              </w:rPr>
            </w:pPr>
            <w:r>
              <w:rPr>
                <w:rFonts w:ascii="Arial" w:cs="Arial" w:eastAsia="Arial" w:hAnsi="Arial"/>
                <w:sz w:val="18"/>
                <w:szCs w:val="18"/>
                <w:color w:val="auto"/>
                <w:w w:val="92"/>
              </w:rPr>
              <w:t>Cost of operations, exclusive of depreciation, amortization and accretion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474747"/>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276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474747"/>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95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74747"/>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155"/>
        </w:trPr>
        <w:tc>
          <w:tcPr>
            <w:tcW w:w="54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5"/>
              </w:rPr>
              <w:t>Less: Net loss attributable to noncontrolling interests and redeemable</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(32)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Unrealized gain on derivatives and changes in accumulated OCI/OCL</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175"/>
        </w:trPr>
        <w:tc>
          <w:tcPr>
            <w:tcW w:w="5440" w:type="dxa"/>
            <w:vAlign w:val="bottom"/>
          </w:tcPr>
          <w:p>
            <w:pPr>
              <w:ind w:left="120"/>
              <w:spacing w:after="0" w:line="176" w:lineRule="exact"/>
              <w:rPr>
                <w:sz w:val="20"/>
                <w:szCs w:val="20"/>
                <w:color w:val="auto"/>
              </w:rPr>
            </w:pPr>
            <w:r>
              <w:rPr>
                <w:rFonts w:ascii="Arial" w:cs="Arial" w:eastAsia="Arial" w:hAnsi="Arial"/>
                <w:sz w:val="18"/>
                <w:szCs w:val="18"/>
                <w:color w:val="auto"/>
                <w:w w:val="96"/>
              </w:rPr>
              <w:t>Less: Comprehensive loss attributable to noncontrolling interests and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Clearway Energy LLC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09"/>
        </w:trPr>
        <w:tc>
          <w:tcPr>
            <w:tcW w:w="7580" w:type="dxa"/>
            <w:vAlign w:val="bottom"/>
          </w:tcPr>
          <w:p>
            <w:pPr>
              <w:ind w:left="346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receivable — affiliate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Prepayments and other 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for power purchase agreements,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12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Current portion of long-term debt — external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 affiliate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affiliates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Redeemable noncontrolling interest in subsidiaries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8" w:name="page9"/>
    <w:bookmarkEnd w:id="8"/>
    <w:p>
      <w:pPr>
        <w:ind w:left="4820"/>
        <w:spacing w:after="0"/>
        <w:rPr>
          <w:sz w:val="20"/>
          <w:szCs w:val="20"/>
          <w:color w:val="auto"/>
        </w:rPr>
      </w:pPr>
      <w:r>
        <w:rPr>
          <w:rFonts w:ascii="Arial" w:cs="Arial" w:eastAsia="Arial" w:hAnsi="Arial"/>
          <w:sz w:val="18"/>
          <w:szCs w:val="18"/>
          <w:b w:val="1"/>
          <w:bCs w:val="1"/>
          <w:color w:val="auto"/>
        </w:rPr>
        <w:t>CLEARWAY ENERGY LLC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financing costs and debt discounts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Changes in derivative instruments and amortization of accumulated OCI/OCL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used in changes in other working capital: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other working capital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Acquisition of Drop Down Assets, net of cash acquired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Capistrano Wind Portfolio, net of cash acquired</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Increase in note receivable — affiliate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Return of investment from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sale of business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Contributions from noncontrolling interests, net of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(distributions to) CEG,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Payments of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Tax-related distributions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Distributions to CEG of escrowed amounts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revolving credit facility</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Payments for the revolving credit facility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long-term debt — external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issuance of long-term debt — affiliate</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debt issuance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Payments for long-term debt — external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long-term debt — affiliate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ind w:left="448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For the Nine Months Ended September 30, 2023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7"/>
                <w:szCs w:val="17"/>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loss on derivatives and changes in accumulated OCI</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Arial" w:cs="Arial" w:eastAsia="Arial" w:hAnsi="Arial"/>
                <w:sz w:val="16"/>
                <w:szCs w:val="16"/>
                <w:color w:val="auto"/>
              </w:rPr>
              <w:t>Contributions from CEG, net of distributions,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Contributions from noncontrolling interests, net of distributions,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Arial" w:cs="Arial" w:eastAsia="Arial" w:hAnsi="Arial"/>
                <w:sz w:val="16"/>
                <w:szCs w:val="16"/>
                <w:color w:val="auto"/>
              </w:rPr>
              <w:t>Transfers of assets under common control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Distributions to CEG,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Distributions to noncontrolling interests, net of contributions,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Tax-related distributions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Distributions to CEG,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Contributions from noncontrolling interests, net of distributions,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Distributions to noncontrolling interests, non-cash</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Tax-related distributions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Arial" w:cs="Arial" w:eastAsia="Arial" w:hAnsi="Arial"/>
                <w:sz w:val="16"/>
                <w:szCs w:val="16"/>
                <w:color w:val="auto"/>
              </w:rPr>
              <w:t>Transfer of assets under common control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4720" w:type="dxa"/>
            <w:vAlign w:val="bottom"/>
          </w:tcPr>
          <w:p>
            <w:pPr>
              <w:ind w:left="10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Retained Earnings</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Comprehensive(Loss)</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7"/>
                <w:szCs w:val="17"/>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5"/>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Unrealized gain on derivatives and changes in accumulated OCL</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Distributions to CEG, net of contributions,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Contributions from noncontrolling interests, net of distributions,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Transfers of assets under common control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Unrealized gain on derivatives and changes in accumulated OCI</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Contributions from (distributions to) CEG,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Distributions to noncontrolling interests, net of contributions,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w w:val="99"/>
              </w:rPr>
              <w:t>Unrealized gain on derivatives and changes in accumulated OCI</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to) contributions from CEG, non-cash</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Contributions from (distributions to) CEG,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Distributions to noncontrolling interests, net of contributions, cash</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Capistrano Wind Portfolio Acquisition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Kawailoa Sale to Clearway Renew LLC</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Tax-related distributions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6"/>
          <w:szCs w:val="16"/>
          <w:color w:val="231F20"/>
        </w:rPr>
        <w:t>The majority</w:t>
      </w:r>
      <w:r>
        <w:rPr>
          <w:rFonts w:ascii="Arial" w:cs="Arial" w:eastAsia="Arial" w:hAnsi="Arial"/>
          <w:sz w:val="16"/>
          <w:szCs w:val="16"/>
          <w:color w:val="auto"/>
        </w:rPr>
        <w:t xml:space="preserve"> of the Company’s revenues are derived from long-term contractual arrangements for the output or capacity from these assets.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Clearway, Inc. owned 57.90% of the economic interests of the Company, with CEG owning 42.10% of the economic interests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a summarized structure of the Company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11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2023, and results of operations, comprehensive income and cash flows for the three and nine months ended September 30,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$125 million and $121 million as of September 30, 2023 and December 31, 2022,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September 30, 2023, these restricted funds were comprised of $160 million designated to fund operating expenses, $316 million designated for current debt service payments and $85 million restricted for reserves including debt service, performance obligations and other reserves as well as capital expenditures. The remaining $29 million is held in distributions reserve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provides a disaggregation of the amounts classified as Acquisition of Drop Down Assets, net of cash acquired, shown in the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30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6"/>
                <w:szCs w:val="16"/>
                <w:b w:val="1"/>
                <w:bCs w:val="1"/>
                <w:color w:val="auto"/>
                <w:w w:val="89"/>
              </w:rPr>
              <w:t>Nine months ended September 30,</w:t>
            </w:r>
          </w:p>
        </w:tc>
        <w:tc>
          <w:tcPr>
            <w:tcW w:w="540" w:type="dxa"/>
            <w:vAlign w:val="bottom"/>
            <w:tcBorders>
              <w:bottom w:val="single" w:sz="8" w:color="auto"/>
            </w:tcBorders>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r>
      <w:tr>
        <w:trPr>
          <w:trHeight w:val="209"/>
        </w:trPr>
        <w:tc>
          <w:tcPr>
            <w:tcW w:w="7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jc w:val="center"/>
              <w:ind w:right="673"/>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to acquire Drop Down Assets</w:t>
            </w:r>
          </w:p>
        </w:tc>
        <w:tc>
          <w:tcPr>
            <w:tcW w:w="130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(34)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(51)</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acquired from the acquisition of Drop Down Assets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of Drop Down Assets, net of cash acquired</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3"/>
              </w:rPr>
              <w:t>(51)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property, plant and equipment, net, and accumulated amortization included in intangible assets, 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September 30, 2023</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0"/>
                <w:szCs w:val="20"/>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the Company's Class A, B, C and D units during the nine months ended September 30,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2023</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2023</w:t>
            </w:r>
          </w:p>
        </w:tc>
      </w:tr>
      <w:tr>
        <w:trPr>
          <w:trHeight w:val="25"/>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bl>
    <w:p>
      <w:pPr>
        <w:spacing w:after="0" w:line="24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1, 2023, the Company declared a distribution on its Class A, Class B, Class C and Class D units of $0.3964 per unit payable on December 15, 2023 to unit holders of record as of December 1, 2023.</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quarterly distributions, the Company paid $50 million in additional distributions, $29 million of which was distributed to Clearway, Inc. and $21 million of which was distributed to CEG, during the nine months ended September 30, 2023, in order for Clearway, Inc. to make certain additional tax payments primarily associated with the sale of the Thermal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7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780" w:type="dxa"/>
            <w:vAlign w:val="bottom"/>
          </w:tcPr>
          <w:p>
            <w:pPr>
              <w:ind w:left="140"/>
              <w:spacing w:after="0"/>
              <w:rPr>
                <w:sz w:val="20"/>
                <w:szCs w:val="20"/>
                <w:color w:val="auto"/>
              </w:rPr>
            </w:pPr>
            <w:r>
              <w:rPr>
                <w:rFonts w:ascii="Arial" w:cs="Arial" w:eastAsia="Arial" w:hAnsi="Arial"/>
                <w:sz w:val="18"/>
                <w:szCs w:val="18"/>
                <w:color w:val="auto"/>
              </w:rPr>
              <w:t>Cash distributions to redeemable noncontrolling interests</w:t>
            </w: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redeemable 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
        </w:trPr>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1"/>
              </w:rPr>
              <w:t>Three months ended September 30, 2023</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Renewables</w:t>
            </w: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333333"/>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280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333333"/>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333333"/>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Capacity revenue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Renewables</w:t>
            </w: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333333"/>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33333"/>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274</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107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33333"/>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333333"/>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33333"/>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(334)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40" w:lineRule="exact"/>
        <w:rPr>
          <w:sz w:val="20"/>
          <w:szCs w:val="20"/>
          <w:color w:val="auto"/>
        </w:rPr>
      </w:pPr>
    </w:p>
    <w:p>
      <w:pPr>
        <w:ind w:left="240" w:hanging="151"/>
        <w:spacing w:after="0"/>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6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Conventional</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66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Generation</w:t>
            </w:r>
          </w:p>
        </w:tc>
        <w:tc>
          <w:tcPr>
            <w:tcW w:w="164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Energy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1"/>
              </w:rPr>
              <w:t>Nine months ended September 30, 2023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Renewables</w:t>
            </w:r>
          </w:p>
        </w:tc>
        <w:tc>
          <w:tcPr>
            <w:tcW w:w="480" w:type="dxa"/>
            <w:vAlign w:val="bottom"/>
          </w:tcPr>
          <w:p>
            <w:pPr>
              <w:spacing w:after="0"/>
              <w:rPr>
                <w:sz w:val="11"/>
                <w:szCs w:val="11"/>
                <w:color w:val="auto"/>
              </w:rPr>
            </w:pPr>
          </w:p>
        </w:tc>
        <w:tc>
          <w:tcPr>
            <w:tcW w:w="10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1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40" w:lineRule="exact"/>
        <w:rPr>
          <w:sz w:val="20"/>
          <w:szCs w:val="20"/>
          <w:color w:val="auto"/>
        </w:rPr>
      </w:pPr>
    </w:p>
    <w:p>
      <w:pPr>
        <w:jc w:val="both"/>
        <w:ind w:left="80" w:firstLine="9"/>
        <w:spacing w:after="0" w:line="292" w:lineRule="auto"/>
        <w:tabs>
          <w:tab w:leader="none" w:pos="245"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1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313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532</w:t>
            </w: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42424"/>
              </w:rPr>
              <w:t>77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contract assets and liabilities included on the Company’s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 net - Leases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March 2020, the FASB issued ASU No. 2020-4,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Arial" w:cs="Arial" w:eastAsia="Arial" w:hAnsi="Arial"/>
          <w:sz w:val="17"/>
          <w:szCs w:val="17"/>
          <w:i w:val="1"/>
          <w:iCs w:val="1"/>
          <w:color w:val="auto"/>
        </w:rPr>
        <w:t>Deferral of the Sunset Date of 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w:t>
      </w:r>
      <w:r>
        <w:rPr>
          <w:rFonts w:ascii="Arial" w:cs="Arial" w:eastAsia="Arial" w:hAnsi="Arial"/>
          <w:sz w:val="17"/>
          <w:szCs w:val="17"/>
          <w:color w:val="auto"/>
        </w:rPr>
        <w:t>, to extend the end of the transition period to December 31, 2024. As of July 14, 2023, the Company has amended all of the applicable contracts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used LIBOR as a reference rate and elected to apply the practical expedient to certain modified cash flow interest rate swap and debt agreements. The adoption did not have a material impact on the Company’s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Victory Pass and Arica Drop Down — </w:t>
      </w:r>
      <w:r>
        <w:rPr>
          <w:rFonts w:ascii="Arial" w:cs="Arial" w:eastAsia="Arial" w:hAnsi="Arial"/>
          <w:sz w:val="16"/>
          <w:szCs w:val="16"/>
          <w:color w:val="auto"/>
        </w:rPr>
        <w:t>On October 31, 2023, the Company, through its indirect subsidiary, VP-Arica Parent Holdco LLC,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Class A membership interests in VP-Arica TargetCo LLC, the indirect owner of Victory Pass, a 200 MW solar project with matching storage capacity, and Arica, a 263 MW solar project with matching storage capacity, that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will pay an additional $182 million to Clearway Renew and the cash equity investor will pay an additional $347 million to Clearway Renew. VP-Arica TargetCo LLC, a partnership between the Company and the cash equity investor,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w:t>
      </w:r>
    </w:p>
    <w:p>
      <w:pPr>
        <w:spacing w:after="0" w:line="1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Daggett 2 Drop Down </w:t>
      </w:r>
      <w:r>
        <w:rPr>
          <w:rFonts w:ascii="Arial" w:cs="Arial" w:eastAsia="Arial" w:hAnsi="Arial"/>
          <w:sz w:val="17"/>
          <w:szCs w:val="17"/>
          <w:color w:val="auto"/>
        </w:rPr>
        <w:t>— On August 30, 2023, the Company, through its indirect subsidiary, Daggett Solar Investment LLC, acquired the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membership interests in Daggett 2 TargetCo LLC, the indirect owner of Daggett 2, a 182 MW solar project with matching storage capacity that is currently under construction in San Bernardino, California, from CEG for cash consideration of $13 million. Daggett 2 TargetCo LLC, a partnership between the Company and a cash equity investor, consolidates as primary beneficiary, Daggett 2 TE Holdco LLC, a tax equity fund that owns the Daggett 2 solar project, as further described in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Daggett 2 has PPAs with investment-grade counterparties that have a 15-year weighted average contract duration that commence when the underlying operating assets reach commercial operations, which is expected to occur for the majority of the assets in the fourth quarter of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Arial" w:cs="Arial" w:eastAsia="Arial" w:hAnsi="Arial"/>
          <w:sz w:val="17"/>
          <w:szCs w:val="17"/>
          <w:i w:val="1"/>
          <w:iCs w:val="1"/>
          <w:color w:val="auto"/>
        </w:rPr>
        <w:t>Business Combinations -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Issues</w:t>
      </w:r>
      <w:r>
        <w:rPr>
          <w:rFonts w:ascii="Arial" w:cs="Arial" w:eastAsia="Arial" w:hAnsi="Arial"/>
          <w:sz w:val="17"/>
          <w:szCs w:val="17"/>
          <w:color w:val="auto"/>
        </w:rPr>
        <w:t>. The sum of the historical cost of the Company’s acquired interests of $29 million and the cash paid of $13 million was recorded as an adjustment to</w:t>
      </w:r>
      <w:r>
        <w:rPr>
          <w:rFonts w:ascii="Arial" w:cs="Arial" w:eastAsia="Arial" w:hAnsi="Arial"/>
          <w:sz w:val="17"/>
          <w:szCs w:val="17"/>
          <w:i w:val="1"/>
          <w:iCs w:val="1"/>
          <w:color w:val="auto"/>
        </w:rPr>
        <w:t xml:space="preserve"> </w:t>
      </w:r>
      <w:r>
        <w:rPr>
          <w:rFonts w:ascii="Arial" w:cs="Arial" w:eastAsia="Arial" w:hAnsi="Arial"/>
          <w:sz w:val="17"/>
          <w:szCs w:val="17"/>
          <w:color w:val="auto"/>
        </w:rPr>
        <w:t>CEG’s contributed capital balance.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August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Daggett 2</w:t>
            </w:r>
          </w:p>
        </w:tc>
      </w:tr>
      <w:tr>
        <w:trPr>
          <w:trHeight w:val="226"/>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Right-of-use-assets, net</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20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0"/>
        </w:trPr>
        <w:tc>
          <w:tcPr>
            <w:tcW w:w="9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9"/>
        </w:trPr>
        <w:tc>
          <w:tcPr>
            <w:tcW w:w="9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9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1" w:lineRule="exact"/>
        <w:rPr>
          <w:sz w:val="20"/>
          <w:szCs w:val="20"/>
          <w:color w:val="auto"/>
        </w:rPr>
      </w:pPr>
    </w:p>
    <w:p>
      <w:pPr>
        <w:ind w:left="80" w:firstLine="9"/>
        <w:spacing w:after="0" w:line="226" w:lineRule="auto"/>
        <w:tabs>
          <w:tab w:leader="none" w:pos="252"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Includes funds that were contributed by the cash equity investor and tax equity investor that must be used to pay off the tax equity bridge loan when the project reaches substantial completion, which is expected to occur in the fourth quarter of 2023.</w:t>
      </w:r>
    </w:p>
    <w:p>
      <w:pPr>
        <w:spacing w:after="0" w:line="47" w:lineRule="exact"/>
        <w:rPr>
          <w:rFonts w:ascii="Arial" w:cs="Arial" w:eastAsia="Arial" w:hAnsi="Arial"/>
          <w:sz w:val="20"/>
          <w:szCs w:val="20"/>
          <w:color w:val="auto"/>
          <w:vertAlign w:val="superscript"/>
        </w:rPr>
      </w:pPr>
    </w:p>
    <w:p>
      <w:pPr>
        <w:ind w:left="80" w:right="20" w:firstLine="9"/>
        <w:spacing w:after="0" w:line="242" w:lineRule="auto"/>
        <w:tabs>
          <w:tab w:leader="none" w:pos="245"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 xml:space="preserve">Includes a $107 million construction loan and $204 million tax equity bridge loan, offset by $3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 xml:space="preserve">Daggett 3 Drop Down </w:t>
      </w:r>
      <w:r>
        <w:rPr>
          <w:rFonts w:ascii="Arial" w:cs="Arial" w:eastAsia="Arial" w:hAnsi="Arial"/>
          <w:sz w:val="17"/>
          <w:szCs w:val="17"/>
          <w:color w:val="auto"/>
        </w:rPr>
        <w:t>— On February 17, 2023, the Company, through its indirect subsidiary, Daggett Solar Investment LLC, acquired the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membership interests in Daggett TargetCo LLC, the indirect owner of Daggett 3, a 300 MW solar project with matching storage capacity that is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that consolidates Daggett TargetCo LLC. Daggett TargetCo LLC consolidates as primary beneficiary, Daggett TE Holdco LLC, a tax equity fund that owns the Daggett 3 solar project, as further described in Note 4, </w:t>
      </w:r>
      <w:r>
        <w:rPr>
          <w:rFonts w:ascii="Arial" w:cs="Arial" w:eastAsia="Arial" w:hAnsi="Arial"/>
          <w:sz w:val="17"/>
          <w:szCs w:val="17"/>
          <w:i w:val="1"/>
          <w:iCs w:val="1"/>
          <w:color w:val="auto"/>
        </w:rPr>
        <w:t>Investments Accounted for by the Equity Method and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Daggett 3 has PPAs with investment-grade counterparties that have a 15-year weighted average contract duration that commence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underlying assets reach commercial operations, which occurred for the majority of the assets during the third quarter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i w:val="1"/>
          <w:iCs w:val="1"/>
          <w:color w:val="auto"/>
        </w:rPr>
        <w:t>Business Combinations -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Issues</w:t>
      </w:r>
      <w:r>
        <w:rPr>
          <w:rFonts w:ascii="Arial" w:cs="Arial" w:eastAsia="Arial" w:hAnsi="Arial"/>
          <w:sz w:val="17"/>
          <w:szCs w:val="17"/>
          <w:color w:val="auto"/>
        </w:rPr>
        <w:t>. The difference between the cash paid of $21 million and the historical cost of the Company’s net assets acquired of $15 million was recorded as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to CEG’s contributed capital balance. In addition, the Company reflected the entire $21 million of the Company’s purchase price, which was contributed back to the Company by CEG to pay down the acquired long-term debt, in the line item contributions from CEG, net of distributions in the consolidated statements of members’ equity.</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Daggett 3</w:t>
            </w:r>
          </w:p>
        </w:tc>
      </w:tr>
      <w:tr>
        <w:trPr>
          <w:trHeight w:val="226"/>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 net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assets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9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0"/>
        </w:trPr>
        <w:tc>
          <w:tcPr>
            <w:tcW w:w="9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9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48"/>
        </w:trPr>
        <w:tc>
          <w:tcPr>
            <w:tcW w:w="9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1" w:lineRule="exact"/>
        <w:rPr>
          <w:sz w:val="20"/>
          <w:szCs w:val="20"/>
          <w:color w:val="auto"/>
        </w:rPr>
      </w:pPr>
    </w:p>
    <w:p>
      <w:pPr>
        <w:ind w:left="80" w:firstLine="9"/>
        <w:spacing w:after="0" w:line="252" w:lineRule="auto"/>
        <w:tabs>
          <w:tab w:leader="none" w:pos="239"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 xml:space="preserve">Includes a $181 million construction loan, $75 million sponsor equity bridge loan and $229 million tax equity bridge loan, offset by $5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42" w:lineRule="exact"/>
        <w:rPr>
          <w:rFonts w:ascii="Arial" w:cs="Arial" w:eastAsia="Arial" w:hAnsi="Arial"/>
          <w:sz w:val="18"/>
          <w:szCs w:val="18"/>
          <w:color w:val="auto"/>
          <w:vertAlign w:val="superscript"/>
        </w:rPr>
      </w:pPr>
    </w:p>
    <w:p>
      <w:pPr>
        <w:ind w:left="80" w:firstLine="9"/>
        <w:spacing w:after="0" w:line="226" w:lineRule="auto"/>
        <w:tabs>
          <w:tab w:leader="none" w:pos="259"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Includes $32 million of project costs that were subsequently funded by CEG. Subsequent to the acquisition date, CEG funded an additional $21 million in project costs. The combined $53 million funded by CEG was repaid to CEG in October 2023.</w:t>
      </w:r>
    </w:p>
    <w:p>
      <w:pPr>
        <w:spacing w:after="0" w:line="156" w:lineRule="exact"/>
        <w:rPr>
          <w:sz w:val="20"/>
          <w:szCs w:val="20"/>
          <w:color w:val="auto"/>
        </w:rPr>
      </w:pPr>
    </w:p>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2022</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Rosie Central BESS — </w:t>
      </w:r>
      <w:r>
        <w:rPr>
          <w:rFonts w:ascii="Arial" w:cs="Arial" w:eastAsia="Arial" w:hAnsi="Arial"/>
          <w:sz w:val="17"/>
          <w:szCs w:val="17"/>
          <w:color w:val="auto"/>
        </w:rPr>
        <w:t>On June 30, 2023, the Company, through its indirect subsidiary, Rosie Class B LLC, the indirect owner of the Rosamond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The Company accounts for its investment in Rosie Central BESS as an equity method investment. As of September 30, 2023, the Company’s investment consisted of $28 million contributed into Rosie Central BESS, funded through contributions from the Company and its cash equity investor in Rosie TargetCo LLC, which consolidates Rosie Class B LLC.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405"/>
        <w:spacing w:after="0" w:line="269" w:lineRule="auto"/>
        <w:rPr>
          <w:sz w:val="20"/>
          <w:szCs w:val="20"/>
          <w:color w:val="auto"/>
        </w:rPr>
      </w:pPr>
      <w:r>
        <w:rPr>
          <w:rFonts w:ascii="Arial" w:cs="Arial" w:eastAsia="Arial" w:hAnsi="Arial"/>
          <w:sz w:val="17"/>
          <w:szCs w:val="17"/>
          <w:color w:val="auto"/>
        </w:rPr>
        <w:t>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The BESS project has a PPA for capacity with an investment-grade utility that has a 15-year contract duration that will commence when the project reaches commercial operations, which is expected to occur in the first half of 2024. In order to facilitate and fund the construction of the BESS project, Rosie Class B LLC, the indirect owner of the Rosamond Central solar project, issued a loan to a consolidated subsidiary of Clearway Renew that is included in note receivable — affiliate on the Company’s consolidated balance sheet, as further discussed in Note 7</w:t>
      </w:r>
      <w:r>
        <w:rPr>
          <w:rFonts w:ascii="Arial" w:cs="Arial" w:eastAsia="Arial" w:hAnsi="Arial"/>
          <w:sz w:val="17"/>
          <w:szCs w:val="17"/>
          <w:color w:val="231F2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i w:val="1"/>
          <w:iCs w:val="1"/>
          <w:color w:val="231F20"/>
        </w:rPr>
        <w:t>.</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2023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7040" w:type="dxa"/>
            <w:vAlign w:val="bottom"/>
            <w:tcBorders>
              <w:bottom w:val="single" w:sz="8" w:color="auto"/>
            </w:tcBorders>
          </w:tcPr>
          <w:p>
            <w:pPr>
              <w:jc w:val="center"/>
              <w:ind w:left="549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Investment Balance</w:t>
            </w:r>
          </w:p>
        </w:tc>
      </w:tr>
      <w:tr>
        <w:trPr>
          <w:trHeight w:val="210"/>
        </w:trPr>
        <w:tc>
          <w:tcPr>
            <w:tcW w:w="21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7040" w:type="dxa"/>
            <w:vAlign w:val="bottom"/>
          </w:tcPr>
          <w:p>
            <w:pPr>
              <w:jc w:val="center"/>
              <w:ind w:left="549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3"/>
                <w:szCs w:val="23"/>
                <w:color w:val="auto"/>
                <w:vertAlign w:val="superscript"/>
              </w:rPr>
              <w:t>(a)</w:t>
            </w:r>
          </w:p>
        </w:tc>
        <w:tc>
          <w:tcPr>
            <w:tcW w:w="7040" w:type="dxa"/>
            <w:vAlign w:val="bottom"/>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2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Rosie Central BESS </w:t>
            </w:r>
            <w:r>
              <w:rPr>
                <w:rFonts w:ascii="Arial" w:cs="Arial" w:eastAsia="Arial" w:hAnsi="Arial"/>
                <w:sz w:val="23"/>
                <w:szCs w:val="23"/>
                <w:color w:val="auto"/>
                <w:vertAlign w:val="superscript"/>
              </w:rPr>
              <w:t>(a)</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San Juan Mesa</w:t>
            </w:r>
          </w:p>
        </w:tc>
        <w:tc>
          <w:tcPr>
            <w:tcW w:w="7040" w:type="dxa"/>
            <w:vAlign w:val="bottom"/>
            <w:tcBorders>
              <w:bottom w:val="single" w:sz="8" w:color="CCEEFF"/>
            </w:tcBorders>
          </w:tcPr>
          <w:p>
            <w:pPr>
              <w:jc w:val="center"/>
              <w:ind w:left="5491"/>
              <w:spacing w:after="0"/>
              <w:rPr>
                <w:sz w:val="20"/>
                <w:szCs w:val="20"/>
                <w:color w:val="auto"/>
              </w:rPr>
            </w:pPr>
            <w:r>
              <w:rPr>
                <w:rFonts w:ascii="Arial" w:cs="Arial" w:eastAsia="Arial" w:hAnsi="Arial"/>
                <w:sz w:val="18"/>
                <w:szCs w:val="18"/>
                <w:color w:val="auto"/>
                <w:w w:val="94"/>
              </w:rPr>
              <w:t>75%</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7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GenConn and Rosie Central BESS are variable interest entities.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As further described under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to the consolidated financial statements included in the Company’s 2022 Form 10-K, the Company has a controlling financial interest in certain entities which have been identified as VIEs under ASC 810, </w:t>
      </w:r>
      <w:r>
        <w:rPr>
          <w:rFonts w:ascii="Arial" w:cs="Arial" w:eastAsia="Arial" w:hAnsi="Arial"/>
          <w:sz w:val="16"/>
          <w:szCs w:val="16"/>
          <w:i w:val="1"/>
          <w:iCs w:val="1"/>
          <w:color w:val="auto"/>
        </w:rPr>
        <w:t>Consolidations</w:t>
      </w:r>
      <w:r>
        <w:rPr>
          <w:rFonts w:ascii="Arial" w:cs="Arial" w:eastAsia="Arial" w:hAnsi="Arial"/>
          <w:sz w:val="16"/>
          <w:szCs w:val="16"/>
          <w:color w:val="auto"/>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nine months ended September 30, 2023.</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Lighthouse Partnership Arrangements — </w:t>
      </w:r>
      <w:r>
        <w:rPr>
          <w:rFonts w:ascii="Arial" w:cs="Arial" w:eastAsia="Arial" w:hAnsi="Arial"/>
          <w:sz w:val="18"/>
          <w:szCs w:val="18"/>
          <w:color w:val="auto"/>
        </w:rPr>
        <w:t>On August 30, 2023, the Company and the cash equity investor in Lighthouse Renewable Holdco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Lighthouse Renewable Holdco 2 LLC agreed to transfer Mesquite Star Class B Holdco LLC, the indirect owner of the Mesquite Star wind project, from Lighthouse Renewable Holdco LLC to Lighthouse Renewable Holdco 2 LLC.</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 xml:space="preserve">Daggett 2 TargetCo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August 30, 2023, Daggett Solar Investment LLC, an indirect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the Company, acquired the Class A membership interests in Daggett 2 TargetCo LLC, a partnership between the Company and a cash equity investor. The Company consolidates Daggett 2 TargetCo LLC as a VIE as the Company is the primary beneficiary, through its role as managing member. The Company recorded the acquired noncontrolling interest of the cash equity investor in Daggett 2 TargetCo LLC at historical carrying amount. Daggett 2 TargetCo LLC consolidates as primary beneficiary, Daggett 2 TE Holdco LLC, a tax equity fund that owns the Daggett 2 solar project. The tax equity investor’s interest is shown as noncontrolling interest and the HLBV method is utilized to allocate the income or losses of Daggett 2 TE Holdco LLC.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Daggett Renewable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February 17, 2023, Daggett Solar Investment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primary beneficiary, Daggett TE Holdco LLC, a tax equity fund that owns the Daggett 3 solar project. The tax equity investor’s interest is shown as noncontrolling interest and the HLBV method is utilized to allocate the income or losses of Daggett TE Holdco LLC.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2"/>
              </w:rPr>
              <w:t>Alta TE Holdco</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Buckthorn</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Daggett Renewable</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Daggett 2</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Langford TE</w:t>
            </w:r>
          </w:p>
        </w:tc>
        <w:tc>
          <w:tcPr>
            <w:tcW w:w="120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Lighthouse</w:t>
            </w:r>
          </w:p>
        </w:tc>
        <w:tc>
          <w:tcPr>
            <w:tcW w:w="0" w:type="dxa"/>
            <w:vAlign w:val="bottom"/>
          </w:tcPr>
          <w:p>
            <w:pPr>
              <w:spacing w:after="0"/>
              <w:rPr>
                <w:sz w:val="1"/>
                <w:szCs w:val="1"/>
                <w:color w:val="auto"/>
              </w:rPr>
            </w:pPr>
          </w:p>
        </w:tc>
      </w:tr>
      <w:tr>
        <w:trPr>
          <w:trHeight w:val="121"/>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21"/>
                <w:szCs w:val="21"/>
                <w:b w:val="1"/>
                <w:bCs w:val="1"/>
                <w:color w:val="auto"/>
                <w:vertAlign w:val="superscript"/>
              </w:rPr>
              <w:t>(a)</w:t>
            </w:r>
          </w:p>
        </w:tc>
        <w:tc>
          <w:tcPr>
            <w:tcW w:w="1280" w:type="dxa"/>
            <w:vAlign w:val="bottom"/>
            <w:gridSpan w:val="3"/>
            <w:vMerge w:val="continue"/>
          </w:tcPr>
          <w:p>
            <w:pPr>
              <w:spacing w:after="0"/>
              <w:rPr>
                <w:sz w:val="10"/>
                <w:szCs w:val="10"/>
                <w:color w:val="auto"/>
              </w:rPr>
            </w:pPr>
          </w:p>
        </w:tc>
        <w:tc>
          <w:tcPr>
            <w:tcW w:w="10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TargetCo LLC</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0" w:type="dxa"/>
            <w:vAlign w:val="bottom"/>
            <w:gridSpan w:val="2"/>
          </w:tcPr>
          <w:p>
            <w:pPr>
              <w:jc w:val="right"/>
              <w:ind w:right="14"/>
              <w:spacing w:after="0" w:line="122" w:lineRule="exact"/>
              <w:rPr>
                <w:sz w:val="20"/>
                <w:szCs w:val="20"/>
                <w:color w:val="auto"/>
              </w:rPr>
            </w:pPr>
            <w:r>
              <w:rPr>
                <w:rFonts w:ascii="Arial" w:cs="Arial" w:eastAsia="Arial" w:hAnsi="Arial"/>
                <w:sz w:val="13"/>
                <w:szCs w:val="13"/>
                <w:b w:val="1"/>
                <w:bCs w:val="1"/>
                <w:color w:val="auto"/>
                <w:w w:val="93"/>
              </w:rPr>
              <w:t>Renewable Holdco</w:t>
            </w:r>
          </w:p>
        </w:tc>
        <w:tc>
          <w:tcPr>
            <w:tcW w:w="0" w:type="dxa"/>
            <w:vAlign w:val="bottom"/>
          </w:tcPr>
          <w:p>
            <w:pPr>
              <w:spacing w:after="0"/>
              <w:rPr>
                <w:sz w:val="1"/>
                <w:szCs w:val="1"/>
                <w:color w:val="auto"/>
              </w:rPr>
            </w:pPr>
          </w:p>
        </w:tc>
      </w:tr>
      <w:tr>
        <w:trPr>
          <w:trHeight w:val="162"/>
        </w:trPr>
        <w:tc>
          <w:tcPr>
            <w:tcW w:w="3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LLC</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Holdings, LLC</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Arial" w:cs="Arial" w:eastAsia="Arial" w:hAnsi="Arial"/>
                <w:sz w:val="11"/>
                <w:szCs w:val="11"/>
                <w:b w:val="1"/>
                <w:bCs w:val="1"/>
                <w:color w:val="auto"/>
              </w:rPr>
              <w:t xml:space="preserve">Holdco LLC </w:t>
            </w:r>
            <w:r>
              <w:rPr>
                <w:rFonts w:ascii="Arial" w:cs="Arial" w:eastAsia="Arial" w:hAnsi="Arial"/>
                <w:sz w:val="18"/>
                <w:szCs w:val="18"/>
                <w:b w:val="1"/>
                <w:bCs w:val="1"/>
                <w:color w:val="auto"/>
                <w:vertAlign w:val="superscript"/>
              </w:rPr>
              <w:t>(b)</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(c)</w:t>
            </w:r>
          </w:p>
        </w:tc>
        <w:tc>
          <w:tcPr>
            <w:tcW w:w="11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Partnership LLC</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LLC</w:t>
            </w:r>
          </w:p>
        </w:tc>
        <w:tc>
          <w:tcPr>
            <w:tcW w:w="540" w:type="dxa"/>
            <w:vAlign w:val="bottom"/>
          </w:tcPr>
          <w:p>
            <w:pPr>
              <w:jc w:val="right"/>
              <w:ind w:right="314"/>
              <w:spacing w:after="0"/>
              <w:rPr>
                <w:sz w:val="20"/>
                <w:szCs w:val="20"/>
                <w:color w:val="auto"/>
              </w:rPr>
            </w:pPr>
            <w:r>
              <w:rPr>
                <w:rFonts w:ascii="Arial" w:cs="Arial" w:eastAsia="Arial" w:hAnsi="Arial"/>
                <w:sz w:val="11"/>
                <w:szCs w:val="11"/>
                <w:b w:val="1"/>
                <w:bCs w:val="1"/>
                <w:color w:val="auto"/>
                <w:w w:val="85"/>
              </w:rPr>
              <w:t>(d)</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Arial" w:cs="Arial" w:eastAsia="Arial" w:hAnsi="Arial"/>
                <w:sz w:val="18"/>
                <w:szCs w:val="18"/>
                <w:color w:val="auto"/>
                <w:w w:val="95"/>
              </w:rPr>
              <w:t>Net assets less noncontrolling interest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1" w:lineRule="exact"/>
        <w:rPr>
          <w:sz w:val="20"/>
          <w:szCs w:val="20"/>
          <w:color w:val="auto"/>
        </w:rPr>
      </w:pPr>
    </w:p>
    <w:p>
      <w:pPr>
        <w:ind w:left="80" w:firstLine="9"/>
        <w:spacing w:after="0"/>
        <w:tabs>
          <w:tab w:leader="none" w:pos="245"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DGPV Funds is comprised of Clearway &amp; EFS Distributed Solar LLC, DGPV Fund 4 LLC, Golden Puma Fund LLC, Renew Solar CS4 Fund LLC and Chestnut Fund LLC, which are all tax equity funds.</w:t>
      </w:r>
    </w:p>
    <w:p>
      <w:pPr>
        <w:spacing w:after="0" w:line="139" w:lineRule="exact"/>
        <w:rPr>
          <w:rFonts w:ascii="Arial" w:cs="Arial" w:eastAsia="Arial" w:hAnsi="Arial"/>
          <w:sz w:val="19"/>
          <w:szCs w:val="19"/>
          <w:color w:val="auto"/>
          <w:vertAlign w:val="superscript"/>
        </w:rPr>
      </w:pPr>
    </w:p>
    <w:p>
      <w:pPr>
        <w:ind w:left="260" w:hanging="171"/>
        <w:spacing w:after="0"/>
        <w:tabs>
          <w:tab w:leader="none" w:pos="26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Daggett Renewable Holdco LLC consolidates Daggett TE Holdco LLC, which is a consolidated VIE that owns the Daggett 3 solar project.</w:t>
      </w:r>
    </w:p>
    <w:p>
      <w:pPr>
        <w:spacing w:after="0" w:line="58" w:lineRule="exact"/>
        <w:rPr>
          <w:rFonts w:ascii="Arial" w:cs="Arial" w:eastAsia="Arial" w:hAnsi="Arial"/>
          <w:sz w:val="20"/>
          <w:szCs w:val="20"/>
          <w:color w:val="auto"/>
          <w:vertAlign w:val="superscript"/>
        </w:rPr>
      </w:pPr>
    </w:p>
    <w:p>
      <w:pPr>
        <w:ind w:left="260" w:hanging="171"/>
        <w:spacing w:after="0" w:line="186" w:lineRule="auto"/>
        <w:tabs>
          <w:tab w:leader="none" w:pos="2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Daggett 2 TargetCo LLC consolidates Daggett 2 TE Holdco LLC, which is a consolidated VIE that owns the Daggett 2 solar project.</w:t>
      </w:r>
    </w:p>
    <w:p>
      <w:pPr>
        <w:spacing w:after="0" w:line="60" w:lineRule="exact"/>
        <w:rPr>
          <w:rFonts w:ascii="Arial" w:cs="Arial" w:eastAsia="Arial" w:hAnsi="Arial"/>
          <w:sz w:val="19"/>
          <w:szCs w:val="19"/>
          <w:color w:val="auto"/>
          <w:vertAlign w:val="superscript"/>
        </w:rPr>
      </w:pPr>
    </w:p>
    <w:p>
      <w:pPr>
        <w:ind w:left="260" w:hanging="171"/>
        <w:spacing w:after="0" w:line="186" w:lineRule="auto"/>
        <w:tabs>
          <w:tab w:leader="none" w:pos="2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LLC consolidates Black Rock TE Holdco LLC, Mililani TE Holdco LLC and Waiawa TE Holdco LLC, which are consolidated VIEs.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Lighthouse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Rattlesnake TE</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Rosie TargetCo</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Wildorado TE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85"/>
              </w:rPr>
              <w:t>Renewable Holdco 2</w:t>
            </w: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Oahu Solar LLC</w:t>
            </w:r>
          </w:p>
        </w:tc>
        <w:tc>
          <w:tcPr>
            <w:tcW w:w="132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Pinnacle Repowering</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 xml:space="preserve">Other </w:t>
            </w:r>
            <w:r>
              <w:rPr>
                <w:rFonts w:ascii="Arial" w:cs="Arial" w:eastAsia="Arial" w:hAnsi="Arial"/>
                <w:sz w:val="21"/>
                <w:szCs w:val="21"/>
                <w:b w:val="1"/>
                <w:bCs w:val="1"/>
                <w:color w:val="auto"/>
                <w:w w:val="92"/>
                <w:vertAlign w:val="superscript"/>
              </w:rPr>
              <w:t>(b)</w:t>
            </w:r>
          </w:p>
        </w:tc>
        <w:tc>
          <w:tcPr>
            <w:tcW w:w="0" w:type="dxa"/>
            <w:vAlign w:val="bottom"/>
          </w:tcPr>
          <w:p>
            <w:pPr>
              <w:spacing w:after="0"/>
              <w:rPr>
                <w:sz w:val="1"/>
                <w:szCs w:val="1"/>
                <w:color w:val="auto"/>
              </w:rPr>
            </w:pPr>
          </w:p>
        </w:tc>
      </w:tr>
      <w:tr>
        <w:trPr>
          <w:trHeight w:val="175"/>
        </w:trPr>
        <w:tc>
          <w:tcPr>
            <w:tcW w:w="3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line="176"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20"/>
                <w:szCs w:val="20"/>
                <w:b w:val="1"/>
                <w:bCs w:val="1"/>
                <w:color w:val="auto"/>
                <w:vertAlign w:val="superscript"/>
              </w:rPr>
              <w:t>(a)</w:t>
            </w:r>
          </w:p>
        </w:tc>
        <w:tc>
          <w:tcPr>
            <w:tcW w:w="10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TE Holdco LLC</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Holdco LLC</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LLC</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Holdco LLC</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3120" w:type="dxa"/>
            <w:vAlign w:val="bottom"/>
            <w:gridSpan w:val="2"/>
          </w:tcPr>
          <w:p>
            <w:pPr>
              <w:ind w:left="140"/>
              <w:spacing w:after="0"/>
              <w:rPr>
                <w:sz w:val="20"/>
                <w:szCs w:val="20"/>
                <w:color w:val="auto"/>
              </w:rPr>
            </w:pPr>
            <w:r>
              <w:rPr>
                <w:rFonts w:ascii="Arial" w:cs="Arial" w:eastAsia="Arial" w:hAnsi="Arial"/>
                <w:sz w:val="18"/>
                <w:szCs w:val="18"/>
                <w:color w:val="auto"/>
                <w:w w:val="97"/>
              </w:rPr>
              <w:t>Net assets less noncontrolling interest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171"/>
        <w:spacing w:after="0"/>
        <w:tabs>
          <w:tab w:leader="none" w:pos="26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Lighthouse Renewable Holdco 2 LLC consolidates Mesquite Sky TE Holdco LLC and Mesquite Star Tax Equity Holdco LLC, which are consolidated VIEs.</w:t>
      </w:r>
    </w:p>
    <w:p>
      <w:pPr>
        <w:spacing w:after="0" w:line="80" w:lineRule="exact"/>
        <w:rPr>
          <w:rFonts w:ascii="Arial" w:cs="Arial" w:eastAsia="Arial" w:hAnsi="Arial"/>
          <w:sz w:val="20"/>
          <w:szCs w:val="20"/>
          <w:color w:val="auto"/>
          <w:vertAlign w:val="superscript"/>
        </w:rPr>
      </w:pPr>
    </w:p>
    <w:p>
      <w:pPr>
        <w:ind w:left="280" w:hanging="191"/>
        <w:spacing w:after="0" w:line="188" w:lineRule="auto"/>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Other is comprised of Elbow Creek TE Holdco LLC and the Spring Canyon projects.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cash and cash equivalents, restricted cash, accounts receivable — trade, note receivable — affiliate, accounts payable — trade, accounts payable</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affiliates and accrued expenses and other current liabilities, the carrying amounts approximate fair value because of the short-term maturity of those instruments and are classified as Level 1 within the fair value hierarchy.</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September 30, 2023</w:t>
            </w:r>
          </w:p>
        </w:tc>
        <w:tc>
          <w:tcPr>
            <w:tcW w:w="420" w:type="dxa"/>
            <w:vAlign w:val="bottom"/>
          </w:tcPr>
          <w:p>
            <w:pPr>
              <w:spacing w:after="0"/>
              <w:rPr>
                <w:sz w:val="16"/>
                <w:szCs w:val="16"/>
                <w:color w:val="auto"/>
              </w:rPr>
            </w:pPr>
          </w:p>
        </w:tc>
        <w:tc>
          <w:tcPr>
            <w:tcW w:w="21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5"/>
              </w:rPr>
              <w:t>As of December 31, 2022</w:t>
            </w:r>
          </w:p>
        </w:tc>
      </w:tr>
      <w:tr>
        <w:trPr>
          <w:trHeight w:val="26"/>
        </w:trPr>
        <w:tc>
          <w:tcPr>
            <w:tcW w:w="6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610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 — affiliate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6100" w:type="dxa"/>
            <w:vAlign w:val="bottom"/>
          </w:tcPr>
          <w:p>
            <w:pPr>
              <w:ind w:left="40"/>
              <w:spacing w:after="0"/>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3"/>
                <w:szCs w:val="23"/>
                <w:color w:val="auto"/>
                <w:vertAlign w:val="superscript"/>
              </w:rPr>
              <w:t>(a)</w:t>
            </w:r>
          </w:p>
        </w:tc>
        <w:tc>
          <w:tcPr>
            <w:tcW w:w="3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7,581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6,874</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379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32" w:lineRule="exact"/>
        <w:rPr>
          <w:sz w:val="20"/>
          <w:szCs w:val="20"/>
          <w:color w:val="auto"/>
        </w:rPr>
      </w:pPr>
    </w:p>
    <w:p>
      <w:pPr>
        <w:ind w:left="240" w:hanging="151"/>
        <w:spacing w:after="0"/>
        <w:tabs>
          <w:tab w:leader="none" w:pos="24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16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September 30, 2023</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2022</w:t>
            </w:r>
          </w:p>
        </w:tc>
      </w:tr>
      <w:tr>
        <w:trPr>
          <w:trHeight w:val="25"/>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9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30, 2023</w:t>
            </w:r>
          </w:p>
        </w:tc>
        <w:tc>
          <w:tcPr>
            <w:tcW w:w="340" w:type="dxa"/>
            <w:vAlign w:val="bottom"/>
          </w:tcPr>
          <w:p>
            <w:pPr>
              <w:spacing w:after="0"/>
              <w:rPr>
                <w:sz w:val="16"/>
                <w:szCs w:val="16"/>
                <w:color w:val="auto"/>
              </w:rPr>
            </w:pPr>
          </w:p>
        </w:tc>
        <w:tc>
          <w:tcPr>
            <w:tcW w:w="2920" w:type="dxa"/>
            <w:vAlign w:val="bottom"/>
            <w:gridSpan w:val="4"/>
          </w:tcPr>
          <w:p>
            <w:pPr>
              <w:jc w:val="center"/>
              <w:ind w:right="273"/>
              <w:spacing w:after="0"/>
              <w:rPr>
                <w:sz w:val="20"/>
                <w:szCs w:val="20"/>
                <w:color w:val="auto"/>
              </w:rPr>
            </w:pPr>
            <w:r>
              <w:rPr>
                <w:rFonts w:ascii="Arial" w:cs="Arial" w:eastAsia="Arial" w:hAnsi="Arial"/>
                <w:sz w:val="14"/>
                <w:szCs w:val="14"/>
                <w:b w:val="1"/>
                <w:bCs w:val="1"/>
                <w:color w:val="auto"/>
                <w:w w:val="92"/>
              </w:rPr>
              <w:t>As of December 31, 2022</w:t>
            </w: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line="237"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6"/>
              <w:spacing w:after="0" w:line="237" w:lineRule="exact"/>
              <w:rPr>
                <w:sz w:val="20"/>
                <w:szCs w:val="20"/>
                <w:color w:val="auto"/>
              </w:rPr>
            </w:pPr>
            <w:r>
              <w:rPr>
                <w:rFonts w:ascii="Arial" w:cs="Arial" w:eastAsia="Arial" w:hAnsi="Arial"/>
                <w:sz w:val="14"/>
                <w:szCs w:val="14"/>
                <w:b w:val="1"/>
                <w:bCs w:val="1"/>
                <w:color w:val="auto"/>
                <w:w w:val="90"/>
              </w:rPr>
              <w:t xml:space="preserve">Fair Value </w:t>
            </w:r>
            <w:r>
              <w:rPr>
                <w:rFonts w:ascii="Arial" w:cs="Arial" w:eastAsia="Arial" w:hAnsi="Arial"/>
                <w:sz w:val="21"/>
                <w:szCs w:val="21"/>
                <w:b w:val="1"/>
                <w:bCs w:val="1"/>
                <w:color w:val="auto"/>
                <w:w w:val="90"/>
                <w:vertAlign w:val="superscript"/>
              </w:rPr>
              <w:t>(a)</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3"/>
                <w:szCs w:val="23"/>
                <w:color w:val="auto"/>
                <w:vertAlign w:val="superscript"/>
              </w:rPr>
              <w:t>(b)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(c)</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9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171"/>
        <w:spacing w:after="0"/>
        <w:tabs>
          <w:tab w:leader="none" w:pos="2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There were no derivative assets classified as Level 1 or Level 3 and no liabilities classified as Level 1 as of September 30, 2023 and December 31, 2022.</w:t>
      </w:r>
    </w:p>
    <w:p>
      <w:pPr>
        <w:spacing w:after="0" w:line="77" w:lineRule="exact"/>
        <w:rPr>
          <w:rFonts w:ascii="Arial" w:cs="Arial" w:eastAsia="Arial" w:hAnsi="Arial"/>
          <w:sz w:val="20"/>
          <w:szCs w:val="20"/>
          <w:color w:val="auto"/>
          <w:vertAlign w:val="superscript"/>
        </w:rPr>
      </w:pPr>
    </w:p>
    <w:p>
      <w:pPr>
        <w:ind w:left="280" w:hanging="191"/>
        <w:spacing w:after="0" w:line="182" w:lineRule="auto"/>
        <w:tabs>
          <w:tab w:leader="none" w:pos="2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Represents heat rate call options entered into by Marsh Landing and Walnut Creek during the three months ended September 30, 2023.</w:t>
      </w:r>
    </w:p>
    <w:p>
      <w:pPr>
        <w:spacing w:after="0" w:line="78" w:lineRule="exact"/>
        <w:rPr>
          <w:rFonts w:ascii="Arial" w:cs="Arial" w:eastAsia="Arial" w:hAnsi="Arial"/>
          <w:sz w:val="22"/>
          <w:szCs w:val="22"/>
          <w:color w:val="auto"/>
          <w:vertAlign w:val="superscript"/>
        </w:rPr>
      </w:pPr>
    </w:p>
    <w:p>
      <w:pPr>
        <w:ind w:left="260" w:hanging="171"/>
        <w:spacing w:after="0" w:line="191" w:lineRule="auto"/>
        <w:tabs>
          <w:tab w:leader="none" w:pos="26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Represents SREC contract.</w:t>
      </w:r>
    </w:p>
    <w:p>
      <w:pPr>
        <w:spacing w:after="0" w:line="1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6"/>
                <w:szCs w:val="16"/>
                <w:color w:val="auto"/>
              </w:rPr>
            </w:pPr>
          </w:p>
        </w:tc>
        <w:tc>
          <w:tcPr>
            <w:tcW w:w="272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9"/>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2740" w:type="dxa"/>
            <w:vAlign w:val="bottom"/>
            <w:gridSpan w:val="4"/>
          </w:tcPr>
          <w:p>
            <w:pPr>
              <w:jc w:val="center"/>
              <w:ind w:right="13"/>
              <w:spacing w:after="0" w:line="139"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ind w:right="33"/>
              <w:spacing w:after="0" w:line="139"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92"/>
        </w:trPr>
        <w:tc>
          <w:tcPr>
            <w:tcW w:w="5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Unobservable Inputs (Level 3)</w:t>
            </w:r>
          </w:p>
        </w:tc>
        <w:tc>
          <w:tcPr>
            <w:tcW w:w="120" w:type="dxa"/>
            <w:vAlign w:val="bottom"/>
          </w:tcPr>
          <w:p>
            <w:pPr>
              <w:spacing w:after="0"/>
              <w:rPr>
                <w:sz w:val="16"/>
                <w:szCs w:val="16"/>
                <w:color w:val="auto"/>
              </w:rPr>
            </w:pPr>
          </w:p>
        </w:tc>
        <w:tc>
          <w:tcPr>
            <w:tcW w:w="272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Unobservable Inputs (Level 3)</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due to loss of NPNS exception</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40"/>
              <w:spacing w:after="0" w:line="176" w:lineRule="exact"/>
              <w:rPr>
                <w:sz w:val="20"/>
                <w:szCs w:val="20"/>
                <w:color w:val="auto"/>
              </w:rPr>
            </w:pPr>
            <w:r>
              <w:rPr>
                <w:rFonts w:ascii="Arial" w:cs="Arial" w:eastAsia="Arial" w:hAnsi="Arial"/>
                <w:sz w:val="18"/>
                <w:szCs w:val="18"/>
                <w:color w:val="auto"/>
                <w:w w:val="94"/>
              </w:rPr>
              <w:t>Change in unrealized losses included in earnings for derivatives and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color w:val="auto"/>
              </w:rPr>
              <w:t>other financial instruments held as of September 30, 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September 30, 2023, contracts valued with prices provided by models and other valuation techniques make up 2% of derivative assets and 100% of derivative liabilities and other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6"/>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5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Low</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High</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Energy-Related</w:t>
            </w:r>
          </w:p>
        </w:tc>
        <w:tc>
          <w:tcPr>
            <w:tcW w:w="1260" w:type="dxa"/>
            <w:vAlign w:val="bottom"/>
            <w:vMerge w:val="restart"/>
            <w:shd w:val="clear" w:color="auto" w:fill="CCEEFF"/>
          </w:tcPr>
          <w:p>
            <w:pPr>
              <w:jc w:val="right"/>
              <w:ind w:right="17"/>
              <w:spacing w:after="0"/>
              <w:rPr>
                <w:sz w:val="20"/>
                <w:szCs w:val="20"/>
                <w:color w:val="auto"/>
              </w:rPr>
            </w:pPr>
            <w:r>
              <w:rPr>
                <w:rFonts w:ascii="Arial" w:cs="Arial" w:eastAsia="Arial" w:hAnsi="Arial"/>
                <w:sz w:val="16"/>
                <w:szCs w:val="16"/>
                <w:color w:val="auto"/>
              </w:rPr>
              <w:t>— $</w:t>
            </w:r>
          </w:p>
        </w:tc>
        <w:tc>
          <w:tcPr>
            <w:tcW w:w="1180" w:type="dxa"/>
            <w:vAlign w:val="bottom"/>
            <w:vMerge w:val="restart"/>
            <w:shd w:val="clear" w:color="auto" w:fill="CCEEFF"/>
          </w:tcPr>
          <w:p>
            <w:pPr>
              <w:ind w:left="760"/>
              <w:spacing w:after="0"/>
              <w:rPr>
                <w:sz w:val="20"/>
                <w:szCs w:val="20"/>
                <w:color w:val="auto"/>
              </w:rPr>
            </w:pPr>
            <w:r>
              <w:rPr>
                <w:rFonts w:ascii="Arial" w:cs="Arial" w:eastAsia="Arial" w:hAnsi="Arial"/>
                <w:sz w:val="16"/>
                <w:szCs w:val="16"/>
                <w:color w:val="auto"/>
              </w:rPr>
              <w:t>(325)</w:t>
            </w:r>
          </w:p>
        </w:tc>
        <w:tc>
          <w:tcPr>
            <w:tcW w:w="126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0"/>
              </w:rPr>
              <w:t>Discounted Cash</w:t>
            </w:r>
          </w:p>
        </w:tc>
        <w:tc>
          <w:tcPr>
            <w:tcW w:w="150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72.15</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Commodity Contracts   </w:t>
            </w:r>
            <w:r>
              <w:rPr>
                <w:rFonts w:ascii="Arial" w:cs="Arial" w:eastAsia="Arial" w:hAnsi="Arial"/>
                <w:sz w:val="16"/>
                <w:szCs w:val="16"/>
                <w:color w:val="auto"/>
              </w:rPr>
              <w:t>$</w:t>
            </w:r>
          </w:p>
        </w:tc>
        <w:tc>
          <w:tcPr>
            <w:tcW w:w="12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Heat Rate Call Option</w:t>
            </w:r>
          </w:p>
        </w:tc>
        <w:tc>
          <w:tcPr>
            <w:tcW w:w="1260" w:type="dxa"/>
            <w:vAlign w:val="bottom"/>
            <w:vMerge w:val="restart"/>
          </w:tcPr>
          <w:p>
            <w:pPr>
              <w:jc w:val="right"/>
              <w:ind w:right="177"/>
              <w:spacing w:after="0"/>
              <w:rPr>
                <w:sz w:val="20"/>
                <w:szCs w:val="20"/>
                <w:color w:val="auto"/>
              </w:rPr>
            </w:pPr>
            <w:r>
              <w:rPr>
                <w:rFonts w:ascii="Arial" w:cs="Arial" w:eastAsia="Arial" w:hAnsi="Arial"/>
                <w:sz w:val="16"/>
                <w:szCs w:val="16"/>
                <w:color w:val="auto"/>
              </w:rPr>
              <w:t>3</w:t>
            </w:r>
          </w:p>
        </w:tc>
        <w:tc>
          <w:tcPr>
            <w:tcW w:w="118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Option Model</w:t>
            </w:r>
          </w:p>
        </w:tc>
        <w:tc>
          <w:tcPr>
            <w:tcW w:w="1500" w:type="dxa"/>
            <w:vAlign w:val="bottom"/>
          </w:tcPr>
          <w:p>
            <w:pPr>
              <w:jc w:val="center"/>
              <w:spacing w:after="0" w:line="162"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6.24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179.30</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67.93</w:t>
            </w:r>
          </w:p>
        </w:tc>
        <w:tc>
          <w:tcPr>
            <w:tcW w:w="0" w:type="dxa"/>
            <w:vAlign w:val="bottom"/>
          </w:tcPr>
          <w:p>
            <w:pPr>
              <w:spacing w:after="0"/>
              <w:rPr>
                <w:sz w:val="1"/>
                <w:szCs w:val="1"/>
                <w:color w:val="auto"/>
              </w:rPr>
            </w:pPr>
          </w:p>
        </w:tc>
      </w:tr>
      <w:tr>
        <w:trPr>
          <w:trHeight w:val="213"/>
        </w:trPr>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Commodity Contracts</w:t>
            </w:r>
          </w:p>
        </w:tc>
        <w:tc>
          <w:tcPr>
            <w:tcW w:w="1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Option Model</w:t>
            </w:r>
          </w:p>
        </w:tc>
        <w:tc>
          <w:tcPr>
            <w:tcW w:w="15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(per MMBtu)</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center"/>
              <w:spacing w:after="0" w:line="166" w:lineRule="exact"/>
              <w:rPr>
                <w:sz w:val="20"/>
                <w:szCs w:val="20"/>
                <w:color w:val="auto"/>
              </w:rPr>
            </w:pPr>
            <w:r>
              <w:rPr>
                <w:rFonts w:ascii="Arial" w:cs="Arial" w:eastAsia="Arial" w:hAnsi="Arial"/>
                <w:sz w:val="16"/>
                <w:szCs w:val="16"/>
                <w:color w:val="auto"/>
                <w:w w:val="88"/>
              </w:rPr>
              <w:t>Forecast annual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500" w:type="dxa"/>
            <w:vAlign w:val="bottom"/>
          </w:tcPr>
          <w:p>
            <w:pPr>
              <w:jc w:val="center"/>
              <w:spacing w:after="0" w:line="162" w:lineRule="exact"/>
              <w:rPr>
                <w:sz w:val="20"/>
                <w:szCs w:val="20"/>
                <w:color w:val="auto"/>
              </w:rPr>
            </w:pPr>
            <w:r>
              <w:rPr>
                <w:rFonts w:ascii="Arial" w:cs="Arial" w:eastAsia="Arial" w:hAnsi="Arial"/>
                <w:sz w:val="16"/>
                <w:szCs w:val="16"/>
                <w:color w:val="auto"/>
                <w:w w:val="92"/>
              </w:rPr>
              <w:t>generation levels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gridSpan w:val="2"/>
            <w:vMerge w:val="continue"/>
          </w:tcPr>
          <w:p>
            <w:pPr>
              <w:spacing w:after="0"/>
              <w:rPr>
                <w:sz w:val="13"/>
                <w:szCs w:val="13"/>
                <w:color w:val="auto"/>
              </w:rPr>
            </w:pPr>
          </w:p>
        </w:tc>
        <w:tc>
          <w:tcPr>
            <w:tcW w:w="1260" w:type="dxa"/>
            <w:vAlign w:val="bottom"/>
            <w:vMerge w:val="restart"/>
          </w:tcPr>
          <w:p>
            <w:pPr>
              <w:jc w:val="right"/>
              <w:ind w:right="177"/>
              <w:spacing w:after="0"/>
              <w:rPr>
                <w:sz w:val="20"/>
                <w:szCs w:val="20"/>
                <w:color w:val="auto"/>
              </w:rPr>
            </w:pPr>
            <w:r>
              <w:rPr>
                <w:rFonts w:ascii="Arial" w:cs="Arial" w:eastAsia="Arial" w:hAnsi="Arial"/>
                <w:sz w:val="16"/>
                <w:szCs w:val="16"/>
                <w:color w:val="auto"/>
              </w:rPr>
              <w:t>13</w:t>
            </w:r>
          </w:p>
        </w:tc>
        <w:tc>
          <w:tcPr>
            <w:tcW w:w="118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60" w:type="dxa"/>
            <w:vAlign w:val="bottom"/>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6"/>
                <w:szCs w:val="16"/>
                <w:color w:val="auto"/>
                <w:w w:val="93"/>
              </w:rPr>
              <w:t>certain DG solar</w:t>
            </w: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60,801 MWh</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121,602 MWh</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115,622 MWh</w:t>
            </w:r>
          </w:p>
        </w:tc>
        <w:tc>
          <w:tcPr>
            <w:tcW w:w="0" w:type="dxa"/>
            <w:vAlign w:val="bottom"/>
          </w:tcPr>
          <w:p>
            <w:pPr>
              <w:spacing w:after="0"/>
              <w:rPr>
                <w:sz w:val="1"/>
                <w:szCs w:val="1"/>
                <w:color w:val="auto"/>
              </w:rPr>
            </w:pPr>
          </w:p>
        </w:tc>
      </w:tr>
      <w:tr>
        <w:trPr>
          <w:trHeight w:val="210"/>
        </w:trPr>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Instruments</w:t>
            </w:r>
          </w:p>
        </w:tc>
        <w:tc>
          <w:tcPr>
            <w:tcW w:w="1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Flow</w:t>
            </w:r>
          </w:p>
        </w:tc>
        <w:tc>
          <w:tcPr>
            <w:tcW w:w="1500" w:type="dxa"/>
            <w:vAlign w:val="bottom"/>
          </w:tcPr>
          <w:p>
            <w:pPr>
              <w:jc w:val="center"/>
              <w:spacing w:after="0"/>
              <w:rPr>
                <w:sz w:val="20"/>
                <w:szCs w:val="20"/>
                <w:color w:val="auto"/>
              </w:rPr>
            </w:pPr>
            <w:r>
              <w:rPr>
                <w:rFonts w:ascii="Arial" w:cs="Arial" w:eastAsia="Arial" w:hAnsi="Arial"/>
                <w:sz w:val="16"/>
                <w:szCs w:val="16"/>
                <w:color w:val="auto"/>
                <w:w w:val="98"/>
              </w:rPr>
              <w:t>facilities</w:t>
            </w: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the impact on the fair value measurements to increases/(decreases) in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43"/>
        </w:trPr>
        <w:tc>
          <w:tcPr>
            <w:tcW w:w="19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Type</w:t>
            </w:r>
          </w:p>
        </w:tc>
        <w:tc>
          <w:tcPr>
            <w:tcW w:w="3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Significant Unobservable Input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2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r>
      <w:tr>
        <w:trPr>
          <w:trHeight w:val="169"/>
        </w:trPr>
        <w:tc>
          <w:tcPr>
            <w:tcW w:w="19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Energy-Related</w:t>
            </w:r>
          </w:p>
        </w:tc>
        <w:tc>
          <w:tcPr>
            <w:tcW w:w="3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2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Forward Market Price Power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2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Lower/(Higher)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Other Financial</w:t>
            </w:r>
          </w:p>
        </w:tc>
        <w:tc>
          <w:tcPr>
            <w:tcW w:w="3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3260" w:type="dxa"/>
            <w:vAlign w:val="bottom"/>
          </w:tcPr>
          <w:p>
            <w:pPr>
              <w:jc w:val="center"/>
              <w:ind w:right="70"/>
              <w:spacing w:after="0"/>
              <w:rPr>
                <w:sz w:val="20"/>
                <w:szCs w:val="20"/>
                <w:color w:val="auto"/>
              </w:rPr>
            </w:pPr>
            <w:r>
              <w:rPr>
                <w:rFonts w:ascii="Arial" w:cs="Arial" w:eastAsia="Arial" w:hAnsi="Arial"/>
                <w:sz w:val="18"/>
                <w:szCs w:val="18"/>
                <w:color w:val="auto"/>
                <w:w w:val="89"/>
              </w:rPr>
              <w:t>Forecast Generation Levels</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220" w:type="dxa"/>
            <w:vAlign w:val="bottom"/>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Higher/(Lower)</w:t>
            </w: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Heat Rate Call Option</w:t>
            </w:r>
          </w:p>
        </w:tc>
        <w:tc>
          <w:tcPr>
            <w:tcW w:w="3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2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Forward Market Power Price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2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Lower/(Higher)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Heat Rate Call Option</w:t>
            </w:r>
          </w:p>
        </w:tc>
        <w:tc>
          <w:tcPr>
            <w:tcW w:w="3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3260" w:type="dxa"/>
            <w:vAlign w:val="bottom"/>
          </w:tcPr>
          <w:p>
            <w:pPr>
              <w:jc w:val="center"/>
              <w:ind w:right="70"/>
              <w:spacing w:after="0"/>
              <w:rPr>
                <w:sz w:val="20"/>
                <w:szCs w:val="20"/>
                <w:color w:val="auto"/>
              </w:rPr>
            </w:pPr>
            <w:r>
              <w:rPr>
                <w:rFonts w:ascii="Arial" w:cs="Arial" w:eastAsia="Arial" w:hAnsi="Arial"/>
                <w:sz w:val="18"/>
                <w:szCs w:val="18"/>
                <w:color w:val="auto"/>
                <w:w w:val="90"/>
              </w:rPr>
              <w:t>Forward Market Gas Price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220" w:type="dxa"/>
            <w:vAlign w:val="bottom"/>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Higher/(Lower)</w:t>
            </w:r>
          </w:p>
        </w:tc>
      </w:tr>
    </w:tbl>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2023, the non-performance reserve was a $6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September 30,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Commodity Contracts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the Company had energy-related derivative instruments extending through 2033. At September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Heat Rate Call Option Commodity Contracts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2023, the Company had heat rate call option derivative instruments extending through 2023. At September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w w:val="93"/>
              </w:rPr>
              <w:t>Total Volume</w:t>
            </w: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7"/>
              </w:rPr>
              <w:t>September 30, 2023</w:t>
            </w: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0"/>
              </w:rPr>
              <w:t>December 31, 2022</w:t>
            </w:r>
          </w:p>
        </w:tc>
      </w:tr>
      <w:tr>
        <w:trPr>
          <w:trHeight w:val="149"/>
        </w:trPr>
        <w:tc>
          <w:tcPr>
            <w:tcW w:w="20" w:type="dxa"/>
            <w:vAlign w:val="bottom"/>
          </w:tcPr>
          <w:p>
            <w:pPr>
              <w:spacing w:after="0"/>
              <w:rPr>
                <w:sz w:val="12"/>
                <w:szCs w:val="12"/>
                <w:color w:val="auto"/>
              </w:rPr>
            </w:pPr>
          </w:p>
        </w:tc>
        <w:tc>
          <w:tcPr>
            <w:tcW w:w="5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2060" w:type="dxa"/>
            <w:vAlign w:val="bottom"/>
            <w:gridSpan w:val="2"/>
          </w:tcPr>
          <w:p>
            <w:pPr>
              <w:jc w:val="center"/>
              <w:ind w:left="1199"/>
              <w:spacing w:after="0" w:line="149" w:lineRule="exact"/>
              <w:rPr>
                <w:sz w:val="20"/>
                <w:szCs w:val="20"/>
                <w:color w:val="auto"/>
              </w:rPr>
            </w:pPr>
            <w:r>
              <w:rPr>
                <w:rFonts w:ascii="Arial" w:cs="Arial" w:eastAsia="Arial" w:hAnsi="Arial"/>
                <w:sz w:val="14"/>
                <w:szCs w:val="14"/>
                <w:b w:val="1"/>
                <w:bCs w:val="1"/>
                <w:color w:val="auto"/>
                <w:w w:val="94"/>
              </w:rPr>
              <w:t>(In millions)</w:t>
            </w:r>
          </w:p>
        </w:tc>
        <w:tc>
          <w:tcPr>
            <w:tcW w:w="150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(Energy-Related Commodity Contracts)</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MWh</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Power (Heat Rate Call Option Commodity Contracts)</w:t>
            </w:r>
          </w:p>
        </w:tc>
        <w:tc>
          <w:tcPr>
            <w:tcW w:w="2380" w:type="dxa"/>
            <w:vAlign w:val="bottom"/>
            <w:gridSpan w:val="2"/>
          </w:tcPr>
          <w:p>
            <w:pPr>
              <w:spacing w:after="0"/>
              <w:rPr>
                <w:sz w:val="20"/>
                <w:szCs w:val="20"/>
                <w:color w:val="auto"/>
              </w:rPr>
            </w:pPr>
            <w:r>
              <w:rPr>
                <w:rFonts w:ascii="Arial" w:cs="Arial" w:eastAsia="Arial" w:hAnsi="Arial"/>
                <w:sz w:val="18"/>
                <w:szCs w:val="18"/>
                <w:color w:val="auto"/>
              </w:rPr>
              <w:t>MWh</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1,752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5"/>
          </w:tcPr>
          <w:p>
            <w:pPr>
              <w:ind w:left="92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6"/>
                <w:szCs w:val="16"/>
                <w:color w:val="auto"/>
              </w:rPr>
            </w:pPr>
          </w:p>
        </w:tc>
        <w:tc>
          <w:tcPr>
            <w:tcW w:w="314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Derivative Liabilities</w:t>
            </w:r>
          </w:p>
        </w:tc>
      </w:tr>
      <w:tr>
        <w:trPr>
          <w:trHeight w:val="196"/>
        </w:trPr>
        <w:tc>
          <w:tcPr>
            <w:tcW w:w="46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December 31, 2022</w:t>
            </w:r>
          </w:p>
        </w:tc>
      </w:tr>
      <w:tr>
        <w:trPr>
          <w:trHeight w:val="194"/>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7"/>
              </w:rPr>
              <w:t>Total Derivatives Not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September 30, 2023 and December 31, 2022, the amount of outstanding collateral paid or received was immaterial. The following tables summarize the offsetting of derivatives by counterparty: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September 30, 2023</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OCI (OCL) balance attributable to interest rate swaps designated as cash flow hedge derivatives: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3"/>
          </w:tcPr>
          <w:p>
            <w:pPr>
              <w:jc w:val="right"/>
              <w:ind w:right="537"/>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OCI (OCL) beginning balance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w w:val="94"/>
              </w:rPr>
              <w:t>Reclassified from accumulated OCI (OCL) to income due to realization of</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previously deferred amounts</w:t>
            </w:r>
          </w:p>
        </w:tc>
        <w:tc>
          <w:tcPr>
            <w:tcW w:w="9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Capistrano Wind Portfolio Acquisition</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OCI ending balance</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OCI attributable to noncontrolling interests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OCI attributable to Clearway Energy LLC</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Gains expected to be realized from OCI during the next 12 months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960" w:type="dxa"/>
            <w:vAlign w:val="bottom"/>
          </w:tcPr>
          <w:p>
            <w:pPr>
              <w:jc w:val="right"/>
              <w:ind w:right="777"/>
              <w:spacing w:after="0" w:line="204"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4"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77"/>
              <w:spacing w:after="0" w:line="204"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4"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OCI (OCL) into income are recorded to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Mark-to-market gains/(losses) related to the Company’s derivatives are recorded in the consolidated statements of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
        </w:trPr>
        <w:tc>
          <w:tcPr>
            <w:tcW w:w="5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194"/>
        </w:trPr>
        <w:tc>
          <w:tcPr>
            <w:tcW w:w="5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242424"/>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42424"/>
              </w:rPr>
              <w:t>33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42424"/>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242424"/>
              </w:rPr>
              <w:t>34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w w:val="99"/>
              </w:rPr>
              <w:t>Energy-Related Commodity Contracts (Mark-to-market for economic</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48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hedging activities) </w:t>
            </w:r>
            <w:r>
              <w:rPr>
                <w:rFonts w:ascii="Arial" w:cs="Arial" w:eastAsia="Arial" w:hAnsi="Arial"/>
                <w:sz w:val="23"/>
                <w:szCs w:val="23"/>
                <w:color w:val="auto"/>
                <w:vertAlign w:val="superscript"/>
              </w:rPr>
              <w:t>(a)</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42424"/>
              </w:rPr>
              <w:t>(22)</w:t>
            </w:r>
          </w:p>
        </w:tc>
        <w:tc>
          <w:tcPr>
            <w:tcW w:w="380" w:type="dxa"/>
            <w:vAlign w:val="bottom"/>
          </w:tcPr>
          <w:p>
            <w:pPr>
              <w:spacing w:after="0"/>
              <w:rPr>
                <w:sz w:val="21"/>
                <w:szCs w:val="21"/>
                <w:color w:val="auto"/>
              </w:rPr>
            </w:pPr>
          </w:p>
        </w:tc>
        <w:tc>
          <w:tcPr>
            <w:tcW w:w="1040" w:type="dxa"/>
            <w:vAlign w:val="bottom"/>
          </w:tcPr>
          <w:p>
            <w:pPr>
              <w:jc w:val="center"/>
              <w:ind w:left="617"/>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242424"/>
              </w:rPr>
              <w:t>28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175"/>
        </w:trPr>
        <w:tc>
          <w:tcPr>
            <w:tcW w:w="5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Heat Rate Call Option Commodity Contracts (Mark-to-market for</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economic hedging activities) </w:t>
            </w:r>
            <w:r>
              <w:rPr>
                <w:rFonts w:ascii="Arial" w:cs="Arial" w:eastAsia="Arial" w:hAnsi="Arial"/>
                <w:sz w:val="23"/>
                <w:szCs w:val="23"/>
                <w:color w:val="auto"/>
                <w:vertAlign w:val="superscript"/>
              </w:rPr>
              <w:t>(b)</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42424"/>
              </w:rPr>
              <w:t>3</w:t>
            </w:r>
          </w:p>
        </w:tc>
        <w:tc>
          <w:tcPr>
            <w:tcW w:w="3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242424"/>
              </w:rPr>
              <w:t>3</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1" w:lineRule="exact"/>
        <w:rPr>
          <w:sz w:val="20"/>
          <w:szCs w:val="20"/>
          <w:color w:val="auto"/>
        </w:rPr>
      </w:pPr>
    </w:p>
    <w:p>
      <w:pPr>
        <w:jc w:val="both"/>
        <w:ind w:left="80" w:firstLine="9"/>
        <w:spacing w:after="0" w:line="375" w:lineRule="auto"/>
        <w:tabs>
          <w:tab w:leader="none" w:pos="239"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Relates to long-term energy related commodity contracts at Elbow Creek, Mesquite Star, Mt. Storm, Langford and Mesquite Sky. During the nine months ended September 30, 2022, the commodity contract for Langford, which previously met the NPNS exception, no longer qualified for NPNS treatment and, accordingly, is accounted for as a derivative and marked to fair value through operating revenues.</w:t>
      </w:r>
    </w:p>
    <w:p>
      <w:pPr>
        <w:ind w:left="260" w:hanging="171"/>
        <w:spacing w:after="0" w:line="225" w:lineRule="auto"/>
        <w:tabs>
          <w:tab w:leader="none" w:pos="260" w:val="left"/>
        </w:tabs>
        <w:numPr>
          <w:ilvl w:val="0"/>
          <w:numId w:val="17"/>
        </w:numPr>
        <w:rPr>
          <w:rFonts w:ascii="Arial" w:cs="Arial" w:eastAsia="Arial" w:hAnsi="Arial"/>
          <w:sz w:val="20"/>
          <w:szCs w:val="20"/>
          <w:color w:val="auto"/>
          <w:vertAlign w:val="superscript"/>
        </w:rPr>
      </w:pPr>
      <w:r>
        <w:rPr>
          <w:rFonts w:ascii="Arial" w:cs="Arial" w:eastAsia="Arial" w:hAnsi="Arial"/>
          <w:sz w:val="13"/>
          <w:szCs w:val="13"/>
          <w:color w:val="auto"/>
        </w:rPr>
        <w:t>Relates to short-term heat rate call option commodity contracts at Marsh Landing and Walnut Creek.</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2022 Form 10-K. The Company’s borrowings, including short-term and long-term portions, consisted of the</w:t>
      </w:r>
      <w:r>
        <w:rPr>
          <w:rFonts w:ascii="Arial" w:cs="Arial" w:eastAsia="Arial" w:hAnsi="Arial"/>
          <w:sz w:val="18"/>
          <w:szCs w:val="18"/>
          <w:color w:val="231F20"/>
        </w:rPr>
        <w:t xml:space="preserve"> </w:t>
      </w:r>
      <w:r>
        <w:rPr>
          <w:rFonts w:ascii="Arial" w:cs="Arial" w:eastAsia="Arial" w:hAnsi="Arial"/>
          <w:sz w:val="18"/>
          <w:szCs w:val="18"/>
          <w:color w:val="000000"/>
        </w:rPr>
        <w:t>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1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4"/>
                <w:szCs w:val="14"/>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4"/>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5"/>
              </w:rPr>
              <w:t>Outstanding at</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00"/>
              <w:spacing w:after="0" w:line="203" w:lineRule="exact"/>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21"/>
                <w:szCs w:val="21"/>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September 30, 2023</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Note with Clearway, Inc.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5.120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 Senior Notes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2032 Senior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3.750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Clearway Energy LLC and Clearway Energy Operating LLC Revolving Credit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S+1.850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w w:val="8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rPr>
              <w:t>211</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Facility, due 2028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Non-recourse project-level debt: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Agua Caliente Solar LLC, due 2037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2.395-3.633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S+2.775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5.696-7.015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7.000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Borrego, due 2024 and 2038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940"/>
              <w:spacing w:after="0"/>
              <w:rPr>
                <w:sz w:val="20"/>
                <w:szCs w:val="20"/>
                <w:color w:val="auto"/>
              </w:rPr>
            </w:pPr>
            <w:r>
              <w:rPr>
                <w:rFonts w:ascii="Arial" w:cs="Arial" w:eastAsia="Arial" w:hAnsi="Arial"/>
                <w:sz w:val="16"/>
                <w:szCs w:val="16"/>
                <w:color w:val="auto"/>
                <w:w w:val="92"/>
              </w:rPr>
              <w:t>Various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Buckthorn Solar, due 2025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S+2.100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Capistrano Wind Portfolio, due 2029 and 2031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S+2.100-S+2.150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Carlsbad Energy Holdings LLC, due 2027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S+1.900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2038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4.120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Carlsbad Holdco, LLC, due 2038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due 2037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2.339-3.775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CVSR Holdco Notes, due 2037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Daggett 2, due 2023 and 2028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S+1.262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29</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Daggett 3, due 2023 and 2028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S+1.262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DG-CS Master Borrower LLC, due 2040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Marsh Landing, due 2023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Mililani I, due 2027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S+1.600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Mililani Class B Member Holdco LLC, due 2028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S+1.600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18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NIMH Solar, due 2024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S+2.150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Oahu Solar Holdings LLC, due 2026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S+1.525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Rosie Class B LLC, due 2024 and 2029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S+1.250-S+1.375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Utah Solar Holdings, due 2036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Viento Funding II, LLC, due 2029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S+1.475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25</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Waiawa, due 2028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S+1.600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Walnut Creek, due 2023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WCEP Holdings, LLC, due 2023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940"/>
              <w:spacing w:after="0"/>
              <w:rPr>
                <w:sz w:val="20"/>
                <w:szCs w:val="20"/>
                <w:color w:val="auto"/>
              </w:rPr>
            </w:pPr>
            <w:r>
              <w:rPr>
                <w:rFonts w:ascii="Arial" w:cs="Arial" w:eastAsia="Arial" w:hAnsi="Arial"/>
                <w:sz w:val="16"/>
                <w:szCs w:val="16"/>
                <w:color w:val="auto"/>
                <w:w w:val="92"/>
              </w:rPr>
              <w:t>Various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Subtotal non-recourse project-level debt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debt issuance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Add premiums </w:t>
            </w:r>
            <w:r>
              <w:rPr>
                <w:rFonts w:ascii="Arial" w:cs="Arial" w:eastAsia="Arial" w:hAnsi="Arial"/>
                <w:sz w:val="21"/>
                <w:szCs w:val="21"/>
                <w:color w:val="auto"/>
                <w:vertAlign w:val="superscript"/>
              </w:rPr>
              <w:t>(d)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0" w:lineRule="exact"/>
        <w:rPr>
          <w:sz w:val="20"/>
          <w:szCs w:val="20"/>
          <w:color w:val="auto"/>
        </w:rPr>
      </w:pPr>
    </w:p>
    <w:p>
      <w:pPr>
        <w:ind w:left="220" w:hanging="131"/>
        <w:spacing w:after="0"/>
        <w:tabs>
          <w:tab w:leader="none" w:pos="220" w:val="left"/>
        </w:tabs>
        <w:numPr>
          <w:ilvl w:val="0"/>
          <w:numId w:val="18"/>
        </w:numPr>
        <w:rPr>
          <w:rFonts w:ascii="Arial" w:cs="Arial" w:eastAsia="Arial" w:hAnsi="Arial"/>
          <w:sz w:val="16"/>
          <w:szCs w:val="16"/>
          <w:color w:val="auto"/>
          <w:vertAlign w:val="superscript"/>
        </w:rPr>
      </w:pPr>
      <w:r>
        <w:rPr>
          <w:rFonts w:ascii="Arial" w:cs="Arial" w:eastAsia="Arial" w:hAnsi="Arial"/>
          <w:sz w:val="11"/>
          <w:szCs w:val="11"/>
          <w:color w:val="auto"/>
        </w:rPr>
        <w:t>As of September 30, 2023, S+ equals SOFR plus x%.</w:t>
      </w:r>
    </w:p>
    <w:p>
      <w:pPr>
        <w:spacing w:after="0" w:line="45" w:lineRule="exact"/>
        <w:rPr>
          <w:rFonts w:ascii="Arial" w:cs="Arial" w:eastAsia="Arial" w:hAnsi="Arial"/>
          <w:sz w:val="16"/>
          <w:szCs w:val="16"/>
          <w:color w:val="auto"/>
          <w:vertAlign w:val="superscript"/>
        </w:rPr>
      </w:pPr>
    </w:p>
    <w:p>
      <w:pPr>
        <w:ind w:left="240" w:hanging="151"/>
        <w:spacing w:after="0" w:line="197"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Applicable rate is determined by the borrower leverage ratio, as defined in the credit agreement.</w:t>
      </w:r>
    </w:p>
    <w:p>
      <w:pPr>
        <w:spacing w:after="0" w:line="59" w:lineRule="exact"/>
        <w:rPr>
          <w:rFonts w:ascii="Arial" w:cs="Arial" w:eastAsia="Arial" w:hAnsi="Arial"/>
          <w:sz w:val="18"/>
          <w:szCs w:val="18"/>
          <w:color w:val="auto"/>
          <w:vertAlign w:val="superscript"/>
        </w:rPr>
      </w:pPr>
    </w:p>
    <w:p>
      <w:pPr>
        <w:ind w:left="80" w:right="20" w:firstLine="9"/>
        <w:spacing w:after="0"/>
        <w:tabs>
          <w:tab w:leader="none" w:pos="237"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On July 21, 2023, Mililani I’s financing agreement was amended to merge the project-level debt of Mililani I and Waiawa as a combined term loan under Mililani Class B Member Holdco LLC.</w:t>
      </w:r>
    </w:p>
    <w:p>
      <w:pPr>
        <w:spacing w:after="0" w:line="127" w:lineRule="exact"/>
        <w:rPr>
          <w:rFonts w:ascii="Arial" w:cs="Arial" w:eastAsia="Arial" w:hAnsi="Arial"/>
          <w:sz w:val="19"/>
          <w:szCs w:val="19"/>
          <w:color w:val="auto"/>
          <w:vertAlign w:val="superscript"/>
        </w:rPr>
      </w:pPr>
    </w:p>
    <w:p>
      <w:pPr>
        <w:ind w:left="240" w:hanging="151"/>
        <w:spacing w:after="0" w:line="219"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Premiums relate to the 2028 Senior Notes.</w:t>
      </w:r>
    </w:p>
    <w:p>
      <w:pPr>
        <w:spacing w:after="0" w:line="16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2023, the Company was in compliance with all of the required covenants.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ind w:right="1440" w:firstLine="405"/>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2023.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the Company had no outstanding borrowings under the revolving credit facility and $211 million in letters of credit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Daggett 2</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On August 30, 2023, as part of the acquisition of Daggett 2,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$107 million construction loan that converts to a five year term loan upon the project reaching substantial completion and a $204 million tax equity bridge loan. The tax equity bridge loan will be repaid utilizing the final proceeds received from the tax equity investor upon Daggett 2 reaching substantial completion, which is expected to occur in the fourth quarter of 2023, along with the restricted cash that was acquired with the project. Subsequent to the acquisition, the Company borrowed an additional $8 million in construction loans.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Rosamond Central (Rosie Class B LLC)</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June 30, 2023, Rosie Class B LLC, the indirect owner of the Rosamond Central solar project, amended its financing agreement to provide for (i) a refinanced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 During the third quarter of 2023, Rosie Class B LLC received total loan proceeds of $235 million, which was comprised of $115 million in construction loans and $125 million in tax equity bridge loans, net of $5 million in debt issuance costs that were deferred.</w:t>
      </w:r>
    </w:p>
    <w:p>
      <w:pPr>
        <w:spacing w:after="0" w:line="14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The loan bears interest at a fixed annual rate of 9.00% and matures when the project reaches substantial completion, which is expected to occur in the first half of 2024. The loan issued to a consolidated subsidiary of Clearway Renew is included in note receivable — affiliate on the Company’s consolidated balance sheet.</w:t>
      </w:r>
    </w:p>
    <w:p>
      <w:pPr>
        <w:spacing w:after="0" w:line="1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Also, during the third quarter of 2023, the Company utilized a portion of the loan proceeds received under the amended financing agreement to contribute $18 million into Rosie Central BESS, which is an investment accounted for under the equity method of accounting, as further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Waiawa</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on October 3, 2022, the Company borrowed an additional $25 million in construction loans and the total outstanding construction loans were converted to a term loan in the amount of $47 million on March 30, 2023 that had a maturity date of March 30, 2028. On July 21, 2023, Mililani I’s financing agreement was amended to merge the project-level debt of Mililani I and Waiawa as a combined term loan under Mililani Class B Member Holdco LLC that matures on July 21, 2028.</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i w:val="1"/>
          <w:iCs w:val="1"/>
          <w:color w:val="auto"/>
        </w:rPr>
        <w:t>Daggett 3</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February 17, 2023, as part of the acquisition of Daggett 3,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fourth quarter of 2023, along with the $62 million that was contributed into escrow by the tax equity investor at acquisition date. Subsequent to the acquisition, the Company borrowed an additional $36 million in construction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and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0" w:type="dxa"/>
            <w:vAlign w:val="bottom"/>
            <w:gridSpan w:val="10"/>
          </w:tcPr>
          <w:p>
            <w:pPr>
              <w:ind w:left="60"/>
              <w:spacing w:after="0"/>
              <w:rPr>
                <w:sz w:val="20"/>
                <w:szCs w:val="20"/>
                <w:color w:val="auto"/>
              </w:rPr>
            </w:pPr>
            <w:r>
              <w:rPr>
                <w:rFonts w:ascii="Arial" w:cs="Arial" w:eastAsia="Arial" w:hAnsi="Arial"/>
                <w:sz w:val="14"/>
                <w:szCs w:val="14"/>
                <w:b w:val="1"/>
                <w:bCs w:val="1"/>
                <w:color w:val="auto"/>
                <w:w w:val="99"/>
              </w:rPr>
              <w:t>Three months ended September 30,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5"/>
              </w:rPr>
              <w:t xml:space="preserve">Corporate </w:t>
            </w:r>
            <w:r>
              <w:rPr>
                <w:rFonts w:ascii="Arial" w:cs="Arial" w:eastAsia="Arial" w:hAnsi="Arial"/>
                <w:sz w:val="21"/>
                <w:szCs w:val="21"/>
                <w:b w:val="1"/>
                <w:bCs w:val="1"/>
                <w:color w:val="auto"/>
                <w:w w:val="95"/>
                <w:vertAlign w:val="superscript"/>
              </w:rPr>
              <w:t>(a)</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6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40" w:type="dxa"/>
            <w:vAlign w:val="bottom"/>
            <w:gridSpan w:val="3"/>
          </w:tcPr>
          <w:p>
            <w:pPr>
              <w:ind w:left="60"/>
              <w:spacing w:after="0" w:line="176" w:lineRule="exact"/>
              <w:rPr>
                <w:sz w:val="20"/>
                <w:szCs w:val="20"/>
                <w:color w:val="auto"/>
              </w:rPr>
            </w:pPr>
            <w:r>
              <w:rPr>
                <w:rFonts w:ascii="Arial" w:cs="Arial" w:eastAsia="Arial" w:hAnsi="Arial"/>
                <w:sz w:val="18"/>
                <w:szCs w:val="18"/>
                <w:color w:val="auto"/>
                <w:w w:val="95"/>
              </w:rPr>
              <w:t>Cost of operations, exclusive of depreciation, amortization and accretion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540" w:type="dxa"/>
            <w:vAlign w:val="bottom"/>
            <w:gridSpan w:val="3"/>
          </w:tcPr>
          <w:p>
            <w:pPr>
              <w:ind w:left="22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Equity in earnings of unconsolidated affiliates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62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8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0"/>
          </w:tcPr>
          <w:p>
            <w:pPr>
              <w:ind w:left="80"/>
              <w:spacing w:after="0"/>
              <w:rPr>
                <w:sz w:val="20"/>
                <w:szCs w:val="20"/>
                <w:color w:val="auto"/>
              </w:rPr>
            </w:pPr>
            <w:r>
              <w:rPr>
                <w:rFonts w:ascii="Arial" w:cs="Arial" w:eastAsia="Arial" w:hAnsi="Arial"/>
                <w:sz w:val="14"/>
                <w:szCs w:val="14"/>
                <w:b w:val="1"/>
                <w:bCs w:val="1"/>
                <w:color w:val="auto"/>
                <w:w w:val="99"/>
              </w:rPr>
              <w:t>Three months ended September 30, 2022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5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9"/>
                <w:szCs w:val="9"/>
                <w:b w:val="1"/>
                <w:bCs w:val="1"/>
                <w:color w:val="auto"/>
              </w:rPr>
              <w:t>(a)</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Generation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5540" w:type="dxa"/>
            <w:vAlign w:val="bottom"/>
            <w:gridSpan w:val="3"/>
          </w:tcPr>
          <w:p>
            <w:pPr>
              <w:ind w:left="140"/>
              <w:spacing w:after="0" w:line="189" w:lineRule="exact"/>
              <w:rPr>
                <w:sz w:val="20"/>
                <w:szCs w:val="20"/>
                <w:color w:val="auto"/>
              </w:rPr>
            </w:pPr>
            <w:r>
              <w:rPr>
                <w:rFonts w:ascii="Arial" w:cs="Arial" w:eastAsia="Arial" w:hAnsi="Arial"/>
                <w:sz w:val="18"/>
                <w:szCs w:val="18"/>
                <w:color w:val="auto"/>
                <w:w w:val="93"/>
              </w:rPr>
              <w:t>Cost of operations, exclusive of depreciation, amortization and accretion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4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40" w:type="dxa"/>
            <w:vAlign w:val="bottom"/>
            <w:gridSpan w:val="3"/>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3"/>
          </w:tcPr>
          <w:p>
            <w:pPr>
              <w:jc w:val="right"/>
              <w:ind w:right="151"/>
              <w:spacing w:after="0" w:line="133"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1"/>
                <w:szCs w:val="11"/>
                <w:color w:val="auto"/>
              </w:rPr>
            </w:pPr>
          </w:p>
        </w:tc>
        <w:tc>
          <w:tcPr>
            <w:tcW w:w="120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w w:val="88"/>
              </w:rPr>
              <w:t xml:space="preserve">Corporate </w:t>
            </w:r>
            <w:r>
              <w:rPr>
                <w:rFonts w:ascii="Arial" w:cs="Arial" w:eastAsia="Arial" w:hAnsi="Arial"/>
                <w:sz w:val="21"/>
                <w:szCs w:val="21"/>
                <w:b w:val="1"/>
                <w:bCs w:val="1"/>
                <w:color w:val="auto"/>
                <w:w w:val="88"/>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43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176"/>
        </w:trPr>
        <w:tc>
          <w:tcPr>
            <w:tcW w:w="6380" w:type="dxa"/>
            <w:vAlign w:val="bottom"/>
            <w:gridSpan w:val="6"/>
          </w:tcPr>
          <w:p>
            <w:pPr>
              <w:ind w:left="140"/>
              <w:spacing w:after="0" w:line="176"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2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bottom w:val="single" w:sz="8" w:color="auto"/>
            </w:tcBorders>
          </w:tcPr>
          <w:p>
            <w:pPr>
              <w:jc w:val="center"/>
              <w:ind w:right="43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514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gridSpan w:val="12"/>
          </w:tcPr>
          <w:p>
            <w:pPr>
              <w:jc w:val="center"/>
              <w:ind w:right="50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Conventional</w:t>
            </w:r>
          </w:p>
        </w:tc>
        <w:tc>
          <w:tcPr>
            <w:tcW w:w="12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Renewables</w:t>
            </w:r>
          </w:p>
        </w:tc>
        <w:tc>
          <w:tcPr>
            <w:tcW w:w="860" w:type="dxa"/>
            <w:vAlign w:val="bottom"/>
            <w:gridSpan w:val="2"/>
            <w:vMerge w:val="restart"/>
          </w:tcPr>
          <w:p>
            <w:pPr>
              <w:jc w:val="center"/>
              <w:ind w:left="191"/>
              <w:spacing w:after="0"/>
              <w:rPr>
                <w:sz w:val="20"/>
                <w:szCs w:val="20"/>
                <w:color w:val="auto"/>
              </w:rPr>
            </w:pPr>
            <w:r>
              <w:rPr>
                <w:rFonts w:ascii="Arial" w:cs="Arial" w:eastAsia="Arial" w:hAnsi="Arial"/>
                <w:sz w:val="14"/>
                <w:szCs w:val="14"/>
                <w:b w:val="1"/>
                <w:bCs w:val="1"/>
                <w:color w:val="auto"/>
                <w:w w:val="99"/>
              </w:rPr>
              <w:t>Thermal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 xml:space="preserve">Corporate </w:t>
            </w:r>
            <w:r>
              <w:rPr>
                <w:rFonts w:ascii="Arial" w:cs="Arial" w:eastAsia="Arial" w:hAnsi="Arial"/>
                <w:sz w:val="21"/>
                <w:szCs w:val="21"/>
                <w:b w:val="1"/>
                <w:bCs w:val="1"/>
                <w:color w:val="auto"/>
                <w:w w:val="93"/>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240" w:type="dxa"/>
            <w:vAlign w:val="bottom"/>
            <w:gridSpan w:val="4"/>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176"/>
        </w:trPr>
        <w:tc>
          <w:tcPr>
            <w:tcW w:w="5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Cost of operations, exclusive of depreciation, amortization and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2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1,189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400" w:top="92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95" w:lineRule="auto"/>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Maintenance LLC, or RENOM, a wholly-owned subsidiary of CEG, which provides operation and maintenance, or O&amp;M, services to these subsidiaries. The Company incurred total expenses for these services of $18 million and $19 million for the three months ended September 30, 2023 and 2022, respectively. The Company incurred total expenses for these services of $54 million and $49 million for the nine months ended September 30, 2023 and 2022, respectively. There was a balance of $10 million and $14 million due to RENOM as of September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and $3 million for the three months ended September 30, 2023, and 2022, respectively. The Company incurred expenses under these agreements of $15 million and $11 million for the nine months ended September 30, 2023 and 2022, respectively. There was a balance of $2 million and $3 million due to CEG as of September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7"/>
          <w:szCs w:val="17"/>
          <w:color w:val="auto"/>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September 30, 2023 and 2022. The Company incurred net expenses under these agreements of $4 million for each of the nine months ended September 30, 2023 and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2022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was scheduled to proceed to trial in October 2023, but the parties agreed to delay the trial date in light of ongoing settlement negotiations.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nine months ended September 30, 2023 and 2022. Also refer to the Company’s 2022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980" w:right="8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auto"/>
        </w:rPr>
      </w:pPr>
    </w:p>
    <w:p>
      <w:pPr>
        <w:ind w:left="980" w:right="10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980" w:right="8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6"/>
          <w:szCs w:val="16"/>
          <w:color w:val="231F20"/>
        </w:rPr>
        <w:t>The majority</w:t>
      </w:r>
      <w:r>
        <w:rPr>
          <w:rFonts w:ascii="Arial" w:cs="Arial" w:eastAsia="Arial" w:hAnsi="Arial"/>
          <w:sz w:val="16"/>
          <w:szCs w:val="16"/>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Arial" w:cs="Arial" w:eastAsia="Arial" w:hAnsi="Arial"/>
          <w:sz w:val="16"/>
          <w:szCs w:val="16"/>
          <w:color w:val="231F20"/>
        </w:rPr>
        <w:t>as of</w:t>
      </w:r>
      <w:r>
        <w:rPr>
          <w:rFonts w:ascii="Arial" w:cs="Arial" w:eastAsia="Arial" w:hAnsi="Arial"/>
          <w:sz w:val="16"/>
          <w:szCs w:val="16"/>
          <w:color w:val="auto"/>
        </w:rPr>
        <w:t xml:space="preserve"> September 30, 2023 </w:t>
      </w:r>
      <w:r>
        <w:rPr>
          <w:rFonts w:ascii="Arial" w:cs="Arial" w:eastAsia="Arial" w:hAnsi="Arial"/>
          <w:sz w:val="16"/>
          <w:szCs w:val="16"/>
          <w:color w:val="231F20"/>
        </w:rPr>
        <w:t>based on CAFD.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the Company’s operating assets are comprised of the following projects: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2640" w:type="dxa"/>
            <w:vAlign w:val="bottom"/>
          </w:tcPr>
          <w:p>
            <w:pPr>
              <w:ind w:left="170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40" w:type="dxa"/>
            <w:vAlign w:val="bottom"/>
          </w:tcPr>
          <w:p>
            <w:pPr>
              <w:ind w:left="170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608"/>
              <w:spacing w:after="0" w:line="234" w:lineRule="exact"/>
              <w:rPr>
                <w:sz w:val="20"/>
                <w:szCs w:val="20"/>
                <w:color w:val="auto"/>
              </w:rPr>
            </w:pPr>
            <w:r>
              <w:rPr>
                <w:rFonts w:ascii="Arial" w:cs="Arial" w:eastAsia="Arial" w:hAnsi="Arial"/>
                <w:sz w:val="14"/>
                <w:szCs w:val="14"/>
                <w:b w:val="1"/>
                <w:bCs w:val="1"/>
                <w:color w:val="auto"/>
                <w:w w:val="97"/>
              </w:rPr>
              <w:t xml:space="preserve">(MW) </w:t>
            </w:r>
            <w:r>
              <w:rPr>
                <w:rFonts w:ascii="Arial" w:cs="Arial" w:eastAsia="Arial" w:hAnsi="Arial"/>
                <w:sz w:val="21"/>
                <w:szCs w:val="21"/>
                <w:b w:val="1"/>
                <w:bCs w:val="1"/>
                <w:color w:val="auto"/>
                <w:w w:val="97"/>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Conventional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Carlsbad</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527</w:t>
            </w:r>
          </w:p>
        </w:tc>
        <w:tc>
          <w:tcPr>
            <w:tcW w:w="3020" w:type="dxa"/>
            <w:vAlign w:val="bottom"/>
          </w:tcPr>
          <w:p>
            <w:pPr>
              <w:ind w:left="120"/>
              <w:spacing w:after="0"/>
              <w:rPr>
                <w:sz w:val="20"/>
                <w:szCs w:val="20"/>
                <w:color w:val="auto"/>
              </w:rPr>
            </w:pPr>
            <w:r>
              <w:rPr>
                <w:rFonts w:ascii="Arial" w:cs="Arial" w:eastAsia="Arial" w:hAnsi="Arial"/>
                <w:sz w:val="14"/>
                <w:szCs w:val="14"/>
                <w:color w:val="auto"/>
              </w:rPr>
              <w:t>San Diego Gas &amp; Electric</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6"/>
              </w:rPr>
              <w:t>2038</w:t>
            </w:r>
          </w:p>
        </w:tc>
      </w:tr>
      <w:tr>
        <w:trPr>
          <w:trHeight w:val="26"/>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 Segundo</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2023 - 2027</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GenConn Devon</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3020" w:type="dxa"/>
            <w:vAlign w:val="bottom"/>
          </w:tcPr>
          <w:p>
            <w:pPr>
              <w:ind w:left="120"/>
              <w:spacing w:after="0"/>
              <w:rPr>
                <w:sz w:val="20"/>
                <w:szCs w:val="20"/>
                <w:color w:val="auto"/>
              </w:rPr>
            </w:pPr>
            <w:r>
              <w:rPr>
                <w:rFonts w:ascii="Arial" w:cs="Arial" w:eastAsia="Arial" w:hAnsi="Arial"/>
                <w:sz w:val="14"/>
                <w:szCs w:val="14"/>
                <w:color w:val="auto"/>
              </w:rPr>
              <w:t>Connecticut Light &amp; Power</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6"/>
              </w:rPr>
              <w:t>2040</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GenConn Middletown</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Connecticut Light &amp; Power</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6"/>
              </w:rPr>
              <w:t>2041</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Marsh Landing</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720</w:t>
            </w:r>
          </w:p>
        </w:tc>
        <w:tc>
          <w:tcPr>
            <w:tcW w:w="302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2023 - 2030</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Walnut Creek</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2023 - 2026</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Total Conventional</w:t>
            </w:r>
          </w:p>
        </w:tc>
        <w:tc>
          <w:tcPr>
            <w:tcW w:w="1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2,472</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Agua Caliente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51 %</w:t>
            </w:r>
          </w:p>
        </w:tc>
        <w:tc>
          <w:tcPr>
            <w:tcW w:w="1060" w:type="dxa"/>
            <w:vAlign w:val="bottom"/>
          </w:tcPr>
          <w:p>
            <w:pPr>
              <w:jc w:val="right"/>
              <w:spacing w:after="0"/>
              <w:rPr>
                <w:sz w:val="20"/>
                <w:szCs w:val="20"/>
                <w:color w:val="auto"/>
              </w:rPr>
            </w:pPr>
            <w:r>
              <w:rPr>
                <w:rFonts w:ascii="Arial" w:cs="Arial" w:eastAsia="Arial" w:hAnsi="Arial"/>
                <w:sz w:val="14"/>
                <w:szCs w:val="14"/>
                <w:color w:val="auto"/>
              </w:rPr>
              <w:t>148</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2039</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Alpine</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Avenal</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2031</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Avra Valley</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Tucson Electric Power</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2032</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Blythe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304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2029</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Borrego</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San Diego Gas and Electric</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2038</w:t>
            </w:r>
          </w:p>
        </w:tc>
      </w:tr>
      <w:tr>
        <w:trPr>
          <w:trHeight w:val="230"/>
        </w:trPr>
        <w:tc>
          <w:tcPr>
            <w:tcW w:w="33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3040" w:type="dxa"/>
            <w:vAlign w:val="bottom"/>
          </w:tcPr>
          <w:p>
            <w:pPr>
              <w:ind w:left="120"/>
              <w:spacing w:after="0"/>
              <w:rPr>
                <w:sz w:val="20"/>
                <w:szCs w:val="20"/>
                <w:color w:val="auto"/>
              </w:rPr>
            </w:pPr>
            <w:r>
              <w:rPr>
                <w:rFonts w:ascii="Arial" w:cs="Arial" w:eastAsia="Arial" w:hAnsi="Arial"/>
                <w:sz w:val="14"/>
                <w:szCs w:val="14"/>
                <w:color w:val="auto"/>
              </w:rPr>
              <w:t>City of Georgetown, TX</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2043</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CVSR</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2038</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23"/>
                <w:szCs w:val="23"/>
                <w:color w:val="auto"/>
                <w:vertAlign w:val="subscript"/>
              </w:rPr>
              <w:t>Daggett 3</w:t>
            </w:r>
            <w:r>
              <w:rPr>
                <w:rFonts w:ascii="Arial" w:cs="Arial" w:eastAsia="Arial" w:hAnsi="Arial"/>
                <w:sz w:val="10"/>
                <w:szCs w:val="10"/>
                <w:color w:val="auto"/>
              </w:rPr>
              <w:t xml:space="preserve"> (b) (c) (d)</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304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2033 - 2038</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Desert Sunlight 250</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2034</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Desert Sunlight 300</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2039</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Kansas South</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Mililani I </w:t>
            </w:r>
            <w:r>
              <w:rPr>
                <w:rFonts w:ascii="Arial" w:cs="Arial" w:eastAsia="Arial" w:hAnsi="Arial"/>
                <w:sz w:val="21"/>
                <w:szCs w:val="21"/>
                <w:color w:val="auto"/>
                <w:vertAlign w:val="superscript"/>
              </w:rPr>
              <w:t>(b) (c)</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2042</w:t>
            </w:r>
          </w:p>
        </w:tc>
      </w:tr>
      <w:tr>
        <w:trPr>
          <w:trHeight w:val="229"/>
        </w:trPr>
        <w:tc>
          <w:tcPr>
            <w:tcW w:w="33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6"/>
              </w:rPr>
              <w:t>2041</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Roadrunner</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Pr>
          <w:p>
            <w:pPr>
              <w:ind w:left="120"/>
              <w:spacing w:after="0"/>
              <w:rPr>
                <w:sz w:val="20"/>
                <w:szCs w:val="20"/>
                <w:color w:val="auto"/>
              </w:rPr>
            </w:pPr>
            <w:r>
              <w:rPr>
                <w:rFonts w:ascii="Arial" w:cs="Arial" w:eastAsia="Arial" w:hAnsi="Arial"/>
                <w:sz w:val="14"/>
                <w:szCs w:val="14"/>
                <w:color w:val="auto"/>
              </w:rPr>
              <w:t>El Paso Electric</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2031</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2035 - 2047</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TA High Desert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Utah Solar Portfolio</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PacifiCorp</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2036</w:t>
            </w:r>
          </w:p>
        </w:tc>
      </w:tr>
      <w:tr>
        <w:trPr>
          <w:trHeight w:val="203"/>
        </w:trPr>
        <w:tc>
          <w:tcPr>
            <w:tcW w:w="33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4"/>
                <w:szCs w:val="14"/>
                <w:color w:val="auto"/>
              </w:rPr>
              <w:t xml:space="preserve">Waiawa </w:t>
            </w:r>
            <w:r>
              <w:rPr>
                <w:rFonts w:ascii="Arial" w:cs="Arial" w:eastAsia="Arial" w:hAnsi="Arial"/>
                <w:sz w:val="21"/>
                <w:szCs w:val="21"/>
                <w:color w:val="auto"/>
                <w:vertAlign w:val="superscript"/>
              </w:rPr>
              <w:t>(b) (c)</w:t>
            </w:r>
          </w:p>
        </w:tc>
        <w:tc>
          <w:tcPr>
            <w:tcW w:w="16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Borders>
              <w:bottom w:val="single" w:sz="8" w:color="CCEEFF"/>
            </w:tcBorders>
          </w:tcPr>
          <w:p>
            <w:pPr>
              <w:jc w:val="center"/>
              <w:ind w:left="1028"/>
              <w:spacing w:after="0"/>
              <w:rPr>
                <w:sz w:val="20"/>
                <w:szCs w:val="20"/>
                <w:color w:val="auto"/>
              </w:rPr>
            </w:pPr>
            <w:r>
              <w:rPr>
                <w:rFonts w:ascii="Arial" w:cs="Arial" w:eastAsia="Arial" w:hAnsi="Arial"/>
                <w:sz w:val="14"/>
                <w:szCs w:val="14"/>
                <w:color w:val="auto"/>
                <w:w w:val="96"/>
              </w:rPr>
              <w:t>2043</w:t>
            </w:r>
          </w:p>
        </w:tc>
      </w:tr>
      <w:tr>
        <w:trPr>
          <w:trHeight w:val="196"/>
        </w:trPr>
        <w:tc>
          <w:tcPr>
            <w:tcW w:w="3340" w:type="dxa"/>
            <w:vAlign w:val="bottom"/>
            <w:shd w:val="clear" w:color="auto" w:fill="CCEEFF"/>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Utility Scale Solar </w:t>
            </w:r>
            <w:r>
              <w:rPr>
                <w:rFonts w:ascii="Arial" w:cs="Arial" w:eastAsia="Arial" w:hAnsi="Arial"/>
                <w:sz w:val="21"/>
                <w:szCs w:val="21"/>
                <w:b w:val="1"/>
                <w:bCs w:val="1"/>
                <w:i w:val="1"/>
                <w:iCs w:val="1"/>
                <w:color w:val="auto"/>
                <w:vertAlign w:val="superscript"/>
              </w:rPr>
              <w:t>(e)</w:t>
            </w:r>
          </w:p>
        </w:tc>
        <w:tc>
          <w:tcPr>
            <w:tcW w:w="1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30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5"/>
        </w:trPr>
        <w:tc>
          <w:tcPr>
            <w:tcW w:w="3340" w:type="dxa"/>
            <w:vAlign w:val="bottom"/>
            <w:shd w:val="clear" w:color="auto" w:fill="CCEEFF"/>
          </w:tcPr>
          <w:p>
            <w:pPr>
              <w:ind w:left="120"/>
              <w:spacing w:after="0" w:line="206"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2030 - 2044</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Solar Power Partners (SPP) Projects</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304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2026 - 2037</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DG Projects</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3"/>
              </w:rPr>
              <w:t>2023 - 2039</w:t>
            </w:r>
          </w:p>
        </w:tc>
      </w:tr>
      <w:tr>
        <w:trPr>
          <w:trHeight w:val="259"/>
        </w:trPr>
        <w:tc>
          <w:tcPr>
            <w:tcW w:w="334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 xml:space="preserve">Total Distributed Solar </w:t>
            </w:r>
            <w:r>
              <w:rPr>
                <w:rFonts w:ascii="Arial" w:cs="Arial" w:eastAsia="Arial" w:hAnsi="Arial"/>
                <w:sz w:val="21"/>
                <w:szCs w:val="21"/>
                <w:b w:val="1"/>
                <w:bCs w:val="1"/>
                <w:i w:val="1"/>
                <w:iCs w:val="1"/>
                <w:color w:val="auto"/>
                <w:vertAlign w:val="superscript"/>
              </w:rPr>
              <w:t>(e)</w:t>
            </w:r>
          </w:p>
        </w:tc>
        <w:tc>
          <w:tcPr>
            <w:tcW w:w="1640" w:type="dxa"/>
            <w:vAlign w:val="bottom"/>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3040" w:type="dxa"/>
            <w:vAlign w:val="bottom"/>
          </w:tcPr>
          <w:p>
            <w:pPr>
              <w:spacing w:after="0"/>
              <w:rPr>
                <w:sz w:val="22"/>
                <w:szCs w:val="22"/>
                <w:color w:val="auto"/>
              </w:rPr>
            </w:pPr>
          </w:p>
        </w:tc>
        <w:tc>
          <w:tcPr>
            <w:tcW w:w="2160" w:type="dxa"/>
            <w:vAlign w:val="bottom"/>
          </w:tcPr>
          <w:p>
            <w:pPr>
              <w:spacing w:after="0"/>
              <w:rPr>
                <w:sz w:val="22"/>
                <w:szCs w:val="22"/>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2620" w:type="dxa"/>
            <w:vAlign w:val="bottom"/>
          </w:tcPr>
          <w:p>
            <w:pPr>
              <w:ind w:left="170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20" w:type="dxa"/>
            <w:vAlign w:val="bottom"/>
          </w:tcPr>
          <w:p>
            <w:pPr>
              <w:ind w:left="170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Arial" w:cs="Arial" w:eastAsia="Arial" w:hAnsi="Arial"/>
                <w:sz w:val="14"/>
                <w:szCs w:val="14"/>
                <w:b w:val="1"/>
                <w:bCs w:val="1"/>
                <w:color w:val="auto"/>
                <w:w w:val="94"/>
              </w:rPr>
              <w:t xml:space="preserve">(MW) </w:t>
            </w:r>
            <w:r>
              <w:rPr>
                <w:rFonts w:ascii="Arial" w:cs="Arial" w:eastAsia="Arial" w:hAnsi="Arial"/>
                <w:sz w:val="21"/>
                <w:szCs w:val="21"/>
                <w:b w:val="1"/>
                <w:bCs w:val="1"/>
                <w:color w:val="auto"/>
                <w:w w:val="94"/>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Wind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Alta I</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II</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Alta III</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IV</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Alta V</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21"/>
                <w:szCs w:val="21"/>
                <w:color w:val="auto"/>
                <w:vertAlign w:val="superscript"/>
              </w:rPr>
              <w:t>(b)</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Black Rock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Toyota and AEP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Buffalo Bear</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4140" w:type="dxa"/>
            <w:vAlign w:val="bottom"/>
          </w:tcPr>
          <w:p>
            <w:pPr>
              <w:ind w:left="14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Capistrano Wind Portfolio</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2030 - 2033</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21"/>
                <w:szCs w:val="21"/>
                <w:color w:val="auto"/>
                <w:vertAlign w:val="superscript"/>
              </w:rPr>
              <w:t>(b)</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122</w:t>
            </w:r>
          </w:p>
        </w:tc>
        <w:tc>
          <w:tcPr>
            <w:tcW w:w="414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66.7 %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Forward</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4140" w:type="dxa"/>
            <w:vAlign w:val="bottom"/>
          </w:tcPr>
          <w:p>
            <w:pPr>
              <w:ind w:left="14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Goat Wind</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Dow Pipeline Company</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21"/>
                <w:szCs w:val="21"/>
                <w:color w:val="auto"/>
                <w:vertAlign w:val="superscript"/>
              </w:rPr>
              <w:t>(b)</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160</w:t>
            </w:r>
          </w:p>
        </w:tc>
        <w:tc>
          <w:tcPr>
            <w:tcW w:w="4140" w:type="dxa"/>
            <w:vAlign w:val="bottom"/>
          </w:tcPr>
          <w:p>
            <w:pPr>
              <w:ind w:left="140"/>
              <w:spacing w:after="0"/>
              <w:rPr>
                <w:sz w:val="20"/>
                <w:szCs w:val="20"/>
                <w:color w:val="auto"/>
              </w:rPr>
            </w:pPr>
            <w:r>
              <w:rPr>
                <w:rFonts w:ascii="Arial" w:cs="Arial" w:eastAsia="Arial" w:hAnsi="Arial"/>
                <w:sz w:val="14"/>
                <w:szCs w:val="14"/>
                <w:color w:val="auto"/>
              </w:rPr>
              <w:t>Goldman Sachs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Laredo Ridge</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Lookout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4140" w:type="dxa"/>
            <w:vAlign w:val="bottom"/>
          </w:tcPr>
          <w:p>
            <w:pPr>
              <w:ind w:left="14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2033 - 2036</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Mesquite Sta</w:t>
            </w:r>
            <w:r>
              <w:rPr>
                <w:rFonts w:ascii="Arial" w:cs="Arial" w:eastAsia="Arial" w:hAnsi="Arial"/>
                <w:sz w:val="16"/>
                <w:szCs w:val="16"/>
                <w:color w:val="auto"/>
              </w:rPr>
              <w:t>r</w:t>
            </w:r>
            <w:r>
              <w:rPr>
                <w:rFonts w:ascii="Arial" w:cs="Arial" w:eastAsia="Arial" w:hAnsi="Arial"/>
                <w:sz w:val="14"/>
                <w:szCs w:val="14"/>
                <w:color w:val="auto"/>
              </w:rPr>
              <w:t xml:space="preserve"> </w:t>
            </w:r>
            <w:r>
              <w:rPr>
                <w:rFonts w:ascii="Arial" w:cs="Arial" w:eastAsia="Arial" w:hAnsi="Arial"/>
                <w:sz w:val="21"/>
                <w:szCs w:val="21"/>
                <w:color w:val="auto"/>
                <w:vertAlign w:val="superscript"/>
              </w:rPr>
              <w:t>(b)</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tcPr>
          <w:p>
            <w:pPr>
              <w:jc w:val="right"/>
              <w:spacing w:after="0"/>
              <w:rPr>
                <w:sz w:val="20"/>
                <w:szCs w:val="20"/>
                <w:color w:val="auto"/>
              </w:rPr>
            </w:pPr>
            <w:r>
              <w:rPr>
                <w:rFonts w:ascii="Arial" w:cs="Arial" w:eastAsia="Arial" w:hAnsi="Arial"/>
                <w:sz w:val="14"/>
                <w:szCs w:val="14"/>
                <w:color w:val="auto"/>
              </w:rPr>
              <w:t>210</w:t>
            </w:r>
          </w:p>
        </w:tc>
        <w:tc>
          <w:tcPr>
            <w:tcW w:w="414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Mt. Storm</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Citigroup</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Ocotillo</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55</w:t>
            </w:r>
          </w:p>
        </w:tc>
        <w:tc>
          <w:tcPr>
            <w:tcW w:w="4140" w:type="dxa"/>
            <w:vAlign w:val="bottom"/>
          </w:tcPr>
          <w:p>
            <w:pPr>
              <w:ind w:left="140"/>
              <w:spacing w:after="0"/>
              <w:rPr>
                <w:sz w:val="20"/>
                <w:szCs w:val="20"/>
                <w:color w:val="auto"/>
              </w:rPr>
            </w:pPr>
            <w:r>
              <w:rPr>
                <w:rFonts w:ascii="Arial" w:cs="Arial" w:eastAsia="Arial" w:hAnsi="Arial"/>
                <w:sz w:val="14"/>
                <w:szCs w:val="14"/>
                <w:color w:val="auto"/>
              </w:rPr>
              <w:t>N/A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Odin</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99.9 %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Missouri River Energy Services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43"/>
        </w:trPr>
        <w:tc>
          <w:tcPr>
            <w:tcW w:w="3240" w:type="dxa"/>
            <w:vAlign w:val="bottom"/>
            <w:vMerge w:val="restart"/>
          </w:tcPr>
          <w:p>
            <w:pPr>
              <w:ind w:left="1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21"/>
                <w:szCs w:val="21"/>
                <w:color w:val="auto"/>
                <w:vertAlign w:val="superscript"/>
              </w:rPr>
              <w:t>(b)</w:t>
            </w: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4140" w:type="dxa"/>
            <w:vAlign w:val="bottom"/>
          </w:tcPr>
          <w:p>
            <w:pPr>
              <w:ind w:left="140"/>
              <w:spacing w:after="0" w:line="143" w:lineRule="exact"/>
              <w:rPr>
                <w:sz w:val="20"/>
                <w:szCs w:val="20"/>
                <w:color w:val="auto"/>
              </w:rPr>
            </w:pPr>
            <w:r>
              <w:rPr>
                <w:rFonts w:ascii="Arial" w:cs="Arial" w:eastAsia="Arial" w:hAnsi="Arial"/>
                <w:sz w:val="14"/>
                <w:szCs w:val="14"/>
                <w:color w:val="auto"/>
                <w:w w:val="98"/>
              </w:rPr>
              <w:t>Maryland Department of General Services and University System</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140" w:type="dxa"/>
            <w:vAlign w:val="bottom"/>
          </w:tcPr>
          <w:p>
            <w:pPr>
              <w:ind w:left="14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21"/>
                <w:szCs w:val="21"/>
                <w:color w:val="auto"/>
                <w:vertAlign w:val="superscript"/>
              </w:rPr>
              <w:t>(b) (f)</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San Juan Mesa</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75 %</w:t>
            </w: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4140" w:type="dxa"/>
            <w:vAlign w:val="bottom"/>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Sleeping Bear</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South Trent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101</w:t>
            </w:r>
          </w:p>
        </w:tc>
        <w:tc>
          <w:tcPr>
            <w:tcW w:w="4140" w:type="dxa"/>
            <w:vAlign w:val="bottom"/>
          </w:tcPr>
          <w:p>
            <w:pPr>
              <w:ind w:left="140"/>
              <w:spacing w:after="0"/>
              <w:rPr>
                <w:sz w:val="20"/>
                <w:szCs w:val="20"/>
                <w:color w:val="auto"/>
              </w:rPr>
            </w:pPr>
            <w:r>
              <w:rPr>
                <w:rFonts w:ascii="Arial" w:cs="Arial" w:eastAsia="Arial" w:hAnsi="Arial"/>
                <w:sz w:val="14"/>
                <w:szCs w:val="14"/>
                <w:color w:val="auto"/>
              </w:rPr>
              <w:t>AEP Energy Partners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Spanish Fork</w:t>
            </w:r>
          </w:p>
        </w:tc>
        <w:tc>
          <w:tcPr>
            <w:tcW w:w="1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PacifiCorp</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21"/>
                <w:szCs w:val="21"/>
                <w:color w:val="auto"/>
                <w:vertAlign w:val="superscript"/>
              </w:rPr>
              <w:t>(b)</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90.1 %</w:t>
            </w: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4140" w:type="dxa"/>
            <w:vAlign w:val="bottom"/>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Taloga</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c>
          <w:tcPr>
            <w:tcW w:w="4140" w:type="dxa"/>
            <w:vAlign w:val="bottom"/>
          </w:tcPr>
          <w:p>
            <w:pPr>
              <w:ind w:left="140"/>
              <w:spacing w:after="0"/>
              <w:rPr>
                <w:sz w:val="20"/>
                <w:szCs w:val="20"/>
                <w:color w:val="auto"/>
              </w:rPr>
            </w:pPr>
            <w:r>
              <w:rPr>
                <w:rFonts w:ascii="Arial" w:cs="Arial" w:eastAsia="Arial" w:hAnsi="Arial"/>
                <w:sz w:val="14"/>
                <w:szCs w:val="14"/>
                <w:color w:val="auto"/>
              </w:rPr>
              <w:t>Oklahoma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Wind </w:t>
            </w:r>
            <w:r>
              <w:rPr>
                <w:rFonts w:ascii="Arial" w:cs="Arial" w:eastAsia="Arial" w:hAnsi="Arial"/>
                <w:sz w:val="21"/>
                <w:szCs w:val="21"/>
                <w:b w:val="1"/>
                <w:bCs w:val="1"/>
                <w:i w:val="1"/>
                <w:iCs w:val="1"/>
                <w:color w:val="auto"/>
                <w:vertAlign w:val="superscript"/>
              </w:rPr>
              <w:t>(e)</w:t>
            </w:r>
          </w:p>
        </w:tc>
        <w:tc>
          <w:tcPr>
            <w:tcW w:w="1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w:t>
            </w:r>
          </w:p>
        </w:tc>
        <w:tc>
          <w:tcPr>
            <w:tcW w:w="4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generation capacity</w:t>
            </w:r>
          </w:p>
        </w:tc>
        <w:tc>
          <w:tcPr>
            <w:tcW w:w="17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8,140</w:t>
            </w:r>
          </w:p>
        </w:tc>
        <w:tc>
          <w:tcPr>
            <w:tcW w:w="4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7" w:lineRule="exact"/>
        <w:rPr>
          <w:sz w:val="20"/>
          <w:szCs w:val="20"/>
          <w:color w:val="auto"/>
        </w:rPr>
      </w:pPr>
    </w:p>
    <w:p>
      <w:pPr>
        <w:ind w:left="240" w:hanging="151"/>
        <w:spacing w:after="0"/>
        <w:tabs>
          <w:tab w:leader="none" w:pos="240"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September 30, 2023.</w:t>
      </w:r>
    </w:p>
    <w:p>
      <w:pPr>
        <w:spacing w:after="0" w:line="59" w:lineRule="exact"/>
        <w:rPr>
          <w:rFonts w:ascii="Arial" w:cs="Arial" w:eastAsia="Arial" w:hAnsi="Arial"/>
          <w:sz w:val="18"/>
          <w:szCs w:val="18"/>
          <w:color w:val="auto"/>
          <w:vertAlign w:val="superscript"/>
        </w:rPr>
      </w:pPr>
    </w:p>
    <w:p>
      <w:pPr>
        <w:ind w:left="80" w:firstLine="9"/>
        <w:spacing w:after="0" w:line="232" w:lineRule="auto"/>
        <w:tabs>
          <w:tab w:leader="none" w:pos="245"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 xml:space="preserve">Projects are part of tax equity arrangements and ownership percentage is based on cash to be distributed, as further described in Note 4, </w:t>
      </w:r>
      <w:r>
        <w:rPr>
          <w:rFonts w:ascii="Arial" w:cs="Arial" w:eastAsia="Arial" w:hAnsi="Arial"/>
          <w:sz w:val="12"/>
          <w:szCs w:val="12"/>
          <w:i w:val="1"/>
          <w:iCs w:val="1"/>
          <w:color w:val="auto"/>
        </w:rPr>
        <w:t>Investments Accounted for by the Equity Method and</w:t>
      </w:r>
      <w:r>
        <w:rPr>
          <w:rFonts w:ascii="Arial" w:cs="Arial" w:eastAsia="Arial" w:hAnsi="Arial"/>
          <w:sz w:val="12"/>
          <w:szCs w:val="12"/>
          <w:color w:val="auto"/>
        </w:rPr>
        <w:t xml:space="preserve"> </w:t>
      </w:r>
      <w:r>
        <w:rPr>
          <w:rFonts w:ascii="Arial" w:cs="Arial" w:eastAsia="Arial" w:hAnsi="Arial"/>
          <w:sz w:val="12"/>
          <w:szCs w:val="12"/>
          <w:i w:val="1"/>
          <w:iCs w:val="1"/>
          <w:color w:val="auto"/>
        </w:rPr>
        <w:t>Variable Interest Entities.</w:t>
      </w:r>
    </w:p>
    <w:p>
      <w:pPr>
        <w:spacing w:after="0" w:line="12" w:lineRule="exact"/>
        <w:rPr>
          <w:rFonts w:ascii="Arial" w:cs="Arial" w:eastAsia="Arial" w:hAnsi="Arial"/>
          <w:sz w:val="19"/>
          <w:szCs w:val="19"/>
          <w:color w:val="auto"/>
          <w:vertAlign w:val="superscript"/>
        </w:rPr>
      </w:pPr>
    </w:p>
    <w:p>
      <w:pPr>
        <w:ind w:left="240" w:hanging="151"/>
        <w:spacing w:after="0"/>
        <w:tabs>
          <w:tab w:leader="none" w:pos="24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Includes storage capacity that matches the facility’s rated generating capacity.</w:t>
      </w:r>
    </w:p>
    <w:p>
      <w:pPr>
        <w:spacing w:after="0" w:line="59" w:lineRule="exact"/>
        <w:rPr>
          <w:rFonts w:ascii="Arial" w:cs="Arial" w:eastAsia="Arial" w:hAnsi="Arial"/>
          <w:sz w:val="19"/>
          <w:szCs w:val="19"/>
          <w:color w:val="auto"/>
          <w:vertAlign w:val="superscript"/>
        </w:rPr>
      </w:pPr>
    </w:p>
    <w:p>
      <w:pPr>
        <w:ind w:left="80" w:right="20" w:firstLine="9"/>
        <w:spacing w:after="0" w:line="223" w:lineRule="auto"/>
        <w:tabs>
          <w:tab w:leader="none" w:pos="245"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Daggett 3’s net capacity is 75 MW, of which 44 MW have reached commercial operations as of September 30, 2023. The remaining 31 MW of net capacity is expected to reach commercial operations in the fourth quarter of 2023.</w:t>
      </w:r>
    </w:p>
    <w:p>
      <w:pPr>
        <w:spacing w:after="0" w:line="48" w:lineRule="exact"/>
        <w:rPr>
          <w:rFonts w:ascii="Arial" w:cs="Arial" w:eastAsia="Arial" w:hAnsi="Arial"/>
          <w:sz w:val="19"/>
          <w:szCs w:val="19"/>
          <w:color w:val="auto"/>
          <w:vertAlign w:val="superscript"/>
        </w:rPr>
      </w:pPr>
    </w:p>
    <w:p>
      <w:pPr>
        <w:jc w:val="both"/>
        <w:ind w:left="80" w:firstLine="9"/>
        <w:spacing w:after="0" w:line="267" w:lineRule="auto"/>
        <w:tabs>
          <w:tab w:leader="none" w:pos="239"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Typical average capacity factors are 25% for solar facilities and 25-45% for wind facilities. For the nine months ended September 30, 2023, the Company’s solar and wind facilities had weighted-average capacity factors of 32% and 29%, respectively. For the nine months ended September 30, 2022, the Company’s solar and wind facilities had weighted-average capacity factors of 31% and 30%, respectively. The weight-average capacity factors can vary based on seasonality and weather conditions.</w:t>
      </w:r>
    </w:p>
    <w:p>
      <w:pPr>
        <w:ind w:left="240" w:hanging="151"/>
        <w:spacing w:after="0" w:line="196" w:lineRule="auto"/>
        <w:tabs>
          <w:tab w:leader="none" w:pos="24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53" w:lineRule="auto"/>
        <w:tabs>
          <w:tab w:leader="none" w:pos="656" w:val="left"/>
        </w:tabs>
        <w:numPr>
          <w:ilvl w:val="0"/>
          <w:numId w:val="22"/>
        </w:numPr>
        <w:rPr>
          <w:rFonts w:ascii="Arial" w:cs="Arial" w:eastAsia="Arial" w:hAnsi="Arial"/>
          <w:sz w:val="14"/>
          <w:szCs w:val="14"/>
          <w:b w:val="1"/>
          <w:bCs w:val="1"/>
          <w:i w:val="1"/>
          <w:iCs w:val="1"/>
          <w:color w:val="auto"/>
        </w:rPr>
      </w:pPr>
      <w:r>
        <w:rPr>
          <w:rFonts w:ascii="Arial" w:cs="Arial" w:eastAsia="Arial" w:hAnsi="Arial"/>
          <w:sz w:val="18"/>
          <w:szCs w:val="18"/>
          <w:color w:val="auto"/>
        </w:rPr>
        <w:t xml:space="preserve">On October 31, 2023, the Company, through its indirect subsidiary, VP-Arica Parent Holdco LLC, acquired the Class A membership interests in VP-Arica TargetCo LLC, the indirect owner of Victory Pass, a 200 MW solar project with matching storage capacity, and Arica, a 263 MW solar project with matching storage capacity, that are both currently under construction in Riverside, California, from Clearway Renew for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will pay an additional $182 million to Clearway Renew and the cash equity investor will pay an additional $347 million to Clearway Renew. VP-Arica TargetCo LLC, a partnership between the Company and the cash equity investor, consolidates as primary beneficiary, VP-Arica TE Holdco LLC, a tax equity fund that owns the Victory Pass and Arica solar projects. See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for further information.</w:t>
      </w:r>
    </w:p>
    <w:p>
      <w:pPr>
        <w:spacing w:after="0" w:line="142" w:lineRule="exact"/>
        <w:rPr>
          <w:rFonts w:ascii="Arial" w:cs="Arial" w:eastAsia="Arial" w:hAnsi="Arial"/>
          <w:sz w:val="14"/>
          <w:szCs w:val="14"/>
          <w:b w:val="1"/>
          <w:bCs w:val="1"/>
          <w:i w:val="1"/>
          <w:iCs w:val="1"/>
          <w:color w:val="auto"/>
        </w:rPr>
      </w:pPr>
    </w:p>
    <w:p>
      <w:pPr>
        <w:jc w:val="both"/>
        <w:ind w:left="66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30, 2023, the Company, through an indirect subsidiary, entered into an agreement with Clearway Renew to acquire the Class A membership interests in Texas Solar Nova 1, a 252 MW solar project, and Texas Solar Nova 2, a 200 MW solar project, both currently under construction in Kent County, Texas, upon the projects meeting certain milestones. The Company expects to invest approximately $40 million, subject to closing adjustments. Commercial operations of the facilities and the Company’s investment are expected to occur between the fourth quarter of 2023 and first half of 2024.</w:t>
      </w:r>
    </w:p>
    <w:p>
      <w:pPr>
        <w:spacing w:after="0" w:line="120"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On August 30, 2023, the Company, through its indirect subsidiary, Daggett Solar Investment LLC, acquired the Class A membership interests in Daggett 2 TargetCo LLC, the indirect owner of Daggett 2, a 182 MW solar project with matching storage capacity that is currently under construction in San Bernardino, California, from CEG for cash consideration of $13 million. Daggett 2 TargetCo LLC, a partnership between the Company and a cash equity investor, consolidates as primary beneficiary, Daggett 2 TE Holdco LLC, a tax equity fund that owns the Daggett 2 solar project. See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for further discussion of the transaction.</w:t>
      </w:r>
    </w:p>
    <w:p>
      <w:pPr>
        <w:spacing w:after="0" w:line="122"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September 30, 2023, the Company’s investment consisted of $28 million contributed into Rosie Central BESS, funded through contributions from the Company and its cash equity investor in Rosie TargetCo LLC, which consolidates Rosie Class B LLC. 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See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for further discussion of the transactions.</w:t>
      </w:r>
    </w:p>
    <w:p>
      <w:pPr>
        <w:spacing w:after="0" w:line="113" w:lineRule="exact"/>
        <w:rPr>
          <w:rFonts w:ascii="Arial" w:cs="Arial" w:eastAsia="Arial" w:hAnsi="Arial"/>
          <w:sz w:val="16"/>
          <w:szCs w:val="16"/>
          <w:b w:val="1"/>
          <w:bCs w:val="1"/>
          <w:i w:val="1"/>
          <w:iCs w:val="1"/>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May 19, 2023, the Company, through an indirect subsidiary, entered into an agreement with Clearway Renew to acquire Cedar Creek Holdco LLC, which is the indirect owner of Cedar Creek, a 160 MW wind project under construction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spacing w:after="0" w:line="138"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May 3, 2023, the Company entered into an agreement with Clearway Renew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left="660" w:hanging="328"/>
        <w:spacing w:after="0" w:line="29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February 17, 2023, the Company, through its indirect subsidiary, Daggett Solar Investment LLC, acquired the Class A membership interests in Daggett TargetCo LLC, the indirect owner of Daggett 3, a 300 MW solar project with matching storage capacity that is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that consolidates Daggett TargetCo LLC. Daggett TargetCo LLC consolidates as primary beneficiary, Daggett TE Holdco LLC, a tax equity fund that owns the Daggett 3 solar project. See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for further discussion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 Agreements</w:t>
      </w:r>
    </w:p>
    <w:p>
      <w:pPr>
        <w:spacing w:after="0" w:line="171" w:lineRule="exact"/>
        <w:rPr>
          <w:sz w:val="20"/>
          <w:szCs w:val="20"/>
          <w:color w:val="auto"/>
        </w:rPr>
      </w:pPr>
    </w:p>
    <w:p>
      <w:pPr>
        <w:jc w:val="both"/>
        <w:ind w:left="660" w:hanging="328"/>
        <w:spacing w:after="0" w:line="263" w:lineRule="auto"/>
        <w:tabs>
          <w:tab w:leader="none" w:pos="649"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8"/>
          <w:szCs w:val="18"/>
          <w:color w:val="auto"/>
        </w:rPr>
        <w:t>In October 2023, the Company contracted with a load serving entity to sell approximately 400 MW of Marsh Landing’s RA commencing in September 2026 and ending in December 2027. Marsh Landing is now contracted for 100% of its capacity through the majority of 2026 and 63% of its capacity in 2027.</w:t>
      </w:r>
    </w:p>
    <w:p>
      <w:pPr>
        <w:spacing w:after="0" w:line="129" w:lineRule="exact"/>
        <w:rPr>
          <w:rFonts w:ascii="Arial" w:cs="Arial" w:eastAsia="Arial" w:hAnsi="Arial"/>
          <w:sz w:val="16"/>
          <w:szCs w:val="16"/>
          <w:b w:val="1"/>
          <w:bCs w:val="1"/>
          <w:i w:val="1"/>
          <w:iCs w:val="1"/>
          <w:color w:val="auto"/>
        </w:rPr>
      </w:pPr>
    </w:p>
    <w:p>
      <w:pPr>
        <w:jc w:val="both"/>
        <w:ind w:left="660" w:hanging="328"/>
        <w:spacing w:after="0" w:line="263" w:lineRule="auto"/>
        <w:tabs>
          <w:tab w:leader="none" w:pos="649"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8"/>
          <w:szCs w:val="18"/>
          <w:color w:val="auto"/>
        </w:rPr>
        <w:t>In October 2023, the Company contracted with a load serving entity to sell approximately 274 MW of El Segundo’s RA commencing in August 2026 and ending in December 2027. El Segundo is now contracted for 100% of its capacity through the majority of 2026 and 50% of its capacity in 2027.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 Activities</w:t>
      </w:r>
    </w:p>
    <w:p>
      <w:pPr>
        <w:spacing w:after="0" w:line="171" w:lineRule="exact"/>
        <w:rPr>
          <w:sz w:val="20"/>
          <w:szCs w:val="20"/>
          <w:color w:val="auto"/>
        </w:rPr>
      </w:pPr>
    </w:p>
    <w:p>
      <w:pPr>
        <w:ind w:left="660" w:hanging="328"/>
        <w:spacing w:after="0" w:line="277" w:lineRule="auto"/>
        <w:tabs>
          <w:tab w:leader="none" w:pos="649"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March 15, 2023, Clearway Energy Operating LLC refinanced the Amended and Restated Credit Agreement.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amendment.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342" w:lineRule="auto"/>
        <w:tabs>
          <w:tab w:leader="none" w:pos="649" w:val="left"/>
        </w:tabs>
        <w:numPr>
          <w:ilvl w:val="0"/>
          <w:numId w:val="26"/>
        </w:numPr>
        <w:rPr>
          <w:rFonts w:ascii="Arial" w:cs="Arial" w:eastAsia="Arial" w:hAnsi="Arial"/>
          <w:sz w:val="14"/>
          <w:szCs w:val="14"/>
          <w:b w:val="1"/>
          <w:bCs w:val="1"/>
          <w:i w:val="1"/>
          <w:iCs w:val="1"/>
          <w:color w:val="auto"/>
        </w:rPr>
      </w:pPr>
      <w:r>
        <w:rPr>
          <w:rFonts w:ascii="Arial" w:cs="Arial" w:eastAsia="Arial" w:hAnsi="Arial"/>
          <w:sz w:val="16"/>
          <w:szCs w:val="16"/>
          <w:color w:val="auto"/>
        </w:rPr>
        <w:t xml:space="preserve">In connection with the 2022 Drop Down of Waiawa and the 2023 Drop Downs of Daggett 3 and Daggett 2, the Company assumed non-recourse project-level debt. See Note 7, </w:t>
      </w:r>
      <w:r>
        <w:rPr>
          <w:rFonts w:ascii="Arial" w:cs="Arial" w:eastAsia="Arial" w:hAnsi="Arial"/>
          <w:sz w:val="16"/>
          <w:szCs w:val="16"/>
          <w:i w:val="1"/>
          <w:iCs w:val="1"/>
          <w:color w:val="auto"/>
        </w:rPr>
        <w:t>Long-term Debt</w:t>
      </w:r>
      <w:r>
        <w:rPr>
          <w:rFonts w:ascii="Arial" w:cs="Arial" w:eastAsia="Arial" w:hAnsi="Arial"/>
          <w:sz w:val="16"/>
          <w:szCs w:val="16"/>
          <w:color w:val="auto"/>
        </w:rPr>
        <w:t>, for further discussion of the non-recourse project-level debt associated with each project.</w:t>
      </w:r>
    </w:p>
    <w:p>
      <w:pPr>
        <w:spacing w:after="0" w:line="69" w:lineRule="exact"/>
        <w:rPr>
          <w:rFonts w:ascii="Arial" w:cs="Arial" w:eastAsia="Arial" w:hAnsi="Arial"/>
          <w:sz w:val="14"/>
          <w:szCs w:val="14"/>
          <w:b w:val="1"/>
          <w:bCs w:val="1"/>
          <w:i w:val="1"/>
          <w:iCs w:val="1"/>
          <w:color w:val="auto"/>
        </w:rPr>
      </w:pPr>
    </w:p>
    <w:p>
      <w:pPr>
        <w:jc w:val="both"/>
        <w:ind w:left="660" w:hanging="328"/>
        <w:spacing w:after="0" w:line="290" w:lineRule="auto"/>
        <w:tabs>
          <w:tab w:leader="none" w:pos="655" w:val="left"/>
        </w:tabs>
        <w:numPr>
          <w:ilvl w:val="0"/>
          <w:numId w:val="26"/>
        </w:numPr>
        <w:rPr>
          <w:rFonts w:ascii="Arial" w:cs="Arial" w:eastAsia="Arial" w:hAnsi="Arial"/>
          <w:sz w:val="16"/>
          <w:szCs w:val="16"/>
          <w:i w:val="1"/>
          <w:iCs w:val="1"/>
          <w:color w:val="auto"/>
        </w:rPr>
      </w:pPr>
      <w:r>
        <w:rPr>
          <w:rFonts w:ascii="Arial" w:cs="Arial" w:eastAsia="Arial" w:hAnsi="Arial"/>
          <w:sz w:val="16"/>
          <w:szCs w:val="16"/>
          <w:color w:val="auto"/>
        </w:rPr>
        <w:t xml:space="preserve">On June 30, 2023, Rosie Class B LLC amended its financing agreement. During the third quarter of 2023, Rosie Class B LLC received total loan proceeds of $235 million under the amended financing agreement. 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The loan matures when the project reaches substantial completion, which is expected in the first half of 2024. See Note 7,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for further discussion of the project financing activities. Also, during the third quarter of 2023, the Company utilized a portion of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proceeds received under the financing agreement to contribute $18 million into Rosie Central BESS, which is an investment accounted for under the equity method of accounting,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environmental matters are further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10"/>
          </w:tcPr>
          <w:p>
            <w:pPr>
              <w:jc w:val="center"/>
              <w:ind w:right="211"/>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820" w:type="dxa"/>
            <w:vAlign w:val="bottom"/>
            <w:tcBorders>
              <w:top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7"/>
                <w:szCs w:val="17"/>
                <w:color w:val="auto"/>
              </w:rPr>
              <w:t>Other revenue</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7"/>
                <w:szCs w:val="17"/>
                <w:color w:val="auto"/>
              </w:rPr>
              <w:t>Transaction and integration costs</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interest income</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interest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8"/>
                <w:szCs w:val="18"/>
                <w:color w:val="auto"/>
              </w:rPr>
              <w:t>Less: Net loss attributable to noncontrolling interests and</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10"/>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Solar MWh generated/sold (in thousands)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1,822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Wind MWh generated/sold (in thousands) </w:t>
            </w:r>
            <w:r>
              <w:rPr>
                <w:rFonts w:ascii="Arial" w:cs="Arial" w:eastAsia="Arial" w:hAnsi="Arial"/>
                <w:sz w:val="23"/>
                <w:szCs w:val="23"/>
                <w:color w:val="auto"/>
                <w:vertAlign w:val="superscript"/>
              </w:rPr>
              <w:t>(a)</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7"/>
              </w:rPr>
              <w:t>2,085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7,262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7"/>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11,494</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Arial" w:cs="Arial" w:eastAsia="Arial" w:hAnsi="Arial"/>
                <w:sz w:val="18"/>
                <w:szCs w:val="18"/>
                <w:color w:val="auto"/>
              </w:rPr>
              <w:t xml:space="preserve">Thermal MWt sold (in thousands) </w:t>
            </w:r>
            <w:r>
              <w:rPr>
                <w:rFonts w:ascii="Arial" w:cs="Arial" w:eastAsia="Arial" w:hAnsi="Arial"/>
                <w:sz w:val="23"/>
                <w:szCs w:val="23"/>
                <w:color w:val="auto"/>
                <w:vertAlign w:val="superscript"/>
              </w:rPr>
              <w:t>(b)</w:t>
            </w: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(c)</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7" w:lineRule="exact"/>
        <w:rPr>
          <w:sz w:val="20"/>
          <w:szCs w:val="20"/>
          <w:color w:val="auto"/>
        </w:rPr>
      </w:pPr>
    </w:p>
    <w:p>
      <w:pPr>
        <w:ind w:left="240" w:hanging="151"/>
        <w:spacing w:after="0"/>
        <w:tabs>
          <w:tab w:leader="none" w:pos="24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5" w:lineRule="exact"/>
        <w:rPr>
          <w:rFonts w:ascii="Arial" w:cs="Arial" w:eastAsia="Arial" w:hAnsi="Arial"/>
          <w:sz w:val="18"/>
          <w:szCs w:val="18"/>
          <w:color w:val="auto"/>
          <w:vertAlign w:val="superscript"/>
        </w:rPr>
      </w:pPr>
    </w:p>
    <w:p>
      <w:pPr>
        <w:ind w:left="260" w:hanging="171"/>
        <w:spacing w:after="0" w:line="186" w:lineRule="auto"/>
        <w:tabs>
          <w:tab w:leader="none" w:pos="26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On May 1, 2022, the Company completed the sale of 100% of its interests in the Thermal Business to KKR.</w:t>
      </w:r>
    </w:p>
    <w:p>
      <w:pPr>
        <w:spacing w:after="0" w:line="6" w:lineRule="exact"/>
        <w:rPr>
          <w:rFonts w:ascii="Arial" w:cs="Arial" w:eastAsia="Arial" w:hAnsi="Arial"/>
          <w:sz w:val="19"/>
          <w:szCs w:val="19"/>
          <w:color w:val="auto"/>
          <w:vertAlign w:val="superscript"/>
        </w:rPr>
      </w:pPr>
    </w:p>
    <w:p>
      <w:pPr>
        <w:ind w:left="240" w:hanging="151"/>
        <w:spacing w:after="0" w:line="186" w:lineRule="auto"/>
        <w:tabs>
          <w:tab w:leader="none" w:pos="24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Volumes generated in 2022 were not sold as the Conventional facilities sold only capacity rather than energy prior to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right="25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September 30, 2023 and 2022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revenues increased by $31 million during the three months ended September 30, 2023, compared to the same period in 2022, due to a combination of the drivers summarized in the table below:</w:t>
      </w:r>
    </w:p>
    <w:p>
      <w:pPr>
        <w:spacing w:after="0" w:line="49"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b w:val="1"/>
                <w:bCs w:val="1"/>
                <w:color w:val="auto"/>
              </w:rPr>
              <w:t>Conventional Segment</w:t>
            </w:r>
          </w:p>
        </w:tc>
        <w:tc>
          <w:tcPr>
            <w:tcW w:w="7880" w:type="dxa"/>
            <w:vAlign w:val="bottom"/>
            <w:tcBorders>
              <w:top w:val="single" w:sz="8" w:color="CCEEFF"/>
            </w:tcBorders>
            <w:shd w:val="clear" w:color="auto" w:fill="CCEEFF"/>
          </w:tcPr>
          <w:p>
            <w:pPr>
              <w:ind w:left="260"/>
              <w:spacing w:after="0" w:line="162" w:lineRule="exact"/>
              <w:rPr>
                <w:sz w:val="20"/>
                <w:szCs w:val="20"/>
                <w:color w:val="auto"/>
              </w:rPr>
            </w:pPr>
            <w:r>
              <w:rPr>
                <w:rFonts w:ascii="Arial" w:cs="Arial" w:eastAsia="Arial" w:hAnsi="Arial"/>
                <w:sz w:val="18"/>
                <w:szCs w:val="18"/>
                <w:color w:val="auto"/>
                <w:w w:val="93"/>
              </w:rPr>
              <w:t>Increase primarily driven by higher energy revenue due to the commencement of merchant operations</w:t>
            </w:r>
          </w:p>
        </w:tc>
        <w:tc>
          <w:tcPr>
            <w:tcW w:w="5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88"/>
        </w:trPr>
        <w:tc>
          <w:tcPr>
            <w:tcW w:w="2000" w:type="dxa"/>
            <w:vAlign w:val="bottom"/>
            <w:shd w:val="clear" w:color="auto" w:fill="CCEEFF"/>
          </w:tcPr>
          <w:p>
            <w:pPr>
              <w:spacing w:after="0"/>
              <w:rPr>
                <w:sz w:val="16"/>
                <w:szCs w:val="16"/>
                <w:color w:val="auto"/>
              </w:rPr>
            </w:pPr>
          </w:p>
        </w:tc>
        <w:tc>
          <w:tcPr>
            <w:tcW w:w="788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5"/>
              </w:rPr>
              <w:t>following the expiration of PPAs at the Walnut Creek and Marsh Landing facilities during the second</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0"/>
        </w:trPr>
        <w:tc>
          <w:tcPr>
            <w:tcW w:w="2000" w:type="dxa"/>
            <w:vAlign w:val="bottom"/>
            <w:shd w:val="clear" w:color="auto" w:fill="CCEEFF"/>
          </w:tcPr>
          <w:p>
            <w:pPr>
              <w:spacing w:after="0"/>
              <w:rPr>
                <w:sz w:val="20"/>
                <w:szCs w:val="20"/>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quarter of 2023 and the El Segundo facility during the third quarter of 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176"/>
        </w:trPr>
        <w:tc>
          <w:tcPr>
            <w:tcW w:w="2000" w:type="dxa"/>
            <w:vAlign w:val="bottom"/>
          </w:tcPr>
          <w:p>
            <w:pPr>
              <w:spacing w:after="0"/>
              <w:rPr>
                <w:sz w:val="15"/>
                <w:szCs w:val="15"/>
                <w:color w:val="auto"/>
              </w:rPr>
            </w:pPr>
          </w:p>
        </w:tc>
        <w:tc>
          <w:tcPr>
            <w:tcW w:w="7880" w:type="dxa"/>
            <w:vAlign w:val="bottom"/>
          </w:tcPr>
          <w:p>
            <w:pPr>
              <w:ind w:left="260"/>
              <w:spacing w:after="0" w:line="176" w:lineRule="exact"/>
              <w:rPr>
                <w:sz w:val="20"/>
                <w:szCs w:val="20"/>
                <w:color w:val="auto"/>
              </w:rPr>
            </w:pPr>
            <w:r>
              <w:rPr>
                <w:rFonts w:ascii="Arial" w:cs="Arial" w:eastAsia="Arial" w:hAnsi="Arial"/>
                <w:sz w:val="18"/>
                <w:szCs w:val="18"/>
                <w:color w:val="auto"/>
                <w:w w:val="98"/>
              </w:rPr>
              <w:t>Decrease primarily driven by lower prices for capacity revenue due to the expiration of PPAs and</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8"/>
        </w:trPr>
        <w:tc>
          <w:tcPr>
            <w:tcW w:w="2000" w:type="dxa"/>
            <w:vAlign w:val="bottom"/>
          </w:tcPr>
          <w:p>
            <w:pPr>
              <w:spacing w:after="0"/>
              <w:rPr>
                <w:sz w:val="16"/>
                <w:szCs w:val="16"/>
                <w:color w:val="auto"/>
              </w:rPr>
            </w:pPr>
          </w:p>
        </w:tc>
        <w:tc>
          <w:tcPr>
            <w:tcW w:w="7880" w:type="dxa"/>
            <w:vAlign w:val="bottom"/>
          </w:tcPr>
          <w:p>
            <w:pPr>
              <w:ind w:left="260"/>
              <w:spacing w:after="0" w:line="189" w:lineRule="exact"/>
              <w:rPr>
                <w:sz w:val="20"/>
                <w:szCs w:val="20"/>
                <w:color w:val="auto"/>
              </w:rPr>
            </w:pPr>
            <w:r>
              <w:rPr>
                <w:rFonts w:ascii="Arial" w:cs="Arial" w:eastAsia="Arial" w:hAnsi="Arial"/>
                <w:sz w:val="18"/>
                <w:szCs w:val="18"/>
                <w:color w:val="auto"/>
                <w:w w:val="93"/>
              </w:rPr>
              <w:t>commencement of RA capacity revenue at the Walnut Creek, Marsh Landing and El Segundo facilities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200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during 2023.</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Renewables Segment</w:t>
            </w: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76"/>
        </w:trPr>
        <w:tc>
          <w:tcPr>
            <w:tcW w:w="2000" w:type="dxa"/>
            <w:vAlign w:val="bottom"/>
          </w:tcPr>
          <w:p>
            <w:pPr>
              <w:spacing w:after="0"/>
              <w:rPr>
                <w:sz w:val="15"/>
                <w:szCs w:val="15"/>
                <w:color w:val="auto"/>
              </w:rPr>
            </w:pPr>
          </w:p>
        </w:tc>
        <w:tc>
          <w:tcPr>
            <w:tcW w:w="7880" w:type="dxa"/>
            <w:vAlign w:val="bottom"/>
          </w:tcPr>
          <w:p>
            <w:pPr>
              <w:ind w:left="260"/>
              <w:spacing w:after="0" w:line="176" w:lineRule="exact"/>
              <w:rPr>
                <w:sz w:val="20"/>
                <w:szCs w:val="20"/>
                <w:color w:val="auto"/>
              </w:rPr>
            </w:pPr>
            <w:r>
              <w:rPr>
                <w:rFonts w:ascii="Arial" w:cs="Arial" w:eastAsia="Arial" w:hAnsi="Arial"/>
                <w:sz w:val="18"/>
                <w:szCs w:val="18"/>
                <w:color w:val="auto"/>
                <w:w w:val="94"/>
              </w:rPr>
              <w:t>Increase for solar acquisitions driven by Mililani I, Waiawa and Daggett 3, which reached commercial</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8"/>
        </w:trPr>
        <w:tc>
          <w:tcPr>
            <w:tcW w:w="2000" w:type="dxa"/>
            <w:vAlign w:val="bottom"/>
          </w:tcPr>
          <w:p>
            <w:pPr>
              <w:spacing w:after="0"/>
              <w:rPr>
                <w:sz w:val="16"/>
                <w:szCs w:val="16"/>
                <w:color w:val="auto"/>
              </w:rPr>
            </w:pPr>
          </w:p>
        </w:tc>
        <w:tc>
          <w:tcPr>
            <w:tcW w:w="7880" w:type="dxa"/>
            <w:vAlign w:val="bottom"/>
          </w:tcPr>
          <w:p>
            <w:pPr>
              <w:ind w:left="260"/>
              <w:spacing w:after="0" w:line="189" w:lineRule="exact"/>
              <w:rPr>
                <w:sz w:val="20"/>
                <w:szCs w:val="20"/>
                <w:color w:val="auto"/>
              </w:rPr>
            </w:pPr>
            <w:r>
              <w:rPr>
                <w:rFonts w:ascii="Arial" w:cs="Arial" w:eastAsia="Arial" w:hAnsi="Arial"/>
                <w:sz w:val="18"/>
                <w:szCs w:val="18"/>
                <w:color w:val="auto"/>
                <w:w w:val="92"/>
              </w:rPr>
              <w:t>operations in July 2022, January 2023 and July 2023, respectively, offset by the disposition of Kawailoa</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200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in August 2022.</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76"/>
        </w:trPr>
        <w:tc>
          <w:tcPr>
            <w:tcW w:w="2000" w:type="dxa"/>
            <w:vAlign w:val="bottom"/>
            <w:shd w:val="clear" w:color="auto" w:fill="CCEEFF"/>
          </w:tcPr>
          <w:p>
            <w:pPr>
              <w:spacing w:after="0"/>
              <w:rPr>
                <w:sz w:val="15"/>
                <w:szCs w:val="15"/>
                <w:color w:val="auto"/>
              </w:rPr>
            </w:pPr>
          </w:p>
        </w:tc>
        <w:tc>
          <w:tcPr>
            <w:tcW w:w="78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7"/>
              </w:rPr>
              <w:t>Decrease primarily resulting from extreme heat in Texas, which drove net losses for hedge-related</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8"/>
        </w:trPr>
        <w:tc>
          <w:tcPr>
            <w:tcW w:w="2000" w:type="dxa"/>
            <w:vAlign w:val="bottom"/>
            <w:shd w:val="clear" w:color="auto" w:fill="CCEEFF"/>
          </w:tcPr>
          <w:p>
            <w:pPr>
              <w:spacing w:after="0"/>
              <w:rPr>
                <w:sz w:val="16"/>
                <w:szCs w:val="16"/>
                <w:color w:val="auto"/>
              </w:rPr>
            </w:pPr>
          </w:p>
        </w:tc>
        <w:tc>
          <w:tcPr>
            <w:tcW w:w="788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4"/>
              </w:rPr>
              <w:t>volumetric shortfalls where certain wind facilities fulfilled contractual obligations through the purchase</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0"/>
        </w:trPr>
        <w:tc>
          <w:tcPr>
            <w:tcW w:w="2000" w:type="dxa"/>
            <w:vAlign w:val="bottom"/>
            <w:shd w:val="clear" w:color="auto" w:fill="CCEEFF"/>
          </w:tcPr>
          <w:p>
            <w:pPr>
              <w:spacing w:after="0"/>
              <w:rPr>
                <w:sz w:val="20"/>
                <w:szCs w:val="20"/>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 power at higher than normal prices, as well as lower average realized prices.</w:t>
            </w: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Contract amortization</w:t>
            </w:r>
          </w:p>
        </w:tc>
        <w:tc>
          <w:tcPr>
            <w:tcW w:w="7880" w:type="dxa"/>
            <w:vAlign w:val="bottom"/>
          </w:tcPr>
          <w:p>
            <w:pPr>
              <w:ind w:left="260"/>
              <w:spacing w:after="0" w:line="176" w:lineRule="exact"/>
              <w:rPr>
                <w:sz w:val="20"/>
                <w:szCs w:val="20"/>
                <w:color w:val="auto"/>
              </w:rPr>
            </w:pPr>
            <w:r>
              <w:rPr>
                <w:rFonts w:ascii="Arial" w:cs="Arial" w:eastAsia="Arial" w:hAnsi="Arial"/>
                <w:sz w:val="18"/>
                <w:szCs w:val="18"/>
                <w:color w:val="auto"/>
                <w:w w:val="91"/>
              </w:rPr>
              <w:t>Increase primarily driven by amortization of the intangible assets of PPAs related to the acquisition of the</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00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Capistrano Wind Portfolio in August 2022.</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Mark-to-market for</w:t>
            </w:r>
          </w:p>
        </w:tc>
        <w:tc>
          <w:tcPr>
            <w:tcW w:w="78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Decrease driven by increases in forward power prices in the ERCOT market.</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hedges</w:t>
            </w:r>
          </w:p>
        </w:tc>
        <w:tc>
          <w:tcPr>
            <w:tcW w:w="7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00" w:type="dxa"/>
            <w:vAlign w:val="bottom"/>
          </w:tcPr>
          <w:p>
            <w:pPr>
              <w:spacing w:after="0"/>
              <w:rPr>
                <w:sz w:val="19"/>
                <w:szCs w:val="19"/>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Increase driven by decreases in forward power prices in the PJM market.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00" w:type="dxa"/>
            <w:vAlign w:val="bottom"/>
            <w:shd w:val="clear" w:color="auto" w:fill="CCEEFF"/>
          </w:tcPr>
          <w:p>
            <w:pPr>
              <w:spacing w:after="0"/>
              <w:rPr>
                <w:sz w:val="19"/>
                <w:szCs w:val="19"/>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Increase due to heat rate call options entered into by the Walnut Creek and Marsh Landing facilities.</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0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fuels increased by $32 million during the three months ended September 30, 2023, compared to the same period in 2022, due to fuel purchases and the related cost of emissions obligations at the Walnut Creek, Marsh Landing and El Segundo facilities as a result of the expiration of PPAs during 2023 and the facilities commencing merchant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Other income, net increased by $10 million during the three months ended September 30, 2023, compared to the same period in 2022, primarily due to higher interest income earned across the portfolio as a result of higher interest rates.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 and Redeemable Noncontrolling Interests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September 30, 2023, the Company had a net loss of $32 million attributable to noncontrolling interests and redeemable noncontrolling interests comprised of the following:</w:t>
      </w:r>
    </w:p>
    <w:p>
      <w:pPr>
        <w:sectPr>
          <w:pgSz w:w="11900" w:h="16838" w:orient="portrait"/>
          <w:cols w:equalWidth="0" w:num="1">
            <w:col w:w="11240"/>
          </w:cols>
          <w:pgMar w:left="320" w:top="1057" w:right="339" w:bottom="1440" w:gutter="0" w:footer="0" w:header="0"/>
        </w:sectPr>
      </w:pPr>
    </w:p>
    <w:p>
      <w:pPr>
        <w:spacing w:after="0" w:line="265" w:lineRule="exact"/>
        <w:rPr>
          <w:sz w:val="20"/>
          <w:szCs w:val="20"/>
          <w:color w:val="auto"/>
        </w:rPr>
      </w:pPr>
    </w:p>
    <w:p>
      <w:pPr>
        <w:ind w:left="20" w:right="60"/>
        <w:spacing w:after="0" w:line="235" w:lineRule="auto"/>
        <w:rPr>
          <w:sz w:val="20"/>
          <w:szCs w:val="20"/>
          <w:color w:val="auto"/>
        </w:rPr>
      </w:pPr>
      <w:r>
        <w:rPr>
          <w:rFonts w:ascii="Arial" w:cs="Arial" w:eastAsia="Arial" w:hAnsi="Arial"/>
          <w:sz w:val="18"/>
          <w:szCs w:val="18"/>
          <w:color w:val="auto"/>
        </w:rPr>
        <w:t>Losses attributable to tax equity financing arrangements and the application of the HLBV method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6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Income attributable to third-party partnerships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46"/>
        <w:spacing w:after="0"/>
        <w:rPr>
          <w:sz w:val="20"/>
          <w:szCs w:val="20"/>
          <w:color w:val="auto"/>
        </w:rPr>
      </w:pPr>
      <w:r>
        <w:rPr>
          <w:rFonts w:ascii="Arial" w:cs="Arial" w:eastAsia="Arial" w:hAnsi="Arial"/>
          <w:sz w:val="16"/>
          <w:szCs w:val="16"/>
          <w:b w:val="1"/>
          <w:bCs w:val="1"/>
          <w:color w:val="auto"/>
        </w:rPr>
        <w:t>(In millions)</w:t>
      </w:r>
    </w:p>
    <w:p>
      <w:pPr>
        <w:spacing w:after="0" w:line="221" w:lineRule="exact"/>
        <w:rPr>
          <w:sz w:val="20"/>
          <w:szCs w:val="20"/>
          <w:color w:val="auto"/>
        </w:rPr>
      </w:pPr>
    </w:p>
    <w:p>
      <w:pPr>
        <w:ind w:left="926" w:hanging="926"/>
        <w:spacing w:after="0"/>
        <w:tabs>
          <w:tab w:leader="none" w:pos="926" w:val="left"/>
        </w:tabs>
        <w:numPr>
          <w:ilvl w:val="0"/>
          <w:numId w:val="28"/>
        </w:numPr>
        <w:rPr>
          <w:rFonts w:ascii="Arial" w:cs="Arial" w:eastAsia="Arial" w:hAnsi="Arial"/>
          <w:sz w:val="17"/>
          <w:szCs w:val="17"/>
          <w:color w:val="auto"/>
        </w:rPr>
      </w:pPr>
      <w:r>
        <w:rPr>
          <w:rFonts w:ascii="Arial" w:cs="Arial" w:eastAsia="Arial" w:hAnsi="Arial"/>
          <w:sz w:val="17"/>
          <w:szCs w:val="17"/>
          <w:color w:val="auto"/>
        </w:rPr>
        <w:t>(161)</w:t>
      </w:r>
    </w:p>
    <w:p>
      <w:pPr>
        <w:spacing w:after="0" w:line="34"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8"/>
          <w:szCs w:val="18"/>
          <w:color w:val="auto"/>
        </w:rPr>
        <w:t>129</w:t>
      </w:r>
    </w:p>
    <w:p>
      <w:pPr>
        <w:spacing w:after="0" w:line="35" w:lineRule="exact"/>
        <w:rPr>
          <w:sz w:val="20"/>
          <w:szCs w:val="20"/>
          <w:color w:val="auto"/>
        </w:rPr>
      </w:pPr>
    </w:p>
    <w:p>
      <w:pPr>
        <w:ind w:left="1026" w:hanging="1026"/>
        <w:spacing w:after="0"/>
        <w:tabs>
          <w:tab w:leader="none" w:pos="10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865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54"/>
            <w:col w:w="1346"/>
          </w:cols>
          <w:pgMar w:left="320" w:top="1057" w:right="339" w:bottom="1440" w:gutter="0" w:footer="0" w:header="0"/>
          <w:type w:val="continuous"/>
        </w:sectPr>
      </w:pP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September 30, 2022, the Company had a net loss of $3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99"/>
              </w:rPr>
              <w:t>(5)</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color w:val="auto"/>
                <w:w w:val="79"/>
              </w:rPr>
              <w:t>2</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832"/>
              <w:spacing w:after="0"/>
              <w:rPr>
                <w:sz w:val="20"/>
                <w:szCs w:val="20"/>
                <w:color w:val="auto"/>
              </w:rPr>
            </w:pPr>
            <w:r>
              <w:rPr>
                <w:rFonts w:ascii="Arial" w:cs="Arial" w:eastAsia="Arial" w:hAnsi="Arial"/>
                <w:sz w:val="18"/>
                <w:szCs w:val="18"/>
                <w:color w:val="auto"/>
                <w:w w:val="99"/>
              </w:rPr>
              <w:t>(3)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2023 and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$143 million during the nine months ended September 30, 2023, compared to the same period in 2022,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(In millions)</w:t>
            </w:r>
          </w:p>
        </w:tc>
      </w:tr>
      <w:tr>
        <w:trPr>
          <w:trHeight w:val="158"/>
        </w:trPr>
        <w:tc>
          <w:tcPr>
            <w:tcW w:w="23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rPr>
              <w:t>Conventional Segment</w:t>
            </w:r>
          </w:p>
        </w:tc>
        <w:tc>
          <w:tcPr>
            <w:tcW w:w="7520" w:type="dxa"/>
            <w:vAlign w:val="bottom"/>
            <w:shd w:val="clear" w:color="auto" w:fill="CCEEFF"/>
          </w:tcPr>
          <w:p>
            <w:pPr>
              <w:ind w:left="280"/>
              <w:spacing w:after="0" w:line="158" w:lineRule="exact"/>
              <w:rPr>
                <w:sz w:val="20"/>
                <w:szCs w:val="20"/>
                <w:color w:val="auto"/>
              </w:rPr>
            </w:pPr>
            <w:r>
              <w:rPr>
                <w:rFonts w:ascii="Arial" w:cs="Arial" w:eastAsia="Arial" w:hAnsi="Arial"/>
                <w:sz w:val="18"/>
                <w:szCs w:val="18"/>
                <w:color w:val="auto"/>
                <w:w w:val="99"/>
              </w:rPr>
              <w:t>Increase primarily driven by higher energy revenue due to the commencement of merchant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8"/>
              </w:rPr>
              <w:t>operations following the expiration of PPAs at the Walnut Creek and Marsh Landing facilities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during the second quarter of 2023 and the El Segundo facility during the third quarter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176"/>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7"/>
              </w:rPr>
              <w:t>Increase driven by the sales-type lease revenue recognition of the Marsh Landing Black Start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addition that commenced operations on May 31, 2023.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Decrease primarily driven by lower prices for capacity revenue due to the expiration of PPAs and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6"/>
              </w:rPr>
              <w:t>commencement of RA capacity revenue at the Walnut Creek, Marsh Landing and El Segundo</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facilities during 2023.</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175"/>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rPr>
              <w:t>Decrease driven by outages at the Walnut Creek and Marsh Landing facilities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during the first quarter of 2023, resulting in lower capacity revenue.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Decrease primarily driven by longer planned maintenance outages at the El</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360" w:type="dxa"/>
            <w:vAlign w:val="bottom"/>
            <w:shd w:val="clear" w:color="auto" w:fill="CCEEFF"/>
          </w:tcPr>
          <w:p>
            <w:pPr>
              <w:spacing w:after="0"/>
              <w:rPr>
                <w:sz w:val="21"/>
                <w:szCs w:val="21"/>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Segundo facility in 2023.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Renewables Segment</w:t>
            </w:r>
          </w:p>
        </w:tc>
        <w:tc>
          <w:tcPr>
            <w:tcW w:w="7520" w:type="dxa"/>
            <w:vAlign w:val="bottom"/>
          </w:tcPr>
          <w:p>
            <w:pPr>
              <w:ind w:left="28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75"/>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Increase for solar acquisitions driven by Mililani I, Waiawa and Daggett 3, which reached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8"/>
              </w:rPr>
              <w:t>commercial operations in July 2022, January 2023 and July 2023, respectively, offset by the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disposition of Kawailoa in August 2022.</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76"/>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7"/>
              </w:rPr>
              <w:t>Decrease driven primarily by lower than average wind production primarily during the second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8"/>
        </w:trPr>
        <w:tc>
          <w:tcPr>
            <w:tcW w:w="2360" w:type="dxa"/>
            <w:vAlign w:val="bottom"/>
          </w:tcPr>
          <w:p>
            <w:pPr>
              <w:spacing w:after="0"/>
              <w:rPr>
                <w:sz w:val="16"/>
                <w:szCs w:val="16"/>
                <w:color w:val="auto"/>
              </w:rPr>
            </w:pPr>
          </w:p>
        </w:tc>
        <w:tc>
          <w:tcPr>
            <w:tcW w:w="7520" w:type="dxa"/>
            <w:vAlign w:val="bottom"/>
          </w:tcPr>
          <w:p>
            <w:pPr>
              <w:ind w:left="280"/>
              <w:spacing w:after="0" w:line="189" w:lineRule="exact"/>
              <w:rPr>
                <w:sz w:val="20"/>
                <w:szCs w:val="20"/>
                <w:color w:val="auto"/>
              </w:rPr>
            </w:pPr>
            <w:r>
              <w:rPr>
                <w:rFonts w:ascii="Arial" w:cs="Arial" w:eastAsia="Arial" w:hAnsi="Arial"/>
                <w:sz w:val="18"/>
                <w:szCs w:val="18"/>
                <w:color w:val="auto"/>
                <w:w w:val="93"/>
              </w:rPr>
              <w:t>quarter of 2023, compared with higher than average wind production during the second quarter of</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236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Decrease primarily resulting from extreme heat in Texas, which drove net losses for hedge-related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9"/>
              </w:rPr>
              <w:t>volumetric shortfalls where certain wind facilities fulfilled contractual obligations through the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of power at higher than normal prices, as well as lower average realized prices.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36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Decrease driven primarily by lower solar generation due to weather.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Thermal Segment</w:t>
            </w: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175"/>
        </w:trPr>
        <w:tc>
          <w:tcPr>
            <w:tcW w:w="23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Contract amortization</w:t>
            </w: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2"/>
              </w:rPr>
              <w:t>Increase primarily driven by amortization of the intangible assets of PPAs related to the acquisition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of the Capistrano Wind Portfolio in August 2022.</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76"/>
        </w:trPr>
        <w:tc>
          <w:tcPr>
            <w:tcW w:w="2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Mark-to-market economic</w:t>
            </w: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Increase driven by decreases in forward power prices in the ERCOT and PJM markets.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hedging activities</w:t>
            </w:r>
          </w:p>
        </w:tc>
        <w:tc>
          <w:tcPr>
            <w:tcW w:w="7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175"/>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9"/>
              </w:rPr>
              <w:t>Increase due to heat rate call options entered into by the Walnut Creek and Marsh Landing</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36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Cost of fuels increased by $19 million during the nine months ended September 30, 2023, compared to the same period in 2022, due to a combination of the drivers summarized in the table below:</w:t>
      </w:r>
    </w:p>
    <w:p>
      <w:pPr>
        <w:spacing w:after="0" w:line="49"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(In millions)</w:t>
      </w:r>
    </w:p>
    <w:p>
      <w:pPr>
        <w:sectPr>
          <w:pgSz w:w="11900" w:h="16838" w:orient="portrait"/>
          <w:cols w:equalWidth="0" w:num="1">
            <w:col w:w="11240"/>
          </w:cols>
          <w:pgMar w:left="320" w:top="891" w:right="339" w:bottom="1440" w:gutter="0" w:footer="0" w:header="0"/>
        </w:sectPr>
      </w:pPr>
    </w:p>
    <w:p>
      <w:pPr>
        <w:spacing w:after="0" w:line="1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Conventional Segment</w:t>
      </w:r>
      <w:r>
        <w:rPr>
          <w:sz w:val="20"/>
          <w:szCs w:val="20"/>
          <w:color w:val="auto"/>
        </w:rPr>
        <w:tab/>
      </w:r>
      <w:r>
        <w:rPr>
          <w:rFonts w:ascii="Arial" w:cs="Arial" w:eastAsia="Arial" w:hAnsi="Arial"/>
          <w:sz w:val="17"/>
          <w:szCs w:val="17"/>
          <w:color w:val="auto"/>
        </w:rPr>
        <w:t>Increase primarily driven by fuel purchases and the related cost of emissions obligations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80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2560"/>
        <w:spacing w:after="0" w:line="226" w:lineRule="auto"/>
        <w:rPr>
          <w:sz w:val="20"/>
          <w:szCs w:val="20"/>
          <w:color w:val="auto"/>
        </w:rPr>
      </w:pPr>
      <w:r>
        <w:rPr>
          <w:rFonts w:ascii="Arial" w:cs="Arial" w:eastAsia="Arial" w:hAnsi="Arial"/>
          <w:sz w:val="18"/>
          <w:szCs w:val="18"/>
          <w:color w:val="auto"/>
        </w:rPr>
        <w:t>Walnut Creek, Marsh Landing and El Segundo facilities as a result of the expiration of PPAs during 2023 and the facilities commencing merchant operations.</w:t>
      </w:r>
    </w:p>
    <w:p>
      <w:pPr>
        <w:spacing w:after="0" w:line="175" w:lineRule="exact"/>
        <w:rPr>
          <w:sz w:val="20"/>
          <w:szCs w:val="20"/>
          <w:color w:val="auto"/>
        </w:rPr>
      </w:pPr>
    </w:p>
    <w:p>
      <w:pPr>
        <w:ind w:left="2560" w:right="20"/>
        <w:spacing w:after="0" w:line="235" w:lineRule="auto"/>
        <w:rPr>
          <w:sz w:val="20"/>
          <w:szCs w:val="20"/>
          <w:color w:val="auto"/>
        </w:rPr>
      </w:pPr>
      <w:r>
        <w:rPr>
          <w:rFonts w:ascii="Arial" w:cs="Arial" w:eastAsia="Arial" w:hAnsi="Arial"/>
          <w:sz w:val="18"/>
          <w:szCs w:val="18"/>
          <w:color w:val="auto"/>
        </w:rPr>
        <w:t>Increase due to the associated costs of the sales-type lease recognition of the Marsh Landing Black Start addition that commenced operations on May 31, 2023.</w:t>
      </w:r>
    </w:p>
    <w:p>
      <w:pPr>
        <w:spacing w:after="0" w:line="9"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Thermal Segment</w:t>
      </w:r>
      <w:r>
        <w:rPr>
          <w:sz w:val="20"/>
          <w:szCs w:val="20"/>
          <w:color w:val="auto"/>
        </w:rPr>
        <w:tab/>
      </w:r>
      <w:r>
        <w:rPr>
          <w:rFonts w:ascii="Arial" w:cs="Arial" w:eastAsia="Arial" w:hAnsi="Arial"/>
          <w:sz w:val="16"/>
          <w:szCs w:val="16"/>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086" w:hanging="1086"/>
        <w:spacing w:after="0"/>
        <w:tabs>
          <w:tab w:leader="none" w:pos="10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34</w:t>
      </w:r>
    </w:p>
    <w:p>
      <w:pPr>
        <w:spacing w:after="0" w:line="211" w:lineRule="exact"/>
        <w:rPr>
          <w:rFonts w:ascii="Arial" w:cs="Arial" w:eastAsia="Arial" w:hAnsi="Arial"/>
          <w:sz w:val="18"/>
          <w:szCs w:val="18"/>
          <w:color w:val="auto"/>
        </w:rPr>
      </w:pPr>
    </w:p>
    <w:p>
      <w:pPr>
        <w:ind w:left="1086"/>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Operations and maintenance expense increased by $14 million during the nine months ended September 30, 2023, compared to the same period in 2022, due to a combination of the drivers summarized in the table below:</w:t>
      </w:r>
    </w:p>
    <w:p>
      <w:pPr>
        <w:sectPr>
          <w:pgSz w:w="11900" w:h="16838" w:orient="portrait"/>
          <w:cols w:equalWidth="0" w:num="1">
            <w:col w:w="11240"/>
          </w:cols>
          <w:pgMar w:left="320" w:top="895" w:right="339" w:bottom="1440" w:gutter="0" w:footer="0" w:header="0"/>
        </w:sect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660" w:type="dxa"/>
            <w:vAlign w:val="bottom"/>
          </w:tcPr>
          <w:p>
            <w:pPr>
              <w:ind w:left="44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60" w:type="dxa"/>
            <w:vAlign w:val="bottom"/>
          </w:tcPr>
          <w:p>
            <w:pPr>
              <w:ind w:left="440"/>
              <w:spacing w:after="0" w:line="189" w:lineRule="exact"/>
              <w:rPr>
                <w:sz w:val="20"/>
                <w:szCs w:val="20"/>
                <w:color w:val="auto"/>
              </w:rPr>
            </w:pPr>
            <w:r>
              <w:rPr>
                <w:rFonts w:ascii="Arial" w:cs="Arial" w:eastAsia="Arial" w:hAnsi="Arial"/>
                <w:sz w:val="18"/>
                <w:szCs w:val="18"/>
                <w:color w:val="auto"/>
                <w:w w:val="93"/>
              </w:rPr>
              <w:t>Increase for solar acquisitions driven by Daggett 3 in February 2023, Mililani I in March 2022 and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Waiawa in November 2022, offset by the disposition of Kawailoa in August 2022.</w:t>
            </w:r>
          </w:p>
        </w:tc>
        <w:tc>
          <w:tcPr>
            <w:tcW w:w="0" w:type="dxa"/>
            <w:vAlign w:val="bottom"/>
          </w:tcPr>
          <w:p>
            <w:pPr>
              <w:spacing w:after="0"/>
              <w:rPr>
                <w:sz w:val="1"/>
                <w:szCs w:val="1"/>
                <w:color w:val="auto"/>
              </w:rPr>
            </w:pPr>
          </w:p>
        </w:tc>
      </w:tr>
      <w:tr>
        <w:trPr>
          <w:trHeight w:val="24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660" w:type="dxa"/>
            <w:vAlign w:val="bottom"/>
          </w:tcPr>
          <w:p>
            <w:pPr>
              <w:ind w:left="440"/>
              <w:spacing w:after="0"/>
              <w:rPr>
                <w:sz w:val="20"/>
                <w:szCs w:val="20"/>
                <w:color w:val="auto"/>
              </w:rPr>
            </w:pPr>
            <w:r>
              <w:rPr>
                <w:rFonts w:ascii="Arial" w:cs="Arial" w:eastAsia="Arial" w:hAnsi="Arial"/>
                <w:sz w:val="18"/>
                <w:szCs w:val="18"/>
                <w:color w:val="auto"/>
              </w:rPr>
              <w:t>Increase primarily driven by maintenance activities at the wind facilities.</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19"/>
                <w:szCs w:val="19"/>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Increase primarily driven by outages at the Walnut Creek and Marsh Landing facilities.</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660" w:type="dxa"/>
            <w:vAlign w:val="bottom"/>
          </w:tcPr>
          <w:p>
            <w:pPr>
              <w:ind w:left="440"/>
              <w:spacing w:after="0" w:line="176" w:lineRule="exact"/>
              <w:rPr>
                <w:sz w:val="20"/>
                <w:szCs w:val="20"/>
                <w:color w:val="auto"/>
              </w:rPr>
            </w:pPr>
            <w:r>
              <w:rPr>
                <w:rFonts w:ascii="Arial" w:cs="Arial" w:eastAsia="Arial" w:hAnsi="Arial"/>
                <w:sz w:val="18"/>
                <w:szCs w:val="18"/>
                <w:color w:val="auto"/>
                <w:w w:val="92"/>
              </w:rPr>
              <w:t>Increase primarily driven by higher costs related to additional planned maintenance outages at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El Segundo facility in 2023.</w:t>
            </w:r>
          </w:p>
        </w:tc>
        <w:tc>
          <w:tcPr>
            <w:tcW w:w="0" w:type="dxa"/>
            <w:vAlign w:val="bottom"/>
          </w:tcPr>
          <w:p>
            <w:pPr>
              <w:spacing w:after="0"/>
              <w:rPr>
                <w:sz w:val="1"/>
                <w:szCs w:val="1"/>
                <w:color w:val="auto"/>
              </w:rPr>
            </w:pPr>
          </w:p>
        </w:tc>
      </w:tr>
      <w:tr>
        <w:trPr>
          <w:trHeight w:val="24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660" w:type="dxa"/>
            <w:vAlign w:val="bottom"/>
          </w:tcPr>
          <w:p>
            <w:pPr>
              <w:ind w:left="440"/>
              <w:spacing w:after="0"/>
              <w:rPr>
                <w:sz w:val="20"/>
                <w:szCs w:val="20"/>
                <w:color w:val="auto"/>
              </w:rPr>
            </w:pPr>
            <w:r>
              <w:rPr>
                <w:rFonts w:ascii="Arial" w:cs="Arial" w:eastAsia="Arial" w:hAnsi="Arial"/>
                <w:sz w:val="18"/>
                <w:szCs w:val="18"/>
                <w:color w:val="auto"/>
                <w:w w:val="93"/>
              </w:rPr>
              <w:t>Increase primarily driven by higher costs related to planned maintenance at the Carlsbad facility.</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1086" w:hanging="1086"/>
        <w:spacing w:after="0"/>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14</w:t>
      </w:r>
    </w:p>
    <w:p>
      <w:pPr>
        <w:spacing w:after="0" w:line="212"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5"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Other costs of operations expense decreased by $11 million during the nine months ended September 30, 2023, compared to the same period in 2022, primarily due to a decrease in property taxes in the Renewables segment and the sale of the Thermal Business on May 1,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Equity in earnings of unconsolidated affiliates decreased by $17 million during the nine months ended September 30, 2023, compared to the same period in 2022, primarily due to the change in fair value of interest swaps and higher depreciation expense, as well as lower wind production during the second quarter of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net increased by $22 million during the nine months ended September 30, 2023, compared to the same period in 2022, primarily due to higher interest income earned on investments in money market and time deposit accounts, which have retained larger balances as a result of the proceeds received from the sale of the Thermal Business on May 1, 2022, along with higher interest income earned across the portfolio as a result of higher interest rates.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$59 million during the nine months ended September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Increase in interest expense due to an increase in principal balances of Renewables segment project-level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a decrease in principal balances of Conventional segment project-level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75"/>
        </w:trPr>
        <w:tc>
          <w:tcPr>
            <w:tcW w:w="9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5"/>
        </w:trPr>
        <w:tc>
          <w:tcPr>
            <w:tcW w:w="9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 and Redeemable Noncontrolling Interests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nine months ended September 30, 2023, the Company had a net loss of $62 million attributable to noncontrolling interests and redeemable noncontrolling interests comprised of the following:</w:t>
      </w:r>
    </w:p>
    <w:p>
      <w:pPr>
        <w:sectPr>
          <w:pgSz w:w="11900" w:h="16838" w:orient="portrait"/>
          <w:cols w:equalWidth="0" w:num="1">
            <w:col w:w="11240"/>
          </w:cols>
          <w:pgMar w:left="320" w:top="1057" w:right="339" w:bottom="1440" w:gutter="0" w:footer="0" w:header="0"/>
        </w:sectPr>
      </w:pPr>
    </w:p>
    <w:p>
      <w:pPr>
        <w:spacing w:after="0" w:line="265" w:lineRule="exact"/>
        <w:rPr>
          <w:sz w:val="20"/>
          <w:szCs w:val="20"/>
          <w:color w:val="auto"/>
        </w:rPr>
      </w:pPr>
    </w:p>
    <w:p>
      <w:pPr>
        <w:ind w:left="20" w:right="60"/>
        <w:spacing w:after="0" w:line="235" w:lineRule="auto"/>
        <w:rPr>
          <w:sz w:val="20"/>
          <w:szCs w:val="20"/>
          <w:color w:val="auto"/>
        </w:rPr>
      </w:pPr>
      <w:r>
        <w:rPr>
          <w:rFonts w:ascii="Arial" w:cs="Arial" w:eastAsia="Arial" w:hAnsi="Arial"/>
          <w:sz w:val="18"/>
          <w:szCs w:val="18"/>
          <w:color w:val="auto"/>
        </w:rPr>
        <w:t>Losses attributable to tax equity financing arrangements and the application of the HLBV method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6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Income attributable to third-party partnerships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46"/>
        <w:spacing w:after="0"/>
        <w:rPr>
          <w:sz w:val="20"/>
          <w:szCs w:val="20"/>
          <w:color w:val="auto"/>
        </w:rPr>
      </w:pPr>
      <w:r>
        <w:rPr>
          <w:rFonts w:ascii="Arial" w:cs="Arial" w:eastAsia="Arial" w:hAnsi="Arial"/>
          <w:sz w:val="16"/>
          <w:szCs w:val="16"/>
          <w:b w:val="1"/>
          <w:bCs w:val="1"/>
          <w:color w:val="auto"/>
        </w:rPr>
        <w:t>(In millions)</w:t>
      </w:r>
    </w:p>
    <w:p>
      <w:pPr>
        <w:spacing w:after="0" w:line="221" w:lineRule="exact"/>
        <w:rPr>
          <w:sz w:val="20"/>
          <w:szCs w:val="20"/>
          <w:color w:val="auto"/>
        </w:rPr>
      </w:pPr>
    </w:p>
    <w:p>
      <w:pPr>
        <w:ind w:left="926" w:hanging="926"/>
        <w:spacing w:after="0"/>
        <w:tabs>
          <w:tab w:leader="none" w:pos="926" w:val="left"/>
        </w:tabs>
        <w:numPr>
          <w:ilvl w:val="0"/>
          <w:numId w:val="34"/>
        </w:numPr>
        <w:rPr>
          <w:rFonts w:ascii="Arial" w:cs="Arial" w:eastAsia="Arial" w:hAnsi="Arial"/>
          <w:sz w:val="17"/>
          <w:szCs w:val="17"/>
          <w:color w:val="auto"/>
        </w:rPr>
      </w:pPr>
      <w:r>
        <w:rPr>
          <w:rFonts w:ascii="Arial" w:cs="Arial" w:eastAsia="Arial" w:hAnsi="Arial"/>
          <w:sz w:val="17"/>
          <w:szCs w:val="17"/>
          <w:color w:val="auto"/>
        </w:rPr>
        <w:t>(205)</w:t>
      </w:r>
    </w:p>
    <w:p>
      <w:pPr>
        <w:spacing w:after="0" w:line="34"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8"/>
          <w:szCs w:val="18"/>
          <w:color w:val="auto"/>
        </w:rPr>
        <w:t>143</w:t>
      </w:r>
    </w:p>
    <w:p>
      <w:pPr>
        <w:spacing w:after="0" w:line="35" w:lineRule="exact"/>
        <w:rPr>
          <w:sz w:val="20"/>
          <w:szCs w:val="20"/>
          <w:color w:val="auto"/>
        </w:rPr>
      </w:pPr>
    </w:p>
    <w:p>
      <w:pPr>
        <w:ind w:left="1026" w:hanging="1026"/>
        <w:spacing w:after="0"/>
        <w:tabs>
          <w:tab w:leader="none" w:pos="10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8655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54"/>
            <w:col w:w="1346"/>
          </w:cols>
          <w:pgMar w:left="320" w:top="1057" w:right="339" w:bottom="1440" w:gutter="0" w:footer="0" w:header="0"/>
          <w:type w:val="continuous"/>
        </w:sectPr>
      </w:pP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nine months ended September 30, 2022, the Company had a net loss of $49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2023</w:t>
      </w:r>
      <w:r>
        <w:rPr>
          <w:rFonts w:ascii="Arial" w:cs="Arial" w:eastAsia="Arial" w:hAnsi="Arial"/>
          <w:sz w:val="18"/>
          <w:szCs w:val="18"/>
          <w:color w:val="231F20"/>
        </w:rPr>
        <w:t xml:space="preserve"> and </w:t>
      </w:r>
      <w:r>
        <w:rPr>
          <w:rFonts w:ascii="Arial" w:cs="Arial" w:eastAsia="Arial" w:hAnsi="Arial"/>
          <w:sz w:val="18"/>
          <w:szCs w:val="18"/>
          <w:color w:val="000000"/>
        </w:rPr>
        <w:t>December 31, 2022</w:t>
      </w:r>
      <w:r>
        <w:rPr>
          <w:rFonts w:ascii="Arial" w:cs="Arial" w:eastAsia="Arial" w:hAnsi="Arial"/>
          <w:sz w:val="18"/>
          <w:szCs w:val="18"/>
          <w:color w:val="231F20"/>
        </w:rPr>
        <w:t>, the Company’s liquidity was approximately $1.65 billion and $1.37 billion, respectively, comprised of cash, restricted cash and availability under the Company’s revolving credit facility.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4"/>
                <w:szCs w:val="14"/>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Clearway Energy LLC, excluding subsidiaries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Subsidiaries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accounts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$590 million and $339 million of restricted cash balances as of September 30, 2023 and December 31, </w:t>
      </w:r>
      <w:r>
        <w:rPr>
          <w:rFonts w:ascii="Arial" w:cs="Arial" w:eastAsia="Arial" w:hAnsi="Arial"/>
          <w:sz w:val="16"/>
          <w:szCs w:val="16"/>
          <w:color w:val="000000"/>
        </w:rPr>
        <w:t>2022</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September 30, 2023, these restricted funds were comprised of $160 million designated to fund operating</w:t>
      </w:r>
      <w:r>
        <w:rPr>
          <w:rFonts w:ascii="Arial" w:cs="Arial" w:eastAsia="Arial" w:hAnsi="Arial"/>
          <w:sz w:val="16"/>
          <w:szCs w:val="16"/>
          <w:color w:val="231F20"/>
        </w:rPr>
        <w:t xml:space="preserve"> </w:t>
      </w:r>
      <w:r>
        <w:rPr>
          <w:rFonts w:ascii="Arial" w:cs="Arial" w:eastAsia="Arial" w:hAnsi="Arial"/>
          <w:sz w:val="16"/>
          <w:szCs w:val="16"/>
          <w:color w:val="000000"/>
        </w:rPr>
        <w:t>expenses, approximately $316 million designated for current debt service payments and $85 million restricted for reserves including debt service, performance obligations and other reserves, as well as capital expenditures. The remaining $29 million is held in distribution reserve accounts.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As of September 30, 2023, the Company had no outstanding borrowings under the revolving credit facility and $211 million in letters of credit outstanding. </w:t>
      </w:r>
      <w:r>
        <w:rPr>
          <w:rFonts w:ascii="Arial" w:cs="Arial" w:eastAsia="Arial" w:hAnsi="Arial"/>
          <w:sz w:val="17"/>
          <w:szCs w:val="17"/>
          <w:color w:val="231F20"/>
        </w:rPr>
        <w:t>The facility will continue to be used for general corporate purposes including financing of future acquisitions and posting letters of credit.</w:t>
      </w:r>
    </w:p>
    <w:p>
      <w:pPr>
        <w:spacing w:after="0" w:line="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to this Form 10-Q and Item 15 — Note 10,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to the consolidated financial statements included in the Company’s </w:t>
      </w:r>
      <w:r>
        <w:rPr>
          <w:rFonts w:ascii="Arial" w:cs="Arial" w:eastAsia="Arial" w:hAnsi="Arial"/>
          <w:sz w:val="16"/>
          <w:szCs w:val="16"/>
          <w:color w:val="000000"/>
        </w:rPr>
        <w:t>2022 Form 10-K</w:t>
      </w:r>
      <w:r>
        <w:rPr>
          <w:rFonts w:ascii="Arial" w:cs="Arial" w:eastAsia="Arial" w:hAnsi="Arial"/>
          <w:sz w:val="16"/>
          <w:szCs w:val="16"/>
          <w:color w:val="231F20"/>
        </w:rPr>
        <w:t xml:space="preserve">, the Company’s financing arrangements consist of </w:t>
      </w:r>
      <w:r>
        <w:rPr>
          <w:rFonts w:ascii="Arial" w:cs="Arial" w:eastAsia="Arial" w:hAnsi="Arial"/>
          <w:sz w:val="16"/>
          <w:szCs w:val="16"/>
          <w:color w:val="000000"/>
        </w:rPr>
        <w:t>corporate level debt, which includes Senior</w:t>
      </w:r>
      <w:r>
        <w:rPr>
          <w:rFonts w:ascii="Arial" w:cs="Arial" w:eastAsia="Arial" w:hAnsi="Arial"/>
          <w:sz w:val="16"/>
          <w:szCs w:val="16"/>
          <w:color w:val="231F20"/>
        </w:rPr>
        <w:t xml:space="preserve"> </w:t>
      </w:r>
      <w:r>
        <w:rPr>
          <w:rFonts w:ascii="Arial" w:cs="Arial" w:eastAsia="Arial" w:hAnsi="Arial"/>
          <w:sz w:val="16"/>
          <w:szCs w:val="16"/>
          <w:color w:val="000000"/>
        </w:rPr>
        <w:t>Notes, intercompany borrowings with Clearway, Inc. and the revolving credit facility, the ATM Program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i w:val="1"/>
          <w:iCs w:val="1"/>
          <w:color w:val="auto"/>
        </w:rPr>
        <w:t>Credit Ratings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September 30, 2023, the Company’s 2028 Senior Notes, 2031 Senior Notes and 2032 Senior Notes were rated BB by S&amp;P and Ba2 by Moody’s.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000000"/>
        </w:rPr>
        <w:t>;</w:t>
      </w:r>
      <w:r>
        <w:rPr>
          <w:rFonts w:ascii="Arial" w:cs="Arial" w:eastAsia="Arial" w:hAnsi="Arial"/>
          <w:sz w:val="18"/>
          <w:szCs w:val="18"/>
          <w:color w:val="231F20"/>
        </w:rPr>
        <w:t xml:space="preserve"> (ii) capital expenditures; (iii) off-balance sheet arrangements; (iv) acquisitions and investments, as described more fully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Acquisitions and Dispositions</w:t>
      </w:r>
      <w:r>
        <w:rPr>
          <w:rFonts w:ascii="Arial" w:cs="Arial" w:eastAsia="Arial" w:hAnsi="Arial"/>
          <w:sz w:val="18"/>
          <w:szCs w:val="18"/>
          <w:color w:val="231F20"/>
        </w:rPr>
        <w:t xml:space="preserve"> </w:t>
      </w:r>
      <w:r>
        <w:rPr>
          <w:rFonts w:ascii="Arial" w:cs="Arial" w:eastAsia="Arial" w:hAnsi="Arial"/>
          <w:sz w:val="18"/>
          <w:szCs w:val="18"/>
          <w:color w:val="000000"/>
        </w:rPr>
        <w:t>and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Investments Accounted for by the Equity Method and Variable Interest Entities;</w:t>
      </w:r>
      <w:r>
        <w:rPr>
          <w:rFonts w:ascii="Arial" w:cs="Arial" w:eastAsia="Arial" w:hAnsi="Arial"/>
          <w:sz w:val="18"/>
          <w:szCs w:val="18"/>
          <w:color w:val="231F20"/>
        </w:rPr>
        <w:t xml:space="preserve"> and (v) distributions.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For the nine months ended </w:t>
      </w:r>
      <w:r>
        <w:rPr>
          <w:rFonts w:ascii="Arial" w:cs="Arial" w:eastAsia="Arial" w:hAnsi="Arial"/>
          <w:sz w:val="17"/>
          <w:szCs w:val="17"/>
          <w:color w:val="000000"/>
        </w:rPr>
        <w:t>September 30, 2023</w:t>
      </w:r>
      <w:r>
        <w:rPr>
          <w:rFonts w:ascii="Arial" w:cs="Arial" w:eastAsia="Arial" w:hAnsi="Arial"/>
          <w:sz w:val="17"/>
          <w:szCs w:val="17"/>
          <w:color w:val="231F20"/>
        </w:rPr>
        <w:t xml:space="preserve">, the Company used approximately $142 million to fund capital expenditures, including growth </w:t>
      </w:r>
      <w:r>
        <w:rPr>
          <w:rFonts w:ascii="Arial" w:cs="Arial" w:eastAsia="Arial" w:hAnsi="Arial"/>
          <w:sz w:val="17"/>
          <w:szCs w:val="17"/>
          <w:color w:val="000000"/>
        </w:rPr>
        <w:t>expenditures of $120 million in the Renewables segment, funded through construction-related financing. Renewables segment capital expenditures included $95 million incurred in connection with the Daggett 3 solar project, $10 million incurred in connection with the Waiawa solar project, $7 million incurred in connection with the Daggett 2 solar project and $8 million incurred by other wind and solar projects. In addition, the Company incurred $22 million in maintenance capital expenditures. The Company estimates $35 million of maintenance expenditures for 2023. These estimates are subject to continuing review and adjustment. Actual capital expenditures may vary from these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Retained or Contingent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September 30, 2023, the Company has several investments with an ownership interest percentage of 50% or less in energy and an energy-related entity that is accounted for under the equity method. GenConn and Rosie Central BESS are variable interest entities for which the Company is not the primary beneficiary. The Company’s pro-rata share of non-recourse debt held by unconsolidated affiliates was approximately $312 million as of September 30, 2023. This indebtedness may restrict the ability of these subsidiaries to issue dividends or distributions to the Company.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Arial" w:cs="Arial" w:eastAsia="Arial" w:hAnsi="Arial"/>
          <w:sz w:val="18"/>
          <w:szCs w:val="18"/>
          <w:color w:val="231F20"/>
        </w:rPr>
        <w:t>2022</w:t>
      </w:r>
      <w:r>
        <w:rPr>
          <w:rFonts w:ascii="Arial" w:cs="Arial" w:eastAsia="Arial" w:hAnsi="Arial"/>
          <w:sz w:val="18"/>
          <w:szCs w:val="18"/>
          <w:color w:val="auto"/>
        </w:rPr>
        <w:t xml:space="preserve">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Victory Pass and Arica Drop Down </w:t>
      </w:r>
      <w:r>
        <w:rPr>
          <w:rFonts w:ascii="Arial" w:cs="Arial" w:eastAsia="Arial" w:hAnsi="Arial"/>
          <w:sz w:val="18"/>
          <w:szCs w:val="18"/>
          <w:color w:val="auto"/>
        </w:rPr>
        <w:t>— On October 31, 2023, the Company, through its indirect subsidiary, VP-Arica Parent Holdco LLC,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the Class A membership interests in VP-Arica TargetCo LLC, the indirect owner of the Victory Pass and Arica solar projects, from Clearway Renew for initial cash consideration of $46 million. At substantial completion, which is expected to occur in the first half of 2024, the Company will pay an additional $182 million to Clearway Renew. VP Arica TargetCo LLC, a partnership between the Company and a cash equity investor,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w:t>
      </w:r>
    </w:p>
    <w:p>
      <w:pPr>
        <w:spacing w:after="0" w:line="1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Daggett 2 Drop Down </w:t>
      </w:r>
      <w:r>
        <w:rPr>
          <w:rFonts w:ascii="Arial" w:cs="Arial" w:eastAsia="Arial" w:hAnsi="Arial"/>
          <w:sz w:val="17"/>
          <w:szCs w:val="17"/>
          <w:color w:val="auto"/>
        </w:rPr>
        <w:t>— On August 30, 2023, the Company, through its indirect subsidiary, Daggett Solar Investment LLC, acquired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 interests in Daggett 2 TargetCo LLC, the indirect owner of Daggett 2, from Clearway Renew for cash consideration of $13 million. Daggett 2 TargetCo LLC, a partnership between the Company and a cash equity investor, consolidates as primary beneficiary, Daggett 2 TE Holdco LLC, a tax equity fund that owns the Daggett 2 solar project. Daggett 2 has PPAs with investment-grade counterparties that have a 15-year weighted average contract duration that commence when the underlying operating assets reach commercial operations, which is expected to occur for the majority of the assets in the fourth quarter of 2023. The acquisition was funded with existing sources of liquidity. As part of the acquisition of Daggett 2, the Company assumed the project’s financing agreement, which included a construction loan that converts to a term loan upon the project reaching substantial completion, which is expected to occur in the fourth quarter of 2023, and a tax equity bridge loan that will be repaid when the project reaches substantial completion. Subsequent to the acquisition, the Company borrowed an additional $8 million in construction loans.</w:t>
      </w:r>
    </w:p>
    <w:p>
      <w:pPr>
        <w:spacing w:after="0" w:line="12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Rosie Central BESS </w:t>
      </w:r>
      <w:r>
        <w:rPr>
          <w:rFonts w:ascii="Arial" w:cs="Arial" w:eastAsia="Arial" w:hAnsi="Arial"/>
          <w:sz w:val="16"/>
          <w:szCs w:val="16"/>
          <w:color w:val="auto"/>
        </w:rPr>
        <w:t>—On June 30, 2023, the Company, through its indirect subsidiary, Rosie Class B LLC, the indirect owner of the Rosamond</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September 30, 2023, the Company’s investment consisted of $28 million contributed into Rosie Central BESS, funded through contributions from the Company and its cash equity investor in Rosie TargetCo LLC, which consolidates Rosie Class B LLC. 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The BESS project has a PPA for capacity with an investment-grade utility that has a 15-year contract duration that commences when the project reaches commercial operations, which is expected to occur in the first half of 2024.</w:t>
      </w:r>
    </w:p>
    <w:p>
      <w:pPr>
        <w:spacing w:after="0" w:line="1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30, 2023, Rosie Class B LLC amended its financing agreement. During the third quarter of 2023, Rosie Class B LLC received total loan proceeds of $235 million under the amended financing agreement. 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and matures when the project reaches substantial completion. Also, during the third quarter of 2023, the Company utilized a portion of the loan proceeds received under the financing agreement to contribute $18 million into Rosie Central BESS, which is an investment accounted for under the equity method of accounting.</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Waiawa Drop Down </w:t>
      </w:r>
      <w:r>
        <w:rPr>
          <w:rFonts w:ascii="Arial" w:cs="Arial" w:eastAsia="Arial" w:hAnsi="Arial"/>
          <w:sz w:val="18"/>
          <w:szCs w:val="18"/>
          <w:color w:val="auto"/>
        </w:rPr>
        <w:t>— In connection with the 2022 Drop Down of Waiawa, the Company assumed the project’s financing agreement,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a construction loan that converted to a term loan on March 30, 2023 upon the project reaching substantial completion and a tax equity bridge loan that was repaid on March 30,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in Daggett TargetCo LLC, the indirect owner of the Daggett 3 solar project, from Clearway Renew for cash consideration of $21 million and then contributed its Class A membership interests into Daggett Renewable Holdco LLC, a partnership between the Company and a cash equity investor, that consolidates Daggett TargetCo LLC. Daggett TargetCo LLC consolidates as primary beneficiary, Daggett TE Holdco LLC, a tax equity fund that owns the Daggett 3 solar project. Daggett 3 has PPAs with investment-grade counterparties that have a 15-year weighted average contract duration that commence when the underlying assets reach commercial operations, which occurred for the majority of the assets during the third quarter of 2023. The acquisition was funded with existing sources of liquidity. As part of the acquisition, the Company assumed the project’s financing agreement, which included a construction loan that converts to a term loan upon the project reaching substantial completion, which is expected to occur in the fourth quarter of 2023, a tax equity bridge loan that will be repaid when the project reaches substantial completion and a sponsor equity bridge loan that was repaid at acquisition date. Subsequent to the acquisition, the Company borrowed an additional $36 million in construction loans. CEG also funded an additional $53 million in project completion costs subsequent to the acquisition, which was repaid to CEG in October 2023.</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Inc. and CEG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2023</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2023</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1, 2023, the Company declared a distribution on its Class A, Class B, Class C and Class D units of $0.3964 per unit payable on December 15, 2023 to unit holders of record as of December 1,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reflect the changes in cash flows for the comparative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92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9"/>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94"/>
        </w:trPr>
        <w:tc>
          <w:tcPr>
            <w:tcW w:w="7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c>
          <w:tcPr>
            <w:tcW w:w="80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(271)</w:t>
            </w: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0" w:type="dxa"/>
            <w:vAlign w:val="bottom"/>
            <w:shd w:val="clear" w:color="auto" w:fill="CCEEFF"/>
          </w:tcPr>
          <w:p>
            <w:pPr>
              <w:spacing w:after="0"/>
              <w:rPr>
                <w:sz w:val="19"/>
                <w:szCs w:val="19"/>
                <w:color w:val="auto"/>
              </w:rPr>
            </w:pPr>
          </w:p>
        </w:tc>
      </w:tr>
      <w:tr>
        <w:trPr>
          <w:trHeight w:val="473"/>
        </w:trPr>
        <w:tc>
          <w:tcPr>
            <w:tcW w:w="71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(In millions)</w:t>
            </w:r>
          </w:p>
        </w:tc>
      </w:tr>
      <w:tr>
        <w:trPr>
          <w:trHeight w:val="223"/>
        </w:trPr>
        <w:tc>
          <w:tcPr>
            <w:tcW w:w="9340" w:type="dxa"/>
            <w:vAlign w:val="bottom"/>
            <w:tcBorders>
              <w:top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w w:val="92"/>
              </w:rPr>
              <w:t>Increase in working capital primarily driven by the timing of accounts receivable collections and payments of current liabilities</w:t>
            </w:r>
          </w:p>
        </w:tc>
        <w:tc>
          <w:tcPr>
            <w:tcW w:w="6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operating income adjusted for non-cash items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distributions from unconsolidated affiliates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1"/>
              </w:rPr>
              <w:t>Transaction expenses paid on May 1, 2022 in connection with the sale of the Thermal Business</w:t>
            </w:r>
          </w:p>
        </w:tc>
        <w:tc>
          <w:tcPr>
            <w:tcW w:w="8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ectPr>
          <w:pgSz w:w="11900" w:h="16838" w:orient="portrait"/>
          <w:cols w:equalWidth="0" w:num="1">
            <w:col w:w="11240"/>
          </w:cols>
          <w:pgMar w:left="320" w:top="891"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the sale of the Thermal Business in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note receivable —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capital expenditures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of the Capistrano Wind Portfolio in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cash acquired from Drop Down Assets, net of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the return of investment from unconsolidated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long-term debt, net of proceeds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Increase in contributions from noncontrolling interests and CEG,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062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the revolving credit facility, net of proceeds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tax-related distributions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distributions paid to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92"/>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692" w:hanging="692"/>
        <w:spacing w:after="0"/>
        <w:tabs>
          <w:tab w:leader="none" w:pos="692" w:val="left"/>
        </w:tabs>
        <w:numPr>
          <w:ilvl w:val="0"/>
          <w:numId w:val="36"/>
        </w:numPr>
        <w:rPr>
          <w:rFonts w:ascii="Arial" w:cs="Arial" w:eastAsia="Arial" w:hAnsi="Arial"/>
          <w:sz w:val="17"/>
          <w:szCs w:val="17"/>
          <w:color w:val="auto"/>
        </w:rPr>
      </w:pPr>
      <w:r>
        <w:rPr>
          <w:rFonts w:ascii="Arial" w:cs="Arial" w:eastAsia="Arial" w:hAnsi="Arial"/>
          <w:sz w:val="17"/>
          <w:szCs w:val="17"/>
          <w:color w:val="auto"/>
        </w:rPr>
        <w:t>(1,457)</w:t>
      </w:r>
    </w:p>
    <w:p>
      <w:pPr>
        <w:spacing w:after="0" w:line="34" w:lineRule="exact"/>
        <w:rPr>
          <w:rFonts w:ascii="Arial" w:cs="Arial" w:eastAsia="Arial" w:hAnsi="Arial"/>
          <w:sz w:val="17"/>
          <w:szCs w:val="17"/>
          <w:color w:val="auto"/>
        </w:rPr>
      </w:pPr>
    </w:p>
    <w:p>
      <w:pPr>
        <w:ind w:left="832"/>
        <w:spacing w:after="0"/>
        <w:rPr>
          <w:rFonts w:ascii="Arial" w:cs="Arial" w:eastAsia="Arial" w:hAnsi="Arial"/>
          <w:sz w:val="17"/>
          <w:szCs w:val="17"/>
          <w:color w:val="auto"/>
        </w:rPr>
      </w:pPr>
      <w:r>
        <w:rPr>
          <w:rFonts w:ascii="Arial" w:cs="Arial" w:eastAsia="Arial" w:hAnsi="Arial"/>
          <w:sz w:val="17"/>
          <w:szCs w:val="17"/>
          <w:color w:val="auto"/>
        </w:rPr>
        <w:t>(215)</w:t>
      </w:r>
    </w:p>
    <w:p>
      <w:pPr>
        <w:spacing w:after="0" w:line="34" w:lineRule="exact"/>
        <w:rPr>
          <w:rFonts w:ascii="Arial" w:cs="Arial" w:eastAsia="Arial" w:hAnsi="Arial"/>
          <w:sz w:val="17"/>
          <w:szCs w:val="17"/>
          <w:color w:val="auto"/>
        </w:rPr>
      </w:pPr>
    </w:p>
    <w:p>
      <w:pPr>
        <w:ind w:left="932"/>
        <w:spacing w:after="0"/>
        <w:rPr>
          <w:rFonts w:ascii="Arial" w:cs="Arial" w:eastAsia="Arial" w:hAnsi="Arial"/>
          <w:sz w:val="17"/>
          <w:szCs w:val="17"/>
          <w:color w:val="auto"/>
        </w:rPr>
      </w:pPr>
      <w:r>
        <w:rPr>
          <w:rFonts w:ascii="Arial" w:cs="Arial" w:eastAsia="Arial" w:hAnsi="Arial"/>
          <w:sz w:val="16"/>
          <w:szCs w:val="16"/>
          <w:color w:val="auto"/>
        </w:rPr>
        <w:t>(48)</w:t>
      </w:r>
    </w:p>
    <w:p>
      <w:pPr>
        <w:spacing w:after="0" w:line="45" w:lineRule="exact"/>
        <w:rPr>
          <w:rFonts w:ascii="Arial" w:cs="Arial" w:eastAsia="Arial" w:hAnsi="Arial"/>
          <w:sz w:val="17"/>
          <w:szCs w:val="17"/>
          <w:color w:val="auto"/>
        </w:rPr>
      </w:pPr>
    </w:p>
    <w:p>
      <w:pPr>
        <w:ind w:left="932"/>
        <w:spacing w:after="0"/>
        <w:rPr>
          <w:rFonts w:ascii="Arial" w:cs="Arial" w:eastAsia="Arial" w:hAnsi="Arial"/>
          <w:sz w:val="17"/>
          <w:szCs w:val="17"/>
          <w:color w:val="auto"/>
        </w:rPr>
      </w:pPr>
      <w:r>
        <w:rPr>
          <w:rFonts w:ascii="Arial" w:cs="Arial" w:eastAsia="Arial" w:hAnsi="Arial"/>
          <w:sz w:val="16"/>
          <w:szCs w:val="16"/>
          <w:color w:val="auto"/>
        </w:rPr>
        <w:t>(28)</w:t>
      </w:r>
    </w:p>
    <w:p>
      <w:pPr>
        <w:spacing w:after="0" w:line="45" w:lineRule="exact"/>
        <w:rPr>
          <w:rFonts w:ascii="Arial" w:cs="Arial" w:eastAsia="Arial" w:hAnsi="Arial"/>
          <w:sz w:val="17"/>
          <w:szCs w:val="17"/>
          <w:color w:val="auto"/>
        </w:rPr>
      </w:pPr>
    </w:p>
    <w:p>
      <w:pPr>
        <w:ind w:left="912"/>
        <w:spacing w:after="0"/>
        <w:rPr>
          <w:rFonts w:ascii="Arial" w:cs="Arial" w:eastAsia="Arial" w:hAnsi="Arial"/>
          <w:sz w:val="17"/>
          <w:szCs w:val="17"/>
          <w:color w:val="auto"/>
        </w:rPr>
      </w:pPr>
      <w:r>
        <w:rPr>
          <w:rFonts w:ascii="Arial" w:cs="Arial" w:eastAsia="Arial" w:hAnsi="Arial"/>
          <w:sz w:val="18"/>
          <w:szCs w:val="18"/>
          <w:color w:val="auto"/>
        </w:rPr>
        <w:t>223</w:t>
      </w:r>
    </w:p>
    <w:p>
      <w:pPr>
        <w:spacing w:after="0" w:line="22" w:lineRule="exact"/>
        <w:rPr>
          <w:rFonts w:ascii="Arial" w:cs="Arial" w:eastAsia="Arial" w:hAnsi="Arial"/>
          <w:sz w:val="17"/>
          <w:szCs w:val="17"/>
          <w:color w:val="auto"/>
        </w:rPr>
      </w:pPr>
    </w:p>
    <w:p>
      <w:pPr>
        <w:ind w:left="912"/>
        <w:spacing w:after="0"/>
        <w:rPr>
          <w:rFonts w:ascii="Arial" w:cs="Arial" w:eastAsia="Arial" w:hAnsi="Arial"/>
          <w:sz w:val="17"/>
          <w:szCs w:val="17"/>
          <w:color w:val="auto"/>
        </w:rPr>
      </w:pPr>
      <w:r>
        <w:rPr>
          <w:rFonts w:ascii="Arial" w:cs="Arial" w:eastAsia="Arial" w:hAnsi="Arial"/>
          <w:sz w:val="18"/>
          <w:szCs w:val="18"/>
          <w:color w:val="auto"/>
        </w:rPr>
        <w:t>151</w:t>
      </w:r>
    </w:p>
    <w:p>
      <w:pPr>
        <w:spacing w:after="0" w:line="22" w:lineRule="exact"/>
        <w:rPr>
          <w:rFonts w:ascii="Arial" w:cs="Arial" w:eastAsia="Arial" w:hAnsi="Arial"/>
          <w:sz w:val="17"/>
          <w:szCs w:val="17"/>
          <w:color w:val="auto"/>
        </w:rPr>
      </w:pPr>
    </w:p>
    <w:p>
      <w:pPr>
        <w:ind w:left="1092"/>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2" w:lineRule="exact"/>
        <w:rPr>
          <w:rFonts w:ascii="Arial" w:cs="Arial" w:eastAsia="Arial" w:hAnsi="Arial"/>
          <w:sz w:val="17"/>
          <w:szCs w:val="17"/>
          <w:color w:val="auto"/>
        </w:rPr>
      </w:pPr>
    </w:p>
    <w:p>
      <w:pPr>
        <w:ind w:left="1092"/>
        <w:spacing w:after="0"/>
        <w:rPr>
          <w:rFonts w:ascii="Arial" w:cs="Arial" w:eastAsia="Arial" w:hAnsi="Arial"/>
          <w:sz w:val="17"/>
          <w:szCs w:val="17"/>
          <w:color w:val="auto"/>
        </w:rPr>
      </w:pPr>
      <w:r>
        <w:rPr>
          <w:rFonts w:ascii="Arial" w:cs="Arial" w:eastAsia="Arial" w:hAnsi="Arial"/>
          <w:sz w:val="18"/>
          <w:szCs w:val="18"/>
          <w:color w:val="auto"/>
        </w:rPr>
        <w:t>1</w:t>
      </w:r>
    </w:p>
    <w:p>
      <w:pPr>
        <w:spacing w:after="0" w:line="35" w:lineRule="exact"/>
        <w:rPr>
          <w:sz w:val="20"/>
          <w:szCs w:val="20"/>
          <w:color w:val="auto"/>
        </w:rPr>
      </w:pPr>
    </w:p>
    <w:p>
      <w:pPr>
        <w:ind w:left="692" w:hanging="692"/>
        <w:spacing w:after="0"/>
        <w:tabs>
          <w:tab w:leader="none" w:pos="692" w:val="left"/>
        </w:tabs>
        <w:numPr>
          <w:ilvl w:val="0"/>
          <w:numId w:val="37"/>
        </w:numPr>
        <w:rPr>
          <w:rFonts w:ascii="Arial" w:cs="Arial" w:eastAsia="Arial" w:hAnsi="Arial"/>
          <w:sz w:val="17"/>
          <w:szCs w:val="17"/>
          <w:color w:val="auto"/>
        </w:rPr>
      </w:pPr>
      <w:r>
        <w:rPr>
          <w:rFonts w:ascii="Arial" w:cs="Arial" w:eastAsia="Arial" w:hAnsi="Arial"/>
          <w:sz w:val="17"/>
          <w:szCs w:val="17"/>
          <w:color w:val="auto"/>
        </w:rPr>
        <w:t>(1,371)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8058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2"/>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912" w:hanging="912"/>
        <w:spacing w:after="0"/>
        <w:tabs>
          <w:tab w:leader="none" w:pos="9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554</w:t>
      </w:r>
    </w:p>
    <w:p>
      <w:pPr>
        <w:spacing w:after="0" w:line="23"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308</w:t>
      </w:r>
    </w:p>
    <w:p>
      <w:pPr>
        <w:spacing w:after="0" w:line="22"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245</w:t>
      </w:r>
    </w:p>
    <w:p>
      <w:pPr>
        <w:spacing w:after="0" w:line="22"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2" w:lineRule="exact"/>
        <w:rPr>
          <w:rFonts w:ascii="Arial" w:cs="Arial" w:eastAsia="Arial" w:hAnsi="Arial"/>
          <w:sz w:val="18"/>
          <w:szCs w:val="18"/>
          <w:color w:val="auto"/>
        </w:rPr>
      </w:pPr>
    </w:p>
    <w:p>
      <w:pPr>
        <w:ind w:left="932"/>
        <w:spacing w:after="0"/>
        <w:rPr>
          <w:rFonts w:ascii="Arial" w:cs="Arial" w:eastAsia="Arial" w:hAnsi="Arial"/>
          <w:sz w:val="18"/>
          <w:szCs w:val="18"/>
          <w:color w:val="auto"/>
        </w:rPr>
      </w:pPr>
      <w:r>
        <w:rPr>
          <w:rFonts w:ascii="Arial" w:cs="Arial" w:eastAsia="Arial" w:hAnsi="Arial"/>
          <w:sz w:val="16"/>
          <w:szCs w:val="16"/>
          <w:color w:val="auto"/>
        </w:rPr>
        <w:t>(31)</w:t>
      </w:r>
    </w:p>
    <w:p>
      <w:pPr>
        <w:spacing w:after="0" w:line="45" w:lineRule="exact"/>
        <w:rPr>
          <w:rFonts w:ascii="Arial" w:cs="Arial" w:eastAsia="Arial" w:hAnsi="Arial"/>
          <w:sz w:val="18"/>
          <w:szCs w:val="18"/>
          <w:color w:val="auto"/>
        </w:rPr>
      </w:pPr>
    </w:p>
    <w:p>
      <w:pPr>
        <w:ind w:left="932"/>
        <w:spacing w:after="0"/>
        <w:rPr>
          <w:rFonts w:ascii="Arial" w:cs="Arial" w:eastAsia="Arial" w:hAnsi="Arial"/>
          <w:sz w:val="18"/>
          <w:szCs w:val="18"/>
          <w:color w:val="auto"/>
        </w:rPr>
      </w:pPr>
      <w:r>
        <w:rPr>
          <w:rFonts w:ascii="Arial" w:cs="Arial" w:eastAsia="Arial" w:hAnsi="Arial"/>
          <w:sz w:val="16"/>
          <w:szCs w:val="16"/>
          <w:color w:val="auto"/>
        </w:rPr>
        <w:t>(17)</w:t>
      </w:r>
    </w:p>
    <w:p>
      <w:pPr>
        <w:spacing w:after="0" w:line="45" w:lineRule="exact"/>
        <w:rPr>
          <w:rFonts w:ascii="Arial" w:cs="Arial" w:eastAsia="Arial" w:hAnsi="Arial"/>
          <w:sz w:val="18"/>
          <w:szCs w:val="18"/>
          <w:color w:val="auto"/>
        </w:rPr>
      </w:pPr>
    </w:p>
    <w:p>
      <w:pPr>
        <w:ind w:left="1012"/>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5" w:lineRule="exact"/>
        <w:rPr>
          <w:sz w:val="20"/>
          <w:szCs w:val="20"/>
          <w:color w:val="auto"/>
        </w:rPr>
      </w:pPr>
    </w:p>
    <w:p>
      <w:pPr>
        <w:ind w:left="772" w:hanging="772"/>
        <w:spacing w:after="0"/>
        <w:tabs>
          <w:tab w:leader="none" w:pos="7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058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8" w:space="720"/>
            <w:col w:w="1292"/>
          </w:cols>
          <w:pgMar w:left="320" w:top="89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9" w:name="page50"/>
    <w:bookmarkEnd w:id="49"/>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2023</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2023</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3"/>
          </w:tcPr>
          <w:p>
            <w:pPr>
              <w:ind w:left="10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September 30, 2023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Fair value of contracts as of September 30, 2023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3"/>
                <w:szCs w:val="13"/>
                <w:color w:val="auto"/>
              </w:rPr>
            </w:pPr>
          </w:p>
        </w:tc>
        <w:tc>
          <w:tcPr>
            <w:tcW w:w="1260" w:type="dxa"/>
            <w:vAlign w:val="bottom"/>
            <w:gridSpan w:val="3"/>
          </w:tcPr>
          <w:p>
            <w:pPr>
              <w:jc w:val="right"/>
              <w:ind w:right="360"/>
              <w:spacing w:after="0" w:line="153" w:lineRule="exact"/>
              <w:rPr>
                <w:sz w:val="20"/>
                <w:szCs w:val="20"/>
                <w:color w:val="auto"/>
              </w:rPr>
            </w:pPr>
            <w:r>
              <w:rPr>
                <w:rFonts w:ascii="Arial" w:cs="Arial" w:eastAsia="Arial" w:hAnsi="Arial"/>
                <w:sz w:val="14"/>
                <w:szCs w:val="14"/>
                <w:b w:val="1"/>
                <w:bCs w:val="1"/>
                <w:color w:val="auto"/>
              </w:rPr>
              <w:t>Greater Than</w:t>
            </w: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2"/>
                <w:szCs w:val="12"/>
                <w:color w:val="auto"/>
              </w:rPr>
            </w:pPr>
          </w:p>
        </w:tc>
        <w:tc>
          <w:tcPr>
            <w:tcW w:w="1260" w:type="dxa"/>
            <w:vAlign w:val="bottom"/>
            <w:gridSpan w:val="3"/>
          </w:tcPr>
          <w:p>
            <w:pPr>
              <w:jc w:val="right"/>
              <w:ind w:right="560"/>
              <w:spacing w:after="0" w:line="125" w:lineRule="exact"/>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89"/>
              </w:rPr>
              <w:t>47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99"/>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3"/>
              </w:rPr>
              <w:t>(93)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9"/>
              <w:spacing w:after="0"/>
              <w:rPr>
                <w:sz w:val="20"/>
                <w:szCs w:val="20"/>
                <w:color w:val="auto"/>
              </w:rPr>
            </w:pPr>
            <w:r>
              <w:rPr>
                <w:rFonts w:ascii="Arial" w:cs="Arial" w:eastAsia="Arial" w:hAnsi="Arial"/>
                <w:sz w:val="18"/>
                <w:szCs w:val="18"/>
                <w:color w:val="auto"/>
                <w:w w:val="93"/>
              </w:rPr>
              <w:t>(76)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3"/>
              </w:rPr>
              <w:t>(46)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8"/>
                <w:szCs w:val="18"/>
                <w:color w:val="auto"/>
                <w:w w:val="93"/>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The Company has elected to disclose derivative assets and liabilities on a trade-by-trade basis and does not offset amounts at the counterparty master agreement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 an</w:t>
      </w:r>
      <w:r>
        <w:rPr>
          <w:rFonts w:ascii="Arial" w:cs="Arial" w:eastAsia="Arial" w:hAnsi="Arial"/>
          <w:sz w:val="18"/>
          <w:szCs w:val="18"/>
          <w:color w:val="231F20"/>
        </w:rPr>
        <w:t xml:space="preserve"> </w:t>
      </w:r>
      <w:r>
        <w:rPr>
          <w:rFonts w:ascii="Arial" w:cs="Arial" w:eastAsia="Arial" w:hAnsi="Arial"/>
          <w:sz w:val="18"/>
          <w:szCs w:val="18"/>
          <w:color w:val="000000"/>
        </w:rPr>
        <w:t xml:space="preserve">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2022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Based on a sensitivity analysis using simplified assumptions, the impact of a $0.50 per MWh increase or decrease in power prices across the term of the derivatives contracts would cause a change of approximately $6 million to the net value of power derivatives as of September 30,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2022 included in the 2022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2023</w:t>
      </w:r>
      <w:r>
        <w:rPr>
          <w:rFonts w:ascii="Arial" w:cs="Arial" w:eastAsia="Arial" w:hAnsi="Arial"/>
          <w:sz w:val="18"/>
          <w:szCs w:val="18"/>
          <w:color w:val="231F20"/>
        </w:rPr>
        <w:t xml:space="preserve">, the counterparties would have owed the Company </w:t>
      </w:r>
      <w:r>
        <w:rPr>
          <w:rFonts w:ascii="Arial" w:cs="Arial" w:eastAsia="Arial" w:hAnsi="Arial"/>
          <w:sz w:val="18"/>
          <w:szCs w:val="18"/>
          <w:color w:val="000000"/>
        </w:rPr>
        <w:t>$190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September 30, 2023</w:t>
      </w:r>
      <w:r>
        <w:rPr>
          <w:rFonts w:ascii="Arial" w:cs="Arial" w:eastAsia="Arial" w:hAnsi="Arial"/>
          <w:sz w:val="18"/>
          <w:szCs w:val="18"/>
          <w:color w:val="231F20"/>
        </w:rPr>
        <w:t>, a change of 1%, or 100 basis points, in interest rates would result in an approximately $3 million change in market interest expense on</w:t>
      </w:r>
      <w:r>
        <w:rPr>
          <w:rFonts w:ascii="Arial" w:cs="Arial" w:eastAsia="Arial" w:hAnsi="Arial"/>
          <w:sz w:val="18"/>
          <w:szCs w:val="18"/>
          <w:color w:val="000000"/>
        </w:rPr>
        <w:t xml:space="preserve"> </w:t>
      </w:r>
      <w:r>
        <w:rPr>
          <w:rFonts w:ascii="Arial" w:cs="Arial" w:eastAsia="Arial" w:hAnsi="Arial"/>
          <w:sz w:val="18"/>
          <w:szCs w:val="18"/>
          <w:color w:val="231F20"/>
        </w:rPr>
        <w:t>a rolling twelve-month basis.</w:t>
      </w:r>
    </w:p>
    <w:p>
      <w:pPr>
        <w:spacing w:after="0" w:line="13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September 30, 2023</w:t>
      </w:r>
      <w:r>
        <w:rPr>
          <w:rFonts w:ascii="Arial" w:cs="Arial" w:eastAsia="Arial" w:hAnsi="Arial"/>
          <w:sz w:val="16"/>
          <w:szCs w:val="16"/>
          <w:color w:val="231F20"/>
        </w:rPr>
        <w:t>, the fair value of the Company’s debt was $6.53 billion and the carrying value was $7.58 billion. The Company estimates that a decrease of 1%, or 100 basis points, in market interest rates would have increased the fair value of its long-term debt by approximately $312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September 30, 2023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2023, see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2022 Form 10-K. There have been no material changes in the Company’s risk factors since those reported in its 2022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 EXHIBITS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78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Method of Filing</w:t>
            </w:r>
          </w:p>
        </w:tc>
      </w:tr>
      <w:tr>
        <w:trPr>
          <w:trHeight w:val="195"/>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40" w:type="dxa"/>
            <w:vAlign w:val="bottom"/>
          </w:tcPr>
          <w:p>
            <w:pPr>
              <w:spacing w:after="0"/>
              <w:rPr>
                <w:sz w:val="16"/>
                <w:szCs w:val="16"/>
                <w:color w:val="auto"/>
              </w:rPr>
            </w:pPr>
          </w:p>
        </w:tc>
        <w:tc>
          <w:tcPr>
            <w:tcW w:w="40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2"/>
              </w:rPr>
              <w:t>Rule 13a-14(a)/15d-14(a) certification of Christopher S. Sotos.</w:t>
            </w:r>
          </w:p>
        </w:tc>
        <w:tc>
          <w:tcPr>
            <w:tcW w:w="1700" w:type="dxa"/>
            <w:vAlign w:val="bottom"/>
          </w:tcPr>
          <w:p>
            <w:pPr>
              <w:spacing w:after="0"/>
              <w:rPr>
                <w:sz w:val="16"/>
                <w:szCs w:val="16"/>
                <w:color w:val="auto"/>
              </w:rPr>
            </w:pPr>
          </w:p>
        </w:tc>
        <w:tc>
          <w:tcPr>
            <w:tcW w:w="1540" w:type="dxa"/>
            <w:vAlign w:val="bottom"/>
          </w:tcPr>
          <w:p>
            <w:pPr>
              <w:ind w:left="100"/>
              <w:spacing w:after="0" w:line="195" w:lineRule="exact"/>
              <w:rPr>
                <w:sz w:val="20"/>
                <w:szCs w:val="20"/>
                <w:color w:val="auto"/>
              </w:rPr>
            </w:pPr>
            <w:r>
              <w:rPr>
                <w:rFonts w:ascii="Arial" w:cs="Arial" w:eastAsia="Arial" w:hAnsi="Arial"/>
                <w:sz w:val="18"/>
                <w:szCs w:val="18"/>
                <w:color w:val="auto"/>
              </w:rPr>
              <w:t>Filed herewith.</w:t>
            </w:r>
          </w:p>
        </w:tc>
      </w:tr>
      <w:tr>
        <w:trPr>
          <w:trHeight w:val="21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40" w:type="dxa"/>
            <w:vAlign w:val="bottom"/>
          </w:tcPr>
          <w:p>
            <w:pPr>
              <w:spacing w:after="0"/>
              <w:rPr>
                <w:sz w:val="18"/>
                <w:szCs w:val="18"/>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1"/>
              </w:rPr>
              <w:t>Rule 13a-14(a)/15d-14(a) certification of Sarah Rubenstein.</w:t>
            </w:r>
          </w:p>
        </w:tc>
        <w:tc>
          <w:tcPr>
            <w:tcW w:w="1900" w:type="dxa"/>
            <w:vAlign w:val="bottom"/>
            <w:gridSpan w:val="2"/>
          </w:tcPr>
          <w:p>
            <w:pPr>
              <w:spacing w:after="0"/>
              <w:rPr>
                <w:sz w:val="18"/>
                <w:szCs w:val="18"/>
                <w:color w:val="auto"/>
              </w:rPr>
            </w:pPr>
          </w:p>
        </w:tc>
        <w:tc>
          <w:tcPr>
            <w:tcW w:w="15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09"/>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4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6"/>
                <w:szCs w:val="16"/>
                <w:color w:val="0000FF"/>
              </w:rPr>
              <w:t>Section 1350 Certification.</w:t>
            </w:r>
          </w:p>
        </w:tc>
        <w:tc>
          <w:tcPr>
            <w:tcW w:w="1540" w:type="dxa"/>
            <w:vAlign w:val="bottom"/>
          </w:tcPr>
          <w:p>
            <w:pPr>
              <w:ind w:left="100"/>
              <w:spacing w:after="0"/>
              <w:rPr>
                <w:sz w:val="20"/>
                <w:szCs w:val="20"/>
                <w:color w:val="auto"/>
              </w:rPr>
            </w:pPr>
            <w:r>
              <w:rPr>
                <w:rFonts w:ascii="Arial" w:cs="Arial" w:eastAsia="Arial" w:hAnsi="Arial"/>
                <w:sz w:val="18"/>
                <w:szCs w:val="18"/>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INS</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Instance Document.</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SCH</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CAL</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DEF</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LAB</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PRE</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72"/>
        </w:trPr>
        <w:tc>
          <w:tcPr>
            <w:tcW w:w="280" w:type="dxa"/>
            <w:vAlign w:val="bottom"/>
          </w:tcPr>
          <w:p>
            <w:pPr>
              <w:spacing w:after="0" w:line="171" w:lineRule="exact"/>
              <w:rPr>
                <w:sz w:val="20"/>
                <w:szCs w:val="20"/>
                <w:color w:val="auto"/>
              </w:rPr>
            </w:pPr>
            <w:r>
              <w:rPr>
                <w:rFonts w:ascii="Arial" w:cs="Arial" w:eastAsia="Arial" w:hAnsi="Arial"/>
                <w:sz w:val="16"/>
                <w:szCs w:val="16"/>
                <w:color w:val="auto"/>
                <w:w w:val="97"/>
              </w:rPr>
              <w:t>104</w:t>
            </w:r>
          </w:p>
        </w:tc>
        <w:tc>
          <w:tcPr>
            <w:tcW w:w="740" w:type="dxa"/>
            <w:vAlign w:val="bottom"/>
          </w:tcPr>
          <w:p>
            <w:pPr>
              <w:spacing w:after="0"/>
              <w:rPr>
                <w:sz w:val="14"/>
                <w:szCs w:val="14"/>
                <w:color w:val="auto"/>
              </w:rPr>
            </w:pPr>
          </w:p>
        </w:tc>
        <w:tc>
          <w:tcPr>
            <w:tcW w:w="5780" w:type="dxa"/>
            <w:vAlign w:val="bottom"/>
            <w:gridSpan w:val="4"/>
          </w:tcPr>
          <w:p>
            <w:pPr>
              <w:spacing w:after="0" w:line="171" w:lineRule="exact"/>
              <w:rPr>
                <w:sz w:val="20"/>
                <w:szCs w:val="20"/>
                <w:color w:val="auto"/>
              </w:rPr>
            </w:pPr>
            <w:r>
              <w:rPr>
                <w:rFonts w:ascii="Arial" w:cs="Arial" w:eastAsia="Arial" w:hAnsi="Arial"/>
                <w:sz w:val="16"/>
                <w:szCs w:val="16"/>
                <w:color w:val="auto"/>
                <w:w w:val="92"/>
              </w:rPr>
              <w:t>Cover Page Interactive Data File (the cover page interactive data file does not appear in</w:t>
            </w:r>
          </w:p>
        </w:tc>
        <w:tc>
          <w:tcPr>
            <w:tcW w:w="1540" w:type="dxa"/>
            <w:vAlign w:val="bottom"/>
          </w:tcPr>
          <w:p>
            <w:pPr>
              <w:ind w:left="100"/>
              <w:spacing w:after="0" w:line="171" w:lineRule="exact"/>
              <w:rPr>
                <w:sz w:val="20"/>
                <w:szCs w:val="20"/>
                <w:color w:val="auto"/>
              </w:rPr>
            </w:pPr>
            <w:r>
              <w:rPr>
                <w:rFonts w:ascii="Arial" w:cs="Arial" w:eastAsia="Arial" w:hAnsi="Arial"/>
                <w:sz w:val="16"/>
                <w:szCs w:val="16"/>
                <w:color w:val="auto"/>
              </w:rPr>
              <w:t>Filed herewith.</w:t>
            </w:r>
          </w:p>
        </w:tc>
      </w:tr>
      <w:tr>
        <w:trPr>
          <w:trHeight w:val="162"/>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gridSpan w:val="4"/>
          </w:tcPr>
          <w:p>
            <w:pPr>
              <w:spacing w:after="0" w:line="162" w:lineRule="exact"/>
              <w:rPr>
                <w:sz w:val="20"/>
                <w:szCs w:val="20"/>
                <w:color w:val="auto"/>
              </w:rPr>
            </w:pPr>
            <w:r>
              <w:rPr>
                <w:rFonts w:ascii="Arial" w:cs="Arial" w:eastAsia="Arial" w:hAnsi="Arial"/>
                <w:sz w:val="16"/>
                <w:szCs w:val="16"/>
                <w:color w:val="auto"/>
              </w:rPr>
              <w:t>Exhibit 104 because its Inline XBRL tags are embedded within the Inline XBRL</w:t>
            </w:r>
          </w:p>
        </w:tc>
        <w:tc>
          <w:tcPr>
            <w:tcW w:w="1540" w:type="dxa"/>
            <w:vAlign w:val="bottom"/>
          </w:tcPr>
          <w:p>
            <w:pPr>
              <w:spacing w:after="0"/>
              <w:rPr>
                <w:sz w:val="14"/>
                <w:szCs w:val="14"/>
                <w:color w:val="auto"/>
              </w:rPr>
            </w:pPr>
          </w:p>
        </w:tc>
      </w:tr>
      <w:tr>
        <w:trPr>
          <w:trHeight w:val="206"/>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8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CLEARWAY ENERGY LLC</w:t>
      </w:r>
    </w:p>
    <w:p>
      <w:pPr>
        <w:ind w:left="676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02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8"/>
        </w:trPr>
        <w:tc>
          <w:tcPr>
            <w:tcW w:w="6620" w:type="dxa"/>
            <w:vAlign w:val="bottom"/>
          </w:tcPr>
          <w:p>
            <w:pPr>
              <w:spacing w:after="0"/>
              <w:rPr>
                <w:sz w:val="16"/>
                <w:szCs w:val="16"/>
                <w:color w:val="auto"/>
              </w:rPr>
            </w:pPr>
          </w:p>
        </w:tc>
        <w:tc>
          <w:tcPr>
            <w:tcW w:w="442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Officer</w:t>
            </w:r>
          </w:p>
        </w:tc>
        <w:tc>
          <w:tcPr>
            <w:tcW w:w="0" w:type="dxa"/>
            <w:vAlign w:val="bottom"/>
          </w:tcPr>
          <w:p>
            <w:pPr>
              <w:spacing w:after="0"/>
              <w:rPr>
                <w:sz w:val="1"/>
                <w:szCs w:val="1"/>
                <w:color w:val="auto"/>
              </w:rPr>
            </w:pPr>
          </w:p>
        </w:tc>
      </w:tr>
      <w:tr>
        <w:trPr>
          <w:trHeight w:val="176"/>
        </w:trPr>
        <w:tc>
          <w:tcPr>
            <w:tcW w:w="6620" w:type="dxa"/>
            <w:vAlign w:val="bottom"/>
            <w:vMerge w:val="restart"/>
          </w:tcPr>
          <w:p>
            <w:pPr>
              <w:spacing w:after="0"/>
              <w:rPr>
                <w:sz w:val="20"/>
                <w:szCs w:val="20"/>
                <w:color w:val="auto"/>
              </w:rPr>
            </w:pPr>
            <w:r>
              <w:rPr>
                <w:rFonts w:ascii="Arial" w:cs="Arial" w:eastAsia="Arial" w:hAnsi="Arial"/>
                <w:sz w:val="18"/>
                <w:szCs w:val="18"/>
                <w:color w:val="auto"/>
              </w:rPr>
              <w:t>Date: November 2, 2023</w:t>
            </w:r>
          </w:p>
        </w:tc>
        <w:tc>
          <w:tcPr>
            <w:tcW w:w="44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0"/>
        </w:trPr>
        <w:tc>
          <w:tcPr>
            <w:tcW w:w="6620" w:type="dxa"/>
            <w:vAlign w:val="bottom"/>
            <w:vMerge w:val="continue"/>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891"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774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Christopher S. Sotos</w:t>
      </w:r>
    </w:p>
    <w:p>
      <w:pPr>
        <w:ind w:left="7240"/>
        <w:spacing w:after="0" w:line="203" w:lineRule="auto"/>
        <w:rPr>
          <w:sz w:val="20"/>
          <w:szCs w:val="20"/>
          <w:color w:val="auto"/>
        </w:rPr>
      </w:pPr>
      <w:r>
        <w:rPr>
          <w:rFonts w:ascii="Arial" w:cs="Arial" w:eastAsia="Arial" w:hAnsi="Arial"/>
          <w:sz w:val="18"/>
          <w:szCs w:val="18"/>
          <w:i w:val="1"/>
          <w:iCs w:val="1"/>
          <w:color w:val="auto"/>
        </w:rPr>
        <w:t>President and Chief Executive Officer</w:t>
      </w:r>
    </w:p>
    <w:p>
      <w:pPr>
        <w:ind w:left="7240"/>
        <w:spacing w:after="0"/>
        <w:rPr>
          <w:sz w:val="20"/>
          <w:szCs w:val="20"/>
          <w:color w:val="auto"/>
        </w:rPr>
      </w:pPr>
      <w:r>
        <w:rPr>
          <w:rFonts w:ascii="Arial" w:cs="Arial" w:eastAsia="Arial" w:hAnsi="Arial"/>
          <w:sz w:val="18"/>
          <w:szCs w:val="18"/>
          <w:i w:val="1"/>
          <w:iCs w:val="1"/>
          <w:color w:val="auto"/>
        </w:rPr>
        <w:t>(Principal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98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18345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Sarah Rubenstein</w:t>
      </w:r>
    </w:p>
    <w:p>
      <w:pPr>
        <w:ind w:left="7520"/>
        <w:spacing w:after="0" w:line="219" w:lineRule="auto"/>
        <w:rPr>
          <w:sz w:val="20"/>
          <w:szCs w:val="20"/>
          <w:color w:val="auto"/>
        </w:rPr>
      </w:pPr>
      <w:r>
        <w:rPr>
          <w:rFonts w:ascii="Arial" w:cs="Arial" w:eastAsia="Arial" w:hAnsi="Arial"/>
          <w:sz w:val="18"/>
          <w:szCs w:val="18"/>
          <w:i w:val="1"/>
          <w:iCs w:val="1"/>
          <w:color w:val="auto"/>
        </w:rPr>
        <w:t>Executive Vice President and Chief</w:t>
      </w:r>
    </w:p>
    <w:p>
      <w:pPr>
        <w:ind w:left="7520"/>
        <w:spacing w:after="0" w:line="203" w:lineRule="auto"/>
        <w:rPr>
          <w:sz w:val="20"/>
          <w:szCs w:val="20"/>
          <w:color w:val="auto"/>
        </w:rPr>
      </w:pPr>
      <w:r>
        <w:rPr>
          <w:rFonts w:ascii="Arial" w:cs="Arial" w:eastAsia="Arial" w:hAnsi="Arial"/>
          <w:sz w:val="18"/>
          <w:szCs w:val="18"/>
          <w:i w:val="1"/>
          <w:iCs w:val="1"/>
          <w:color w:val="auto"/>
        </w:rPr>
        <w:t>Financial Officer</w:t>
      </w:r>
    </w:p>
    <w:p>
      <w:pPr>
        <w:ind w:left="7520"/>
        <w:spacing w:after="0" w:line="204" w:lineRule="auto"/>
        <w:rPr>
          <w:sz w:val="20"/>
          <w:szCs w:val="20"/>
          <w:color w:val="auto"/>
        </w:rPr>
      </w:pPr>
      <w:r>
        <w:rPr>
          <w:rFonts w:ascii="Arial" w:cs="Arial" w:eastAsia="Arial" w:hAnsi="Arial"/>
          <w:sz w:val="18"/>
          <w:szCs w:val="18"/>
          <w:i w:val="1"/>
          <w:iCs w:val="1"/>
          <w:color w:val="auto"/>
        </w:rPr>
        <w:t>(Principal Financial Officer and</w:t>
      </w:r>
    </w:p>
    <w:p>
      <w:pPr>
        <w:ind w:left="7520"/>
        <w:spacing w:after="0"/>
        <w:rPr>
          <w:sz w:val="20"/>
          <w:szCs w:val="20"/>
          <w:color w:val="auto"/>
        </w:rPr>
      </w:pPr>
      <w:r>
        <w:rPr>
          <w:rFonts w:ascii="Arial" w:cs="Arial" w:eastAsia="Arial" w:hAnsi="Arial"/>
          <w:sz w:val="18"/>
          <w:szCs w:val="18"/>
          <w:i w:val="1"/>
          <w:iCs w:val="1"/>
          <w:color w:val="auto"/>
        </w:rPr>
        <w:t>Principal Accounting Officer)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September 30,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1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0861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ind w:left="58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0861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ind w:left="5840"/>
        <w:spacing w:after="0"/>
        <w:rPr>
          <w:sz w:val="20"/>
          <w:szCs w:val="20"/>
          <w:color w:val="auto"/>
        </w:rPr>
      </w:pP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1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2"/>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emdash "/>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amp;"/>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2023-11-02T12:46:34Z</dcterms:created>
  <dcterms:modified xsi:type="dcterms:W3CDTF">2023-11-02T12:46:34Z</dcterms:modified>
</cp:coreProperties>
</file>