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More Daniel B.</w:t>
              </w:r>
            </w:hyperlink>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06/01/2019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gridSpan w:val="2"/>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0"/>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8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28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rPr>
              <w:t>06/01/2019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jc w:val="center"/>
              <w:ind w:right="239"/>
              <w:spacing w:after="0"/>
              <w:rPr>
                <w:sz w:val="20"/>
                <w:szCs w:val="20"/>
                <w:color w:val="auto"/>
              </w:rPr>
            </w:pPr>
            <w:r>
              <w:rPr>
                <w:rFonts w:ascii="Arial" w:cs="Arial" w:eastAsia="Arial" w:hAnsi="Arial"/>
                <w:sz w:val="18"/>
                <w:szCs w:val="18"/>
                <w:color w:val="0000FF"/>
              </w:rPr>
              <w:t>11,667</w:t>
            </w:r>
            <w:r>
              <w:rPr>
                <w:rFonts w:ascii="Arial" w:cs="Arial" w:eastAsia="Arial" w:hAnsi="Arial"/>
                <w:sz w:val="22"/>
                <w:szCs w:val="22"/>
                <w:color w:val="008000"/>
                <w:vertAlign w:val="superscript"/>
              </w:rPr>
              <w:t>(1)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(2)</w:t>
            </w:r>
          </w:p>
        </w:tc>
        <w:tc>
          <w:tcPr>
            <w:tcW w:w="360" w:type="dxa"/>
            <w:vAlign w:val="bottom"/>
          </w:tcPr>
          <w:p>
            <w:pPr>
              <w:spacing w:after="0"/>
              <w:rPr>
                <w:sz w:val="22"/>
                <w:szCs w:val="22"/>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8"/>
                <w:szCs w:val="18"/>
                <w:color w:val="0000FF"/>
                <w:w w:val="83"/>
              </w:rPr>
              <w:t>14,887</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28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rPr>
              <w:t>06/03/2019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0000FF"/>
              </w:rPr>
              <w:t>192</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ind w:right="257"/>
              <w:spacing w:after="0"/>
              <w:rPr>
                <w:sz w:val="20"/>
                <w:szCs w:val="20"/>
                <w:color w:val="auto"/>
              </w:rPr>
            </w:pPr>
            <w:r>
              <w:rPr>
                <w:rFonts w:ascii="Arial" w:cs="Arial" w:eastAsia="Arial" w:hAnsi="Arial"/>
                <w:sz w:val="18"/>
                <w:szCs w:val="18"/>
                <w:color w:val="0000FF"/>
              </w:rPr>
              <w:t>15,079</w:t>
            </w:r>
            <w:r>
              <w:rPr>
                <w:rFonts w:ascii="Arial" w:cs="Arial" w:eastAsia="Arial" w:hAnsi="Arial"/>
                <w:sz w:val="22"/>
                <w:szCs w:val="22"/>
                <w:color w:val="008000"/>
                <w:vertAlign w:val="superscript"/>
              </w:rPr>
              <w:t>(4)</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20"/>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20" w:type="dxa"/>
            <w:vAlign w:val="bottom"/>
            <w:gridSpan w:val="16"/>
          </w:tcPr>
          <w:p>
            <w:pPr>
              <w:jc w:val="center"/>
              <w:ind w:right="1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11,667 Deferred Stock Units issued to the reporting person under Clearway Energy, Inc.'s Amended and Restated 2013 Equity Incentive Plan.</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192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2019-12-23T22:37:18Z</dcterms:created>
  <dcterms:modified xsi:type="dcterms:W3CDTF">2019-12-23T22:37:18Z</dcterms:modified>
</cp:coreProperties>
</file>