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7, 2018</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Clearway Energy,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360"/>
          </w:cols>
          <w:pgMar w:left="240" w:top="544" w:right="299" w:bottom="1440" w:gutter="0" w:footer="0" w:header="0"/>
          <w:type w:val="continuous"/>
        </w:sectPr>
      </w:pPr>
    </w:p>
    <w:p>
      <w:pPr>
        <w:spacing w:after="0" w:line="22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5720"/>
        <w:spacing w:after="0"/>
        <w:tabs>
          <w:tab w:leader="none" w:pos="79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Tenth Supplemental Indenture</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On December 7, 2018, Clearway Energy Operating LLC (formerly known as NRG Yield Operating LLC) (“Clearway Operating LLC”), a subsidiary of Clearway Energy LLC (formerly known as NRG Yield LLC) (“Clearway LLC”), the guarantors currently party to the 2024 Notes Indenture (defined below), ECP Uptown Campus Holdings LLC (the “Guaranteeing Subsidiary”) and Delaware Trust Company (as successor in interest to Law Debenture Trust Company of New York), as trustee (the “Trustee”), entered into the tenth supplemental indenture (the “Tenth Supplemental Indenture”), supplementing the indenture, dated as of August 5, 2014 (as amended or supplemented to the date hereof, the “2024 Notes Indenture”), by and among Clearway Operating LLC, the guarantors party thereto and the Trustee, pursuant to which Clearway Operating LLC issued $500,000,000 in aggregate principal amount of its 5.375% Senior Notes due 2024 (the “2024 Notes”). Pursuant to the Tenth Supplemental Indenture, the Guaranteeing Subsidiary became a guarantor of Clearway Operating LLC’s obligations under the 2024 Notes. Each of Clearway Operating LLC, Clearway LLC and the Guaranteeing Subsidiary are subsidiaries of Clearway Energy, Inc. (formerly known as NRG Yield, Inc.).</w:t>
      </w:r>
    </w:p>
    <w:p>
      <w:pPr>
        <w:spacing w:after="0" w:line="182"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The foregoing description of the Tenth Supplemental Indenture does not purport to be complete and is qualified in its entirety by reference to the Tenth Supplemental Indenture, which is attached as Exhibit 4.1 to this Current Report on Form 8-K and is incorporated by reference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Sixth Supplemental Indenture</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On December 7, 2018, Clearway Operating LLC, the guarantors currently party to the 2026 Notes Indenture (defined below), the Guaranteeing Subsidiary and the Trustee also entered into the sixth supplemental indenture (the “Sixth Supplemental Indenture”), supplementing the indenture, dated as of August 18, 2016 (the “2026 Notes Indenture”), by and among Clearway Operating LLC, the guarantors party thereto and the Trustee, pursuant to which Clearway Operating LLC issued $350,000,000 in aggregate principal amount of its 5.000% Senior Notes due 2026 (the “2026 Notes”). Pursuant to the Sixth Supplemental Indenture, the Guaranteeing Subsidiary became a guarantor of Clearway Operating LLC’s obligations under the 2026 Notes.</w:t>
      </w:r>
    </w:p>
    <w:p>
      <w:pPr>
        <w:spacing w:after="0" w:line="158"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The foregoing description of the Sixth Supplemental Indenture does not purport to be complete and is qualified in its entirety by reference to the Sixth Supplemental Indenture, which is attached as Exhibit 4.2 to this Current Report on Form 8-K and is incorporated by reference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Supplemental Indenture</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On December 7, 2018, Clearway Operating LLC, the guarantors currently party to the 2025 Notes Indenture (defined below), the Guaranteeing Subsidiary and the Trustee also entered into the second supplemental indenture (the “Second Supplemental Indenture”), supplementing the indenture, dated as of October 1, 2018 (the “2025 Notes Indenture”), by and among Clearway Operating LLC, the guarantors party thereto and the Trustee, pursuant to which Clearway Operating LLC issued $600,000,000 in aggregate principal amount of its 5.750% Senior Notes due 2025 (the “2025 Notes”). Pursuant to the Second Supplemental Indenture, the Guaranteeing Subsidiary became a guarantor of Clearway Operating LLC’s obligations under the 2025 Notes.</w:t>
      </w:r>
    </w:p>
    <w:p>
      <w:pPr>
        <w:spacing w:after="0" w:line="158"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The foregoing description of the Second Supplemental Indenture does not purport to be complete and is qualified in its entirety by reference to the Second Supplemental Indenture, which is attached as Exhibit 4.3 to this Current Report on Form 8-K and is incorporated by reference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5"/>
              </w:rPr>
              <w:t>Exhibit No.</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7740" w:type="dxa"/>
            <w:vAlign w:val="bottom"/>
            <w:tcBorders>
              <w:bottom w:val="single" w:sz="8" w:color="auto"/>
            </w:tcBorders>
            <w:gridSpan w:val="6"/>
          </w:tcPr>
          <w:p>
            <w:pPr>
              <w:ind w:left="246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14"/>
                <w:szCs w:val="14"/>
                <w:color w:val="auto"/>
              </w:rPr>
            </w:pPr>
          </w:p>
        </w:tc>
      </w:tr>
      <w:tr>
        <w:trPr>
          <w:trHeight w:val="385"/>
        </w:trPr>
        <w:tc>
          <w:tcPr>
            <w:tcW w:w="1160" w:type="dxa"/>
            <w:vAlign w:val="bottom"/>
          </w:tcPr>
          <w:p>
            <w:pPr>
              <w:jc w:val="right"/>
              <w:ind w:right="374"/>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96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Tenth Supplemental Indenture, dated as of December 7, 2018, among Clearway Energy Operating LLC, the guarantors named therein</w:t>
              </w:r>
            </w:hyperlink>
          </w:p>
        </w:tc>
        <w:tc>
          <w:tcPr>
            <w:tcW w:w="30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5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and Delaware Trust Company (as successor in interest to Law Debenture Trust Company of New York).</w:t>
              </w:r>
            </w:hyperlink>
          </w:p>
        </w:tc>
        <w:tc>
          <w:tcPr>
            <w:tcW w:w="242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160" w:type="dxa"/>
            <w:vAlign w:val="bottom"/>
          </w:tcPr>
          <w:p>
            <w:pPr>
              <w:jc w:val="right"/>
              <w:ind w:right="374"/>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99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Sixth Supplemental Indenture, dated as of December 7, 2018, among Clearway Energy Operating LLC, the guarantors named therein and</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gridSpan w:val="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Delaware Trust Company (as successor in interest to Law Debenture Trust Company of New York).</w:t>
              </w:r>
            </w:hyperlink>
          </w:p>
        </w:tc>
        <w:tc>
          <w:tcPr>
            <w:tcW w:w="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5000" w:type="dxa"/>
            <w:vAlign w:val="bottom"/>
            <w:shd w:val="clear" w:color="auto" w:fill="0000EE"/>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160" w:type="dxa"/>
            <w:vAlign w:val="bottom"/>
          </w:tcPr>
          <w:p>
            <w:pPr>
              <w:jc w:val="right"/>
              <w:ind w:right="374"/>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9920" w:type="dxa"/>
            <w:vAlign w:val="bottom"/>
            <w:gridSpan w:val="8"/>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Second Supplemental Indenture, dated as of December 7, 2018, among Clearway Energy Operating LLC, the guarantors named therein</w:t>
              </w:r>
            </w:hyperlink>
          </w:p>
        </w:tc>
        <w:tc>
          <w:tcPr>
            <w:tcW w:w="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and Delaware Trust Company.</w:t>
              </w:r>
            </w:hyperlink>
          </w:p>
        </w:tc>
        <w:tc>
          <w:tcPr>
            <w:tcW w:w="1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r>
      <w:tr>
        <w:trPr>
          <w:trHeight w:val="453"/>
        </w:trPr>
        <w:tc>
          <w:tcPr>
            <w:tcW w:w="11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2160" w:type="dxa"/>
            <w:vAlign w:val="bottom"/>
            <w:tcBorders>
              <w:top w:val="single" w:sz="8" w:color="0000EE"/>
            </w:tcBorders>
          </w:tcPr>
          <w:p>
            <w:pPr>
              <w:spacing w:after="0"/>
              <w:rPr>
                <w:sz w:val="24"/>
                <w:szCs w:val="24"/>
                <w:color w:val="auto"/>
              </w:rPr>
            </w:pPr>
          </w:p>
        </w:tc>
        <w:tc>
          <w:tcPr>
            <w:tcW w:w="5000" w:type="dxa"/>
            <w:vAlign w:val="bottom"/>
          </w:tcPr>
          <w:p>
            <w:pPr>
              <w:jc w:val="right"/>
              <w:ind w:right="2839"/>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160" w:type="dxa"/>
            <w:vAlign w:val="bottom"/>
            <w:tcBorders>
              <w:bottom w:val="single" w:sz="8" w:color="808080"/>
            </w:tcBorders>
          </w:tcPr>
          <w:p>
            <w:pPr>
              <w:spacing w:after="0"/>
              <w:rPr>
                <w:sz w:val="11"/>
                <w:szCs w:val="11"/>
                <w:color w:val="auto"/>
              </w:rPr>
            </w:pPr>
          </w:p>
        </w:tc>
        <w:tc>
          <w:tcPr>
            <w:tcW w:w="50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80"/>
        <w:spacing w:after="0"/>
        <w:tabs>
          <w:tab w:leader="none" w:pos="6240" w:val="left"/>
        </w:tabs>
        <w:rPr>
          <w:sz w:val="20"/>
          <w:szCs w:val="20"/>
          <w:color w:val="auto"/>
        </w:rPr>
      </w:pPr>
      <w:r>
        <w:rPr>
          <w:rFonts w:ascii="Arial" w:cs="Arial" w:eastAsia="Arial" w:hAnsi="Arial"/>
          <w:sz w:val="18"/>
          <w:szCs w:val="18"/>
          <w:color w:val="auto"/>
        </w:rPr>
        <w:t>By:</w:t>
        <w:tab/>
        <w:t>/s/ Kevin P. Malcarney</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-130810</wp:posOffset>
            </wp:positionV>
            <wp:extent cx="32759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General Counsel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2018</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80"/>
          </w:cols>
          <w:pgMar w:left="240" w:top="337"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TENTH SUPPLEMENTAL INDENTURE</w:t>
      </w:r>
    </w:p>
    <w:p>
      <w:pPr>
        <w:spacing w:after="0" w:line="225" w:lineRule="exact"/>
        <w:rPr>
          <w:sz w:val="20"/>
          <w:szCs w:val="20"/>
          <w:color w:val="auto"/>
        </w:rPr>
      </w:pPr>
    </w:p>
    <w:p>
      <w:pPr>
        <w:ind w:right="220" w:firstLine="1297"/>
        <w:spacing w:after="0" w:line="257" w:lineRule="auto"/>
        <w:rPr>
          <w:sz w:val="20"/>
          <w:szCs w:val="20"/>
          <w:color w:val="auto"/>
        </w:rPr>
      </w:pPr>
      <w:r>
        <w:rPr>
          <w:rFonts w:ascii="Arial" w:cs="Arial" w:eastAsia="Arial" w:hAnsi="Arial"/>
          <w:sz w:val="18"/>
          <w:szCs w:val="18"/>
          <w:color w:val="auto"/>
        </w:rPr>
        <w:t>TENTH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December 7, 2018, among ECP Uptown Campus Holdings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Clearway Energy Operating LLC (formerly known as NRG Yield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5, 2014 providing for the issuance of 5.375% Senior Notes due 2024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ind w:right="440" w:firstLine="1297"/>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1"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100" w:firstLine="656"/>
        <w:spacing w:after="0" w:line="259" w:lineRule="auto"/>
        <w:tabs>
          <w:tab w:leader="none" w:pos="1296" w:val="left"/>
        </w:tabs>
        <w:numPr>
          <w:ilvl w:val="0"/>
          <w:numId w:val="3"/>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ind w:firstLine="656"/>
        <w:spacing w:after="0" w:line="312" w:lineRule="auto"/>
        <w:tabs>
          <w:tab w:leader="none" w:pos="1296" w:val="left"/>
        </w:tabs>
        <w:numPr>
          <w:ilvl w:val="0"/>
          <w:numId w:val="3"/>
        </w:numPr>
        <w:rPr>
          <w:rFonts w:ascii="Arial" w:cs="Arial" w:eastAsia="Arial" w:hAnsi="Arial"/>
          <w:sz w:val="16"/>
          <w:szCs w:val="16"/>
          <w:color w:val="auto"/>
        </w:rPr>
      </w:pPr>
      <w:r>
        <w:rPr>
          <w:rFonts w:ascii="Arial" w:cs="Arial" w:eastAsia="Arial" w:hAnsi="Arial"/>
          <w:sz w:val="16"/>
          <w:szCs w:val="16"/>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360"/>
        <w:spacing w:after="0" w:line="277" w:lineRule="auto"/>
        <w:rPr>
          <w:sz w:val="20"/>
          <w:szCs w:val="20"/>
          <w:color w:val="auto"/>
        </w:rPr>
      </w:pPr>
      <w:r>
        <w:rPr>
          <w:rFonts w:ascii="Arial" w:cs="Arial" w:eastAsia="Arial" w:hAnsi="Arial"/>
          <w:sz w:val="18"/>
          <w:szCs w:val="18"/>
          <w:color w:val="auto"/>
        </w:rPr>
        <w:t>waiver and release are part of the consideration for issuance of the Notes. The waiver may not be effective to waive liabilities under the federal securities laws.</w:t>
      </w:r>
    </w:p>
    <w:p>
      <w:pPr>
        <w:spacing w:after="0" w:line="170" w:lineRule="exact"/>
        <w:rPr>
          <w:sz w:val="20"/>
          <w:szCs w:val="20"/>
          <w:color w:val="auto"/>
        </w:rPr>
      </w:pPr>
    </w:p>
    <w:p>
      <w:pPr>
        <w:ind w:right="60" w:firstLine="656"/>
        <w:spacing w:after="0" w:line="264"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auto"/>
        </w:rPr>
      </w:pPr>
    </w:p>
    <w:p>
      <w:pPr>
        <w:ind w:right="100" w:firstLine="656"/>
        <w:spacing w:after="0" w:line="277"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right="440" w:firstLine="656"/>
        <w:spacing w:after="0" w:line="264"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auto"/>
        </w:rPr>
      </w:pPr>
    </w:p>
    <w:p>
      <w:pPr>
        <w:ind w:firstLine="656"/>
        <w:spacing w:after="0" w:line="259"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 w:name="page6"/>
    <w:bookmarkEnd w:id="5"/>
    <w:p>
      <w:pPr>
        <w:ind w:right="260" w:firstLine="1297"/>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ECP UPTOWN CAMPUS HOLDINGS LLC</w:t>
      </w:r>
    </w:p>
    <w:p>
      <w:pPr>
        <w:spacing w:after="0" w:line="225"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bl>
    <w:p>
      <w:pPr>
        <w:spacing w:after="0" w:line="20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THERMAL INFRASTRUCTURE DEVELOPMENT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UB FUEL CELL, LLC</w:t>
      </w:r>
    </w:p>
    <w:p>
      <w:pPr>
        <w:spacing w:after="0" w:line="211"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ind w:left="4580"/>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Musarra</w:t>
            </w:r>
          </w:p>
        </w:tc>
      </w:tr>
      <w:tr>
        <w:trPr>
          <w:trHeight w:val="224"/>
        </w:trPr>
        <w:tc>
          <w:tcPr>
            <w:tcW w:w="8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8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SIXTH SUPPLEMENTAL INDENTURE</w:t>
      </w:r>
    </w:p>
    <w:p>
      <w:pPr>
        <w:spacing w:after="0" w:line="225" w:lineRule="exact"/>
        <w:rPr>
          <w:sz w:val="20"/>
          <w:szCs w:val="20"/>
          <w:color w:val="auto"/>
        </w:rPr>
      </w:pPr>
    </w:p>
    <w:p>
      <w:pPr>
        <w:ind w:right="280" w:firstLine="1297"/>
        <w:spacing w:after="0" w:line="257" w:lineRule="auto"/>
        <w:rPr>
          <w:sz w:val="20"/>
          <w:szCs w:val="20"/>
          <w:color w:val="auto"/>
        </w:rPr>
      </w:pPr>
      <w:r>
        <w:rPr>
          <w:rFonts w:ascii="Arial" w:cs="Arial" w:eastAsia="Arial" w:hAnsi="Arial"/>
          <w:sz w:val="18"/>
          <w:szCs w:val="18"/>
          <w:color w:val="auto"/>
        </w:rPr>
        <w:t>SIXTH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December 7, 2018, among ECP Uptown Campus Holdings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Clearway Energy Operating LLC (formerly known as NRG Yield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18, 2016 providing for the issuance of 5.000%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ind w:right="440" w:firstLine="1297"/>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1"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100" w:firstLine="656"/>
        <w:spacing w:after="0" w:line="259" w:lineRule="auto"/>
        <w:tabs>
          <w:tab w:leader="none" w:pos="1296" w:val="left"/>
        </w:tabs>
        <w:numPr>
          <w:ilvl w:val="0"/>
          <w:numId w:val="5"/>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ind w:firstLine="656"/>
        <w:spacing w:after="0" w:line="257" w:lineRule="auto"/>
        <w:tabs>
          <w:tab w:leader="none" w:pos="1296"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left="-40" w:right="60" w:firstLine="656"/>
        <w:spacing w:after="0" w:line="264" w:lineRule="auto"/>
        <w:tabs>
          <w:tab w:leader="none" w:pos="1256"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auto"/>
        </w:rPr>
      </w:pPr>
    </w:p>
    <w:p>
      <w:pPr>
        <w:ind w:left="-40" w:right="100" w:firstLine="656"/>
        <w:spacing w:after="0" w:line="277" w:lineRule="auto"/>
        <w:tabs>
          <w:tab w:leader="none" w:pos="1256" w:val="left"/>
        </w:tabs>
        <w:numPr>
          <w:ilvl w:val="0"/>
          <w:numId w:val="6"/>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260" w:hanging="64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left="-40" w:right="440" w:firstLine="656"/>
        <w:spacing w:after="0" w:line="264" w:lineRule="auto"/>
        <w:tabs>
          <w:tab w:leader="none" w:pos="125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auto"/>
        </w:rPr>
      </w:pPr>
    </w:p>
    <w:p>
      <w:pPr>
        <w:ind w:left="-40" w:firstLine="656"/>
        <w:spacing w:after="0" w:line="259" w:lineRule="auto"/>
        <w:tabs>
          <w:tab w:leader="none" w:pos="1256"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41" w:right="259" w:bottom="1440" w:gutter="0" w:footer="0" w:header="0"/>
        </w:sectPr>
      </w:pPr>
    </w:p>
    <w:bookmarkStart w:id="9" w:name="page10"/>
    <w:bookmarkEnd w:id="9"/>
    <w:p>
      <w:pPr>
        <w:ind w:right="260" w:firstLine="1297"/>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ECP UPTOWN CAMPUS HOLDINGS LLC</w:t>
      </w:r>
    </w:p>
    <w:p>
      <w:pPr>
        <w:spacing w:after="0" w:line="225"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bl>
    <w:p>
      <w:pPr>
        <w:spacing w:after="0" w:line="20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THERMAL INFRASTRUCTURE DEVELOPMENT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UB FUEL CELL, LLC</w:t>
      </w:r>
    </w:p>
    <w:p>
      <w:pPr>
        <w:spacing w:after="0" w:line="211"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Sixth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ind w:left="4580"/>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Musarra</w:t>
            </w:r>
          </w:p>
        </w:tc>
      </w:tr>
      <w:tr>
        <w:trPr>
          <w:trHeight w:val="224"/>
        </w:trPr>
        <w:tc>
          <w:tcPr>
            <w:tcW w:w="8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87"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Sixth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SUPPLEMENTAL INDENTURE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SECOND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December 7, 2018, among ECP Uptown Campus Holdings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Clearway Energy Operating LLC (formerly known as NRG Yield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October 1, 2018 providing for the issuance of 5.750% Senior Notes due 2025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24"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100" w:firstLine="656"/>
        <w:spacing w:after="0" w:line="259" w:lineRule="auto"/>
        <w:tabs>
          <w:tab w:leader="none" w:pos="1296" w:val="left"/>
        </w:tabs>
        <w:numPr>
          <w:ilvl w:val="0"/>
          <w:numId w:val="7"/>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ind w:firstLine="656"/>
        <w:spacing w:after="0" w:line="257" w:lineRule="auto"/>
        <w:tabs>
          <w:tab w:leader="none" w:pos="1296"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8" w:lineRule="exact"/>
        <w:rPr>
          <w:rFonts w:ascii="Arial" w:cs="Arial" w:eastAsia="Arial" w:hAnsi="Arial"/>
          <w:sz w:val="18"/>
          <w:szCs w:val="18"/>
          <w:color w:val="auto"/>
        </w:rPr>
      </w:pPr>
    </w:p>
    <w:p>
      <w:pPr>
        <w:ind w:right="360" w:firstLine="656"/>
        <w:spacing w:after="0" w:line="308" w:lineRule="auto"/>
        <w:tabs>
          <w:tab w:leader="none" w:pos="1296" w:val="left"/>
        </w:tabs>
        <w:numPr>
          <w:ilvl w:val="0"/>
          <w:numId w:val="7"/>
        </w:numPr>
        <w:rPr>
          <w:rFonts w:ascii="Arial" w:cs="Arial" w:eastAsia="Arial" w:hAnsi="Arial"/>
          <w:sz w:val="17"/>
          <w:szCs w:val="17"/>
          <w:color w:val="auto"/>
        </w:rPr>
      </w:pPr>
      <w:r>
        <w:rPr>
          <w:rFonts w:ascii="Arial" w:cs="Arial" w:eastAsia="Arial" w:hAnsi="Arial"/>
          <w:sz w:val="17"/>
          <w:szCs w:val="17"/>
          <w:color w:val="auto"/>
        </w:rPr>
        <w:t>NEW YORK LAW TO GOVERN. THE INTERNAL LAW OF THE STATE OF NEW YORK SHALL GOVERN AND BE USED TO CONSTRUE THIS SUPPLEMENTAL INDENTURE WITHOUT GIVING EFFECT TO APPLICABLE PRINCIPLES OF CONFLICTS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OF LAW TO THE EXTENT THAT THE APPLICATION OF THE LAWS OF ANOTHER JURISDICTION WOULD BE REQUIRED THEREBY.</w:t>
      </w:r>
    </w:p>
    <w:p>
      <w:pPr>
        <w:spacing w:after="0" w:line="225" w:lineRule="exact"/>
        <w:rPr>
          <w:sz w:val="20"/>
          <w:szCs w:val="20"/>
          <w:color w:val="auto"/>
        </w:rPr>
      </w:pPr>
    </w:p>
    <w:p>
      <w:pPr>
        <w:ind w:right="140" w:firstLine="656"/>
        <w:spacing w:after="0" w:line="277" w:lineRule="auto"/>
        <w:tabs>
          <w:tab w:leader="none" w:pos="1296" w:val="left"/>
        </w:tabs>
        <w:numPr>
          <w:ilvl w:val="0"/>
          <w:numId w:val="8"/>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right="440" w:firstLine="656"/>
        <w:spacing w:after="0" w:line="264" w:lineRule="auto"/>
        <w:tabs>
          <w:tab w:leader="none" w:pos="129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auto"/>
        </w:rPr>
      </w:pPr>
    </w:p>
    <w:p>
      <w:pPr>
        <w:ind w:firstLine="656"/>
        <w:spacing w:after="0" w:line="259" w:lineRule="auto"/>
        <w:tabs>
          <w:tab w:leader="none" w:pos="1296"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and attested, all as of the date first above written.</w:t>
      </w:r>
    </w:p>
    <w:p>
      <w:pPr>
        <w:spacing w:after="0" w:line="24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ECP UPTOWN CAMPUS HOLDINGS LLC</w:t>
      </w:r>
    </w:p>
    <w:p>
      <w:pPr>
        <w:spacing w:after="0" w:line="225"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bl>
    <w:p>
      <w:pPr>
        <w:spacing w:after="0" w:line="20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THERMAL INFRASTRUCTURE DEVELOPMENT HOLDINGS LLC</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UB FUEL CELL, LLC</w:t>
      </w:r>
    </w:p>
    <w:p>
      <w:pPr>
        <w:spacing w:after="0" w:line="211"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ind w:left="4580"/>
        <w:spacing w:after="0"/>
        <w:rPr>
          <w:sz w:val="20"/>
          <w:szCs w:val="20"/>
          <w:color w:val="auto"/>
        </w:rPr>
      </w:pPr>
      <w:r>
        <w:rPr>
          <w:rFonts w:ascii="Arial" w:cs="Arial" w:eastAsia="Arial" w:hAnsi="Arial"/>
          <w:sz w:val="17"/>
          <w:szCs w:val="17"/>
          <w:color w:val="auto"/>
        </w:rPr>
        <w:t>DELAWARE TRUST COMPANY</w:t>
      </w:r>
    </w:p>
    <w:p>
      <w:pPr>
        <w:spacing w:after="0" w:line="23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3428365</wp:posOffset>
            </wp:positionH>
            <wp:positionV relativeFrom="paragraph">
              <wp:posOffset>-123190</wp:posOffset>
            </wp:positionV>
            <wp:extent cx="30613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Second Supplemental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2019-12-28T17:17:39Z</dcterms:created>
  <dcterms:modified xsi:type="dcterms:W3CDTF">2019-12-28T17:17:39Z</dcterms:modified>
</cp:coreProperties>
</file>