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Ford Brian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 per</w:t>
            </w: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12/01/2023</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124</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80" w:type="dxa"/>
            <w:vAlign w:val="bottom"/>
            <w:gridSpan w:val="3"/>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w w:val="93"/>
              </w:rPr>
              <w:t>8,626</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12/01/2023</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rPr>
              <w:t>1,050</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80" w:type="dxa"/>
            <w:vAlign w:val="bottom"/>
            <w:gridSpan w:val="3"/>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w w:val="93"/>
              </w:rPr>
              <w:t>67,929</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rPr>
              <w:t>1,000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vMerge w:val="continue"/>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3,079 dividend equivalent rights that may only be settled in Class A Common Stock. There has been a de minimus adjustment of 3 shares to the number of dividend equivalent rights as a result of rounding fractional shares.</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15,777 dividend equivalent rights that may only be settled in Class C Common Stock. There has been a de minimus adjustment of 2 shares to the number of dividend equivalent rights as a result of rounding fractional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Reporting Person's spouse.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2023-12-05T15:33:14Z</dcterms:created>
  <dcterms:modified xsi:type="dcterms:W3CDTF">2023-12-05T15:33:14Z</dcterms:modified>
</cp:coreProperties>
</file>