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Global Infrastructure Investors III, LLC</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980"/>
        <w:spacing w:after="0" w:line="357" w:lineRule="auto"/>
        <w:rPr>
          <w:sz w:val="20"/>
          <w:szCs w:val="20"/>
          <w:color w:val="auto"/>
        </w:rPr>
      </w:pPr>
      <w:r>
        <w:rPr>
          <w:rFonts w:ascii="Arial" w:cs="Arial" w:eastAsia="Arial" w:hAnsi="Arial"/>
          <w:sz w:val="17"/>
          <w:szCs w:val="17"/>
          <w:color w:val="0000FF"/>
        </w:rPr>
        <w:t>1345 AVENUE OF THE AMERICAS 30TH FLOOR</w:t>
      </w:r>
    </w:p>
    <w:p>
      <w:pPr>
        <w:spacing w:after="0" w:line="178"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Clearway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CWEN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1980" w:type="dxa"/>
            <w:vAlign w:val="bottom"/>
            <w:gridSpan w:val="3"/>
          </w:tcPr>
          <w:p>
            <w:pPr>
              <w:ind w:left="80"/>
              <w:spacing w:after="0"/>
              <w:rPr>
                <w:sz w:val="20"/>
                <w:szCs w:val="20"/>
                <w:color w:val="auto"/>
              </w:rPr>
            </w:pPr>
            <w:r>
              <w:rPr>
                <w:rFonts w:ascii="Arial" w:cs="Arial" w:eastAsia="Arial" w:hAnsi="Arial"/>
                <w:sz w:val="17"/>
                <w:szCs w:val="17"/>
                <w:color w:val="0000FF"/>
              </w:rPr>
              <w:t>09/01/2023</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78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9" w:lineRule="exact"/>
        <w:rPr>
          <w:sz w:val="24"/>
          <w:szCs w:val="24"/>
          <w:color w:val="auto"/>
        </w:rPr>
      </w:pPr>
    </w:p>
    <w:tbl>
      <w:tblPr>
        <w:tblLayout w:type="fixed"/>
        <w:tblInd w:w="41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4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4"/>
                <w:szCs w:val="14"/>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600" w:type="dxa"/>
            <w:vAlign w:val="bottom"/>
            <w:gridSpan w:val="4"/>
            <w:vMerge w:val="restart"/>
          </w:tcPr>
          <w:p>
            <w:pPr>
              <w:ind w:left="380"/>
              <w:spacing w:after="0"/>
              <w:rPr>
                <w:sz w:val="20"/>
                <w:szCs w:val="20"/>
                <w:color w:val="auto"/>
              </w:rPr>
            </w:pPr>
            <w:r>
              <w:rPr>
                <w:rFonts w:ascii="Arial" w:cs="Arial" w:eastAsia="Arial" w:hAnsi="Arial"/>
                <w:sz w:val="17"/>
                <w:szCs w:val="17"/>
                <w:color w:val="0000FF"/>
              </w:rPr>
              <w:t>09/01/2023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820" w:type="dxa"/>
            <w:vAlign w:val="bottom"/>
            <w:vMerge w:val="restart"/>
          </w:tcPr>
          <w:p>
            <w:pPr>
              <w:ind w:left="180"/>
              <w:spacing w:after="0"/>
              <w:rPr>
                <w:sz w:val="20"/>
                <w:szCs w:val="20"/>
                <w:color w:val="auto"/>
              </w:rPr>
            </w:pPr>
            <w:r>
              <w:rPr>
                <w:rFonts w:ascii="Arial" w:cs="Arial" w:eastAsia="Arial" w:hAnsi="Arial"/>
                <w:sz w:val="17"/>
                <w:szCs w:val="17"/>
                <w:color w:val="0000FF"/>
              </w:rPr>
              <w:t>1,597</w:t>
            </w:r>
          </w:p>
        </w:tc>
        <w:tc>
          <w:tcPr>
            <w:tcW w:w="460" w:type="dxa"/>
            <w:vAlign w:val="bottom"/>
            <w:vMerge w:val="restart"/>
          </w:tcPr>
          <w:p>
            <w:pPr>
              <w:ind w:left="120"/>
              <w:spacing w:after="0"/>
              <w:rPr>
                <w:sz w:val="20"/>
                <w:szCs w:val="20"/>
                <w:color w:val="auto"/>
              </w:rPr>
            </w:pPr>
            <w:r>
              <w:rPr>
                <w:rFonts w:ascii="Arial" w:cs="Arial" w:eastAsia="Arial" w:hAnsi="Arial"/>
                <w:sz w:val="17"/>
                <w:szCs w:val="17"/>
                <w:color w:val="0000FF"/>
              </w:rPr>
              <w:t>A</w:t>
            </w:r>
          </w:p>
        </w:tc>
        <w:tc>
          <w:tcPr>
            <w:tcW w:w="540" w:type="dxa"/>
            <w:vAlign w:val="bottom"/>
            <w:vMerge w:val="restart"/>
          </w:tcPr>
          <w:p>
            <w:pPr>
              <w:jc w:val="right"/>
              <w:ind w:right="161"/>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8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81,521</w:t>
            </w:r>
          </w:p>
        </w:tc>
        <w:tc>
          <w:tcPr>
            <w:tcW w:w="920" w:type="dxa"/>
            <w:vAlign w:val="bottom"/>
            <w:vMerge w:val="restart"/>
          </w:tcPr>
          <w:p>
            <w:pPr>
              <w:ind w:left="64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4"/>
            <w:vMerge w:val="continue"/>
          </w:tcPr>
          <w:p>
            <w:pPr>
              <w:spacing w:after="0"/>
              <w:rPr>
                <w:sz w:val="9"/>
                <w:szCs w:val="9"/>
                <w:color w:val="auto"/>
              </w:rPr>
            </w:pPr>
          </w:p>
        </w:tc>
        <w:tc>
          <w:tcPr>
            <w:tcW w:w="160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(2)(3)(4)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80" w:type="dxa"/>
            <w:vAlign w:val="bottom"/>
            <w:gridSpan w:val="19"/>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700" w:type="dxa"/>
            <w:vAlign w:val="bottom"/>
            <w:gridSpan w:val="16"/>
          </w:tcPr>
          <w:p>
            <w:pPr>
              <w:jc w:val="center"/>
              <w:ind w:righ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04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Global Infrastructure Investors III,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Arial" w:cs="Arial" w:eastAsia="Arial" w:hAnsi="Arial"/>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30TH FLOOR</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860" w:type="dxa"/>
            <w:vAlign w:val="bottom"/>
            <w:gridSpan w:val="2"/>
          </w:tcPr>
          <w:p>
            <w:pPr>
              <w:ind w:left="240"/>
              <w:spacing w:after="0"/>
              <w:rPr>
                <w:sz w:val="20"/>
                <w:szCs w:val="20"/>
                <w:color w:val="auto"/>
              </w:rPr>
            </w:pPr>
            <w:r>
              <w:rPr>
                <w:rFonts w:ascii="Arial" w:cs="Arial" w:eastAsia="Arial" w:hAnsi="Arial"/>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Global Infrastructure GP III,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Arial" w:cs="Arial" w:eastAsia="Arial" w:hAnsi="Arial"/>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30TH FLOOR</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860" w:type="dxa"/>
            <w:vAlign w:val="bottom"/>
            <w:gridSpan w:val="2"/>
          </w:tcPr>
          <w:p>
            <w:pPr>
              <w:ind w:left="240"/>
              <w:spacing w:after="0"/>
              <w:rPr>
                <w:sz w:val="20"/>
                <w:szCs w:val="20"/>
                <w:color w:val="auto"/>
              </w:rPr>
            </w:pPr>
            <w:r>
              <w:rPr>
                <w:rFonts w:ascii="Arial" w:cs="Arial" w:eastAsia="Arial" w:hAnsi="Arial"/>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Zephyr Holdings GP, LLC</w:t>
        </w:r>
      </w:hyperlink>
    </w:p>
    <w:p>
      <w:pPr>
        <w:sectPr>
          <w:pgSz w:w="11900" w:h="16838" w:orient="portrait"/>
          <w:cols w:equalWidth="0" w:num="1">
            <w:col w:w="11080"/>
          </w:cols>
          <w:pgMar w:left="460" w:top="225" w:right="359" w:bottom="0" w:gutter="0" w:footer="0" w:header="0"/>
          <w:type w:val="continuous"/>
        </w:sectPr>
      </w:pPr>
    </w:p>
    <w:p>
      <w:pPr>
        <w:spacing w:after="0" w:line="313"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4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1345 AVENUE OF THE AMERICAS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6477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6477635"/>
                    </a:xfrm>
                    <a:prstGeom prst="rect">
                      <a:avLst/>
                    </a:prstGeom>
                    <a:noFill/>
                  </pic:spPr>
                </pic:pic>
              </a:graphicData>
            </a:graphic>
          </wp:anchor>
        </w:drawing>
      </w:r>
    </w:p>
    <w:p>
      <w:pPr>
        <w:spacing w:after="0" w:line="5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30TH FLOOR</w:t>
      </w:r>
    </w:p>
    <w:p>
      <w:pPr>
        <w:spacing w:after="0" w:line="297" w:lineRule="exact"/>
        <w:rPr>
          <w:sz w:val="20"/>
          <w:szCs w:val="20"/>
          <w:color w:val="auto"/>
        </w:rPr>
      </w:pPr>
    </w:p>
    <w:tbl>
      <w:tblPr>
        <w:tblLayout w:type="fixed"/>
        <w:tblInd w:w="60" w:type="dxa"/>
        <w:tblCellMar>
          <w:top w:w="0" w:type="dxa"/>
          <w:left w:w="0" w:type="dxa"/>
          <w:bottom w:w="0" w:type="dxa"/>
          <w:right w:w="0" w:type="dxa"/>
        </w:tblCellMar>
      </w:tblPr>
      <w:tr>
        <w:trPr>
          <w:trHeight w:val="1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GIP III Zephyr Midco Holdings, L.P.</w:t>
        </w:r>
      </w:hyperlink>
    </w:p>
    <w:p>
      <w:pPr>
        <w:spacing w:after="0" w:line="313" w:lineRule="exact"/>
        <w:rPr>
          <w:sz w:val="20"/>
          <w:szCs w:val="20"/>
          <w:color w:val="auto"/>
        </w:rPr>
      </w:pPr>
    </w:p>
    <w:tbl>
      <w:tblPr>
        <w:tblLayout w:type="fixed"/>
        <w:tblInd w:w="6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18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Arial" w:cs="Arial" w:eastAsia="Arial" w:hAnsi="Arial"/>
                <w:sz w:val="17"/>
                <w:szCs w:val="17"/>
                <w:color w:val="0000FF"/>
                <w:w w:val="99"/>
              </w:rPr>
              <w:t>1345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30TH FLOOR</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7"/>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NEW YORK</w:t>
            </w:r>
          </w:p>
        </w:tc>
        <w:tc>
          <w:tcPr>
            <w:tcW w:w="1520" w:type="dxa"/>
            <w:vAlign w:val="bottom"/>
          </w:tcPr>
          <w:p>
            <w:pPr>
              <w:ind w:left="180"/>
              <w:spacing w:after="0"/>
              <w:rPr>
                <w:sz w:val="20"/>
                <w:szCs w:val="20"/>
                <w:color w:val="auto"/>
              </w:rPr>
            </w:pPr>
            <w:r>
              <w:rPr>
                <w:rFonts w:ascii="Arial" w:cs="Arial" w:eastAsia="Arial" w:hAnsi="Arial"/>
                <w:sz w:val="17"/>
                <w:szCs w:val="17"/>
                <w:color w:val="0000FF"/>
              </w:rPr>
              <w:t>NY</w:t>
            </w:r>
          </w:p>
        </w:tc>
        <w:tc>
          <w:tcPr>
            <w:tcW w:w="1420" w:type="dxa"/>
            <w:vAlign w:val="bottom"/>
          </w:tcPr>
          <w:p>
            <w:pPr>
              <w:ind w:left="6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18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GIP III Zephyr Acquisition Partners L.P.</w:t>
        </w:r>
      </w:hyperlink>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7"/>
                <w:szCs w:val="17"/>
                <w:color w:val="0000FF"/>
                <w:w w:val="99"/>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NEW YORK</w:t>
            </w:r>
          </w:p>
        </w:tc>
        <w:tc>
          <w:tcPr>
            <w:tcW w:w="1520" w:type="dxa"/>
            <w:vAlign w:val="bottom"/>
            <w:gridSpan w:val="2"/>
          </w:tcPr>
          <w:p>
            <w:pPr>
              <w:ind w:left="180"/>
              <w:spacing w:after="0"/>
              <w:rPr>
                <w:sz w:val="20"/>
                <w:szCs w:val="20"/>
                <w:color w:val="auto"/>
              </w:rPr>
            </w:pPr>
            <w:r>
              <w:rPr>
                <w:rFonts w:ascii="Arial" w:cs="Arial" w:eastAsia="Arial" w:hAnsi="Arial"/>
                <w:sz w:val="17"/>
                <w:szCs w:val="17"/>
                <w:color w:val="0000FF"/>
              </w:rPr>
              <w:t>NY</w:t>
            </w:r>
          </w:p>
        </w:tc>
        <w:tc>
          <w:tcPr>
            <w:tcW w:w="1420" w:type="dxa"/>
            <w:vAlign w:val="bottom"/>
          </w:tcPr>
          <w:p>
            <w:pPr>
              <w:ind w:left="6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4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Clearway Energy Group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7"/>
                <w:szCs w:val="17"/>
                <w:color w:val="0000FF"/>
                <w:w w:val="99"/>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NEW YORK</w:t>
            </w:r>
          </w:p>
        </w:tc>
        <w:tc>
          <w:tcPr>
            <w:tcW w:w="1520" w:type="dxa"/>
            <w:vAlign w:val="bottom"/>
            <w:gridSpan w:val="2"/>
          </w:tcPr>
          <w:p>
            <w:pPr>
              <w:ind w:left="180"/>
              <w:spacing w:after="0"/>
              <w:rPr>
                <w:sz w:val="20"/>
                <w:szCs w:val="20"/>
                <w:color w:val="auto"/>
              </w:rPr>
            </w:pPr>
            <w:r>
              <w:rPr>
                <w:rFonts w:ascii="Arial" w:cs="Arial" w:eastAsia="Arial" w:hAnsi="Arial"/>
                <w:sz w:val="17"/>
                <w:szCs w:val="17"/>
                <w:color w:val="0000FF"/>
              </w:rPr>
              <w:t>NY</w:t>
            </w:r>
          </w:p>
        </w:tc>
        <w:tc>
          <w:tcPr>
            <w:tcW w:w="1420" w:type="dxa"/>
            <w:vAlign w:val="bottom"/>
          </w:tcPr>
          <w:p>
            <w:pPr>
              <w:ind w:left="6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15" w:lineRule="exact"/>
        <w:rPr>
          <w:rFonts w:ascii="Arial" w:cs="Arial" w:eastAsia="Arial" w:hAnsi="Arial"/>
          <w:sz w:val="13"/>
          <w:szCs w:val="13"/>
          <w:color w:val="008000"/>
        </w:rPr>
      </w:pPr>
    </w:p>
    <w:p>
      <w:pPr>
        <w:ind w:left="20" w:right="6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p>
      <w:pPr>
        <w:spacing w:after="0" w:line="29"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and, pursuant to Rule 16a-1(a)</w:t>
      </w:r>
    </w:p>
    <w:p>
      <w:pPr>
        <w:spacing w:after="0" w:line="18" w:lineRule="exact"/>
        <w:rPr>
          <w:rFonts w:ascii="Arial" w:cs="Arial" w:eastAsia="Arial" w:hAnsi="Arial"/>
          <w:sz w:val="12"/>
          <w:szCs w:val="12"/>
          <w:color w:val="008000"/>
        </w:rPr>
      </w:pPr>
    </w:p>
    <w:p>
      <w:pPr>
        <w:ind w:left="20" w:right="280"/>
        <w:spacing w:after="0" w:line="250" w:lineRule="auto"/>
        <w:rPr>
          <w:rFonts w:ascii="Arial" w:cs="Arial" w:eastAsia="Arial" w:hAnsi="Arial"/>
          <w:sz w:val="12"/>
          <w:szCs w:val="12"/>
          <w:color w:val="008000"/>
        </w:rPr>
      </w:pPr>
      <w:r>
        <w:rPr>
          <w:rFonts w:ascii="Arial" w:cs="Arial" w:eastAsia="Arial" w:hAnsi="Arial"/>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86" w:orient="portrait"/>
          <w:cols w:equalWidth="0" w:num="1">
            <w:col w:w="10900"/>
          </w:cols>
          <w:pgMar w:left="480" w:top="131" w:right="519" w:bottom="0" w:gutter="0" w:footer="0" w:header="0"/>
        </w:sectPr>
      </w:pPr>
    </w:p>
    <w:p>
      <w:pPr>
        <w:spacing w:after="0" w:line="5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0000FF"/>
        </w:rPr>
        <w:t>Jonathan Bram 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61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67"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partner By: /s/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01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Name: Gregg Myers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5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4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GIP III ZEPHYR MIDCO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639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HOLDINGS,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17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Infrastructure GP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90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general partner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60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Infrastructure Investors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4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33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379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0000FF"/>
        </w:rPr>
        <w:t>09/06/2023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09/06/2023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09/06/2023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86" w:orient="portrait"/>
          <w:cols w:equalWidth="0" w:num="2">
            <w:col w:w="8720" w:space="40"/>
            <w:col w:w="2140"/>
          </w:cols>
          <w:pgMar w:left="480" w:top="131" w:right="519" w:bottom="0" w:gutter="0" w:footer="0" w:header="0"/>
          <w:type w:val="continuous"/>
        </w:sectPr>
      </w:pPr>
    </w:p>
    <w:bookmarkStart w:id="2" w:name="page3"/>
    <w:bookmarkEnd w:id="2"/>
    <w:p>
      <w:pPr>
        <w:ind w:left="6540"/>
        <w:spacing w:after="0"/>
        <w:rPr>
          <w:sz w:val="20"/>
          <w:szCs w:val="20"/>
          <w:color w:val="auto"/>
        </w:rPr>
      </w:pPr>
      <w:r>
        <w:rPr>
          <w:rFonts w:ascii="Arial" w:cs="Arial" w:eastAsia="Arial" w:hAnsi="Arial"/>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15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007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0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52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696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093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6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379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687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GROUP LLC By: /s/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23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Stevenson Name: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93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Stevenson Title: VP,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163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Operations &amp;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99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0000FF"/>
        </w:rPr>
        <w:t>09/06/2023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09/06/2023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09/06/2023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80"/>
            <w:col w:w="1440"/>
          </w:cols>
          <w:pgMar w:left="500" w:top="131"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6" Type="http://schemas.openxmlformats.org/officeDocument/2006/relationships/hyperlink" Target="http://www.sec.gov/cgi-bin/browse-edgar?action=getcompany&amp;CIK=0001942977" TargetMode="External"/><Relationship Id="rId18" Type="http://schemas.openxmlformats.org/officeDocument/2006/relationships/hyperlink" Target="http://www.sec.gov/cgi-bin/browse-edgar?action=getcompany&amp;CIK=0001945888" TargetMode="External"/><Relationship Id="rId19" Type="http://schemas.openxmlformats.org/officeDocument/2006/relationships/hyperlink" Target="http://www.sec.gov/cgi-bin/browse-edgar?action=getcompany&amp;CIK=0001752556" TargetMode="External"/><Relationship Id="rId20"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2023-09-06T15:33:53Z</dcterms:created>
  <dcterms:modified xsi:type="dcterms:W3CDTF">2023-09-06T15:33:53Z</dcterms:modified>
</cp:coreProperties>
</file>