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1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6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ONEAL E STANLEY</w:t>
              </w:r>
            </w:hyperlink>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5"/>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Clearway Energy,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3"/>
            <w:vMerge w:val="continue"/>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3"/>
            <w:vMerge w:val="continue"/>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60" w:type="dxa"/>
            <w:vAlign w:val="bottom"/>
            <w:gridSpan w:val="5"/>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(First)</w:t>
            </w:r>
          </w:p>
        </w:tc>
        <w:tc>
          <w:tcPr>
            <w:tcW w:w="700" w:type="dxa"/>
            <w:vAlign w:val="bottom"/>
          </w:tcPr>
          <w:p>
            <w:pPr>
              <w:ind w:left="140"/>
              <w:spacing w:after="0"/>
              <w:rPr>
                <w:sz w:val="20"/>
                <w:szCs w:val="20"/>
                <w:color w:val="auto"/>
              </w:rPr>
            </w:pPr>
            <w:r>
              <w:rPr>
                <w:rFonts w:ascii="Arial" w:cs="Arial" w:eastAsia="Arial" w:hAnsi="Arial"/>
                <w:sz w:val="13"/>
                <w:szCs w:val="13"/>
                <w:color w:val="auto"/>
              </w:rPr>
              <w:t>(Middle)</w:t>
            </w: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60" w:type="dxa"/>
            <w:vAlign w:val="bottom"/>
            <w:gridSpan w:val="5"/>
            <w:vMerge w:val="continue"/>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CLEARWAY ENERGY, INC.</w:t>
            </w: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7"/>
                <w:szCs w:val="17"/>
                <w:color w:val="0000FF"/>
              </w:rPr>
              <w:t>06/01/2020</w:t>
            </w: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3"/>
            <w:vMerge w:val="continue"/>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0" w:type="dxa"/>
            <w:vAlign w:val="bottom"/>
            <w:gridSpan w:val="4"/>
            <w:vMerge w:val="restart"/>
          </w:tcPr>
          <w:p>
            <w:pPr>
              <w:spacing w:after="0"/>
              <w:rPr>
                <w:sz w:val="20"/>
                <w:szCs w:val="20"/>
                <w:color w:val="auto"/>
              </w:rPr>
            </w:pPr>
            <w:r>
              <w:rPr>
                <w:rFonts w:ascii="Arial" w:cs="Arial" w:eastAsia="Arial" w:hAnsi="Arial"/>
                <w:sz w:val="17"/>
                <w:szCs w:val="17"/>
                <w:color w:val="0000FF"/>
              </w:rPr>
              <w:t>300 CARNEGIE CENTER, SUITE 300</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gridSpan w:val="4"/>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500" w:type="dxa"/>
            <w:vAlign w:val="bottom"/>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500" w:type="dxa"/>
            <w:vAlign w:val="bottom"/>
            <w:gridSpan w:val="6"/>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Arial" w:cs="Arial" w:eastAsia="Arial" w:hAnsi="Arial"/>
                <w:sz w:val="17"/>
                <w:szCs w:val="17"/>
                <w:color w:val="0000FF"/>
              </w:rPr>
              <w:t>PRINCETON   NJ</w:t>
            </w:r>
          </w:p>
        </w:tc>
        <w:tc>
          <w:tcPr>
            <w:tcW w:w="86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Arial" w:cs="Arial" w:eastAsia="Arial" w:hAnsi="Arial"/>
                <w:sz w:val="17"/>
                <w:szCs w:val="17"/>
                <w:color w:val="0000FF"/>
              </w:rPr>
              <w:t>08540</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820" w:type="dxa"/>
            <w:vAlign w:val="bottom"/>
            <w:tcBorders>
              <w:bottom w:val="single" w:sz="8" w:color="2C2C2C"/>
            </w:tcBorders>
            <w:gridSpan w:val="8"/>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8"/>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20" w:type="dxa"/>
            <w:vAlign w:val="bottom"/>
            <w:gridSpan w:val="4"/>
          </w:tcPr>
          <w:p>
            <w:pPr>
              <w:ind w:left="1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5"/>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5"/>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20" w:type="dxa"/>
            <w:vAlign w:val="bottom"/>
            <w:gridSpan w:val="4"/>
            <w:vMerge w:val="restart"/>
          </w:tcPr>
          <w:p>
            <w:pPr>
              <w:jc w:val="right"/>
              <w:ind w:right="57"/>
              <w:spacing w:after="0"/>
              <w:rPr>
                <w:sz w:val="20"/>
                <w:szCs w:val="20"/>
                <w:color w:val="auto"/>
              </w:rPr>
            </w:pPr>
            <w:r>
              <w:rPr>
                <w:rFonts w:ascii="Arial" w:cs="Arial" w:eastAsia="Arial" w:hAnsi="Arial"/>
                <w:sz w:val="17"/>
                <w:szCs w:val="17"/>
                <w:color w:val="0000FF"/>
              </w:rPr>
              <w:t>06/01/2020</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20" w:type="dxa"/>
            <w:vAlign w:val="bottom"/>
            <w:vMerge w:val="restart"/>
          </w:tcPr>
          <w:p>
            <w:pPr>
              <w:jc w:val="right"/>
              <w:spacing w:after="0"/>
              <w:rPr>
                <w:sz w:val="20"/>
                <w:szCs w:val="20"/>
                <w:color w:val="auto"/>
              </w:rPr>
            </w:pPr>
            <w:r>
              <w:rPr>
                <w:rFonts w:ascii="Arial" w:cs="Arial" w:eastAsia="Arial" w:hAnsi="Arial"/>
                <w:sz w:val="17"/>
                <w:szCs w:val="17"/>
                <w:color w:val="0000FF"/>
              </w:rPr>
              <w:t>8,613</w:t>
            </w:r>
            <w:r>
              <w:rPr>
                <w:rFonts w:ascii="Arial" w:cs="Arial" w:eastAsia="Arial" w:hAnsi="Arial"/>
                <w:sz w:val="22"/>
                <w:szCs w:val="22"/>
                <w:color w:val="008000"/>
                <w:vertAlign w:val="superscript"/>
              </w:rPr>
              <w:t>(1)</w:t>
            </w:r>
          </w:p>
        </w:tc>
        <w:tc>
          <w:tcPr>
            <w:tcW w:w="440" w:type="dxa"/>
            <w:vAlign w:val="bottom"/>
            <w:vMerge w:val="restart"/>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3"/>
            <w:vMerge w:val="restart"/>
          </w:tcPr>
          <w:p>
            <w:pPr>
              <w:ind w:left="180"/>
              <w:spacing w:after="0"/>
              <w:rPr>
                <w:sz w:val="20"/>
                <w:szCs w:val="20"/>
                <w:color w:val="auto"/>
              </w:rPr>
            </w:pPr>
            <w:r>
              <w:rPr>
                <w:rFonts w:ascii="Arial" w:cs="Arial" w:eastAsia="Arial" w:hAnsi="Arial"/>
                <w:sz w:val="11"/>
                <w:szCs w:val="11"/>
                <w:color w:val="008000"/>
              </w:rPr>
              <w:t>(2)</w:t>
            </w:r>
          </w:p>
        </w:tc>
        <w:tc>
          <w:tcPr>
            <w:tcW w:w="180" w:type="dxa"/>
            <w:vAlign w:val="bottom"/>
          </w:tcPr>
          <w:p>
            <w:pPr>
              <w:spacing w:after="0"/>
              <w:rPr>
                <w:sz w:val="22"/>
                <w:szCs w:val="22"/>
                <w:color w:val="auto"/>
              </w:rPr>
            </w:pPr>
          </w:p>
        </w:tc>
        <w:tc>
          <w:tcPr>
            <w:tcW w:w="1200" w:type="dxa"/>
            <w:vAlign w:val="bottom"/>
            <w:gridSpan w:val="2"/>
            <w:vMerge w:val="restart"/>
          </w:tcPr>
          <w:p>
            <w:pPr>
              <w:jc w:val="right"/>
              <w:ind w:right="320"/>
              <w:spacing w:after="0"/>
              <w:rPr>
                <w:sz w:val="20"/>
                <w:szCs w:val="20"/>
                <w:color w:val="auto"/>
              </w:rPr>
            </w:pPr>
            <w:r>
              <w:rPr>
                <w:rFonts w:ascii="Arial" w:cs="Arial" w:eastAsia="Arial" w:hAnsi="Arial"/>
                <w:sz w:val="17"/>
                <w:szCs w:val="17"/>
                <w:color w:val="0000FF"/>
              </w:rPr>
              <w:t>23,083</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gridSpan w:val="4"/>
            <w:vMerge w:val="continue"/>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00" w:type="dxa"/>
            <w:vAlign w:val="bottom"/>
            <w:tcBorders>
              <w:bottom w:val="single" w:sz="8" w:color="2C2C2C"/>
            </w:tcBorders>
            <w:gridSpan w:val="5"/>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5"/>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20" w:type="dxa"/>
            <w:vAlign w:val="bottom"/>
            <w:gridSpan w:val="4"/>
            <w:vMerge w:val="restart"/>
          </w:tcPr>
          <w:p>
            <w:pPr>
              <w:jc w:val="right"/>
              <w:ind w:right="57"/>
              <w:spacing w:after="0"/>
              <w:rPr>
                <w:sz w:val="20"/>
                <w:szCs w:val="20"/>
                <w:color w:val="auto"/>
              </w:rPr>
            </w:pPr>
            <w:r>
              <w:rPr>
                <w:rFonts w:ascii="Arial" w:cs="Arial" w:eastAsia="Arial" w:hAnsi="Arial"/>
                <w:sz w:val="17"/>
                <w:szCs w:val="17"/>
                <w:color w:val="0000FF"/>
              </w:rPr>
              <w:t>06/01/2020</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20" w:type="dxa"/>
            <w:vAlign w:val="bottom"/>
            <w:vMerge w:val="restart"/>
          </w:tcPr>
          <w:p>
            <w:pPr>
              <w:jc w:val="right"/>
              <w:ind w:right="93"/>
              <w:spacing w:after="0"/>
              <w:rPr>
                <w:sz w:val="20"/>
                <w:szCs w:val="20"/>
                <w:color w:val="auto"/>
              </w:rPr>
            </w:pPr>
            <w:r>
              <w:rPr>
                <w:rFonts w:ascii="Arial" w:cs="Arial" w:eastAsia="Arial" w:hAnsi="Arial"/>
                <w:sz w:val="17"/>
                <w:szCs w:val="17"/>
                <w:color w:val="0000FF"/>
              </w:rPr>
              <w:t>198</w:t>
            </w:r>
          </w:p>
        </w:tc>
        <w:tc>
          <w:tcPr>
            <w:tcW w:w="440" w:type="dxa"/>
            <w:vAlign w:val="bottom"/>
            <w:vMerge w:val="restart"/>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3"/>
            <w:vMerge w:val="restart"/>
          </w:tcPr>
          <w:p>
            <w:pPr>
              <w:ind w:left="180"/>
              <w:spacing w:after="0"/>
              <w:rPr>
                <w:sz w:val="20"/>
                <w:szCs w:val="20"/>
                <w:color w:val="auto"/>
              </w:rPr>
            </w:pPr>
            <w:r>
              <w:rPr>
                <w:rFonts w:ascii="Arial" w:cs="Arial" w:eastAsia="Arial" w:hAnsi="Arial"/>
                <w:sz w:val="11"/>
                <w:szCs w:val="11"/>
                <w:color w:val="008000"/>
              </w:rPr>
              <w:t>(3)</w:t>
            </w:r>
          </w:p>
        </w:tc>
        <w:tc>
          <w:tcPr>
            <w:tcW w:w="180" w:type="dxa"/>
            <w:vAlign w:val="bottom"/>
          </w:tcPr>
          <w:p>
            <w:pPr>
              <w:spacing w:after="0"/>
              <w:rPr>
                <w:sz w:val="22"/>
                <w:szCs w:val="22"/>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7"/>
                <w:szCs w:val="17"/>
                <w:color w:val="0000FF"/>
              </w:rPr>
              <w:t>23,281</w:t>
            </w:r>
            <w:r>
              <w:rPr>
                <w:rFonts w:ascii="Arial" w:cs="Arial" w:eastAsia="Arial" w:hAnsi="Arial"/>
                <w:sz w:val="22"/>
                <w:szCs w:val="22"/>
                <w:color w:val="008000"/>
                <w:vertAlign w:val="superscript"/>
              </w:rPr>
              <w:t>(4)</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gridSpan w:val="4"/>
            <w:vMerge w:val="continue"/>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408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3"/>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-3364865</wp:posOffset>
            </wp:positionV>
            <wp:extent cx="7031355" cy="3409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409950"/>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8,613 Deferred Stock Units issued to the reporting person under Clearway Energy, Inc.'s Amended and Restated 2013 Equity Incentive Plan.</w:t>
      </w:r>
    </w:p>
    <w:p>
      <w:pPr>
        <w:spacing w:after="0" w:line="50" w:lineRule="exact"/>
        <w:rPr>
          <w:rFonts w:ascii="Arial" w:cs="Arial" w:eastAsia="Arial" w:hAnsi="Arial"/>
          <w:sz w:val="13"/>
          <w:szCs w:val="13"/>
          <w:color w:val="008000"/>
        </w:rPr>
      </w:pPr>
    </w:p>
    <w:p>
      <w:pPr>
        <w:ind w:left="40" w:right="18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Deferred Stock Unit is equivalent in value to one share of Clearway Energy, Inc.'s Class C Common Stock, par value $.01 per share. The Reporting Person will receive from Clearway Energy, Inc. one such share of Class C Common Stock for each Deferred Stock Unit he owns upon termination of his service on Clearway Energy, Inc.'s Board of Directors.</w:t>
      </w:r>
    </w:p>
    <w:p>
      <w:pPr>
        <w:spacing w:after="0" w:line="15" w:lineRule="exact"/>
        <w:rPr>
          <w:rFonts w:ascii="Arial" w:cs="Arial" w:eastAsia="Arial" w:hAnsi="Arial"/>
          <w:sz w:val="13"/>
          <w:szCs w:val="13"/>
          <w:color w:val="008000"/>
        </w:rPr>
      </w:pPr>
    </w:p>
    <w:p>
      <w:pPr>
        <w:ind w:left="40" w:right="6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dividend equivalent rights accrued on the Reporting Person's Deferred Stock Units, which become exercisable proportionately with the Deferred Stock Units to which they relate and mayonly be settled in Class C Common Stock of Clearway Energy, Inc.</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723 dividend equivalent rights that may only be settled in Class C Common Stock.</w:t>
      </w:r>
    </w:p>
    <w:p>
      <w:pPr>
        <w:spacing w:after="0" w:line="6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Michael A. Brown, as</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06/03/2020</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560" w:type="dxa"/>
            <w:vAlign w:val="bottom"/>
            <w:tcBorders>
              <w:top w:val="single" w:sz="8" w:color="auto"/>
            </w:tcBorders>
            <w:vMerge w:val="restart"/>
          </w:tcPr>
          <w:p>
            <w:pPr>
              <w:spacing w:after="0"/>
              <w:rPr>
                <w:sz w:val="7"/>
                <w:szCs w:val="7"/>
                <w:color w:val="auto"/>
              </w:rPr>
            </w:pPr>
          </w:p>
        </w:tc>
        <w:tc>
          <w:tcPr>
            <w:tcW w:w="3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560" w:type="dxa"/>
            <w:vAlign w:val="bottom"/>
            <w:tcBorders>
              <w:top w:val="single" w:sz="8" w:color="auto"/>
            </w:tcBorders>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82337"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2020-06-03T15:27:55Z</dcterms:created>
  <dcterms:modified xsi:type="dcterms:W3CDTF">2020-06-03T15:27:55Z</dcterms:modified>
</cp:coreProperties>
</file>