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83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3438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Cornelius Craig</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05" w:lineRule="exact"/>
        <w:rPr>
          <w:sz w:val="24"/>
          <w:szCs w:val="24"/>
          <w:color w:val="auto"/>
        </w:rPr>
      </w:pPr>
    </w:p>
    <w:p>
      <w:pPr>
        <w:sectPr>
          <w:pgSz w:w="11900" w:h="16838" w:orient="portrait"/>
          <w:cols w:equalWidth="0" w:num="3">
            <w:col w:w="3180" w:space="720"/>
            <w:col w:w="3100" w:space="720"/>
            <w:col w:w="3360"/>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08540</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04/15/2025</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1"/>
              </w:rPr>
              <w:t>30,100</w:t>
            </w:r>
            <w:r>
              <w:rPr>
                <w:rFonts w:ascii="Times New Roman" w:cs="Times New Roman" w:eastAsia="Times New Roman" w:hAnsi="Times New Roman"/>
                <w:sz w:val="21"/>
                <w:szCs w:val="21"/>
                <w:color w:val="008000"/>
                <w:w w:val="91"/>
                <w:vertAlign w:val="superscript"/>
              </w:rPr>
              <w:t>(1)</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394,254</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8"/>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6"/>
          </w:tcPr>
          <w:p>
            <w:pPr>
              <w:jc w:val="center"/>
              <w:ind w:left="7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12"/>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45,150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30,100</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04/15/2025</w:t>
            </w: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30,100</w:t>
            </w:r>
          </w:p>
        </w:tc>
        <w:tc>
          <w:tcPr>
            <w:tcW w:w="3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04/15/2028</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04/15/2028</w:t>
            </w: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gridSpan w:val="2"/>
          </w:tcPr>
          <w:p>
            <w:pPr>
              <w:ind w:left="8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45,150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30,100</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04/15/2025</w:t>
            </w: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30,100</w:t>
            </w:r>
          </w:p>
        </w:tc>
        <w:tc>
          <w:tcPr>
            <w:tcW w:w="3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04/15/2028</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04/15/2028</w:t>
            </w: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gridSpan w:val="2"/>
          </w:tcPr>
          <w:p>
            <w:pPr>
              <w:ind w:left="8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980"/>
        <w:spacing w:after="0"/>
        <w:rPr>
          <w:sz w:val="20"/>
          <w:szCs w:val="20"/>
          <w:color w:val="auto"/>
        </w:rPr>
      </w:pPr>
      <w:r>
        <w:rPr>
          <w:rFonts w:ascii="Times New Roman" w:cs="Times New Roman" w:eastAsia="Times New Roman" w:hAnsi="Times New Roman"/>
          <w:sz w:val="13"/>
          <w:szCs w:val="13"/>
          <w:color w:val="0000FF"/>
        </w:rPr>
        <w:t>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Unites ("RSUs") issued to Mr. Cornelius by Clearway Energy, Inc. (f/k/a NRG Yield, Inc.) under Clearway Energy Inc.'s Amended and Restated 2013 Equity Incentive Plan (the "LTIP").</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9" w:lineRule="exact"/>
        <w:rPr>
          <w:rFonts w:ascii="Times New Roman" w:cs="Times New Roman" w:eastAsia="Times New Roman" w:hAnsi="Times New Roman"/>
          <w:sz w:val="13"/>
          <w:szCs w:val="13"/>
          <w:color w:val="008000"/>
        </w:rPr>
      </w:pPr>
    </w:p>
    <w:p>
      <w:pPr>
        <w:jc w:val="both"/>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30,100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6" w:lineRule="exact"/>
        <w:rPr>
          <w:rFonts w:ascii="Times New Roman" w:cs="Times New Roman" w:eastAsia="Times New Roman" w:hAnsi="Times New Roman"/>
          <w:sz w:val="13"/>
          <w:szCs w:val="13"/>
          <w:color w:val="008000"/>
        </w:rPr>
      </w:pPr>
    </w:p>
    <w:p>
      <w:pPr>
        <w:ind w:left="40" w:right="28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45,150 shares of Class C Common Stock if Company's TSR is ranked at or above the 75th percentile relative to a peer group of companies approved by the Company's Compensation Committee (the "Peer Group") for the performance period ("Maximum"); (ii) 30,100 shares of Class C Common Stock if Company's TSR is ranked at the 50th percentile relative to the Peer Group for the performance period (the "Target"); or (iii) 7,525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30,100 shares of Class C Common Stock. The Reporting Person will not receive any shares of Common Stock if Company's TSR is below the 25th percentile.</w:t>
      </w:r>
    </w:p>
    <w:p>
      <w:pPr>
        <w:spacing w:after="0" w:line="28"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30,100 CAFD (Cash Available For Distribution) Performance Stock Units ("CPSUs") by Clearway Energy, Inc. under the LTIP on April 15, 2025. The CPSUs will convert to shares of Clearway Energy, Inc. Class C Common Stock on April 15, 2028 only in the event the Company has achieved a certain level of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45,150 shares of Class C Common Stock if Company's CAFD Per Share is ranked at or above $2.46 for the performance period ("Maximum"); (ii) 30,100 shares of Class C Common Stock if the Company's CAFD Per Share is ranked at $2.33; or (iii) 7,525 shares of Common Stock if Company's CAFD Per Share is ranked at $2.18 (the "Threshold"). The Reporting Person will not receive any shares of Class C Common Stock if the Company's CAFD Per Share is below $2.18.</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Kevin P. Malcarney,</w:t>
            </w:r>
          </w:p>
        </w:tc>
        <w:tc>
          <w:tcPr>
            <w:tcW w:w="48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04/17/2025</w:t>
            </w:r>
          </w:p>
        </w:tc>
        <w:tc>
          <w:tcPr>
            <w:tcW w:w="0" w:type="dxa"/>
            <w:vAlign w:val="bottom"/>
          </w:tcPr>
          <w:p>
            <w:pPr>
              <w:spacing w:after="0"/>
              <w:rPr>
                <w:sz w:val="1"/>
                <w:szCs w:val="1"/>
                <w:color w:val="auto"/>
              </w:rPr>
            </w:pPr>
          </w:p>
        </w:tc>
      </w:tr>
      <w:tr>
        <w:trPr>
          <w:trHeight w:val="82"/>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579" w:firstLine="1"/>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2025-04-17T16:59:12Z</dcterms:created>
  <dcterms:modified xsi:type="dcterms:W3CDTF">2025-04-17T16:59:12Z</dcterms:modified>
</cp:coreProperties>
</file>