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695325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661670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580" w:hanging="358"/>
        <w:spacing w:after="0"/>
        <w:tabs>
          <w:tab w:leader="none" w:pos="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30" w:lineRule="exact"/>
        <w:rPr>
          <w:sz w:val="24"/>
          <w:szCs w:val="24"/>
          <w:color w:val="auto"/>
        </w:rPr>
      </w:pPr>
    </w:p>
    <w:p>
      <w:pPr>
        <w:ind w:left="540" w:hanging="334"/>
        <w:spacing w:after="0"/>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001-36002</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Clearway Energy, Inc.</w:t>
      </w:r>
    </w:p>
    <w:p>
      <w:pPr>
        <w:spacing w:after="0" w:line="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2720" w:type="dxa"/>
            <w:vAlign w:val="bottom"/>
          </w:tcPr>
          <w:p>
            <w:pPr>
              <w:spacing w:after="0"/>
              <w:rPr>
                <w:sz w:val="15"/>
                <w:szCs w:val="15"/>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900" w:type="dxa"/>
            <w:vAlign w:val="bottom"/>
          </w:tcPr>
          <w:p>
            <w:pPr>
              <w:spacing w:after="0"/>
              <w:rPr>
                <w:sz w:val="15"/>
                <w:szCs w:val="15"/>
                <w:color w:val="auto"/>
              </w:rPr>
            </w:pPr>
          </w:p>
        </w:tc>
      </w:tr>
      <w:tr>
        <w:trPr>
          <w:trHeight w:val="182"/>
        </w:trPr>
        <w:tc>
          <w:tcPr>
            <w:tcW w:w="2720" w:type="dxa"/>
            <w:vAlign w:val="bottom"/>
          </w:tcPr>
          <w:p>
            <w:pPr>
              <w:jc w:val="center"/>
              <w:ind w:right="76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3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90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46-1777204</w:t>
            </w:r>
          </w:p>
        </w:tc>
      </w:tr>
      <w:tr>
        <w:trPr>
          <w:trHeight w:val="149"/>
        </w:trPr>
        <w:tc>
          <w:tcPr>
            <w:tcW w:w="2720" w:type="dxa"/>
            <w:vAlign w:val="bottom"/>
          </w:tcPr>
          <w:p>
            <w:pPr>
              <w:jc w:val="center"/>
              <w:ind w:right="769"/>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900" w:type="dxa"/>
            <w:vAlign w:val="bottom"/>
          </w:tcPr>
          <w:p>
            <w:pPr>
              <w:jc w:val="center"/>
              <w:ind w:left="269"/>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720" w:type="dxa"/>
            <w:vAlign w:val="bottom"/>
          </w:tcPr>
          <w:p>
            <w:pPr>
              <w:jc w:val="center"/>
              <w:ind w:right="769"/>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13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0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219"/>
        </w:trPr>
        <w:tc>
          <w:tcPr>
            <w:tcW w:w="2720" w:type="dxa"/>
            <w:vAlign w:val="bottom"/>
          </w:tcPr>
          <w:p>
            <w:pPr>
              <w:jc w:val="center"/>
              <w:ind w:right="789"/>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Princeton</w:t>
            </w:r>
          </w:p>
        </w:tc>
        <w:tc>
          <w:tcPr>
            <w:tcW w:w="25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New Jersey</w:t>
            </w:r>
          </w:p>
        </w:tc>
        <w:tc>
          <w:tcPr>
            <w:tcW w:w="2900" w:type="dxa"/>
            <w:vAlign w:val="bottom"/>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08540</w:t>
            </w:r>
          </w:p>
        </w:tc>
      </w:tr>
      <w:tr>
        <w:trPr>
          <w:trHeight w:val="184"/>
        </w:trPr>
        <w:tc>
          <w:tcPr>
            <w:tcW w:w="404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80" w:type="dxa"/>
            <w:vAlign w:val="bottom"/>
          </w:tcPr>
          <w:p>
            <w:pPr>
              <w:spacing w:after="0"/>
              <w:rPr>
                <w:sz w:val="16"/>
                <w:szCs w:val="16"/>
                <w:color w:val="auto"/>
              </w:rPr>
            </w:pPr>
          </w:p>
        </w:tc>
        <w:tc>
          <w:tcPr>
            <w:tcW w:w="29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(Zip Code)</w:t>
            </w:r>
          </w:p>
        </w:tc>
      </w:tr>
      <w:tr>
        <w:trPr>
          <w:trHeight w:val="400"/>
        </w:trPr>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rPr>
              <w:t>(609) 608-1525</w:t>
            </w:r>
          </w:p>
        </w:tc>
        <w:tc>
          <w:tcPr>
            <w:tcW w:w="2900" w:type="dxa"/>
            <w:vAlign w:val="bottom"/>
          </w:tcPr>
          <w:p>
            <w:pPr>
              <w:spacing w:after="0"/>
              <w:rPr>
                <w:sz w:val="24"/>
                <w:szCs w:val="24"/>
                <w:color w:val="auto"/>
              </w:rPr>
            </w:pPr>
          </w:p>
        </w:tc>
      </w:tr>
      <w:tr>
        <w:trPr>
          <w:trHeight w:val="184"/>
        </w:trPr>
        <w:tc>
          <w:tcPr>
            <w:tcW w:w="2720" w:type="dxa"/>
            <w:vAlign w:val="bottom"/>
          </w:tcPr>
          <w:p>
            <w:pPr>
              <w:spacing w:after="0"/>
              <w:rPr>
                <w:sz w:val="16"/>
                <w:szCs w:val="16"/>
                <w:color w:val="auto"/>
              </w:rPr>
            </w:pPr>
          </w:p>
        </w:tc>
        <w:tc>
          <w:tcPr>
            <w:tcW w:w="3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900" w:type="dxa"/>
            <w:vAlign w:val="bottom"/>
          </w:tcPr>
          <w:p>
            <w:pPr>
              <w:spacing w:after="0"/>
              <w:rPr>
                <w:sz w:val="16"/>
                <w:szCs w:val="16"/>
                <w:color w:val="auto"/>
              </w:rPr>
            </w:pPr>
          </w:p>
        </w:tc>
      </w:tr>
      <w:tr>
        <w:trPr>
          <w:trHeight w:val="255"/>
        </w:trPr>
        <w:tc>
          <w:tcPr>
            <w:tcW w:w="2720" w:type="dxa"/>
            <w:vAlign w:val="bottom"/>
          </w:tcPr>
          <w:p>
            <w:pPr>
              <w:spacing w:after="0"/>
              <w:rPr>
                <w:sz w:val="22"/>
                <w:szCs w:val="22"/>
                <w:color w:val="auto"/>
              </w:rPr>
            </w:pPr>
          </w:p>
        </w:tc>
        <w:tc>
          <w:tcPr>
            <w:tcW w:w="39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00" w:type="dxa"/>
            <w:vAlign w:val="bottom"/>
          </w:tcPr>
          <w:p>
            <w:pPr>
              <w:spacing w:after="0"/>
              <w:rPr>
                <w:sz w:val="22"/>
                <w:szCs w:val="22"/>
                <w:color w:val="auto"/>
              </w:rPr>
            </w:pPr>
          </w:p>
        </w:tc>
      </w:tr>
      <w:tr>
        <w:trPr>
          <w:trHeight w:val="198"/>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20" w:type="dxa"/>
            <w:vAlign w:val="bottom"/>
          </w:tcPr>
          <w:p>
            <w:pPr>
              <w:spacing w:after="0"/>
              <w:rPr>
                <w:sz w:val="17"/>
                <w:szCs w:val="17"/>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90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0"/>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1320" w:type="dxa"/>
            <w:vAlign w:val="bottom"/>
          </w:tcPr>
          <w:p>
            <w:pPr>
              <w:spacing w:after="0"/>
              <w:rPr>
                <w:sz w:val="15"/>
                <w:szCs w:val="15"/>
                <w:color w:val="auto"/>
              </w:rPr>
            </w:pPr>
          </w:p>
        </w:tc>
        <w:tc>
          <w:tcPr>
            <w:tcW w:w="2580" w:type="dxa"/>
            <w:vAlign w:val="bottom"/>
          </w:tcPr>
          <w:p>
            <w:pPr>
              <w:jc w:val="center"/>
              <w:ind w:right="1189"/>
              <w:spacing w:after="0"/>
              <w:rPr>
                <w:sz w:val="20"/>
                <w:szCs w:val="20"/>
                <w:color w:val="auto"/>
              </w:rPr>
            </w:pPr>
            <w:r>
              <w:rPr>
                <w:rFonts w:ascii="Times New Roman" w:cs="Times New Roman" w:eastAsia="Times New Roman" w:hAnsi="Times New Roman"/>
                <w:sz w:val="14"/>
                <w:szCs w:val="14"/>
                <w:color w:val="auto"/>
              </w:rPr>
              <w:t>CWEN.A</w:t>
            </w:r>
          </w:p>
        </w:tc>
        <w:tc>
          <w:tcPr>
            <w:tcW w:w="29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84"/>
        </w:trPr>
        <w:tc>
          <w:tcPr>
            <w:tcW w:w="2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Class C Common Stock, par value $0.01</w:t>
            </w:r>
          </w:p>
        </w:tc>
        <w:tc>
          <w:tcPr>
            <w:tcW w:w="1320" w:type="dxa"/>
            <w:vAlign w:val="bottom"/>
          </w:tcPr>
          <w:p>
            <w:pPr>
              <w:spacing w:after="0"/>
              <w:rPr>
                <w:sz w:val="16"/>
                <w:szCs w:val="16"/>
                <w:color w:val="auto"/>
              </w:rPr>
            </w:pPr>
          </w:p>
        </w:tc>
        <w:tc>
          <w:tcPr>
            <w:tcW w:w="258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CWEN</w:t>
            </w:r>
          </w:p>
        </w:tc>
        <w:tc>
          <w:tcPr>
            <w:tcW w:w="290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138"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ind w:right="-19"/>
        <w:spacing w:after="0" w:line="150" w:lineRule="exact"/>
        <w:tabs>
          <w:tab w:leader="none" w:pos="20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spacing w:after="0" w:line="91"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ind w:right="-19"/>
        <w:spacing w:after="0" w:line="150" w:lineRule="exact"/>
        <w:tabs>
          <w:tab w:leader="none" w:pos="18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spacing w:after="0" w:line="91"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2120" w:type="dxa"/>
            <w:vAlign w:val="bottom"/>
          </w:tcPr>
          <w:p>
            <w:pPr>
              <w:jc w:val="center"/>
              <w:ind w:right="789"/>
              <w:spacing w:after="0"/>
              <w:rPr>
                <w:sz w:val="20"/>
                <w:szCs w:val="20"/>
                <w:color w:val="auto"/>
              </w:rPr>
            </w:pPr>
            <w:r>
              <w:rPr>
                <w:rFonts w:ascii="Times New Roman" w:cs="Times New Roman" w:eastAsia="Times New Roman" w:hAnsi="Times New Roman"/>
                <w:sz w:val="14"/>
                <w:szCs w:val="14"/>
                <w:color w:val="auto"/>
              </w:rPr>
              <w:t>Large accelerated filer</w:t>
            </w:r>
          </w:p>
        </w:tc>
        <w:tc>
          <w:tcPr>
            <w:tcW w:w="16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jc w:val="center"/>
              <w:ind w:right="809"/>
              <w:spacing w:after="0"/>
              <w:rPr>
                <w:sz w:val="20"/>
                <w:szCs w:val="20"/>
                <w:color w:val="auto"/>
              </w:rPr>
            </w:pPr>
            <w:r>
              <w:rPr>
                <w:rFonts w:ascii="Times New Roman" w:cs="Times New Roman" w:eastAsia="Times New Roman" w:hAnsi="Times New Roman"/>
                <w:sz w:val="14"/>
                <w:szCs w:val="14"/>
                <w:color w:val="auto"/>
              </w:rPr>
              <w:t>Non-accelerated filer</w:t>
            </w:r>
          </w:p>
        </w:tc>
        <w:tc>
          <w:tcPr>
            <w:tcW w:w="16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8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7" w:lineRule="exact"/>
        <w:rPr>
          <w:sz w:val="24"/>
          <w:szCs w:val="24"/>
          <w:color w:val="auto"/>
        </w:rPr>
      </w:pPr>
    </w:p>
    <w:p>
      <w:pPr>
        <w:ind w:firstLine="255"/>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7" w:lineRule="exact"/>
        <w:rPr>
          <w:sz w:val="24"/>
          <w:szCs w:val="24"/>
          <w:color w:val="auto"/>
        </w:rPr>
      </w:pPr>
    </w:p>
    <w:p>
      <w:pPr>
        <w:jc w:val="right"/>
        <w:ind w:left="220" w:right="5200"/>
        <w:spacing w:after="0" w:line="21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ind w:firstLine="223"/>
        <w:spacing w:after="0" w:line="235" w:lineRule="auto"/>
        <w:rPr>
          <w:sz w:val="20"/>
          <w:szCs w:val="20"/>
          <w:color w:val="auto"/>
        </w:rPr>
      </w:pPr>
      <w:r>
        <w:rPr>
          <w:rFonts w:ascii="Times New Roman" w:cs="Times New Roman" w:eastAsia="Times New Roman" w:hAnsi="Times New Roman"/>
          <w:sz w:val="13"/>
          <w:szCs w:val="13"/>
          <w:color w:val="auto"/>
        </w:rPr>
        <w:t>As of October 28, 2024, there were 34,613,853 shares of Class A common stock outstanding, par value $0.01 per share, 42,738,750 shares of Class B common stock outstanding, par value $0.01 per share, 82,831,652 shares of Class C common stock outstanding, par value $0.01 per share, and 41,961,750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623570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w w:val="99"/>
              </w:rPr>
              <w:t>CAUTIONARY STATEMENT REGARDING FORWARD LOOKING INFORMATION</w:t>
            </w:r>
          </w:p>
        </w:tc>
        <w:tc>
          <w:tcPr>
            <w:tcW w:w="2460" w:type="dxa"/>
            <w:vAlign w:val="bottom"/>
            <w:gridSpan w:val="3"/>
          </w:tcPr>
          <w:p>
            <w:pPr>
              <w:spacing w:after="0"/>
              <w:rPr>
                <w:sz w:val="13"/>
                <w:szCs w:val="13"/>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w:t>
            </w:r>
          </w:p>
        </w:tc>
      </w:tr>
      <w:tr>
        <w:trPr>
          <w:trHeight w:val="20"/>
        </w:trPr>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60"/>
        </w:trPr>
        <w:tc>
          <w:tcPr>
            <w:tcW w:w="5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GLOSSARY OF TERMS</w:t>
            </w:r>
          </w:p>
        </w:tc>
        <w:tc>
          <w:tcPr>
            <w:tcW w:w="2460" w:type="dxa"/>
            <w:vAlign w:val="bottom"/>
            <w:gridSpan w:val="3"/>
          </w:tcPr>
          <w:p>
            <w:pPr>
              <w:spacing w:after="0"/>
              <w:rPr>
                <w:sz w:val="13"/>
                <w:szCs w:val="13"/>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w:t>
            </w:r>
          </w:p>
        </w:tc>
      </w:tr>
      <w:tr>
        <w:trPr>
          <w:trHeight w:val="20"/>
        </w:trPr>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60"/>
        </w:trPr>
        <w:tc>
          <w:tcPr>
            <w:tcW w:w="25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FF"/>
                <w:w w:val="99"/>
              </w:rPr>
              <w:t>PART I — FINANCIAL INFORMATION</w:t>
            </w:r>
          </w:p>
        </w:tc>
        <w:tc>
          <w:tcPr>
            <w:tcW w:w="5260" w:type="dxa"/>
            <w:vAlign w:val="bottom"/>
            <w:gridSpan w:val="7"/>
          </w:tcPr>
          <w:p>
            <w:pPr>
              <w:spacing w:after="0"/>
              <w:rPr>
                <w:sz w:val="13"/>
                <w:szCs w:val="13"/>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1 — FINANCIAL STATEMENTS AND NOTES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7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ITEM 2 — MANAGEMENT’S DISCUSSION AND ANALYSIS OF FINANCIAL CONDITION AND RESULTS OF OPERATIONS</w:t>
            </w: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35</w:t>
            </w:r>
          </w:p>
        </w:tc>
      </w:tr>
      <w:tr>
        <w:trPr>
          <w:trHeight w:val="160"/>
        </w:trPr>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3 — QUANTITATIVE AND QUALITATIVE DISCLOSURES ABOUT MARKET RISK</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r>
      <w:tr>
        <w:trPr>
          <w:trHeight w:val="160"/>
        </w:trPr>
        <w:tc>
          <w:tcPr>
            <w:tcW w:w="160" w:type="dxa"/>
            <w:vAlign w:val="bottom"/>
          </w:tcPr>
          <w:p>
            <w:pPr>
              <w:spacing w:after="0"/>
              <w:rPr>
                <w:sz w:val="13"/>
                <w:szCs w:val="13"/>
                <w:color w:val="auto"/>
              </w:rPr>
            </w:pPr>
          </w:p>
        </w:tc>
        <w:tc>
          <w:tcPr>
            <w:tcW w:w="54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ITEM 4 — CONTROLS AND PROCEDURES</w:t>
            </w:r>
          </w:p>
        </w:tc>
        <w:tc>
          <w:tcPr>
            <w:tcW w:w="21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55</w:t>
            </w: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60"/>
        </w:trPr>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5500" w:type="dxa"/>
            <w:vAlign w:val="bottom"/>
            <w:gridSpan w:val="8"/>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56</w:t>
            </w:r>
          </w:p>
        </w:tc>
      </w:tr>
      <w:tr>
        <w:trPr>
          <w:trHeight w:val="160"/>
        </w:trPr>
        <w:tc>
          <w:tcPr>
            <w:tcW w:w="160" w:type="dxa"/>
            <w:vAlign w:val="bottom"/>
          </w:tcPr>
          <w:p>
            <w:pPr>
              <w:spacing w:after="0"/>
              <w:rPr>
                <w:sz w:val="13"/>
                <w:szCs w:val="13"/>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 — LEGAL PROCEEDINGS</w:t>
            </w:r>
          </w:p>
        </w:tc>
        <w:tc>
          <w:tcPr>
            <w:tcW w:w="5520" w:type="dxa"/>
            <w:vAlign w:val="bottom"/>
            <w:gridSpan w:val="9"/>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56</w:t>
            </w:r>
          </w:p>
        </w:tc>
      </w:tr>
      <w:tr>
        <w:trPr>
          <w:trHeight w:val="160"/>
        </w:trPr>
        <w:tc>
          <w:tcPr>
            <w:tcW w:w="160" w:type="dxa"/>
            <w:vAlign w:val="bottom"/>
          </w:tcPr>
          <w:p>
            <w:pPr>
              <w:spacing w:after="0"/>
              <w:rPr>
                <w:sz w:val="13"/>
                <w:szCs w:val="13"/>
                <w:color w:val="auto"/>
              </w:rPr>
            </w:pPr>
          </w:p>
        </w:tc>
        <w:tc>
          <w:tcPr>
            <w:tcW w:w="76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1A — RISK FACTORS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56</w:t>
            </w:r>
          </w:p>
        </w:tc>
      </w:tr>
      <w:tr>
        <w:trPr>
          <w:trHeight w:val="20"/>
        </w:trPr>
        <w:tc>
          <w:tcPr>
            <w:tcW w:w="1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5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ITEM 2 — UNREGISTERED SALES OF EQUITY SECURITIES AND USE OF PROCEEDS</w:t>
            </w:r>
          </w:p>
        </w:tc>
        <w:tc>
          <w:tcPr>
            <w:tcW w:w="2220" w:type="dxa"/>
            <w:vAlign w:val="bottom"/>
            <w:gridSpan w:val="2"/>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56</w:t>
            </w:r>
          </w:p>
        </w:tc>
      </w:tr>
      <w:tr>
        <w:trPr>
          <w:trHeight w:val="160"/>
        </w:trPr>
        <w:tc>
          <w:tcPr>
            <w:tcW w:w="1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0000FF"/>
                <w:w w:val="98"/>
              </w:rPr>
              <w:t>ITEM 3</w:t>
            </w:r>
          </w:p>
        </w:tc>
        <w:tc>
          <w:tcPr>
            <w:tcW w:w="720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0000FF"/>
              </w:rPr>
              <w:t>— DEFAULTS UPON SENIOR SECURITIES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56</w:t>
            </w:r>
          </w:p>
        </w:tc>
      </w:tr>
      <w:tr>
        <w:trPr>
          <w:trHeight w:val="160"/>
        </w:trPr>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4</w:t>
            </w:r>
          </w:p>
        </w:tc>
        <w:tc>
          <w:tcPr>
            <w:tcW w:w="272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4"/>
                <w:szCs w:val="14"/>
                <w:color w:val="0000FF"/>
              </w:rPr>
              <w:t>— MINE SAFETY DISCLOSURES</w:t>
            </w:r>
          </w:p>
        </w:tc>
        <w:tc>
          <w:tcPr>
            <w:tcW w:w="4480" w:type="dxa"/>
            <w:vAlign w:val="bottom"/>
            <w:gridSpan w:val="4"/>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56</w:t>
            </w:r>
          </w:p>
        </w:tc>
      </w:tr>
      <w:tr>
        <w:trPr>
          <w:trHeight w:val="160"/>
        </w:trPr>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5</w:t>
            </w:r>
          </w:p>
        </w:tc>
        <w:tc>
          <w:tcPr>
            <w:tcW w:w="212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4"/>
                <w:szCs w:val="14"/>
                <w:color w:val="0000FF"/>
              </w:rPr>
              <w:t>— OTHER INFORMATION</w:t>
            </w:r>
          </w:p>
        </w:tc>
        <w:tc>
          <w:tcPr>
            <w:tcW w:w="5080" w:type="dxa"/>
            <w:vAlign w:val="bottom"/>
            <w:gridSpan w:val="6"/>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56</w:t>
            </w:r>
          </w:p>
        </w:tc>
      </w:tr>
      <w:tr>
        <w:trPr>
          <w:trHeight w:val="160"/>
        </w:trPr>
        <w:tc>
          <w:tcPr>
            <w:tcW w:w="160" w:type="dxa"/>
            <w:vAlign w:val="bottom"/>
          </w:tcPr>
          <w:p>
            <w:pPr>
              <w:spacing w:after="0"/>
              <w:rPr>
                <w:sz w:val="13"/>
                <w:szCs w:val="13"/>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ITEM 6</w:t>
            </w:r>
          </w:p>
        </w:tc>
        <w:tc>
          <w:tcPr>
            <w:tcW w:w="168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4"/>
                <w:szCs w:val="14"/>
                <w:color w:val="0000FF"/>
              </w:rPr>
              <w:t>— EXHIBITS</w:t>
            </w:r>
          </w:p>
        </w:tc>
        <w:tc>
          <w:tcPr>
            <w:tcW w:w="5520" w:type="dxa"/>
            <w:vAlign w:val="bottom"/>
            <w:gridSpan w:val="9"/>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58</w:t>
            </w:r>
          </w:p>
        </w:tc>
      </w:tr>
      <w:tr>
        <w:trPr>
          <w:trHeight w:val="160"/>
        </w:trPr>
        <w:tc>
          <w:tcPr>
            <w:tcW w:w="160" w:type="dxa"/>
            <w:vAlign w:val="bottom"/>
          </w:tcPr>
          <w:p>
            <w:pPr>
              <w:spacing w:after="0"/>
              <w:rPr>
                <w:sz w:val="13"/>
                <w:szCs w:val="13"/>
                <w:color w:val="auto"/>
              </w:rPr>
            </w:pP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6360" w:type="dxa"/>
            <w:vAlign w:val="bottom"/>
            <w:gridSpan w:val="12"/>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59</w:t>
            </w:r>
          </w:p>
        </w:tc>
      </w:tr>
      <w:tr>
        <w:trPr>
          <w:trHeight w:val="20"/>
        </w:trPr>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98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Part I of the Company’s Annual Report on Form 10-K for the year ended December 31, 2023, as well as the following:</w:t>
      </w:r>
    </w:p>
    <w:p>
      <w:pPr>
        <w:spacing w:after="0" w:line="1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dividend;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88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7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r>
      <w:tr>
        <w:trPr>
          <w:trHeight w:val="170"/>
        </w:trPr>
        <w:tc>
          <w:tcPr>
            <w:tcW w:w="2420" w:type="dxa"/>
            <w:vAlign w:val="bottom"/>
          </w:tcPr>
          <w:p>
            <w:pPr>
              <w:spacing w:after="0"/>
              <w:rPr>
                <w:sz w:val="14"/>
                <w:szCs w:val="14"/>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performance</w:t>
            </w:r>
          </w:p>
        </w:tc>
      </w:tr>
      <w:tr>
        <w:trPr>
          <w:trHeight w:val="187"/>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8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Battery energy storage system</w:t>
            </w:r>
          </w:p>
        </w:tc>
      </w:tr>
      <w:tr>
        <w:trPr>
          <w:trHeight w:val="30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BlackRock, Inc.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CAFD</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September 30, 2024 as Adjusted EBITDA plus cash distributions/return of</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distributions from noncontrolling interests, adjustments to</w:t>
            </w:r>
          </w:p>
        </w:tc>
      </w:tr>
      <w:tr>
        <w:trPr>
          <w:trHeight w:val="142"/>
        </w:trPr>
        <w:tc>
          <w:tcPr>
            <w:tcW w:w="2420" w:type="dxa"/>
            <w:vAlign w:val="bottom"/>
          </w:tcPr>
          <w:p>
            <w:pPr>
              <w:spacing w:after="0"/>
              <w:rPr>
                <w:sz w:val="12"/>
                <w:szCs w:val="12"/>
                <w:color w:val="auto"/>
              </w:rPr>
            </w:pP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20" w:type="dxa"/>
            <w:vAlign w:val="bottom"/>
          </w:tcPr>
          <w:p>
            <w:pPr>
              <w:spacing w:after="0"/>
              <w:rPr>
                <w:sz w:val="11"/>
                <w:szCs w:val="11"/>
                <w:color w:val="auto"/>
              </w:rPr>
            </w:pPr>
          </w:p>
        </w:tc>
        <w:tc>
          <w:tcPr>
            <w:tcW w:w="8860" w:type="dxa"/>
            <w:vAlign w:val="bottom"/>
          </w:tcPr>
          <w:p>
            <w:pPr>
              <w:ind w:left="48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Capistrano Portfolio Holdco LLC</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The holding company that owns four wind facilities representing 263 MW of capacity, which includes Broken Bow and Crofton Bluffs located 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Nebraska and Mountain Wind 1 and Mountain Wind 2 located in Wyoming</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dated as of April 30, 2024, among the Company, Clearway Energy LLC, Clearway Energy</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LLC and CEG</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LLC</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The holding company through which the facilities are owned by Clearway Energy Group LLC, the holder of Class B and Class D units, and</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Inc., the holder of the Class A and Class C units</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Group LLC</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The holder of all shares of the Company’s Class B and Class D common stock and Clearway Energy LLC’s Class B and Class D units and, from</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time to time, possibly shares of the Company’s Class A and/or Class C common stock</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holder of facilities that are owned by Clearway Energy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Inc., together with its consolidated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GIM</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Global Infrastructure Management, LLC, the manager of GIP</w:t>
            </w:r>
          </w:p>
        </w:tc>
      </w:tr>
      <w:tr>
        <w:trPr>
          <w:trHeight w:val="679"/>
        </w:trPr>
        <w:tc>
          <w:tcPr>
            <w:tcW w:w="242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4"/>
                <w:szCs w:val="14"/>
                <w:color w:val="231F20"/>
              </w:rPr>
              <w:t>4</w:t>
            </w:r>
          </w:p>
        </w:tc>
      </w:tr>
      <w:tr>
        <w:trPr>
          <w:trHeight w:val="87"/>
        </w:trPr>
        <w:tc>
          <w:tcPr>
            <w:tcW w:w="2420" w:type="dxa"/>
            <w:vAlign w:val="bottom"/>
            <w:tcBorders>
              <w:bottom w:val="single" w:sz="8" w:color="9A9A9A"/>
            </w:tcBorders>
          </w:tcPr>
          <w:p>
            <w:pPr>
              <w:spacing w:after="0"/>
              <w:rPr>
                <w:sz w:val="7"/>
                <w:szCs w:val="7"/>
                <w:color w:val="auto"/>
              </w:rPr>
            </w:pPr>
          </w:p>
        </w:tc>
        <w:tc>
          <w:tcPr>
            <w:tcW w:w="8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GIP</w:t>
            </w:r>
          </w:p>
        </w:tc>
        <w:tc>
          <w:tcPr>
            <w:tcW w:w="92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Global Infrastructure Partners</w:t>
            </w:r>
          </w:p>
        </w:tc>
        <w:tc>
          <w:tcPr>
            <w:tcW w:w="0" w:type="dxa"/>
            <w:vAlign w:val="bottom"/>
          </w:tcPr>
          <w:p>
            <w:pPr>
              <w:spacing w:after="0"/>
              <w:rPr>
                <w:sz w:val="1"/>
                <w:szCs w:val="1"/>
                <w:color w:val="auto"/>
              </w:rPr>
            </w:pPr>
          </w:p>
        </w:tc>
      </w:tr>
      <w:tr>
        <w:trPr>
          <w:trHeight w:val="74"/>
        </w:trPr>
        <w:tc>
          <w:tcPr>
            <w:tcW w:w="2020" w:type="dxa"/>
            <w:vAlign w:val="bottom"/>
          </w:tcPr>
          <w:p>
            <w:pPr>
              <w:spacing w:after="0"/>
              <w:rPr>
                <w:sz w:val="6"/>
                <w:szCs w:val="6"/>
                <w:color w:val="auto"/>
              </w:rPr>
            </w:pPr>
          </w:p>
        </w:tc>
        <w:tc>
          <w:tcPr>
            <w:tcW w:w="9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HLBV</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Hypothetical Liquidation at Book Value</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IRA</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Inflation Reduction Act of 2022</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IRS</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Internal Revenue Service</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ISO</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ITC</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Investment Tax Credit</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Mesquite Star</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Mesquite Star Special LLC</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MMBtu</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Million British Thermal Units</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Mt. Storm</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NedPower Mount Storm LLC</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MW</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Megawatt</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MWh</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Natural Gas Holdco</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Natural Gas CA Holdco LLC</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Net Exposure</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Counterparty credit exposure to Clearway Energy, Inc. net of collateral</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NOLs</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Net Operating Losses</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OCI</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O&amp;M</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PG&amp;E</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Pacific Gas and Electric Company</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PJM</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PJM Interconnection, LLC</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PPA</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Power Purchase Agreement</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PTC</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Production Tax Credit</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RA</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Resource adequacy</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RENOM</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Rosie Central BESS</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Rosie BESS Devco LLC</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RTO</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Regional Transmission Organization</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SCE</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SEC</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SOFR</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SPP</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SREC</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TotalEnergies</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TotalEnergies SE</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U.S.</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Utah Solar Portfolio</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w:t>
            </w:r>
          </w:p>
        </w:tc>
        <w:tc>
          <w:tcPr>
            <w:tcW w:w="0" w:type="dxa"/>
            <w:vAlign w:val="bottom"/>
          </w:tcPr>
          <w:p>
            <w:pPr>
              <w:spacing w:after="0"/>
              <w:rPr>
                <w:sz w:val="1"/>
                <w:szCs w:val="1"/>
                <w:color w:val="auto"/>
              </w:rPr>
            </w:pPr>
          </w:p>
        </w:tc>
      </w:tr>
      <w:tr>
        <w:trPr>
          <w:trHeight w:val="142"/>
        </w:trPr>
        <w:tc>
          <w:tcPr>
            <w:tcW w:w="2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Utility Scale Solar</w:t>
            </w:r>
          </w:p>
        </w:tc>
        <w:tc>
          <w:tcPr>
            <w:tcW w:w="922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 or</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c>
          <w:tcPr>
            <w:tcW w:w="0" w:type="dxa"/>
            <w:vAlign w:val="bottom"/>
          </w:tcPr>
          <w:p>
            <w:pPr>
              <w:spacing w:after="0"/>
              <w:rPr>
                <w:sz w:val="1"/>
                <w:szCs w:val="1"/>
                <w:color w:val="auto"/>
              </w:rPr>
            </w:pPr>
          </w:p>
        </w:tc>
      </w:tr>
      <w:tr>
        <w:trPr>
          <w:trHeight w:val="187"/>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VIE</w:t>
            </w:r>
          </w:p>
        </w:tc>
        <w:tc>
          <w:tcPr>
            <w:tcW w:w="9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ind w:left="4360"/>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1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20" w:type="dxa"/>
            <w:vAlign w:val="bottom"/>
          </w:tcPr>
          <w:p>
            <w:pPr>
              <w:spacing w:after="0"/>
              <w:rPr>
                <w:sz w:val="13"/>
                <w:szCs w:val="13"/>
                <w:color w:val="auto"/>
              </w:rPr>
            </w:pPr>
          </w:p>
        </w:tc>
        <w:tc>
          <w:tcPr>
            <w:tcW w:w="2500" w:type="dxa"/>
            <w:vAlign w:val="bottom"/>
            <w:gridSpan w:val="4"/>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r>
      <w:tr>
        <w:trPr>
          <w:trHeight w:val="16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38"/>
        </w:trPr>
        <w:tc>
          <w:tcPr>
            <w:tcW w:w="55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1"/>
        </w:trPr>
        <w:tc>
          <w:tcPr>
            <w:tcW w:w="5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below</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1"/>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6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71"/>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71"/>
        </w:trPr>
        <w:tc>
          <w:tcPr>
            <w:tcW w:w="5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71"/>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18"/>
        </w:trPr>
        <w:tc>
          <w:tcPr>
            <w:tcW w:w="552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 noncontrolling</w:t>
            </w: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91"/>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99"/>
        </w:trPr>
        <w:tc>
          <w:tcPr>
            <w:tcW w:w="552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Earnings Per Share Attributable to Clearway Energy, Inc. Class A and Class C Common</w:t>
            </w: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r>
      <w:tr>
        <w:trPr>
          <w:trHeight w:val="191"/>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A common shares outstanding - basic and diluted</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C common shares outstanding - basic and diluted</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50"/>
        </w:trPr>
        <w:tc>
          <w:tcPr>
            <w:tcW w:w="552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Earnings Per Weighted Average Class A and Class C Common Share - Basic and Diluted</w:t>
            </w:r>
          </w:p>
        </w:tc>
        <w:tc>
          <w:tcPr>
            <w:tcW w:w="320" w:type="dxa"/>
            <w:vAlign w:val="bottom"/>
            <w:tcBorders>
              <w:bottom w:val="single" w:sz="8" w:color="auto"/>
            </w:tcBorders>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0.72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0.36</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Common Share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5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Dividends Per Class C Common Share</w:t>
            </w: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0.4171</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0.3891</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1.2306</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1.1454</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2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9"/>
              </w:rPr>
              <w:t>27</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8"/>
        </w:trPr>
        <w:tc>
          <w:tcPr>
            <w:tcW w:w="55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Unrealized (loss) gain on derivatives and changes in accumulated OCI, net of income tax</w:t>
            </w:r>
          </w:p>
        </w:tc>
        <w:tc>
          <w:tcPr>
            <w:tcW w:w="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91"/>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 expense of $(2), $1, $(2), and $1</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4"/>
              </w:rPr>
              <w:t>(13)</w:t>
            </w:r>
          </w:p>
        </w:tc>
        <w:tc>
          <w:tcPr>
            <w:tcW w:w="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5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w w:val="94"/>
              </w:rPr>
              <w:t>(13)</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38"/>
        </w:trPr>
        <w:tc>
          <w:tcPr>
            <w:tcW w:w="552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Less: Comprehensive (loss) income attributable to noncontrolling interests and redeemable</w:t>
            </w: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91"/>
        </w:trPr>
        <w:tc>
          <w:tcPr>
            <w:tcW w:w="5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w w:val="94"/>
              </w:rPr>
              <w:t>(18)</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6"/>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Clearway Energy, Inc.</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9"/>
              </w:rPr>
              <w:t>32</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shares)</w:t>
            </w:r>
          </w:p>
        </w:tc>
        <w:tc>
          <w:tcPr>
            <w:tcW w:w="240" w:type="dxa"/>
            <w:vAlign w:val="bottom"/>
          </w:tcPr>
          <w:p>
            <w:pPr>
              <w:spacing w:after="0"/>
              <w:rPr>
                <w:sz w:val="13"/>
                <w:szCs w:val="13"/>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60" w:type="dxa"/>
            <w:vAlign w:val="bottom"/>
          </w:tcPr>
          <w:p>
            <w:pPr>
              <w:spacing w:after="0"/>
              <w:rPr>
                <w:sz w:val="13"/>
                <w:szCs w:val="13"/>
                <w:color w:val="auto"/>
              </w:rPr>
            </w:pPr>
          </w:p>
        </w:tc>
        <w:tc>
          <w:tcPr>
            <w:tcW w:w="150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7"/>
        </w:trPr>
        <w:tc>
          <w:tcPr>
            <w:tcW w:w="7660" w:type="dxa"/>
            <w:vAlign w:val="bottom"/>
          </w:tcPr>
          <w:p>
            <w:pPr>
              <w:ind w:left="36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Note receivable — affiliate</w:t>
            </w: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0" w:type="dxa"/>
            <w:vAlign w:val="bottom"/>
          </w:tcPr>
          <w:p>
            <w:pPr>
              <w:spacing w:after="0"/>
              <w:rPr>
                <w:sz w:val="1"/>
                <w:szCs w:val="1"/>
                <w:color w:val="auto"/>
              </w:rPr>
            </w:pPr>
          </w:p>
        </w:tc>
      </w:tr>
      <w:tr>
        <w:trPr>
          <w:trHeight w:val="15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Right-of-use assets, net</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46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 trade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interest expense</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0" w:type="dxa"/>
            <w:vAlign w:val="bottom"/>
          </w:tcPr>
          <w:p>
            <w:pPr>
              <w:spacing w:after="0"/>
              <w:rPr>
                <w:sz w:val="1"/>
                <w:szCs w:val="1"/>
                <w:color w:val="auto"/>
              </w:rPr>
            </w:pPr>
          </w:p>
        </w:tc>
      </w:tr>
      <w:tr>
        <w:trPr>
          <w:trHeight w:val="15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Long-term debt</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8,800</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 in subsidiaries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9"/>
        </w:trPr>
        <w:tc>
          <w:tcPr>
            <w:tcW w:w="76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w:t>
            </w:r>
          </w:p>
        </w:tc>
        <w:tc>
          <w:tcPr>
            <w:tcW w:w="24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66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Class A, Class B, Class C and Class D common stock, $0.01 par value; 3,000,000,000 shares authorized (Class A 500,000,000, Class B</w:t>
            </w: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500,000,000, Class C 1,000,000,000, Class D 1,000,000,000); 202,143,697 shares issued and outstanding (Class A 34,613,853, Class B</w:t>
            </w: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w w:val="98"/>
              </w:rPr>
              <w:t>42,738,750, Class C 82,829,344, Class D 41,961,750) at September 30, 2024 and 202,080,794 shares issued and outstanding (Class A 34,613,853,</w:t>
            </w:r>
          </w:p>
        </w:tc>
        <w:tc>
          <w:tcPr>
            <w:tcW w:w="24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B 42,738,750, Class C 82,391,441, Class D 42,336,750) at December 31, 2023</w:t>
            </w:r>
          </w:p>
        </w:tc>
        <w:tc>
          <w:tcPr>
            <w:tcW w:w="24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financing costs and debt discounts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deferred income taxes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derivative instruments and amortization of accumulated OCI</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provided by (used in) changes in other working capital:</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prepaid and accrued liabilities for tolling agreements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other working capital</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71"/>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6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Return of investment from unconsolidated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Decrease (increase) in note receivable — affiliate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6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dividends and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Tax-related distributions</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the issuance of long-term debt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for long-term debt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17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Noncontrolling</w:t>
            </w:r>
          </w:p>
        </w:tc>
        <w:tc>
          <w:tcPr>
            <w:tcW w:w="140" w:type="dxa"/>
            <w:vAlign w:val="bottom"/>
          </w:tcPr>
          <w:p>
            <w:pPr>
              <w:spacing w:after="0"/>
              <w:rPr>
                <w:sz w:val="10"/>
                <w:szCs w:val="10"/>
                <w:color w:val="auto"/>
              </w:rPr>
            </w:pPr>
          </w:p>
        </w:tc>
        <w:tc>
          <w:tcPr>
            <w:tcW w:w="900" w:type="dxa"/>
            <w:vAlign w:val="bottom"/>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40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tcPr>
          <w:p>
            <w:pPr>
              <w:jc w:val="center"/>
              <w:ind w:right="16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ind w:right="98"/>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2"/>
                <w:szCs w:val="1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8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40" w:type="dxa"/>
            <w:vAlign w:val="bottom"/>
          </w:tcPr>
          <w:p>
            <w:pPr>
              <w:spacing w:after="0"/>
              <w:rPr>
                <w:sz w:val="12"/>
                <w:szCs w:val="12"/>
                <w:color w:val="auto"/>
              </w:rPr>
            </w:pPr>
          </w:p>
        </w:tc>
        <w:tc>
          <w:tcPr>
            <w:tcW w:w="900" w:type="dxa"/>
            <w:vAlign w:val="bottom"/>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7"/>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34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29"/>
        </w:trPr>
        <w:tc>
          <w:tcPr>
            <w:tcW w:w="4020" w:type="dxa"/>
            <w:vAlign w:val="bottom"/>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w w:val="98"/>
              </w:rPr>
              <w:t>Unrealized (loss) gain on derivatives and changes in accumulated OCI, net</w:t>
            </w:r>
          </w:p>
        </w:tc>
        <w:tc>
          <w:tcPr>
            <w:tcW w:w="3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of tax</w:t>
            </w:r>
          </w:p>
        </w:tc>
        <w:tc>
          <w:tcPr>
            <w:tcW w:w="3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CEG, net of contributions, cash</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3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5,045</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Unrealized gain on derivatives and changes in accumulated OCI, net of tax</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from CEG, net of distributions, cash</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noncontrolling interests, net of contributions, non-cash</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3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5,711</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9"/>
              </w:rPr>
              <w:t>Unrealized loss on derivatives and changes in accumulated OCI, net of tax</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CEG, cash</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noncontrolling interests, net of contributions, cash</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88"/>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34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Noncontrolling</w:t>
            </w:r>
          </w:p>
        </w:tc>
        <w:tc>
          <w:tcPr>
            <w:tcW w:w="160" w:type="dxa"/>
            <w:vAlign w:val="bottom"/>
          </w:tcPr>
          <w:p>
            <w:pPr>
              <w:spacing w:after="0"/>
              <w:rPr>
                <w:sz w:val="10"/>
                <w:szCs w:val="10"/>
                <w:color w:val="auto"/>
              </w:rPr>
            </w:pPr>
          </w:p>
        </w:tc>
        <w:tc>
          <w:tcPr>
            <w:tcW w:w="880" w:type="dxa"/>
            <w:vAlign w:val="bottom"/>
          </w:tcPr>
          <w:p>
            <w:pPr>
              <w:jc w:val="center"/>
              <w:ind w:right="78"/>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center"/>
              <w:ind w:right="78"/>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12"/>
                <w:szCs w:val="1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8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Comprehensive Income</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60" w:type="dxa"/>
            <w:vAlign w:val="bottom"/>
          </w:tcPr>
          <w:p>
            <w:pPr>
              <w:spacing w:after="0"/>
              <w:rPr>
                <w:sz w:val="12"/>
                <w:szCs w:val="12"/>
                <w:color w:val="auto"/>
              </w:rPr>
            </w:pPr>
          </w:p>
        </w:tc>
        <w:tc>
          <w:tcPr>
            <w:tcW w:w="880" w:type="dxa"/>
            <w:vAlign w:val="bottom"/>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167"/>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34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9"/>
              </w:rPr>
              <w:t>Unrealized loss on derivatives and changes in accumulated OCI, net of tax</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Contributions from CEG, net of distributions, cash</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Transfers of assets under common control</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based compensation</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3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8"/>
              </w:rPr>
              <w:t>Unrealized gain on derivatives and changes in accumulated OCI, net of tax</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Distributions to CEG, net of contributions, cash</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noncontrolling interests, net of contributions, cash</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Tax-related distribution</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based compensation</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3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4,127</w:t>
            </w:r>
          </w:p>
        </w:tc>
        <w:tc>
          <w:tcPr>
            <w:tcW w:w="0" w:type="dxa"/>
            <w:vAlign w:val="bottom"/>
          </w:tcPr>
          <w:p>
            <w:pPr>
              <w:spacing w:after="0"/>
              <w:rPr>
                <w:sz w:val="1"/>
                <w:szCs w:val="1"/>
                <w:color w:val="auto"/>
              </w:rPr>
            </w:pPr>
          </w:p>
        </w:tc>
      </w:tr>
      <w:tr>
        <w:trPr>
          <w:trHeight w:val="168"/>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8"/>
              </w:rPr>
              <w:t>Unrealized gain on derivatives and changes in accumulated OCI, net of tax</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CEG, cash</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to noncontrolling interests, non-cash</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Tax-related distribution</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Transfer of assets under common control</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Non-cash adjustments for change in tax basis</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based compensation</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stock dividends and distributions to CEG unit holders</w:t>
            </w: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68"/>
        </w:trPr>
        <w:tc>
          <w:tcPr>
            <w:tcW w:w="4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2023</w:t>
            </w:r>
          </w:p>
        </w:tc>
        <w:tc>
          <w:tcPr>
            <w:tcW w:w="34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 </w:t>
      </w:r>
      <w:r>
        <w:rPr>
          <w:rFonts w:ascii="Times New Roman" w:cs="Times New Roman" w:eastAsia="Times New Roman" w:hAnsi="Times New Roman"/>
          <w:sz w:val="14"/>
          <w:szCs w:val="14"/>
          <w:b w:val="1"/>
          <w:bCs w:val="1"/>
          <w:i w:val="1"/>
          <w:iCs w:val="1"/>
          <w:color w:val="auto"/>
        </w:rPr>
        <w:t>Nature of Business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October 1, 2024, BlackRock acquired 100% of the business and assets of GIM, which is the investment manager of the GIP funds that own an interest in CEG. BlackRock is a publicly-traded global investment management firm.</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4"/>
          <w:szCs w:val="14"/>
          <w:color w:val="000000"/>
        </w:rPr>
        <w:t>From time to time, CEG may also hold shares of the Company’s Class A and/or Class C common stock.</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of September 30, 2024, the Company owned 58.10% of the economic interests of Clearway Energy LLC, with CEG owning 41.90% of the economic interests of Clearway Energy LLC.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4"/>
          <w:szCs w:val="14"/>
          <w:color w:val="auto"/>
        </w:rPr>
        <w:t>The following table represents a summarized structure of the Company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435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08195" cy="343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2023 Form 10-K. Interim results are not necessarily indicative of results for a full year.</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the opinion of management, the accompanying unaudited interim consolidated financial statements contain all material adjustments consisting of normal and recurring accruals necessary for a fair statement of the Company’s consolidated financial position as of September 30, 2024, and results of operations, comprehensive income and cash flows for the three and nine months ended September 30, 2024 and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 </w:t>
      </w:r>
      <w:r>
        <w:rPr>
          <w:rFonts w:ascii="Times New Roman" w:cs="Times New Roman" w:eastAsia="Times New Roman" w:hAnsi="Times New Roman"/>
          <w:sz w:val="14"/>
          <w:szCs w:val="14"/>
          <w:b w:val="1"/>
          <w:bCs w:val="1"/>
          <w:i w:val="1"/>
          <w:iCs w:val="1"/>
          <w:color w:val="auto"/>
        </w:rPr>
        <w:t>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$202 million and $125 million as of September 30, 2024 and December 31, 2023,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0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212"/>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6"/>
        </w:trPr>
        <w:tc>
          <w:tcPr>
            <w:tcW w:w="7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1500" w:type="dxa"/>
            <w:vAlign w:val="bottom"/>
            <w:tcBorders>
              <w:bottom w:val="single" w:sz="8" w:color="auto"/>
            </w:tcBorders>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 As of September 30, 2024, these restricted funds were comprised of $183 million designated to fund operating expenses, $71 million designated for current debt service payments and $89 million restricted for reserves including debt service, performance obligations and other reserves as well as capital expenditures. The remaining $39 million is held in distributions reserve accounts.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6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4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80" w:type="dxa"/>
            <w:vAlign w:val="bottom"/>
            <w:gridSpan w:val="3"/>
          </w:tcPr>
          <w:p>
            <w:pPr>
              <w:jc w:val="right"/>
              <w:ind w:right="95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Pr>
          <w:p>
            <w:pPr>
              <w:spacing w:after="0"/>
              <w:rPr>
                <w:sz w:val="13"/>
                <w:szCs w:val="13"/>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28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28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Depreciation and Accumulated Amortization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accumulated depreciation included in property, plant and equipment, net, and accumulated amortization included in intangible assets, net: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5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Accumulated Depreciation</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5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r>
      <w:tr>
        <w:trPr>
          <w:trHeight w:val="184"/>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Accumulated Amortization</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367"/>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Class A and Class C Common Stockholders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9320" w:type="dxa"/>
            <w:vAlign w:val="bottom"/>
            <w:gridSpan w:val="7"/>
          </w:tcPr>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and Class C common stock during the nine months ended September 30, 2024: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4"/>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8"/>
                <w:szCs w:val="18"/>
                <w:color w:val="auto"/>
              </w:rPr>
            </w:pPr>
          </w:p>
        </w:tc>
        <w:tc>
          <w:tcPr>
            <w:tcW w:w="124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Class A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4"/>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Class C share</w:t>
            </w:r>
          </w:p>
        </w:tc>
        <w:tc>
          <w:tcPr>
            <w:tcW w:w="1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October 29, 2024, the Company declared quarterly dividends on its Class A and Class C common stock of $0.4240 per share payable on December 16, 2024 to stockholders of record as of December 2,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Energy LLC Distributions to CEG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distributions paid to CEG during the nine months ended September 30, 2024 on Clearway Energy LLC’s Class B and D units: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13"/>
                <w:szCs w:val="13"/>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per Class B Unit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4"/>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per Class D Unit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October 29, 2024, Clearway Energy LLC declared a distribution on its Class B and Class D units of $0.4240 per unit payable on December 16, 2024 to unit holders of record as of December 2,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7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26035</wp:posOffset>
            </wp:positionV>
            <wp:extent cx="304546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6620" w:val="left"/>
          <w:tab w:leader="none" w:pos="8560" w:val="left"/>
          <w:tab w:leader="none" w:pos="10380" w:val="left"/>
        </w:tabs>
        <w:rPr>
          <w:sz w:val="20"/>
          <w:szCs w:val="20"/>
          <w:color w:val="auto"/>
        </w:rPr>
      </w:pPr>
      <w:r>
        <w:rPr>
          <w:rFonts w:ascii="Times New Roman" w:cs="Times New Roman" w:eastAsia="Times New Roman" w:hAnsi="Times New Roman"/>
          <w:sz w:val="11"/>
          <w:szCs w:val="11"/>
          <w:b w:val="1"/>
          <w:bCs w:val="1"/>
          <w:u w:val="single" w:color="auto"/>
          <w:color w:val="auto"/>
        </w:rPr>
        <w:t>(In millions)</w:t>
      </w:r>
      <w:r>
        <w:rPr>
          <w:sz w:val="20"/>
          <w:szCs w:val="20"/>
          <w:color w:val="auto"/>
        </w:rPr>
        <w:tab/>
      </w:r>
      <w:r>
        <w:rPr>
          <w:rFonts w:ascii="Times New Roman" w:cs="Times New Roman" w:eastAsia="Times New Roman" w:hAnsi="Times New Roman"/>
          <w:sz w:val="11"/>
          <w:szCs w:val="11"/>
          <w:b w:val="1"/>
          <w:bCs w:val="1"/>
          <w:color w:val="auto"/>
        </w:rPr>
        <w:t>Conventional Generation</w:t>
      </w:r>
      <w:r>
        <w:rPr>
          <w:sz w:val="20"/>
          <w:szCs w:val="20"/>
          <w:color w:val="auto"/>
        </w:rPr>
        <w:tab/>
      </w:r>
      <w:r>
        <w:rPr>
          <w:rFonts w:ascii="Times New Roman" w:cs="Times New Roman" w:eastAsia="Times New Roman" w:hAnsi="Times New Roman"/>
          <w:sz w:val="11"/>
          <w:szCs w:val="11"/>
          <w:b w:val="1"/>
          <w:bCs w:val="1"/>
          <w:color w:val="auto"/>
        </w:rPr>
        <w:t>Renewables</w:t>
      </w:r>
      <w:r>
        <w:rPr>
          <w:sz w:val="20"/>
          <w:szCs w:val="20"/>
          <w:color w:val="auto"/>
        </w:rPr>
        <w:tab/>
      </w:r>
      <w:r>
        <w:rPr>
          <w:rFonts w:ascii="Times New Roman" w:cs="Times New Roman" w:eastAsia="Times New Roman" w:hAnsi="Times New Roman"/>
          <w:sz w:val="10"/>
          <w:szCs w:val="10"/>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54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6153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revenues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Contract amortization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operating revenues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Lease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13881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200" w:hanging="131"/>
        <w:spacing w:after="0"/>
        <w:tabs>
          <w:tab w:leader="none" w:pos="20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revenues relate to leases and are accounted for under ASC 842:</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6"/>
                <w:szCs w:val="16"/>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40"/>
        </w:trPr>
        <w:tc>
          <w:tcPr>
            <w:tcW w:w="6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4"/>
        </w:trPr>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7"/>
        </w:trPr>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4"/>
        </w:trPr>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71"/>
        </w:trPr>
        <w:tc>
          <w:tcPr>
            <w:tcW w:w="6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ectPr>
          <w:pgSz w:w="11900" w:h="16838" w:orient="portrait"/>
          <w:cols w:equalWidth="0" w:num="2">
            <w:col w:w="5820" w:space="660"/>
            <w:col w:w="4800"/>
          </w:cols>
          <w:pgMar w:left="300" w:top="728" w:right="31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1"/>
                <w:szCs w:val="11"/>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1"/>
                <w:szCs w:val="11"/>
                <w:color w:val="auto"/>
              </w:rPr>
            </w:pPr>
          </w:p>
        </w:tc>
        <w:tc>
          <w:tcPr>
            <w:tcW w:w="116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3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709"/>
              <w:spacing w:after="0"/>
              <w:rPr>
                <w:sz w:val="20"/>
                <w:szCs w:val="20"/>
                <w:color w:val="auto"/>
              </w:rPr>
            </w:pPr>
            <w:r>
              <w:rPr>
                <w:rFonts w:ascii="Times New Roman" w:cs="Times New Roman" w:eastAsia="Times New Roman" w:hAnsi="Times New Roman"/>
                <w:sz w:val="14"/>
                <w:szCs w:val="14"/>
                <w:color w:val="231F20"/>
              </w:rPr>
              <w:t>15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6"/>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Three months ended September 30, 2023</w:t>
            </w:r>
          </w:p>
        </w:tc>
        <w:tc>
          <w:tcPr>
            <w:tcW w:w="1140" w:type="dxa"/>
            <w:vAlign w:val="bottom"/>
            <w:tcBorders>
              <w:bottom w:val="single" w:sz="8" w:color="auto"/>
            </w:tcBorders>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64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0"/>
                <w:szCs w:val="10"/>
                <w:color w:val="auto"/>
              </w:rPr>
            </w:pPr>
          </w:p>
        </w:tc>
        <w:tc>
          <w:tcPr>
            <w:tcW w:w="152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0"/>
                <w:szCs w:val="10"/>
                <w:color w:val="auto"/>
              </w:rPr>
            </w:pPr>
          </w:p>
        </w:tc>
        <w:tc>
          <w:tcPr>
            <w:tcW w:w="134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0"/>
                <w:szCs w:val="10"/>
                <w:color w:val="auto"/>
              </w:rPr>
            </w:pPr>
          </w:p>
        </w:tc>
        <w:tc>
          <w:tcPr>
            <w:tcW w:w="1140" w:type="dxa"/>
            <w:vAlign w:val="bottom"/>
          </w:tcPr>
          <w:p>
            <w:pPr>
              <w:jc w:val="right"/>
              <w:ind w:right="571"/>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333333"/>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244"/>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20" w:type="dxa"/>
            <w:vAlign w:val="bottom"/>
          </w:tcPr>
          <w:p>
            <w:pPr>
              <w:spacing w:after="0"/>
              <w:rPr>
                <w:sz w:val="14"/>
                <w:szCs w:val="14"/>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71"/>
        </w:trPr>
        <w:tc>
          <w:tcPr>
            <w:tcW w:w="20" w:type="dxa"/>
            <w:vAlign w:val="bottom"/>
          </w:tcPr>
          <w:p>
            <w:pPr>
              <w:spacing w:after="0"/>
              <w:rPr>
                <w:sz w:val="14"/>
                <w:szCs w:val="14"/>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revenues relate to leases and are accounted for under ASC 842: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1"/>
                <w:szCs w:val="1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1"/>
                <w:szCs w:val="1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1"/>
                <w:szCs w:val="11"/>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Capacity revenue</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Nine months ended September 30, 2024</w:t>
            </w:r>
          </w:p>
        </w:tc>
        <w:tc>
          <w:tcPr>
            <w:tcW w:w="1160" w:type="dxa"/>
            <w:vAlign w:val="bottom"/>
            <w:tcBorders>
              <w:bottom w:val="single" w:sz="8" w:color="auto"/>
            </w:tcBorders>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3"/>
                <w:szCs w:val="13"/>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64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333333"/>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937</w:t>
            </w:r>
          </w:p>
        </w:tc>
      </w:tr>
      <w:tr>
        <w:trPr>
          <w:trHeight w:val="244"/>
        </w:trPr>
        <w:tc>
          <w:tcPr>
            <w:tcW w:w="20" w:type="dxa"/>
            <w:vAlign w:val="bottom"/>
          </w:tcPr>
          <w:p>
            <w:pPr>
              <w:spacing w:after="0"/>
              <w:rPr>
                <w:sz w:val="21"/>
                <w:szCs w:val="21"/>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239</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69</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(138)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operating revenue</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266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849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1,115</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138</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(775)</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184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333333"/>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286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333333"/>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470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33" w:lineRule="exact"/>
        <w:rPr>
          <w:sz w:val="20"/>
          <w:szCs w:val="20"/>
          <w:color w:val="auto"/>
        </w:rPr>
      </w:pPr>
    </w:p>
    <w:p>
      <w:pPr>
        <w:ind w:left="200" w:hanging="131"/>
        <w:spacing w:after="0"/>
        <w:tabs>
          <w:tab w:leader="none" w:pos="20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and capacity revenues relate to leases and are accounted for under ASC 842:</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3"/>
                <w:szCs w:val="13"/>
                <w:color w:val="auto"/>
              </w:rPr>
            </w:pPr>
          </w:p>
        </w:tc>
        <w:tc>
          <w:tcPr>
            <w:tcW w:w="116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4"/>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3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3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709"/>
              <w:spacing w:after="0"/>
              <w:rPr>
                <w:sz w:val="20"/>
                <w:szCs w:val="20"/>
                <w:color w:val="auto"/>
              </w:rPr>
            </w:pPr>
            <w:r>
              <w:rPr>
                <w:rFonts w:ascii="Times New Roman" w:cs="Times New Roman" w:eastAsia="Times New Roman" w:hAnsi="Times New Roman"/>
                <w:sz w:val="14"/>
                <w:szCs w:val="14"/>
                <w:color w:val="231F20"/>
              </w:rPr>
              <w:t>16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2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gridSpan w:val="6"/>
          </w:tcPr>
          <w:p>
            <w:pPr>
              <w:jc w:val="center"/>
              <w:ind w:left="972"/>
              <w:spacing w:after="0"/>
              <w:rPr>
                <w:sz w:val="20"/>
                <w:szCs w:val="20"/>
                <w:color w:val="auto"/>
              </w:rPr>
            </w:pPr>
            <w:r>
              <w:rPr>
                <w:rFonts w:ascii="Times New Roman" w:cs="Times New Roman" w:eastAsia="Times New Roman" w:hAnsi="Times New Roman"/>
                <w:sz w:val="11"/>
                <w:szCs w:val="11"/>
                <w:b w:val="1"/>
                <w:bCs w:val="1"/>
                <w:color w:val="auto"/>
              </w:rPr>
              <w:t>Nine months ended September 30, 2023</w:t>
            </w:r>
          </w:p>
        </w:tc>
        <w:tc>
          <w:tcPr>
            <w:tcW w:w="1160" w:type="dxa"/>
            <w:vAlign w:val="bottom"/>
            <w:tcBorders>
              <w:bottom w:val="single" w:sz="8" w:color="auto"/>
            </w:tcBorders>
          </w:tcPr>
          <w:p>
            <w:pPr>
              <w:spacing w:after="0"/>
              <w:rPr>
                <w:sz w:val="13"/>
                <w:szCs w:val="13"/>
                <w:color w:val="auto"/>
              </w:rPr>
            </w:pPr>
          </w:p>
        </w:tc>
      </w:tr>
      <w:tr>
        <w:trPr>
          <w:trHeight w:val="154"/>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3"/>
                <w:szCs w:val="13"/>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9"/>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44"/>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80"/>
        </w:trPr>
        <w:tc>
          <w:tcPr>
            <w:tcW w:w="6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(a)</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amortization</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revenue</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Lease revenue</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71"/>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following amounts of energy, capacity and other revenues relate to leases and are accounted for under ASC 842: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6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r>
      <w:tr>
        <w:trPr>
          <w:trHeight w:val="18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6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(b)</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6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9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20"/>
        </w:trPr>
        <w:tc>
          <w:tcPr>
            <w:tcW w:w="2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45" w:lineRule="exact"/>
        <w:rPr>
          <w:sz w:val="20"/>
          <w:szCs w:val="20"/>
          <w:color w:val="auto"/>
        </w:rPr>
      </w:pPr>
    </w:p>
    <w:p>
      <w:pPr>
        <w:ind w:left="200" w:hanging="131"/>
        <w:spacing w:after="0"/>
        <w:tabs>
          <w:tab w:leader="none" w:pos="20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sales-type lease revenue recognized for the Marsh Landing Black Start addition that reached commercial operations on May 31, 2023.</w:t>
      </w:r>
    </w:p>
    <w:p>
      <w:pPr>
        <w:spacing w:after="0" w:line="104" w:lineRule="exact"/>
        <w:rPr>
          <w:rFonts w:ascii="Times New Roman" w:cs="Times New Roman" w:eastAsia="Times New Roman" w:hAnsi="Times New Roman"/>
          <w:sz w:val="16"/>
          <w:szCs w:val="16"/>
          <w:color w:val="auto"/>
          <w:vertAlign w:val="superscript"/>
        </w:rPr>
      </w:pPr>
    </w:p>
    <w:p>
      <w:pPr>
        <w:ind w:left="32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i w:val="1"/>
          <w:iCs w:val="1"/>
          <w:color w:val="auto"/>
        </w:rPr>
        <w:t>Contract Balances</w:t>
      </w:r>
    </w:p>
    <w:p>
      <w:pPr>
        <w:spacing w:after="0" w:line="138" w:lineRule="exact"/>
        <w:rPr>
          <w:rFonts w:ascii="Times New Roman" w:cs="Times New Roman" w:eastAsia="Times New Roman" w:hAnsi="Times New Roman"/>
          <w:sz w:val="16"/>
          <w:szCs w:val="16"/>
          <w:color w:val="auto"/>
          <w:vertAlign w:val="superscript"/>
        </w:rPr>
      </w:pPr>
    </w:p>
    <w:p>
      <w:pPr>
        <w:ind w:left="32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The following table reflects the contract assets and liabilities included on the Company’s consolidated balance sheets: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 - Contracts with customers</w:t>
            </w:r>
          </w:p>
        </w:tc>
        <w:tc>
          <w:tcPr>
            <w:tcW w:w="150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receivable, net - Leases</w:t>
            </w:r>
          </w:p>
        </w:tc>
        <w:tc>
          <w:tcPr>
            <w:tcW w:w="1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1500" w:type="dxa"/>
            <w:vAlign w:val="bottom"/>
            <w:tcBorders>
              <w:bottom w:val="single" w:sz="8" w:color="auto"/>
            </w:tcBorders>
            <w:shd w:val="clear" w:color="auto" w:fill="CCEEFF"/>
          </w:tcPr>
          <w:p>
            <w:pPr>
              <w:jc w:val="right"/>
              <w:ind w:right="135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3 — </w:t>
      </w:r>
      <w:r>
        <w:rPr>
          <w:rFonts w:ascii="Times New Roman" w:cs="Times New Roman" w:eastAsia="Times New Roman" w:hAnsi="Times New Roman"/>
          <w:sz w:val="14"/>
          <w:szCs w:val="14"/>
          <w:b w:val="1"/>
          <w:bCs w:val="1"/>
          <w:i w:val="1"/>
          <w:iCs w:val="1"/>
          <w:color w:val="auto"/>
        </w:rPr>
        <w:t>Acquisitions</w:t>
      </w:r>
    </w:p>
    <w:p>
      <w:pPr>
        <w:spacing w:after="0" w:line="1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Creek, a 160 MW wind facility that is located in Bingham County, Idaho, from Clearway Renew for cash consideration of $117 million. Cedar Creek Holdco LLC consolidates as primary beneficiary, Cedar Creek TE Holdco LLC, a tax equity fund that owns the Cedar Creek wind facility, as further described in Note 4,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Cedar Creek has a 25-year PPA with an investment-grade utility that commenced in March 2024. The Cedar Creek operations are reflected in the Company’s Renewables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Issues</w:t>
      </w:r>
      <w:r>
        <w:rPr>
          <w:rFonts w:ascii="Times New Roman" w:cs="Times New Roman" w:eastAsia="Times New Roman" w:hAnsi="Times New Roman"/>
          <w:sz w:val="14"/>
          <w:szCs w:val="14"/>
          <w:color w:val="auto"/>
        </w:rPr>
        <w:t>. The difference between the cash paid of $117 million and the historical cost of the Company’s net assets acquired of $17 million was recorded as an adjustment to CEG’s noncontrolling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balance. In addition, the Company reflected the entire $117 million of the Company’s purchase price, which was contributed back to the Company by CEG to pay down the acquired long-term debt, in the line item contributions from CEG, net of distributions in the consolidated statements of stockholders’ equity.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16,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Cedar Creek</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7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tcPr>
          <w:p>
            <w:pPr>
              <w:spacing w:after="0"/>
              <w:rPr>
                <w:sz w:val="10"/>
                <w:szCs w:val="10"/>
                <w:color w:val="auto"/>
              </w:rPr>
            </w:pPr>
          </w:p>
        </w:tc>
      </w:tr>
    </w:tbl>
    <w:p>
      <w:pPr>
        <w:spacing w:after="0" w:line="76" w:lineRule="exact"/>
        <w:rPr>
          <w:sz w:val="20"/>
          <w:szCs w:val="20"/>
          <w:color w:val="auto"/>
        </w:rPr>
      </w:pPr>
    </w:p>
    <w:p>
      <w:pPr>
        <w:ind w:left="60" w:firstLine="9"/>
        <w:spacing w:after="0" w:line="230" w:lineRule="auto"/>
        <w:tabs>
          <w:tab w:leader="none" w:pos="19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$112 million construction loan, a $91 million cash equity bridge loan, and a $109 million tax equity bridge loan, offset by $3 million in unamortized debt issuance costs. See Note 7,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119"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as further described in Note 4, </w:t>
      </w:r>
      <w:r>
        <w:rPr>
          <w:rFonts w:ascii="Times New Roman" w:cs="Times New Roman" w:eastAsia="Times New Roman" w:hAnsi="Times New Roman"/>
          <w:sz w:val="14"/>
          <w:szCs w:val="14"/>
          <w:i w:val="1"/>
          <w:iCs w:val="1"/>
          <w:color w:val="auto"/>
        </w:rPr>
        <w:t>Investments Accounted for by the Equity Method and Variable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Entities. </w:t>
      </w:r>
      <w:r>
        <w:rPr>
          <w:rFonts w:ascii="Times New Roman" w:cs="Times New Roman" w:eastAsia="Times New Roman" w:hAnsi="Times New Roman"/>
          <w:sz w:val="14"/>
          <w:szCs w:val="14"/>
          <w:color w:val="auto"/>
        </w:rPr>
        <w:t>Texas Solar Nova 2 has an 18-year PPA with an investment-grade counterparty that commenced in February 2024. The Texas Solar Nova 2 operations are reflected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$112 million and the historical cost of the Company’s net assets acquired of $72 million was recorded as an adjustment to CEG’s noncontrolling interest balance. In addition, the Company reflected $9 million of the Company’s purchase price, which was contributed back to the Company by CEG to pay down the acquired long-term debt, in the line item distributions to CEG, net of contributions in the consolidated statements of stockholders’ equity.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7,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 xml:space="preserve">Note 4 — </w:t>
      </w:r>
      <w:r>
        <w:rPr>
          <w:rFonts w:ascii="Times New Roman" w:cs="Times New Roman" w:eastAsia="Times New Roman" w:hAnsi="Times New Roman"/>
          <w:sz w:val="14"/>
          <w:szCs w:val="14"/>
          <w:b w:val="1"/>
          <w:bCs w:val="1"/>
          <w:i w:val="1"/>
          <w:iCs w:val="1"/>
          <w:color w:val="auto"/>
        </w:rPr>
        <w:t>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not Consolidated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Variable Interest Entities,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Form 10</w:t>
      </w:r>
      <w:r>
        <w:rPr>
          <w:rFonts w:ascii="Times New Roman" w:cs="Times New Roman" w:eastAsia="Times New Roman" w:hAnsi="Times New Roman"/>
          <w:sz w:val="14"/>
          <w:szCs w:val="14"/>
          <w:color w:val="auto"/>
        </w:rPr>
        <w:t>-K.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September 30,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7060" w:type="dxa"/>
            <w:vAlign w:val="bottom"/>
            <w:tcBorders>
              <w:bottom w:val="single" w:sz="8" w:color="auto"/>
            </w:tcBorders>
          </w:tcPr>
          <w:p>
            <w:pPr>
              <w:ind w:left="5840"/>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8"/>
                <w:szCs w:val="18"/>
                <w:b w:val="1"/>
                <w:bCs w:val="1"/>
                <w:color w:val="auto"/>
                <w:vertAlign w:val="superscript"/>
              </w:rPr>
              <w:t>(a)</w:t>
            </w:r>
          </w:p>
        </w:tc>
      </w:tr>
      <w:tr>
        <w:trPr>
          <w:trHeight w:val="159"/>
        </w:trPr>
        <w:tc>
          <w:tcPr>
            <w:tcW w:w="220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6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Avenal</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Desert Sunlight</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8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Elkhorn Ridge</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66.7%</w:t>
            </w: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7060" w:type="dxa"/>
            <w:vAlign w:val="bottom"/>
          </w:tcPr>
          <w:p>
            <w:pPr>
              <w:jc w:val="center"/>
              <w:ind w:left="5530"/>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Juan Mesa</w:t>
            </w:r>
          </w:p>
        </w:tc>
        <w:tc>
          <w:tcPr>
            <w:tcW w:w="7060" w:type="dxa"/>
            <w:vAlign w:val="bottom"/>
            <w:shd w:val="clear" w:color="auto" w:fill="CCEEFF"/>
          </w:tcPr>
          <w:p>
            <w:pPr>
              <w:jc w:val="center"/>
              <w:ind w:left="5530"/>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22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20"/>
        </w:trPr>
        <w:tc>
          <w:tcPr>
            <w:tcW w:w="22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7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tcPr>
          <w:p>
            <w:pPr>
              <w:spacing w:after="0"/>
              <w:rPr>
                <w:sz w:val="10"/>
                <w:szCs w:val="10"/>
                <w:color w:val="auto"/>
              </w:rPr>
            </w:pPr>
          </w:p>
        </w:tc>
      </w:tr>
    </w:tbl>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The Company’s maximum exposure to loss is limited to its investment balances.</w:t>
      </w:r>
    </w:p>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3"/>
          <w:szCs w:val="13"/>
          <w:color w:val="auto"/>
        </w:rPr>
        <w:t xml:space="preserve"> GenConn is a VIE.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Rosie Central BESS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Clearway Renew redeemed Rosie Class B LLC’s entire investment of $28 million in Rosie Central BESS that was accounted for as an equity method investment, as further discussed in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Rosie Class B LLC’s equity investment in Rosie Central BESS was comprised of contributions from the Company and the cash equity investor in Rosie TargetCo LLC during the year ended December 31,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As further described under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to the consolidated financial statements included in the Company’s 2023 Form 10-K, 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the nine months ended September 30, 2024 related to the Company’s consolidated VIEs: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Cedar Creek TE Holdco LLC</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April 16, 2024, the Company, through its indirect subsidiary, Cedar Creek Wind Holdco LLC, acquired Cedar Creek Holdco LLC. Cedar Creek Holdco LLC consolidates as primary beneficiary, Cedar Creek TE Holdco LLC, a tax equity fund that owns the Cedar Creek wind facility. The Class A membership interests in Cedar Creek TE Holdco LLC are held by a tax equity investor and are reflected as noncontrolling interest on the Company’s consolidated balance sheet.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Lighthouse Renewable Holdco 2 LLC</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March 15, 2024, TSN1 TE Holdco LLC, an indirect subsidiary of the Company, acquired Texas Solar Nova 2. The Company, through Lighthouse Renewable Holdco 2 LLC, a partnership, consolidates TSN1 TE Holdco LLC, a tax equity fund that owns Texas Solar Nova 1 and Texas Solar Nova 2. The Company recorded the noncontrolling interest of the cash equity investor in Lighthouse Renewable Holdco 2 LLC at historical carrying amount, with the offset to additional-paid in capital. The Class A membership interests in TSN1 TE Holdco LLC are held by a tax equity investor and are reflected as noncontrolling interest on the Company’s consolidated balance sheet.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Daggett Renewable Holdco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September 30,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Cedar Creek TE Holdco</w:t>
            </w: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Daggett Renewable Holdco</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DGPV Funds </w:t>
            </w:r>
            <w:r>
              <w:rPr>
                <w:rFonts w:ascii="Times New Roman" w:cs="Times New Roman" w:eastAsia="Times New Roman" w:hAnsi="Times New Roman"/>
                <w:sz w:val="16"/>
                <w:szCs w:val="16"/>
                <w:b w:val="1"/>
                <w:bCs w:val="1"/>
                <w:color w:val="auto"/>
                <w:vertAlign w:val="superscript"/>
              </w:rPr>
              <w:t>(b)</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Lighthouse Renewable Holdco</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Lighthouse Renewable Holdco</w:t>
            </w:r>
          </w:p>
        </w:tc>
        <w:tc>
          <w:tcPr>
            <w:tcW w:w="0" w:type="dxa"/>
            <w:vAlign w:val="bottom"/>
          </w:tcPr>
          <w:p>
            <w:pPr>
              <w:spacing w:after="0"/>
              <w:rPr>
                <w:sz w:val="1"/>
                <w:szCs w:val="1"/>
                <w:color w:val="auto"/>
              </w:rPr>
            </w:pPr>
          </w:p>
        </w:tc>
      </w:tr>
      <w:tr>
        <w:trPr>
          <w:trHeight w:val="149"/>
        </w:trPr>
        <w:tc>
          <w:tcPr>
            <w:tcW w:w="3120" w:type="dxa"/>
            <w:vAlign w:val="bottom"/>
            <w:vMerge w:val="continue"/>
          </w:tcPr>
          <w:p>
            <w:pPr>
              <w:spacing w:after="0"/>
              <w:rPr>
                <w:sz w:val="12"/>
                <w:szCs w:val="12"/>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Buckthorn Holdings, LLC</w:t>
            </w:r>
          </w:p>
        </w:tc>
        <w:tc>
          <w:tcPr>
            <w:tcW w:w="1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LLC</w:t>
            </w:r>
          </w:p>
        </w:tc>
        <w:tc>
          <w:tcPr>
            <w:tcW w:w="280" w:type="dxa"/>
            <w:vAlign w:val="bottom"/>
          </w:tcPr>
          <w:p>
            <w:pPr>
              <w:spacing w:after="0"/>
              <w:rPr>
                <w:sz w:val="12"/>
                <w:szCs w:val="12"/>
                <w:color w:val="auto"/>
              </w:rPr>
            </w:pPr>
          </w:p>
        </w:tc>
        <w:tc>
          <w:tcPr>
            <w:tcW w:w="108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0"/>
                <w:szCs w:val="10"/>
                <w:b w:val="1"/>
                <w:bCs w:val="1"/>
                <w:color w:val="auto"/>
                <w:w w:val="90"/>
              </w:rPr>
              <w:t xml:space="preserve">LLC </w:t>
            </w:r>
            <w:r>
              <w:rPr>
                <w:rFonts w:ascii="Times New Roman" w:cs="Times New Roman" w:eastAsia="Times New Roman" w:hAnsi="Times New Roman"/>
                <w:sz w:val="16"/>
                <w:szCs w:val="16"/>
                <w:b w:val="1"/>
                <w:bCs w:val="1"/>
                <w:color w:val="auto"/>
                <w:w w:val="90"/>
                <w:vertAlign w:val="superscript"/>
              </w:rPr>
              <w:t>(a)</w:t>
            </w: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ind w:left="200"/>
              <w:spacing w:after="0" w:line="148" w:lineRule="exact"/>
              <w:rPr>
                <w:sz w:val="20"/>
                <w:szCs w:val="20"/>
                <w:color w:val="auto"/>
              </w:rPr>
            </w:pPr>
            <w:r>
              <w:rPr>
                <w:rFonts w:ascii="Times New Roman" w:cs="Times New Roman" w:eastAsia="Times New Roman" w:hAnsi="Times New Roman"/>
                <w:sz w:val="10"/>
                <w:szCs w:val="10"/>
                <w:b w:val="1"/>
                <w:bCs w:val="1"/>
                <w:color w:val="auto"/>
              </w:rPr>
              <w:t xml:space="preserve">LLC </w:t>
            </w:r>
            <w:r>
              <w:rPr>
                <w:rFonts w:ascii="Times New Roman" w:cs="Times New Roman" w:eastAsia="Times New Roman" w:hAnsi="Times New Roman"/>
                <w:sz w:val="16"/>
                <w:szCs w:val="16"/>
                <w:b w:val="1"/>
                <w:bCs w:val="1"/>
                <w:color w:val="auto"/>
                <w:vertAlign w:val="superscript"/>
              </w:rPr>
              <w:t>(c)</w:t>
            </w:r>
          </w:p>
        </w:tc>
        <w:tc>
          <w:tcPr>
            <w:tcW w:w="280" w:type="dxa"/>
            <w:vAlign w:val="bottom"/>
          </w:tcPr>
          <w:p>
            <w:pPr>
              <w:spacing w:after="0"/>
              <w:rPr>
                <w:sz w:val="12"/>
                <w:szCs w:val="12"/>
                <w:color w:val="auto"/>
              </w:rPr>
            </w:pPr>
          </w:p>
        </w:tc>
        <w:tc>
          <w:tcPr>
            <w:tcW w:w="1060" w:type="dxa"/>
            <w:vAlign w:val="bottom"/>
          </w:tcPr>
          <w:p>
            <w:pPr>
              <w:jc w:val="right"/>
              <w:ind w:right="392"/>
              <w:spacing w:after="0" w:line="148" w:lineRule="exact"/>
              <w:rPr>
                <w:sz w:val="20"/>
                <w:szCs w:val="20"/>
                <w:color w:val="auto"/>
              </w:rPr>
            </w:pPr>
            <w:r>
              <w:rPr>
                <w:rFonts w:ascii="Times New Roman" w:cs="Times New Roman" w:eastAsia="Times New Roman" w:hAnsi="Times New Roman"/>
                <w:sz w:val="10"/>
                <w:szCs w:val="10"/>
                <w:b w:val="1"/>
                <w:bCs w:val="1"/>
                <w:color w:val="auto"/>
              </w:rPr>
              <w:t xml:space="preserve">2 LLC </w:t>
            </w:r>
            <w:r>
              <w:rPr>
                <w:rFonts w:ascii="Times New Roman" w:cs="Times New Roman" w:eastAsia="Times New Roman" w:hAnsi="Times New Roman"/>
                <w:sz w:val="16"/>
                <w:szCs w:val="16"/>
                <w:b w:val="1"/>
                <w:bCs w:val="1"/>
                <w:color w:val="auto"/>
                <w:vertAlign w:val="superscript"/>
              </w:rPr>
              <w:t>(d)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5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426</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364</w:t>
            </w:r>
          </w:p>
        </w:tc>
        <w:tc>
          <w:tcPr>
            <w:tcW w:w="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Daggett Renewable Holdco LLC consolidates Daggett TE Holdco LLC and Daggett 2 TE Holdco LLC, which are consolidated VIEs.</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DGPV Funds is comprised of Clearway &amp; EFS Distributed Solar LLC, Golden Puma Fund LLC, Renew Solar CS4 Fund LLC and Chestnut Fund LLC, which are all tax equity funds.</w:t>
      </w:r>
    </w:p>
    <w:p>
      <w:pPr>
        <w:spacing w:after="0" w:line="2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LLC consolidates Black Rock TE Holdco LLC and Mililani TE Holdco LLC, which are consolidated VIEs.</w:t>
      </w:r>
    </w:p>
    <w:p>
      <w:pPr>
        <w:spacing w:after="0" w:line="3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Mesquite Star Tax Equity Holdco LLC and TSN1 TE Holdco LLC, which are consolidated VIEs.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Oahu Solar LLC</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VP-Arica TargetCo LLC </w:t>
            </w:r>
            <w:r>
              <w:rPr>
                <w:rFonts w:ascii="Times New Roman" w:cs="Times New Roman" w:eastAsia="Times New Roman" w:hAnsi="Times New Roman"/>
                <w:sz w:val="16"/>
                <w:szCs w:val="16"/>
                <w:b w:val="1"/>
                <w:bCs w:val="1"/>
                <w:color w:val="auto"/>
                <w:vertAlign w:val="superscript"/>
              </w:rPr>
              <w:t>(a)</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Wildorado TE Holdco LLC</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6"/>
                <w:szCs w:val="16"/>
                <w:b w:val="1"/>
                <w:bCs w:val="1"/>
                <w:color w:val="auto"/>
                <w:vertAlign w:val="superscript"/>
              </w:rPr>
              <w:t>(b)</w:t>
            </w: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71"/>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71"/>
        </w:trPr>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7" w:lineRule="exact"/>
        <w:rPr>
          <w:sz w:val="20"/>
          <w:szCs w:val="20"/>
          <w:color w:val="auto"/>
        </w:rPr>
      </w:pPr>
    </w:p>
    <w:p>
      <w:pPr>
        <w:ind w:left="200" w:hanging="131"/>
        <w:spacing w:after="0"/>
        <w:tabs>
          <w:tab w:leader="none" w:pos="20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VP-Arica TargetCo LLC consolidates VP-Arica TE Holdco LLC, a consolidated VIE that owns the Victory Pass and Arica solar and BESS facilities.</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Other is comprised of Elbow Creek TE Holdco LLC, Langford TE Partnership LLC, Pinnacle Repowering TE Holdco LLC and the Spring Canyon facilities.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 xml:space="preserve">Note 5 — </w:t>
      </w:r>
      <w:r>
        <w:rPr>
          <w:rFonts w:ascii="Times New Roman" w:cs="Times New Roman" w:eastAsia="Times New Roman" w:hAnsi="Times New Roman"/>
          <w:sz w:val="14"/>
          <w:szCs w:val="14"/>
          <w:b w:val="1"/>
          <w:bCs w:val="1"/>
          <w:i w:val="1"/>
          <w:iCs w:val="1"/>
          <w:color w:val="auto"/>
        </w:rPr>
        <w:t>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 and estimated fair value of the Company’s recorded financial instrument not carried at fair market value or that does not approximate fair value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140" w:type="dxa"/>
            <w:vAlign w:val="bottom"/>
          </w:tcPr>
          <w:p>
            <w:pPr>
              <w:spacing w:after="0"/>
              <w:rPr>
                <w:sz w:val="13"/>
                <w:szCs w:val="13"/>
                <w:color w:val="auto"/>
              </w:rPr>
            </w:pPr>
          </w:p>
        </w:tc>
        <w:tc>
          <w:tcPr>
            <w:tcW w:w="23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93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61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 xml:space="preserve">Long-term debt, including current portion </w:t>
            </w:r>
            <w:r>
              <w:rPr>
                <w:rFonts w:ascii="Times New Roman" w:cs="Times New Roman" w:eastAsia="Times New Roman" w:hAnsi="Times New Roman"/>
                <w:sz w:val="18"/>
                <w:szCs w:val="1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7,201</w:t>
            </w:r>
          </w:p>
        </w:tc>
        <w:tc>
          <w:tcPr>
            <w:tcW w:w="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8,102</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8" w:lineRule="exact"/>
        <w:rPr>
          <w:sz w:val="20"/>
          <w:szCs w:val="20"/>
          <w:color w:val="auto"/>
        </w:rPr>
      </w:pPr>
    </w:p>
    <w:p>
      <w:pPr>
        <w:ind w:left="200" w:hanging="131"/>
        <w:spacing w:after="0"/>
        <w:tabs>
          <w:tab w:leader="none" w:pos="20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Excludes net debt issuance costs, which are recorded as a reduction to long-term debt on the Company’s consolidated balance sheets.</w:t>
      </w:r>
    </w:p>
    <w:p>
      <w:pPr>
        <w:spacing w:after="0" w:line="12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2,002</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1,939</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r>
      <w:tr>
        <w:trPr>
          <w:trHeight w:val="124"/>
        </w:trPr>
        <w:tc>
          <w:tcPr>
            <w:tcW w:w="6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240" w:type="dxa"/>
            <w:vAlign w:val="bottom"/>
          </w:tcPr>
          <w:p>
            <w:pPr>
              <w:spacing w:after="0"/>
              <w:rPr>
                <w:sz w:val="13"/>
                <w:szCs w:val="13"/>
                <w:color w:val="auto"/>
              </w:rPr>
            </w:pPr>
          </w:p>
        </w:tc>
        <w:tc>
          <w:tcPr>
            <w:tcW w:w="2460" w:type="dxa"/>
            <w:vAlign w:val="bottom"/>
            <w:gridSpan w:val="4"/>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3"/>
          </w:tcPr>
          <w:p>
            <w:pPr>
              <w:jc w:val="right"/>
              <w:ind w:right="4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9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3"/>
          </w:tcPr>
          <w:p>
            <w:pPr>
              <w:jc w:val="right"/>
              <w:ind w:right="4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(a)</w:t>
            </w:r>
          </w:p>
        </w:tc>
        <w:tc>
          <w:tcPr>
            <w:tcW w:w="9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116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380" w:type="dxa"/>
            <w:vAlign w:val="bottom"/>
          </w:tcPr>
          <w:p>
            <w:pPr>
              <w:spacing w:after="0"/>
              <w:rPr>
                <w:sz w:val="13"/>
                <w:szCs w:val="13"/>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6"/>
                <w:szCs w:val="16"/>
                <w:b w:val="1"/>
                <w:bCs w:val="1"/>
                <w:color w:val="auto"/>
                <w:vertAlign w:val="superscript"/>
              </w:rPr>
              <w:t>(b)</w:t>
            </w:r>
          </w:p>
        </w:tc>
        <w:tc>
          <w:tcPr>
            <w:tcW w:w="380" w:type="dxa"/>
            <w:vAlign w:val="bottom"/>
          </w:tcPr>
          <w:p>
            <w:pPr>
              <w:spacing w:after="0"/>
              <w:rPr>
                <w:sz w:val="13"/>
                <w:szCs w:val="13"/>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0"/>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(c)</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18"/>
                <w:szCs w:val="18"/>
                <w:b w:val="1"/>
                <w:bCs w:val="1"/>
                <w:color w:val="auto"/>
                <w:vertAlign w:val="superscript"/>
              </w:rPr>
              <w:t>(d)</w:t>
            </w:r>
          </w:p>
        </w:tc>
        <w:tc>
          <w:tcPr>
            <w:tcW w:w="2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0"/>
        </w:trPr>
        <w:tc>
          <w:tcPr>
            <w:tcW w:w="5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There were no derivative assets or liabilities classified as Level 1 as of September 30, 2024 and December 31, 2023.</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Company’s interest rate swaps are measured at fair value using an income approach, which uses readily observable inputs, such as forward interest rates (e.g., SOFR) and contractual terms to estimate fair value.</w:t>
      </w:r>
    </w:p>
    <w:p>
      <w:pPr>
        <w:spacing w:after="0" w:line="39"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Includes long-term backbone transportation service contracts classified as Level 2 and short-term heat rate call option contracts classified as Level 3.</w:t>
      </w:r>
    </w:p>
    <w:p>
      <w:pPr>
        <w:spacing w:after="0" w:line="4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SREC contract.</w:t>
      </w:r>
    </w:p>
    <w:p>
      <w:pPr>
        <w:spacing w:after="0" w:line="50" w:lineRule="exact"/>
        <w:rPr>
          <w:rFonts w:ascii="Times New Roman" w:cs="Times New Roman" w:eastAsia="Times New Roman" w:hAnsi="Times New Roman"/>
          <w:sz w:val="16"/>
          <w:szCs w:val="16"/>
          <w:color w:val="auto"/>
          <w:vertAlign w:val="superscript"/>
        </w:rPr>
      </w:pPr>
    </w:p>
    <w:p>
      <w:pPr>
        <w:ind w:left="60" w:firstLine="9"/>
        <w:spacing w:after="0" w:line="231" w:lineRule="auto"/>
        <w:tabs>
          <w:tab w:leader="none" w:pos="194"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long-term backbone transportation contracts classified as Level 2 and long-term power commodity contracts and short-term heat rate call option contracts classified as Level 3. As of September 30, 2024 and December 31, 2023, Level 3 amounts include $326 million and $325 million related to long-term power commodity contracts and zero and $5 million related to short-term heat rate call option contracts, respectively.</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2440" w:type="dxa"/>
            <w:vAlign w:val="bottom"/>
            <w:tcBorders>
              <w:bottom w:val="single" w:sz="8" w:color="auto"/>
            </w:tcBorders>
            <w:gridSpan w:val="4"/>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center"/>
              <w:ind w:right="252"/>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13"/>
                <w:szCs w:val="13"/>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02"/>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900" w:type="dxa"/>
            <w:vAlign w:val="bottom"/>
            <w:gridSpan w:val="5"/>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w:t>
            </w:r>
          </w:p>
        </w:tc>
        <w:tc>
          <w:tcPr>
            <w:tcW w:w="80" w:type="dxa"/>
            <w:vAlign w:val="bottom"/>
          </w:tcPr>
          <w:p>
            <w:pPr>
              <w:spacing w:after="0"/>
              <w:rPr>
                <w:sz w:val="8"/>
                <w:szCs w:val="8"/>
                <w:color w:val="auto"/>
              </w:rPr>
            </w:pPr>
          </w:p>
        </w:tc>
        <w:tc>
          <w:tcPr>
            <w:tcW w:w="2900" w:type="dxa"/>
            <w:vAlign w:val="bottom"/>
            <w:gridSpan w:val="5"/>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w:t>
            </w:r>
          </w:p>
        </w:tc>
        <w:tc>
          <w:tcPr>
            <w:tcW w:w="0" w:type="dxa"/>
            <w:vAlign w:val="bottom"/>
          </w:tcPr>
          <w:p>
            <w:pPr>
              <w:spacing w:after="0"/>
              <w:rPr>
                <w:sz w:val="1"/>
                <w:szCs w:val="1"/>
                <w:color w:val="auto"/>
              </w:rPr>
            </w:pPr>
          </w:p>
        </w:tc>
      </w:tr>
      <w:tr>
        <w:trPr>
          <w:trHeight w:val="154"/>
        </w:trPr>
        <w:tc>
          <w:tcPr>
            <w:tcW w:w="540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394"/>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94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gains (losses) for the period included in earnings</w:t>
            </w: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9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400" w:type="dxa"/>
            <w:vAlign w:val="bottom"/>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Change in unrealized gains included in earnings for derivatives and other financial</w:t>
            </w:r>
          </w:p>
        </w:tc>
        <w:tc>
          <w:tcPr>
            <w:tcW w:w="9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instruments held as of September 30, 2024</w:t>
            </w:r>
          </w:p>
        </w:tc>
        <w:tc>
          <w:tcPr>
            <w:tcW w:w="94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September 30, 2024, contracts valued with prices provided by models and other valuation techniques make up 7% of derivative assets and 99% of derivative liabilities and other financial instruments.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quantifies the significant unobservable inputs used in developing the fair value of the Company’s Level 3 positions:</w:t>
      </w:r>
    </w:p>
    <w:p>
      <w:pPr>
        <w:spacing w:after="0" w:line="8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00" w:type="dxa"/>
            <w:vAlign w:val="bottom"/>
          </w:tcPr>
          <w:p>
            <w:pPr>
              <w:spacing w:after="0"/>
              <w:rPr>
                <w:sz w:val="11"/>
                <w:szCs w:val="11"/>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Pr>
          <w:p>
            <w:pPr>
              <w:spacing w:after="0"/>
              <w:rPr>
                <w:sz w:val="11"/>
                <w:szCs w:val="11"/>
                <w:color w:val="auto"/>
              </w:rPr>
            </w:pPr>
          </w:p>
        </w:tc>
        <w:tc>
          <w:tcPr>
            <w:tcW w:w="11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1"/>
                <w:szCs w:val="11"/>
                <w:color w:val="auto"/>
              </w:rPr>
            </w:pPr>
          </w:p>
        </w:tc>
        <w:tc>
          <w:tcPr>
            <w:tcW w:w="12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326</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19.67</w:t>
            </w: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auto"/>
              </w:rPr>
              <w:t>7</w:t>
            </w: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1,083.78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0" w:type="dxa"/>
            <w:vAlign w:val="bottom"/>
          </w:tcPr>
          <w:p>
            <w:pPr>
              <w:spacing w:after="0"/>
              <w:rPr>
                <w:sz w:val="1"/>
                <w:szCs w:val="1"/>
                <w:color w:val="auto"/>
              </w:rPr>
            </w:pPr>
          </w:p>
        </w:tc>
      </w:tr>
      <w:tr>
        <w:trPr>
          <w:trHeight w:val="16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46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Option Model</w:t>
            </w:r>
          </w:p>
        </w:tc>
        <w:tc>
          <w:tcPr>
            <w:tcW w:w="1480" w:type="dxa"/>
            <w:vAlign w:val="bottom"/>
            <w:vMerge w:val="continue"/>
          </w:tcPr>
          <w:p>
            <w:pPr>
              <w:spacing w:after="0"/>
              <w:rPr>
                <w:sz w:val="6"/>
                <w:szCs w:val="6"/>
                <w:color w:val="auto"/>
              </w:rPr>
            </w:pP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MMBtu)</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6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10</w:t>
            </w: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8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59,425 MWh</w:t>
            </w: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118,850 MWh</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111,091 MWh</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the impact on the fair value measurements to increases/(decreases) in significant unobservable inputs as of September 30,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980" w:type="dxa"/>
            <w:vAlign w:val="bottom"/>
            <w:tcBorders>
              <w:bottom w:val="single" w:sz="8" w:color="auto"/>
            </w:tcBorders>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16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260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Impact on Fair Value Measurement</w:t>
            </w:r>
          </w:p>
        </w:tc>
      </w:tr>
      <w:tr>
        <w:trPr>
          <w:trHeight w:val="17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Energy-Related Commodity Contracts</w:t>
            </w:r>
          </w:p>
        </w:tc>
        <w:tc>
          <w:tcPr>
            <w:tcW w:w="298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116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26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Lower/(Higher)</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Energy-Related Commodity Contracts</w:t>
            </w:r>
          </w:p>
        </w:tc>
        <w:tc>
          <w:tcPr>
            <w:tcW w:w="298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Forward Market Price Gas</w:t>
            </w:r>
          </w:p>
        </w:tc>
        <w:tc>
          <w:tcPr>
            <w:tcW w:w="11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26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Higher/(Lower)</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Financial Instruments</w:t>
            </w:r>
          </w:p>
        </w:tc>
        <w:tc>
          <w:tcPr>
            <w:tcW w:w="298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Forecast Generation Levels</w:t>
            </w:r>
          </w:p>
        </w:tc>
        <w:tc>
          <w:tcPr>
            <w:tcW w:w="116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26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Higher/(Lower)</w:t>
            </w:r>
          </w:p>
        </w:tc>
      </w:tr>
    </w:tbl>
    <w:p>
      <w:pPr>
        <w:spacing w:after="0" w:line="1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2024, the non-performance reserve was a $17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under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w:t>
      </w:r>
      <w:r>
        <w:rPr>
          <w:rFonts w:ascii="Times New Roman" w:cs="Times New Roman" w:eastAsia="Times New Roman" w:hAnsi="Times New Roman"/>
          <w:sz w:val="14"/>
          <w:szCs w:val="14"/>
          <w:color w:val="231F20"/>
        </w:rPr>
        <w:t>Company’s</w:t>
      </w:r>
      <w:r>
        <w:rPr>
          <w:rFonts w:ascii="Times New Roman" w:cs="Times New Roman" w:eastAsia="Times New Roman" w:hAnsi="Times New Roman"/>
          <w:sz w:val="14"/>
          <w:szCs w:val="14"/>
          <w:color w:val="auto"/>
        </w:rPr>
        <w:t xml:space="preserve"> 2023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4"/>
          <w:szCs w:val="14"/>
          <w:b w:val="1"/>
          <w:bCs w:val="1"/>
          <w:i w:val="1"/>
          <w:iCs w:val="1"/>
          <w:color w:val="auto"/>
        </w:rPr>
        <w:t>Derivative Instruments and Hedging Activities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footnote should be read in conjunction with the complete description under Item 15 — Note 7, </w:t>
      </w:r>
      <w:r>
        <w:rPr>
          <w:rFonts w:ascii="Times New Roman" w:cs="Times New Roman" w:eastAsia="Times New Roman" w:hAnsi="Times New Roman"/>
          <w:sz w:val="14"/>
          <w:szCs w:val="14"/>
          <w:i w:val="1"/>
          <w:iCs w:val="1"/>
          <w:color w:val="auto"/>
        </w:rPr>
        <w:t>Accounting for Derivative Instruments and Hedging Activities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w:t>
      </w:r>
      <w:r>
        <w:rPr>
          <w:rFonts w:ascii="Times New Roman" w:cs="Times New Roman" w:eastAsia="Times New Roman" w:hAnsi="Times New Roman"/>
          <w:sz w:val="14"/>
          <w:szCs w:val="14"/>
          <w:color w:val="auto"/>
        </w:rPr>
        <w:t xml:space="preserve"> consolidated financial statements included in the Company’s 2023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September 30, 2024,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September 30, 2024, the Company had energy-related derivative instruments extending through 2033. At September 30, 2024, these contracts were not designated as cash flow or fair value hedges.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8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17"/>
        </w:trPr>
        <w:tc>
          <w:tcPr>
            <w:tcW w:w="20" w:type="dxa"/>
            <w:vAlign w:val="bottom"/>
          </w:tcPr>
          <w:p>
            <w:pPr>
              <w:spacing w:after="0"/>
              <w:rPr>
                <w:sz w:val="10"/>
                <w:szCs w:val="10"/>
                <w:color w:val="auto"/>
              </w:rPr>
            </w:pPr>
          </w:p>
        </w:tc>
        <w:tc>
          <w:tcPr>
            <w:tcW w:w="28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2660" w:type="dxa"/>
            <w:vAlign w:val="bottom"/>
            <w:gridSpan w:val="3"/>
          </w:tcPr>
          <w:p>
            <w:pPr>
              <w:ind w:left="220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2660" w:type="dxa"/>
            <w:vAlign w:val="bottom"/>
            <w:gridSpan w:val="3"/>
            <w:shd w:val="clear" w:color="auto" w:fill="CCEEFF"/>
          </w:tcPr>
          <w:p>
            <w:pPr>
              <w:ind w:left="2200"/>
              <w:spacing w:after="0"/>
              <w:rPr>
                <w:sz w:val="20"/>
                <w:szCs w:val="20"/>
                <w:color w:val="auto"/>
              </w:rPr>
            </w:pPr>
            <w:r>
              <w:rPr>
                <w:rFonts w:ascii="Times New Roman" w:cs="Times New Roman" w:eastAsia="Times New Roman" w:hAnsi="Times New Roman"/>
                <w:sz w:val="14"/>
                <w:szCs w:val="14"/>
                <w:color w:val="auto"/>
              </w:rPr>
              <w:t>MWh</w:t>
            </w:r>
          </w:p>
        </w:tc>
        <w:tc>
          <w:tcPr>
            <w:tcW w:w="19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2660" w:type="dxa"/>
            <w:vAlign w:val="bottom"/>
            <w:gridSpan w:val="3"/>
          </w:tcPr>
          <w:p>
            <w:pPr>
              <w:ind w:left="2200"/>
              <w:spacing w:after="0"/>
              <w:rPr>
                <w:sz w:val="20"/>
                <w:szCs w:val="20"/>
                <w:color w:val="auto"/>
              </w:rPr>
            </w:pPr>
            <w:r>
              <w:rPr>
                <w:rFonts w:ascii="Times New Roman" w:cs="Times New Roman" w:eastAsia="Times New Roman" w:hAnsi="Times New Roman"/>
                <w:sz w:val="14"/>
                <w:szCs w:val="14"/>
                <w:color w:val="auto"/>
                <w:w w:val="97"/>
              </w:rPr>
              <w:t>MMBtu</w:t>
            </w: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2660" w:type="dxa"/>
            <w:vAlign w:val="bottom"/>
            <w:gridSpan w:val="3"/>
            <w:shd w:val="clear" w:color="auto" w:fill="CCEEFF"/>
          </w:tcPr>
          <w:p>
            <w:pPr>
              <w:ind w:left="2200"/>
              <w:spacing w:after="0"/>
              <w:rPr>
                <w:sz w:val="20"/>
                <w:szCs w:val="20"/>
                <w:color w:val="auto"/>
              </w:rPr>
            </w:pPr>
            <w:r>
              <w:rPr>
                <w:rFonts w:ascii="Times New Roman" w:cs="Times New Roman" w:eastAsia="Times New Roman" w:hAnsi="Times New Roman"/>
                <w:sz w:val="14"/>
                <w:szCs w:val="14"/>
                <w:color w:val="auto"/>
              </w:rPr>
              <w:t>Dollars</w:t>
            </w:r>
          </w:p>
        </w:tc>
        <w:tc>
          <w:tcPr>
            <w:tcW w:w="3380" w:type="dxa"/>
            <w:vAlign w:val="bottom"/>
            <w:gridSpan w:val="2"/>
            <w:shd w:val="clear" w:color="auto" w:fill="CCEEFF"/>
          </w:tcPr>
          <w:p>
            <w:pPr>
              <w:jc w:val="right"/>
              <w:ind w:right="130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1,711</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r>
      <w:tr>
        <w:trPr>
          <w:trHeight w:val="80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231F20"/>
                <w:w w:val="99"/>
              </w:rPr>
              <w:t>24</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4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c>
          <w:tcPr>
            <w:tcW w:w="1040" w:type="dxa"/>
            <w:vAlign w:val="bottom"/>
            <w:tcBorders>
              <w:bottom w:val="single" w:sz="8" w:color="auto"/>
            </w:tcBorders>
          </w:tcPr>
          <w:p>
            <w:pPr>
              <w:spacing w:after="0"/>
              <w:rPr>
                <w:sz w:val="13"/>
                <w:szCs w:val="13"/>
                <w:color w:val="auto"/>
              </w:rPr>
            </w:pPr>
          </w:p>
        </w:tc>
      </w:tr>
      <w:tr>
        <w:trPr>
          <w:trHeight w:val="150"/>
        </w:trPr>
        <w:tc>
          <w:tcPr>
            <w:tcW w:w="4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September 30, 2024 and December 31, 2023,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24"/>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71"/>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right"/>
              <w:ind w:right="1131"/>
              <w:spacing w:after="0"/>
              <w:rPr>
                <w:sz w:val="20"/>
                <w:szCs w:val="20"/>
                <w:color w:val="auto"/>
              </w:rPr>
            </w:pPr>
            <w:r>
              <w:rPr>
                <w:rFonts w:ascii="Times New Roman" w:cs="Times New Roman" w:eastAsia="Times New Roman" w:hAnsi="Times New Roman"/>
                <w:sz w:val="14"/>
                <w:szCs w:val="14"/>
                <w:color w:val="231F20"/>
              </w:rPr>
              <w:t>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5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balance attributable to interest rate swaps designated as cash flow hedge derivatives, net of tax:</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80" w:type="dxa"/>
            <w:vAlign w:val="bottom"/>
            <w:tcBorders>
              <w:bottom w:val="single" w:sz="8" w:color="auto"/>
            </w:tcBorders>
          </w:tcPr>
          <w:p>
            <w:pPr>
              <w:spacing w:after="0"/>
              <w:rPr>
                <w:sz w:val="13"/>
                <w:szCs w:val="13"/>
                <w:color w:val="auto"/>
              </w:rPr>
            </w:pPr>
          </w:p>
        </w:tc>
      </w:tr>
      <w:tr>
        <w:trPr>
          <w:trHeight w:val="154"/>
        </w:trPr>
        <w:tc>
          <w:tcPr>
            <w:tcW w:w="5400" w:type="dxa"/>
            <w:vAlign w:val="bottom"/>
          </w:tcPr>
          <w:p>
            <w:pPr>
              <w:spacing w:after="0"/>
              <w:rPr>
                <w:sz w:val="13"/>
                <w:szCs w:val="13"/>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r>
      <w:tr>
        <w:trPr>
          <w:trHeight w:val="150"/>
        </w:trPr>
        <w:tc>
          <w:tcPr>
            <w:tcW w:w="5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3"/>
          </w:tcPr>
          <w:p>
            <w:pPr>
              <w:jc w:val="right"/>
              <w:ind w:right="65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beginning balance</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w:t>
            </w:r>
          </w:p>
        </w:tc>
      </w:tr>
      <w:tr>
        <w:trPr>
          <w:trHeight w:val="138"/>
        </w:trPr>
        <w:tc>
          <w:tcPr>
            <w:tcW w:w="540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Reclassified from accumulated OCI to income due to realization of previously deferred</w:t>
            </w: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91"/>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amounts</w:t>
            </w: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(2)</w:t>
            </w:r>
          </w:p>
        </w:tc>
      </w:tr>
      <w:tr>
        <w:trPr>
          <w:trHeight w:val="181"/>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w:t>
            </w:r>
          </w:p>
        </w:tc>
      </w:tr>
      <w:tr>
        <w:trPr>
          <w:trHeight w:val="118"/>
        </w:trPr>
        <w:tc>
          <w:tcPr>
            <w:tcW w:w="54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Accumulated OCI ending balance, net of income tax expense of $—, $4, $— and $4,</w:t>
            </w: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91"/>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9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Clearway Energy, Inc.</w:t>
            </w:r>
          </w:p>
        </w:tc>
        <w:tc>
          <w:tcPr>
            <w:tcW w:w="98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99"/>
        </w:trPr>
        <w:tc>
          <w:tcPr>
            <w:tcW w:w="540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Gains expected to be realized from OCI during the next 12 months, net of income tax expense</w:t>
            </w:r>
          </w:p>
        </w:tc>
        <w:tc>
          <w:tcPr>
            <w:tcW w:w="9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r>
      <w:tr>
        <w:trPr>
          <w:trHeight w:val="191"/>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$1</w:t>
            </w:r>
          </w:p>
        </w:tc>
        <w:tc>
          <w:tcPr>
            <w:tcW w:w="98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 into income are recorded to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Income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income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2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5400" w:type="dxa"/>
            <w:vAlign w:val="bottom"/>
          </w:tcPr>
          <w:p>
            <w:pPr>
              <w:spacing w:after="0"/>
              <w:rPr>
                <w:sz w:val="13"/>
                <w:szCs w:val="13"/>
                <w:color w:val="auto"/>
              </w:rPr>
            </w:pPr>
          </w:p>
        </w:tc>
        <w:tc>
          <w:tcPr>
            <w:tcW w:w="9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4"/>
                <w:szCs w:val="14"/>
                <w:color w:val="242424"/>
                <w:w w:val="85"/>
              </w:rPr>
              <w:t>$</w:t>
            </w:r>
          </w:p>
        </w:tc>
        <w:tc>
          <w:tcPr>
            <w:tcW w:w="46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42424"/>
              </w:rPr>
              <w:t>(57)</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242424"/>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242424"/>
              </w:rPr>
              <w:t>(33)</w:t>
            </w:r>
          </w:p>
        </w:tc>
        <w:tc>
          <w:tcPr>
            <w:tcW w:w="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38"/>
        </w:trPr>
        <w:tc>
          <w:tcPr>
            <w:tcW w:w="5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Energy-Related Commodity Contracts (Mark-to-market for economic hedging activities</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91"/>
        </w:trPr>
        <w:tc>
          <w:tcPr>
            <w:tcW w:w="5400" w:type="dxa"/>
            <w:vAlign w:val="bottom"/>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included in Total operating revenues) </w:t>
            </w:r>
            <w:r>
              <w:rPr>
                <w:rFonts w:ascii="Times New Roman" w:cs="Times New Roman" w:eastAsia="Times New Roman" w:hAnsi="Times New Roman"/>
                <w:sz w:val="18"/>
                <w:szCs w:val="18"/>
                <w:color w:val="auto"/>
                <w:vertAlign w:val="superscript"/>
              </w:rPr>
              <w:t>(a)</w:t>
            </w:r>
          </w:p>
        </w:tc>
        <w:tc>
          <w:tcPr>
            <w:tcW w:w="980" w:type="dxa"/>
            <w:vAlign w:val="bottom"/>
          </w:tcPr>
          <w:p>
            <w:pPr>
              <w:spacing w:after="0"/>
              <w:rPr>
                <w:sz w:val="16"/>
                <w:szCs w:val="16"/>
                <w:color w:val="auto"/>
              </w:rPr>
            </w:pPr>
          </w:p>
        </w:tc>
        <w:tc>
          <w:tcPr>
            <w:tcW w:w="4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242424"/>
                <w:w w:val="99"/>
              </w:rPr>
              <w:t>72</w:t>
            </w: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242424"/>
              </w:rPr>
              <w:t>11</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38"/>
        </w:trPr>
        <w:tc>
          <w:tcPr>
            <w:tcW w:w="54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Energy-Related Commodity Contracts (Mark-to-market for economic hedging activities</w:t>
            </w: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91"/>
        </w:trPr>
        <w:tc>
          <w:tcPr>
            <w:tcW w:w="540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4"/>
                <w:szCs w:val="14"/>
                <w:color w:val="auto"/>
              </w:rPr>
              <w:t xml:space="preserve">included in Cost of operations) </w:t>
            </w:r>
            <w:r>
              <w:rPr>
                <w:rFonts w:ascii="Times New Roman" w:cs="Times New Roman" w:eastAsia="Times New Roman" w:hAnsi="Times New Roman"/>
                <w:sz w:val="18"/>
                <w:szCs w:val="18"/>
                <w:color w:val="auto"/>
                <w:vertAlign w:val="superscript"/>
              </w:rPr>
              <w:t>(b)</w:t>
            </w: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242424"/>
                <w:w w:val="99"/>
              </w:rPr>
              <w:t>—</w:t>
            </w: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242424"/>
              </w:rPr>
              <w:t>(3)</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tabs>
          <w:tab w:leader="none" w:pos="185"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long-term energy related commodity contracts at Elbow Creek, Mesquite Star, Mt. Storm, Langford and Mesquite Sky and short-term heat rate call option energy-related commodity contracts at El Segundo, Marsh Landing and Walnut Creek.</w:t>
      </w:r>
    </w:p>
    <w:p>
      <w:pPr>
        <w:spacing w:after="0" w:line="112" w:lineRule="exact"/>
        <w:rPr>
          <w:rFonts w:ascii="Times New Roman" w:cs="Times New Roman" w:eastAsia="Times New Roman" w:hAnsi="Times New Roman"/>
          <w:sz w:val="15"/>
          <w:szCs w:val="15"/>
          <w:color w:val="auto"/>
          <w:vertAlign w:val="superscript"/>
        </w:rPr>
      </w:pPr>
    </w:p>
    <w:p>
      <w:pPr>
        <w:ind w:left="200" w:hanging="131"/>
        <w:spacing w:after="0" w:line="235" w:lineRule="auto"/>
        <w:tabs>
          <w:tab w:leader="none" w:pos="20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Relates to long-term backbone transportation service energy-related commodity contracts at El Segundo and Walnut Creek.</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5,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 xml:space="preserve">Note 7 — </w:t>
      </w:r>
      <w:r>
        <w:rPr>
          <w:rFonts w:ascii="Times New Roman" w:cs="Times New Roman" w:eastAsia="Times New Roman" w:hAnsi="Times New Roman"/>
          <w:sz w:val="14"/>
          <w:szCs w:val="14"/>
          <w:b w:val="1"/>
          <w:bCs w:val="1"/>
          <w:i w:val="1"/>
          <w:iCs w:val="1"/>
          <w:color w:val="auto"/>
        </w:rPr>
        <w:t>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consolidated financial statements included in the Company’s 2023 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10-K. The Company’s borrowings, including short-term and long-term portions,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120" w:type="dxa"/>
            <w:vAlign w:val="bottom"/>
          </w:tcPr>
          <w:p>
            <w:pPr>
              <w:spacing w:after="0"/>
              <w:rPr>
                <w:sz w:val="11"/>
                <w:szCs w:val="11"/>
                <w:color w:val="auto"/>
              </w:rPr>
            </w:pP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0" w:type="dxa"/>
            <w:vAlign w:val="bottom"/>
          </w:tcPr>
          <w:p>
            <w:pPr>
              <w:spacing w:after="0"/>
              <w:rPr>
                <w:sz w:val="11"/>
                <w:szCs w:val="11"/>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September 30, 2024 interest rate</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Letters of Credit Outstanding at</w:t>
            </w:r>
          </w:p>
        </w:tc>
        <w:tc>
          <w:tcPr>
            <w:tcW w:w="0" w:type="dxa"/>
            <w:vAlign w:val="bottom"/>
          </w:tcPr>
          <w:p>
            <w:pPr>
              <w:spacing w:after="0"/>
              <w:rPr>
                <w:sz w:val="1"/>
                <w:szCs w:val="1"/>
                <w:color w:val="auto"/>
              </w:rPr>
            </w:pPr>
          </w:p>
        </w:tc>
      </w:tr>
      <w:tr>
        <w:trPr>
          <w:trHeight w:val="159"/>
        </w:trPr>
        <w:tc>
          <w:tcPr>
            <w:tcW w:w="5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00" w:type="dxa"/>
            <w:vAlign w:val="bottom"/>
          </w:tcPr>
          <w:p>
            <w:pPr>
              <w:spacing w:after="0"/>
              <w:rPr>
                <w:sz w:val="13"/>
                <w:szCs w:val="13"/>
                <w:color w:val="auto"/>
              </w:rPr>
            </w:pPr>
          </w:p>
        </w:tc>
        <w:tc>
          <w:tcPr>
            <w:tcW w:w="14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0" w:type="dxa"/>
            <w:vAlign w:val="bottom"/>
          </w:tcPr>
          <w:p>
            <w:pPr>
              <w:spacing w:after="0"/>
              <w:rPr>
                <w:sz w:val="1"/>
                <w:szCs w:val="1"/>
                <w:color w:val="auto"/>
              </w:rPr>
            </w:pPr>
          </w:p>
        </w:tc>
      </w:tr>
      <w:tr>
        <w:trPr>
          <w:trHeight w:val="16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center"/>
              <w:ind w:left="1218"/>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2028 </w:t>
            </w:r>
            <w:r>
              <w:rPr>
                <w:rFonts w:ascii="Times New Roman" w:cs="Times New Roman" w:eastAsia="Times New Roman" w:hAnsi="Times New Roman"/>
                <w:sz w:val="16"/>
                <w:szCs w:val="16"/>
                <w:color w:val="auto"/>
                <w:vertAlign w:val="superscript"/>
              </w:rPr>
              <w:t>(b)</w:t>
            </w: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S+1.500</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24242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108</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facility-level debt: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2.395-3.633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S+2.775</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5.696-7.015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67</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760" w:type="dxa"/>
            <w:vAlign w:val="bottom"/>
            <w:gridSpan w:val="2"/>
          </w:tcPr>
          <w:p>
            <w:pPr>
              <w:jc w:val="center"/>
              <w:ind w:left="1098"/>
              <w:spacing w:after="0"/>
              <w:rPr>
                <w:sz w:val="20"/>
                <w:szCs w:val="20"/>
                <w:color w:val="auto"/>
              </w:rPr>
            </w:pPr>
            <w:r>
              <w:rPr>
                <w:rFonts w:ascii="Times New Roman" w:cs="Times New Roman" w:eastAsia="Times New Roman" w:hAnsi="Times New Roman"/>
                <w:sz w:val="13"/>
                <w:szCs w:val="13"/>
                <w:color w:val="auto"/>
                <w:w w:val="97"/>
              </w:rPr>
              <w:t>Various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Broken Bow, due 2031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S+2.350</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6</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21</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S+1.900</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68</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6</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Cedar Creek, due 2029</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S+1.625</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19</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Cedro Hill, due 2024 and 2029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S+1.250-1.375</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Crofton Bluffs, due 2031</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S+2.350</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2.339-3.775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12</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760" w:type="dxa"/>
            <w:vAlign w:val="bottom"/>
            <w:gridSpan w:val="2"/>
          </w:tcPr>
          <w:p>
            <w:pPr>
              <w:jc w:val="center"/>
              <w:ind w:left="1316"/>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2, due 2028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32</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3, due 2028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44</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30</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S+1.600</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18</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Holdco LC Facility, due 2027</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107</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S+2.000-2.125</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17</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S+1.525</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31</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Texas Solar Nova 1, due 2028 </w:t>
            </w:r>
            <w:r>
              <w:rPr>
                <w:rFonts w:ascii="Times New Roman" w:cs="Times New Roman" w:eastAsia="Times New Roman" w:hAnsi="Times New Roman"/>
                <w:sz w:val="16"/>
                <w:szCs w:val="16"/>
                <w:color w:val="auto"/>
                <w:vertAlign w:val="superscript"/>
              </w:rPr>
              <w:t>(c)</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3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TSN1 Class B Member LLC, due 2029 </w:t>
            </w:r>
            <w:r>
              <w:rPr>
                <w:rFonts w:ascii="Times New Roman" w:cs="Times New Roman" w:eastAsia="Times New Roman" w:hAnsi="Times New Roman"/>
                <w:sz w:val="16"/>
                <w:szCs w:val="16"/>
                <w:color w:val="auto"/>
                <w:vertAlign w:val="superscript"/>
              </w:rPr>
              <w:t>(c)</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54</w:t>
            </w:r>
          </w:p>
        </w:tc>
        <w:tc>
          <w:tcPr>
            <w:tcW w:w="0" w:type="dxa"/>
            <w:vAlign w:val="bottom"/>
          </w:tcPr>
          <w:p>
            <w:pPr>
              <w:spacing w:after="0"/>
              <w:rPr>
                <w:sz w:val="1"/>
                <w:szCs w:val="1"/>
                <w:color w:val="auto"/>
              </w:rPr>
            </w:pPr>
          </w:p>
        </w:tc>
      </w:tr>
      <w:tr>
        <w:trPr>
          <w:trHeight w:val="1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760" w:type="dxa"/>
            <w:vAlign w:val="bottom"/>
            <w:gridSpan w:val="2"/>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161</w:t>
            </w: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S+1.475</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29</w:t>
            </w: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Victory Pass and Arica, due 2024</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gridSpan w:val="2"/>
          </w:tcPr>
          <w:p>
            <w:pPr>
              <w:jc w:val="center"/>
              <w:ind w:left="1098"/>
              <w:spacing w:after="0"/>
              <w:rPr>
                <w:sz w:val="20"/>
                <w:szCs w:val="20"/>
                <w:color w:val="auto"/>
              </w:rPr>
            </w:pPr>
            <w:r>
              <w:rPr>
                <w:rFonts w:ascii="Times New Roman" w:cs="Times New Roman" w:eastAsia="Times New Roman" w:hAnsi="Times New Roman"/>
                <w:sz w:val="13"/>
                <w:szCs w:val="13"/>
                <w:color w:val="auto"/>
                <w:w w:val="97"/>
              </w:rPr>
              <w:t>Various</w:t>
            </w:r>
          </w:p>
        </w:tc>
        <w:tc>
          <w:tcPr>
            <w:tcW w:w="2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242424"/>
              </w:rPr>
              <w:t>76</w:t>
            </w:r>
          </w:p>
        </w:tc>
        <w:tc>
          <w:tcPr>
            <w:tcW w:w="0" w:type="dxa"/>
            <w:vAlign w:val="bottom"/>
          </w:tcPr>
          <w:p>
            <w:pPr>
              <w:spacing w:after="0"/>
              <w:rPr>
                <w:sz w:val="1"/>
                <w:szCs w:val="1"/>
                <w:color w:val="auto"/>
              </w:rPr>
            </w:pPr>
          </w:p>
        </w:tc>
      </w:tr>
      <w:tr>
        <w:trPr>
          <w:trHeight w:val="16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Subtotal non-recourse facility-level debt</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5,974</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debt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8,099</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(d)</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long-term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6,732</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As of September 30, 2024, S+ equals SOFR plus x%.</w:t>
      </w:r>
    </w:p>
    <w:p>
      <w:pPr>
        <w:spacing w:after="0" w:line="13"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Applicable rate is determined by the borrower leverage ratio, as defined in the credit agreement, and only applies to outstanding borrowings.</w:t>
      </w:r>
    </w:p>
    <w:p>
      <w:pPr>
        <w:spacing w:after="0" w:line="35"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On March 15, 2024, Texas Solar Nova 1’s financing agreement was amended to merge the facility-level debt of Texas Solar Nova 1 and Texas Solar Nova 2 as a combined term loan under TSN1 Class B Member LLC.</w:t>
      </w:r>
    </w:p>
    <w:p>
      <w:pPr>
        <w:spacing w:after="0" w:line="2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Premiums relate to the 2028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As of September 30, 2024, the Company was in compliance with all of the required covenants.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or additions of long-term debt for the nine months ended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Capistrano Portfolio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term loan bears interest at a rate of SOFR plus 1.625% per annum and matures on September 28, 2033. The Company utilized the proceeds from the term loan to pay off the existing debt in the amount of $63 million related to Broken Bow and Crofton Bluffs and to pay related financing costs.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Company’s merchant conventional facilities. The letter of credit facility has an initial term of three years and the option for two additional one-year extensions.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 (Rosie Class B LLC)</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the Company paid $279 million to Clearway Renew as additional purchase price to complete its acquisition of the facility, which occurred on December 1, 2023. The Company’s entire additional purchase price was recorded as an adjustment to CEG’s noncontrolling interest balance. The additional purchase price consisted of $64 million that was funded by the Company from existing sources of liquidity and $215 million funded through contributions from the cash equity investor in Rosie TargetCo LLC and the tax equity investor in Rosie TE Holdco LLC. Clearway Renew utilized the proceeds to repay the balance of $184 million on the loan previously issued to its consolidated subsidiary by Rosie Class B LLC and to redeem Rosie Class B LLC’s entire equity investment in Rosie Central BESS of $28 million, as further discussed in Note 4, </w:t>
      </w:r>
      <w:r>
        <w:rPr>
          <w:rFonts w:ascii="Times New Roman" w:cs="Times New Roman" w:eastAsia="Times New Roman" w:hAnsi="Times New Roman"/>
          <w:sz w:val="14"/>
          <w:szCs w:val="14"/>
          <w:i w:val="1"/>
          <w:iCs w:val="1"/>
          <w:color w:val="auto"/>
        </w:rPr>
        <w:t>Investments Accounted for by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 Method and Variable Interest Entities</w:t>
      </w:r>
      <w:r>
        <w:rPr>
          <w:rFonts w:ascii="Times New Roman" w:cs="Times New Roman" w:eastAsia="Times New Roman" w:hAnsi="Times New Roman"/>
          <w:sz w:val="14"/>
          <w:szCs w:val="14"/>
          <w:color w:val="auto"/>
        </w:rPr>
        <w:t>. The Company utilized proceeds from Clearway Renew, along with $39 million held previously in escrow and $56 million of the Company’s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price that was contributed back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Additionally, on June 13, 2024, the outstanding construction loans were converted to a term loan in the amount of $115 million.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NIMH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June 11, 2024, the Company, through its indirect subsidiary, NIMH Solar LLC, </w:t>
      </w:r>
      <w:r>
        <w:rPr>
          <w:rFonts w:ascii="Times New Roman" w:cs="Times New Roman" w:eastAsia="Times New Roman" w:hAnsi="Times New Roman"/>
          <w:sz w:val="14"/>
          <w:szCs w:val="14"/>
          <w:color w:val="212529"/>
        </w:rPr>
        <w:t>refinanced its amended and restated credit agreement, which was scheduled to mature in September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resulting in the issuance of a $137 million term loan facility, as well as $17 million in letters of credit in support of debt service and facility obligations. </w:t>
      </w:r>
      <w:r>
        <w:rPr>
          <w:rFonts w:ascii="Times New Roman" w:cs="Times New Roman" w:eastAsia="Times New Roman" w:hAnsi="Times New Roman"/>
          <w:sz w:val="14"/>
          <w:szCs w:val="14"/>
          <w:color w:val="000000"/>
        </w:rPr>
        <w:t>The obligations under the new financing</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which was funded with existing sources of liquidity. The Company’s entire additional purchase price was recorded as an adjustment to CEG’s noncontrolling interest balance. Also on May 1, 2024, the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Prior to the repayment of the tax equity bridge loan, the Company borrowed an additional $62 million in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Cedar Creek</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April 16, 2024, as part of the acquisition of Cedar Creek,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by CEG, to repay the tax equity bridge loan, to repay the cash equity bridge loan, to partially repay $2 million in construction loans, to fund $16 million in construction completion reserves, which is included in restricted cash on the Company’s consolidated balance sheet, and to pay $6 million in associated fees. Also at acquisition date, the outstanding construction loans were converted to a term loan in the amount of $110 million.</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by CEG, to repay the $115 million tax equity bridge loan, to fund $19 million in construction completion reserves, which is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 xml:space="preserve">Note 8 — </w:t>
      </w:r>
      <w:r>
        <w:rPr>
          <w:rFonts w:ascii="Times New Roman" w:cs="Times New Roman" w:eastAsia="Times New Roman" w:hAnsi="Times New Roman"/>
          <w:sz w:val="14"/>
          <w:szCs w:val="14"/>
          <w:b w:val="1"/>
          <w:bCs w:val="1"/>
          <w:i w:val="1"/>
          <w:iCs w:val="1"/>
          <w:color w:val="auto"/>
        </w:rPr>
        <w:t>Earnings Per Share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losses per share while giving effect to all potentially dilutive common shares that were outstanding during the period.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reconciliation of the Company’s basic and diluted earnings per share is shown in the following tables: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0"/>
        </w:trPr>
        <w:tc>
          <w:tcPr>
            <w:tcW w:w="2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940" w:type="dxa"/>
            <w:vAlign w:val="bottom"/>
            <w:tcBorders>
              <w:bottom w:val="single" w:sz="8" w:color="auto"/>
            </w:tcBorders>
          </w:tcPr>
          <w:p>
            <w:pPr>
              <w:spacing w:after="0"/>
              <w:rPr>
                <w:sz w:val="13"/>
                <w:szCs w:val="13"/>
                <w:color w:val="auto"/>
              </w:rPr>
            </w:pPr>
          </w:p>
        </w:tc>
      </w:tr>
      <w:tr>
        <w:trPr>
          <w:trHeight w:val="170"/>
        </w:trPr>
        <w:tc>
          <w:tcPr>
            <w:tcW w:w="68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1"/>
                <w:szCs w:val="11"/>
                <w:b w:val="1"/>
                <w:bCs w:val="1"/>
                <w:color w:val="auto"/>
              </w:rPr>
              <w:t xml:space="preserve">(In millions, except per share data) </w:t>
            </w:r>
            <w:r>
              <w:rPr>
                <w:rFonts w:ascii="Times New Roman" w:cs="Times New Roman" w:eastAsia="Times New Roman" w:hAnsi="Times New Roman"/>
                <w:sz w:val="16"/>
                <w:szCs w:val="16"/>
                <w:b w:val="1"/>
                <w:bCs w:val="1"/>
                <w:color w:val="auto"/>
                <w:vertAlign w:val="superscript"/>
              </w:rPr>
              <w:t>(a)</w:t>
            </w: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100" w:type="dxa"/>
            <w:vAlign w:val="bottom"/>
          </w:tcPr>
          <w:p>
            <w:pPr>
              <w:spacing w:after="0"/>
              <w:rPr>
                <w:sz w:val="14"/>
                <w:szCs w:val="14"/>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Common Class C</w:t>
            </w:r>
          </w:p>
        </w:tc>
      </w:tr>
      <w:tr>
        <w:trPr>
          <w:trHeight w:val="160"/>
        </w:trPr>
        <w:tc>
          <w:tcPr>
            <w:tcW w:w="6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income per share attributable to Clearway Energy, Inc. common stockholders</w:t>
            </w: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8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Clearway Energy, Inc.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 and diluted</w:t>
            </w: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weighted average common share — basic and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0"/>
        </w:trPr>
        <w:tc>
          <w:tcPr>
            <w:tcW w:w="2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4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spacing w:after="0" w:line="23" w:lineRule="exact"/>
        <w:rPr>
          <w:sz w:val="20"/>
          <w:szCs w:val="20"/>
          <w:color w:val="auto"/>
        </w:rPr>
      </w:pPr>
    </w:p>
    <w:p>
      <w:pPr>
        <w:ind w:left="200" w:hanging="131"/>
        <w:spacing w:after="0"/>
        <w:tabs>
          <w:tab w:leader="none" w:pos="2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income attributable to Clearway Energy, Inc. and basic and diluted earnings per share might not recalculate due to presenting amounts in millions rather than whole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0"/>
        </w:trPr>
        <w:tc>
          <w:tcPr>
            <w:tcW w:w="2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940" w:type="dxa"/>
            <w:vAlign w:val="bottom"/>
            <w:tcBorders>
              <w:bottom w:val="single" w:sz="8" w:color="auto"/>
            </w:tcBorders>
          </w:tcPr>
          <w:p>
            <w:pPr>
              <w:spacing w:after="0"/>
              <w:rPr>
                <w:sz w:val="13"/>
                <w:szCs w:val="13"/>
                <w:color w:val="auto"/>
              </w:rPr>
            </w:pPr>
          </w:p>
        </w:tc>
      </w:tr>
      <w:tr>
        <w:trPr>
          <w:trHeight w:val="159"/>
        </w:trPr>
        <w:tc>
          <w:tcPr>
            <w:tcW w:w="68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(In millions, except per share data) </w:t>
            </w:r>
            <w:r>
              <w:rPr>
                <w:rFonts w:ascii="Times New Roman" w:cs="Times New Roman" w:eastAsia="Times New Roman" w:hAnsi="Times New Roman"/>
                <w:sz w:val="14"/>
                <w:szCs w:val="14"/>
                <w:b w:val="1"/>
                <w:bCs w:val="1"/>
                <w:color w:val="auto"/>
                <w:vertAlign w:val="superscript"/>
              </w:rPr>
              <w:t>(a)</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Common Class A</w:t>
            </w:r>
          </w:p>
        </w:tc>
        <w:tc>
          <w:tcPr>
            <w:tcW w:w="10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Common Class C</w:t>
            </w:r>
          </w:p>
        </w:tc>
      </w:tr>
      <w:tr>
        <w:trPr>
          <w:trHeight w:val="160"/>
        </w:trPr>
        <w:tc>
          <w:tcPr>
            <w:tcW w:w="6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income per share attributable to Clearway Energy, Inc. common stockholders</w:t>
            </w: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r>
      <w:tr>
        <w:trPr>
          <w:trHeight w:val="18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Clearway Energy, Inc.</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 and diluted</w:t>
            </w: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weighted average common share — basic and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r>
      <w:tr>
        <w:trPr>
          <w:trHeight w:val="20"/>
        </w:trPr>
        <w:tc>
          <w:tcPr>
            <w:tcW w:w="2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33" w:lineRule="exact"/>
        <w:rPr>
          <w:sz w:val="20"/>
          <w:szCs w:val="20"/>
          <w:color w:val="auto"/>
        </w:rPr>
      </w:pPr>
    </w:p>
    <w:p>
      <w:pPr>
        <w:ind w:left="200" w:hanging="131"/>
        <w:spacing w:after="0"/>
        <w:tabs>
          <w:tab w:leader="none" w:pos="20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income attributable to Clearway Energy, Inc. and basic and diluted earnings per share might not recalculate due to presenting amounts in millions rather than whole dollars.</w:t>
      </w:r>
    </w:p>
    <w:p>
      <w:pPr>
        <w:spacing w:after="0" w:line="200" w:lineRule="exact"/>
        <w:rPr>
          <w:rFonts w:ascii="Times New Roman" w:cs="Times New Roman" w:eastAsia="Times New Roman" w:hAnsi="Times New Roman"/>
          <w:sz w:val="17"/>
          <w:szCs w:val="17"/>
          <w:color w:val="auto"/>
          <w:vertAlign w:val="superscript"/>
        </w:rPr>
      </w:pPr>
    </w:p>
    <w:p>
      <w:pPr>
        <w:spacing w:after="0" w:line="214"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 xml:space="preserve">Note 9 — </w:t>
      </w:r>
      <w:r>
        <w:rPr>
          <w:rFonts w:ascii="Times New Roman" w:cs="Times New Roman" w:eastAsia="Times New Roman" w:hAnsi="Times New Roman"/>
          <w:sz w:val="14"/>
          <w:szCs w:val="14"/>
          <w:b w:val="1"/>
          <w:bCs w:val="1"/>
          <w:i w:val="1"/>
          <w:iCs w:val="1"/>
          <w:color w:val="auto"/>
        </w:rPr>
        <w:t>Segment Reporting</w:t>
      </w:r>
    </w:p>
    <w:p>
      <w:pPr>
        <w:spacing w:after="0" w:line="138"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conventional power generation and renewable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5"/>
                <w:szCs w:val="15"/>
                <w:color w:val="auto"/>
              </w:rPr>
            </w:pPr>
          </w:p>
        </w:tc>
        <w:tc>
          <w:tcPr>
            <w:tcW w:w="140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5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1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5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8"/>
              </w:rPr>
              <w:t>(106)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6"/>
                <w:szCs w:val="16"/>
                <w:color w:val="auto"/>
              </w:rPr>
            </w:pPr>
          </w:p>
        </w:tc>
        <w:tc>
          <w:tcPr>
            <w:tcW w:w="5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20" w:type="dxa"/>
            <w:vAlign w:val="bottom"/>
          </w:tcPr>
          <w:p>
            <w:pPr>
              <w:spacing w:after="0"/>
              <w:rPr>
                <w:sz w:val="12"/>
                <w:szCs w:val="12"/>
                <w:color w:val="auto"/>
              </w:rPr>
            </w:pPr>
          </w:p>
        </w:tc>
        <w:tc>
          <w:tcPr>
            <w:tcW w:w="5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ind w:right="25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2"/>
                <w:szCs w:val="12"/>
                <w:color w:val="auto"/>
              </w:rPr>
            </w:pPr>
          </w:p>
        </w:tc>
        <w:tc>
          <w:tcPr>
            <w:tcW w:w="240" w:type="dxa"/>
            <w:vAlign w:val="bottom"/>
          </w:tcPr>
          <w:p>
            <w:pPr>
              <w:jc w:val="right"/>
              <w:ind w:right="95"/>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color w:val="auto"/>
              </w:rPr>
              <w:t>12,164</w:t>
            </w:r>
          </w:p>
        </w:tc>
        <w:tc>
          <w:tcPr>
            <w:tcW w:w="100" w:type="dxa"/>
            <w:vAlign w:val="bottom"/>
          </w:tcPr>
          <w:p>
            <w:pPr>
              <w:spacing w:after="0"/>
              <w:rPr>
                <w:sz w:val="12"/>
                <w:szCs w:val="12"/>
                <w:color w:val="auto"/>
              </w:rPr>
            </w:pPr>
          </w:p>
        </w:tc>
        <w:tc>
          <w:tcPr>
            <w:tcW w:w="1000" w:type="dxa"/>
            <w:vAlign w:val="bottom"/>
          </w:tcPr>
          <w:p>
            <w:pPr>
              <w:jc w:val="right"/>
              <w:ind w:right="851"/>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2"/>
                <w:szCs w:val="12"/>
                <w:color w:val="auto"/>
              </w:rPr>
            </w:pPr>
          </w:p>
        </w:tc>
        <w:tc>
          <w:tcPr>
            <w:tcW w:w="1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4"/>
        </w:trPr>
        <w:tc>
          <w:tcPr>
            <w:tcW w:w="2200" w:type="dxa"/>
            <w:vAlign w:val="bottom"/>
            <w:tcBorders>
              <w:bottom w:val="single" w:sz="8" w:color="auto"/>
            </w:tcBorders>
            <w:gridSpan w:val="2"/>
          </w:tcPr>
          <w:p>
            <w:pPr>
              <w:spacing w:after="0"/>
              <w:rPr>
                <w:sz w:val="11"/>
                <w:szCs w:val="11"/>
                <w:color w:val="auto"/>
              </w:rPr>
            </w:pPr>
          </w:p>
        </w:tc>
        <w:tc>
          <w:tcPr>
            <w:tcW w:w="3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Three months ended September 30, 2023</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91"/>
              <w:spacing w:after="0" w:line="181" w:lineRule="exact"/>
              <w:rPr>
                <w:sz w:val="20"/>
                <w:szCs w:val="20"/>
                <w:color w:val="auto"/>
              </w:rPr>
            </w:pPr>
            <w:r>
              <w:rPr>
                <w:rFonts w:ascii="Times New Roman" w:cs="Times New Roman" w:eastAsia="Times New Roman" w:hAnsi="Times New Roman"/>
                <w:sz w:val="11"/>
                <w:szCs w:val="11"/>
                <w:b w:val="1"/>
                <w:bCs w:val="1"/>
                <w:color w:val="auto"/>
                <w:w w:val="96"/>
              </w:rPr>
              <w:t xml:space="preserve">Corporate </w:t>
            </w:r>
            <w:r>
              <w:rPr>
                <w:rFonts w:ascii="Times New Roman" w:cs="Times New Roman" w:eastAsia="Times New Roman" w:hAnsi="Times New Roman"/>
                <w:sz w:val="16"/>
                <w:szCs w:val="16"/>
                <w:b w:val="1"/>
                <w:bCs w:val="1"/>
                <w:color w:val="auto"/>
                <w:w w:val="96"/>
                <w:vertAlign w:val="superscript"/>
              </w:rPr>
              <w:t>(a)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5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Nine months ended September 30, 2024</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8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20" w:type="dxa"/>
            <w:vAlign w:val="bottom"/>
          </w:tcPr>
          <w:p>
            <w:pPr>
              <w:spacing w:after="0"/>
              <w:rPr>
                <w:sz w:val="15"/>
                <w:szCs w:val="15"/>
                <w:color w:val="auto"/>
              </w:rPr>
            </w:pPr>
          </w:p>
        </w:tc>
        <w:tc>
          <w:tcPr>
            <w:tcW w:w="11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320" w:type="dxa"/>
            <w:vAlign w:val="bottom"/>
          </w:tcPr>
          <w:p>
            <w:pPr>
              <w:spacing w:after="0"/>
              <w:rPr>
                <w:sz w:val="15"/>
                <w:szCs w:val="15"/>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6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r>
      <w:tr>
        <w:trPr>
          <w:trHeight w:val="18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5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5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5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71"/>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6"/>
        </w:trPr>
        <w:tc>
          <w:tcPr>
            <w:tcW w:w="5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6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79"/>
        </w:trPr>
        <w:tc>
          <w:tcPr>
            <w:tcW w:w="2200" w:type="dxa"/>
            <w:vAlign w:val="bottom"/>
            <w:tcBorders>
              <w:bottom w:val="single" w:sz="8" w:color="auto"/>
            </w:tcBorders>
          </w:tcPr>
          <w:p>
            <w:pPr>
              <w:spacing w:after="0"/>
              <w:rPr>
                <w:sz w:val="6"/>
                <w:szCs w:val="6"/>
                <w:color w:val="auto"/>
              </w:rPr>
            </w:pPr>
          </w:p>
        </w:tc>
        <w:tc>
          <w:tcPr>
            <w:tcW w:w="3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7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2"/>
        </w:trPr>
        <w:tc>
          <w:tcPr>
            <w:tcW w:w="2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Nine months ended September 30, 2023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20" w:type="dxa"/>
            <w:vAlign w:val="bottom"/>
          </w:tcPr>
          <w:p>
            <w:pPr>
              <w:spacing w:after="0"/>
              <w:rPr>
                <w:sz w:val="15"/>
                <w:szCs w:val="15"/>
                <w:color w:val="auto"/>
              </w:rPr>
            </w:pPr>
          </w:p>
        </w:tc>
        <w:tc>
          <w:tcPr>
            <w:tcW w:w="11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6"/>
                <w:szCs w:val="16"/>
                <w:b w:val="1"/>
                <w:bCs w:val="1"/>
                <w:color w:val="auto"/>
                <w:vertAlign w:val="superscript"/>
              </w:rPr>
              <w:t>(a)</w:t>
            </w:r>
          </w:p>
        </w:tc>
        <w:tc>
          <w:tcPr>
            <w:tcW w:w="320" w:type="dxa"/>
            <w:vAlign w:val="bottom"/>
          </w:tcPr>
          <w:p>
            <w:pPr>
              <w:spacing w:after="0"/>
              <w:rPr>
                <w:sz w:val="15"/>
                <w:szCs w:val="15"/>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1"/>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56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r>
      <w:tr>
        <w:trPr>
          <w:trHeight w:val="180"/>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57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7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0"/>
        </w:trPr>
        <w:tc>
          <w:tcPr>
            <w:tcW w:w="5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7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2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 xml:space="preserve">Note 10 — </w:t>
      </w:r>
      <w:r>
        <w:rPr>
          <w:rFonts w:ascii="Times New Roman" w:cs="Times New Roman" w:eastAsia="Times New Roman" w:hAnsi="Times New Roman"/>
          <w:sz w:val="14"/>
          <w:szCs w:val="14"/>
          <w:b w:val="1"/>
          <w:bCs w:val="1"/>
          <w:i w:val="1"/>
          <w:iCs w:val="1"/>
          <w:color w:val="auto"/>
        </w:rPr>
        <w:t>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income tax provision consisted of the following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54"/>
        </w:trPr>
        <w:tc>
          <w:tcPr>
            <w:tcW w:w="4460" w:type="dxa"/>
            <w:vAlign w:val="bottom"/>
          </w:tcPr>
          <w:p>
            <w:pPr>
              <w:spacing w:after="0"/>
              <w:rPr>
                <w:sz w:val="13"/>
                <w:szCs w:val="13"/>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gridSpan w:val="6"/>
          </w:tcPr>
          <w:p>
            <w:pPr>
              <w:ind w:left="900"/>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126</w:t>
            </w: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67</w:t>
            </w: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79.2 %</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53.2 %</w:t>
            </w:r>
          </w:p>
        </w:tc>
      </w:tr>
    </w:tbl>
    <w:p>
      <w:pPr>
        <w:spacing w:after="0" w:line="18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and nine months ended September 30, 2024 and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2024, the income tax expense was calculated based on year-to-date results as this represents the best estimate of the income tax rate. This differs from prior periods where income tax expense was calculated based on a forecasted effective tax rate under ASC 740-270.</w:t>
      </w:r>
    </w:p>
    <w:p>
      <w:pPr>
        <w:spacing w:after="0" w:line="82" w:lineRule="exact"/>
        <w:rPr>
          <w:sz w:val="20"/>
          <w:szCs w:val="20"/>
          <w:color w:val="auto"/>
        </w:rPr>
      </w:pPr>
    </w:p>
    <w:p>
      <w:pPr>
        <w:ind w:right="1800" w:firstLine="318"/>
        <w:spacing w:after="0" w:line="442" w:lineRule="auto"/>
        <w:rPr>
          <w:sz w:val="20"/>
          <w:szCs w:val="20"/>
          <w:color w:val="auto"/>
        </w:rPr>
      </w:pPr>
      <w:r>
        <w:rPr>
          <w:rFonts w:ascii="Times New Roman" w:cs="Times New Roman" w:eastAsia="Times New Roman" w:hAnsi="Times New Roman"/>
          <w:sz w:val="14"/>
          <w:szCs w:val="14"/>
          <w:color w:val="auto"/>
        </w:rPr>
        <w:t xml:space="preserve">For tax purposes, Clearway Energy LLC is treated as a partnership; therefore, the Company and CEG each record their respective share of taxable income or loss. </w:t>
      </w:r>
      <w:r>
        <w:rPr>
          <w:rFonts w:ascii="Times New Roman" w:cs="Times New Roman" w:eastAsia="Times New Roman" w:hAnsi="Times New Roman"/>
          <w:sz w:val="14"/>
          <w:szCs w:val="14"/>
          <w:b w:val="1"/>
          <w:bCs w:val="1"/>
          <w:color w:val="auto"/>
        </w:rPr>
        <w:t xml:space="preserve">Note 11 — </w:t>
      </w:r>
      <w:r>
        <w:rPr>
          <w:rFonts w:ascii="Times New Roman" w:cs="Times New Roman" w:eastAsia="Times New Roman" w:hAnsi="Times New Roman"/>
          <w:sz w:val="14"/>
          <w:szCs w:val="14"/>
          <w:b w:val="1"/>
          <w:bCs w:val="1"/>
          <w:i w:val="1"/>
          <w:iCs w:val="1"/>
          <w:color w:val="auto"/>
        </w:rPr>
        <w:t>Related Party Transactions</w:t>
      </w:r>
    </w:p>
    <w:p>
      <w:pPr>
        <w:spacing w:after="0" w:line="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$22 million and $18 million for the three months ended September 30, 2024 and 2023, respectively. The Company incurred total expenses for these services of $59 million and $54 million for the nine months ended September 30, 2024 and 2023, respectively. There was a balance of $10 million and $13 million due to RENOM as of September 30, 2024 and December 31, 2023,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$5 million for each of the three months ended September 30, 2024 and 2023. The Company incurred expenses under these agreements of $17 million and $15 million for the nine months ended September 30, 2024 and 2023, respectively. There was a balance of $3 million and $2 million due to CEG as of September 30, 2024 and December 31, 2023,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The Company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the Company provides certain services to CEG, including accounting, internal audit, tax and treasury services, in exchange for the payment of fees in respect of such services. The Company incurred net expenses under these agreements of $1 million for each of the three months ended September 30, 2024 and 2023. The Company incurred net expenses under these agreements of $4 million for each of the nine months ended September 30, 2024 and 2023.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3" w:name="page34"/>
    <w:bookmarkEnd w:id="33"/>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April 30, 2024, the CEG Master Services Agreement was amended and restated as a result of a reorganization effected by the Company pursuant to which all of the employees and operations of the Company will transfer to CEG as of January 1, 2025. Under the amended and restated agreement, CEG and certain of its affiliates or third-party service providers will continue to provide the operational and administrative services outlined above, and, effective January 1, 2025, CEG will also provide accounting, internal audit, tax, legal and treasury services, in exchange for payment of fees in respect of such services. Certain independent functions will be directed by the Company’s Governance, Conflicts and Nominating Committee and paid for by the Company, while being administered by CEG.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jc w:val="right"/>
        <w:ind w:right="492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ITEM 2 — Management’s Discussion and Analysis of Financial Condition and the Results of Operations </w:t>
      </w:r>
      <w:r>
        <w:rPr>
          <w:rFonts w:ascii="Times New Roman" w:cs="Times New Roman" w:eastAsia="Times New Roman" w:hAnsi="Times New Roman"/>
          <w:sz w:val="14"/>
          <w:szCs w:val="14"/>
          <w:color w:val="auto"/>
        </w:rPr>
        <w:t>The following discussion analyzes the Company’s historical financial condition and results of operations.</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you read this discussion and analysis, refer to the Company’s consolidated financial statements to this Form 10-Q, which present the results of operations for the three and nine months ended September 30, 2024 and 2023. Also refer to the Company’s 2023 Form 10-K, which includes detailed discussions of various items impacting the Company’s business, results of operations and financial condition.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income;</w:t>
      </w:r>
    </w:p>
    <w:p>
      <w:pPr>
        <w:spacing w:after="0" w:line="5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231F20"/>
        </w:rPr>
      </w:pPr>
    </w:p>
    <w:p>
      <w:pPr>
        <w:ind w:left="760" w:right="60" w:firstLine="9"/>
        <w:spacing w:after="0" w:line="287" w:lineRule="auto"/>
        <w:tabs>
          <w:tab w:leader="none" w:pos="101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October 1, 2024, BlackRock acquired 100% of the business and assets of GIM, which is the investment manager of the GIP funds that own an interest in CEG. BlackRock is a publicly-traded global investment management firm.</w:t>
      </w:r>
    </w:p>
    <w:p>
      <w:pPr>
        <w:spacing w:after="0" w:line="10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approximately 6,500 net MW of installed wind, solar and battery energy storage system, or BESS, facilities. The Company’s approximately 9,000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September 30, 2024 </w:t>
      </w:r>
      <w:r>
        <w:rPr>
          <w:rFonts w:ascii="Times New Roman" w:cs="Times New Roman" w:eastAsia="Times New Roman" w:hAnsi="Times New Roman"/>
          <w:sz w:val="14"/>
          <w:szCs w:val="14"/>
          <w:color w:val="231F20"/>
        </w:rPr>
        <w:t>based on CAFD.</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September 30, 2024, the Company’s operating assets are comprised of the following facilities:</w:t>
      </w:r>
    </w:p>
    <w:p>
      <w:pPr>
        <w:spacing w:after="0" w:line="67"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1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2040" w:type="dxa"/>
            <w:vAlign w:val="bottom"/>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246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88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Contract Expiration</w:t>
            </w:r>
          </w:p>
        </w:tc>
        <w:tc>
          <w:tcPr>
            <w:tcW w:w="0" w:type="dxa"/>
            <w:vAlign w:val="bottom"/>
          </w:tcPr>
          <w:p>
            <w:pPr>
              <w:spacing w:after="0"/>
              <w:rPr>
                <w:sz w:val="1"/>
                <w:szCs w:val="1"/>
                <w:color w:val="auto"/>
              </w:rPr>
            </w:pPr>
          </w:p>
        </w:tc>
      </w:tr>
      <w:tr>
        <w:trPr>
          <w:trHeight w:val="108"/>
        </w:trPr>
        <w:tc>
          <w:tcPr>
            <w:tcW w:w="130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960" w:type="dxa"/>
            <w:vAlign w:val="bottom"/>
          </w:tcPr>
          <w:p>
            <w:pPr>
              <w:jc w:val="center"/>
              <w:ind w:right="771"/>
              <w:spacing w:after="0"/>
              <w:rPr>
                <w:sz w:val="20"/>
                <w:szCs w:val="20"/>
                <w:color w:val="auto"/>
              </w:rPr>
            </w:pPr>
            <w:r>
              <w:rPr>
                <w:rFonts w:ascii="Times New Roman" w:cs="Times New Roman" w:eastAsia="Times New Roman" w:hAnsi="Times New Roman"/>
                <w:sz w:val="8"/>
                <w:szCs w:val="8"/>
                <w:b w:val="1"/>
                <w:bCs w:val="1"/>
                <w:color w:val="auto"/>
              </w:rPr>
              <w:t>(a)</w:t>
            </w:r>
          </w:p>
        </w:tc>
        <w:tc>
          <w:tcPr>
            <w:tcW w:w="246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Carlsbad</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San Diego Gas &amp; Electric</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8"/>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El Segundo</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2026 - 2027</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GenConn Devon</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65"/>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GenConn Middletown</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Marsh Landing</w:t>
            </w:r>
          </w:p>
        </w:tc>
        <w:tc>
          <w:tcPr>
            <w:tcW w:w="21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Walnut Creek</w:t>
            </w:r>
          </w:p>
        </w:tc>
        <w:tc>
          <w:tcPr>
            <w:tcW w:w="21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2026 - 2027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2340" w:type="dxa"/>
            <w:vAlign w:val="bottom"/>
          </w:tcPr>
          <w:p>
            <w:pPr>
              <w:spacing w:after="0"/>
              <w:rPr>
                <w:sz w:val="13"/>
                <w:szCs w:val="13"/>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2,488</w:t>
            </w:r>
          </w:p>
        </w:tc>
        <w:tc>
          <w:tcPr>
            <w:tcW w:w="288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2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Agua Caliente</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51 %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148</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Alpine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40 %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Avenal</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Avra Valley</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Tucson Electric Power</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Blythe</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Borrego</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26</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City of Georgetown, TX</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CVSR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250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Desert Sunlight 250</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2034</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Desert Sunlight 300</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25 %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75</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Kansas South</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59"/>
        </w:trPr>
        <w:tc>
          <w:tcPr>
            <w:tcW w:w="296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61</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Roadrunner</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El Paso Electric</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87"/>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rPr>
              <w:t>2035 - 2047</w:t>
            </w:r>
          </w:p>
        </w:tc>
      </w:tr>
      <w:tr>
        <w:trPr>
          <w:trHeight w:val="153"/>
        </w:trPr>
        <w:tc>
          <w:tcPr>
            <w:tcW w:w="2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TA High Desert</w:t>
            </w:r>
          </w:p>
        </w:tc>
        <w:tc>
          <w:tcPr>
            <w:tcW w:w="234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100 %</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6"/>
                <w:szCs w:val="16"/>
                <w:color w:val="auto"/>
                <w:vertAlign w:val="superscript"/>
              </w:rPr>
              <w:t>(b)</w:t>
            </w:r>
          </w:p>
        </w:tc>
        <w:tc>
          <w:tcPr>
            <w:tcW w:w="23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50 %</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126</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Verizon</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2042</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100" w:type="dxa"/>
            <w:vAlign w:val="bottom"/>
          </w:tcPr>
          <w:p>
            <w:pPr>
              <w:spacing w:after="0"/>
              <w:rPr>
                <w:sz w:val="11"/>
                <w:szCs w:val="11"/>
                <w:color w:val="auto"/>
              </w:rPr>
            </w:pPr>
          </w:p>
        </w:tc>
        <w:tc>
          <w:tcPr>
            <w:tcW w:w="408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 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8"/>
                <w:szCs w:val="8"/>
                <w:b w:val="1"/>
                <w:bCs w:val="1"/>
                <w:color w:val="auto"/>
              </w:rPr>
              <w:t>(a)</w:t>
            </w:r>
          </w:p>
        </w:tc>
        <w:tc>
          <w:tcPr>
            <w:tcW w:w="100" w:type="dxa"/>
            <w:vAlign w:val="bottom"/>
          </w:tcPr>
          <w:p>
            <w:pPr>
              <w:spacing w:after="0"/>
              <w:rPr>
                <w:sz w:val="10"/>
                <w:szCs w:val="10"/>
                <w:color w:val="auto"/>
              </w:rPr>
            </w:pPr>
          </w:p>
        </w:tc>
        <w:tc>
          <w:tcPr>
            <w:tcW w:w="408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top w:val="single" w:sz="8" w:color="auto"/>
            </w:tcBorders>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6"/>
                <w:szCs w:val="16"/>
                <w:color w:val="auto"/>
                <w:vertAlign w:val="superscript"/>
              </w:rPr>
              <w:t>(b)</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3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2042</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Utah Solar Portfolio</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2036</w:t>
            </w:r>
          </w:p>
        </w:tc>
        <w:tc>
          <w:tcPr>
            <w:tcW w:w="0" w:type="dxa"/>
            <w:vAlign w:val="bottom"/>
          </w:tcPr>
          <w:p>
            <w:pPr>
              <w:spacing w:after="0"/>
              <w:rPr>
                <w:sz w:val="1"/>
                <w:szCs w:val="1"/>
                <w:color w:val="auto"/>
              </w:rPr>
            </w:pPr>
          </w:p>
        </w:tc>
      </w:tr>
      <w:tr>
        <w:trPr>
          <w:trHeight w:val="159"/>
        </w:trPr>
        <w:tc>
          <w:tcPr>
            <w:tcW w:w="37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9"/>
        </w:trPr>
        <w:tc>
          <w:tcPr>
            <w:tcW w:w="37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9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BESS</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2042</w:t>
            </w:r>
          </w:p>
        </w:tc>
      </w:tr>
      <w:tr>
        <w:trPr>
          <w:trHeight w:val="180"/>
        </w:trPr>
        <w:tc>
          <w:tcPr>
            <w:tcW w:w="3080" w:type="dxa"/>
            <w:vAlign w:val="bottom"/>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80" w:type="dxa"/>
            <w:vAlign w:val="bottom"/>
            <w:tcBorders>
              <w:bottom w:val="single" w:sz="8" w:color="CCEEFF"/>
            </w:tcBorders>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6"/>
                <w:szCs w:val="16"/>
                <w:color w:val="auto"/>
                <w:vertAlign w:val="superscript"/>
              </w:rPr>
              <w:t>(b)</w:t>
            </w:r>
          </w:p>
        </w:tc>
        <w:tc>
          <w:tcPr>
            <w:tcW w:w="190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180" w:type="dxa"/>
            <w:vAlign w:val="bottom"/>
            <w:tcBorders>
              <w:bottom w:val="single" w:sz="8" w:color="CCEEFF"/>
            </w:tcBorders>
          </w:tcPr>
          <w:p>
            <w:pPr>
              <w:jc w:val="center"/>
              <w:ind w:left="6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0"/>
        </w:trPr>
        <w:tc>
          <w:tcPr>
            <w:tcW w:w="3080" w:type="dxa"/>
            <w:vAlign w:val="bottom"/>
            <w:shd w:val="clear" w:color="auto" w:fill="CCEEFF"/>
          </w:tcPr>
          <w:p>
            <w:pPr>
              <w:ind w:left="34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BESS</w:t>
            </w:r>
          </w:p>
        </w:tc>
        <w:tc>
          <w:tcPr>
            <w:tcW w:w="1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4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2"/>
        </w:trPr>
        <w:tc>
          <w:tcPr>
            <w:tcW w:w="3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2030 - 2044</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2026 - 2037</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DG Facilities</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2025 - 2039</w:t>
            </w:r>
          </w:p>
        </w:tc>
      </w:tr>
      <w:tr>
        <w:trPr>
          <w:trHeight w:val="149"/>
        </w:trPr>
        <w:tc>
          <w:tcPr>
            <w:tcW w:w="308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9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40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II</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III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IV</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V</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Alta X</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Alta XI</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Toyota and AEP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Broken Bow</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Buffalo Bear</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Cedar Creek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2049</w:t>
            </w:r>
          </w:p>
        </w:tc>
      </w:tr>
      <w:tr>
        <w:trPr>
          <w:trHeight w:val="159"/>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Cedro Hill</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CPS Energy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Crofton Bluffs</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Elkhorn Ridge</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66.7 %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Forward</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Goat Wind</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Dow Pipeline Company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87"/>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Goldman Sachs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Laredo Ridge</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Lookout</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59"/>
        </w:trPr>
        <w:tc>
          <w:tcPr>
            <w:tcW w:w="3080" w:type="dxa"/>
            <w:vAlign w:val="bottom"/>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2033 - 2036</w:t>
            </w:r>
          </w:p>
        </w:tc>
      </w:tr>
      <w:tr>
        <w:trPr>
          <w:trHeight w:val="180"/>
        </w:trPr>
        <w:tc>
          <w:tcPr>
            <w:tcW w:w="3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6"/>
                <w:szCs w:val="16"/>
                <w:color w:val="auto"/>
                <w:vertAlign w:val="superscript"/>
              </w:rPr>
              <w:t>(b)</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2032 - 2035</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Mountain Wind 1</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Mountain Wind 2</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Mt. Storm</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Citigroup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Ocotillo</w:t>
            </w:r>
          </w:p>
        </w:tc>
        <w:tc>
          <w:tcPr>
            <w:tcW w:w="1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N/A</w:t>
            </w:r>
          </w:p>
        </w:tc>
        <w:tc>
          <w:tcPr>
            <w:tcW w:w="1180" w:type="dxa"/>
            <w:vAlign w:val="bottom"/>
            <w:shd w:val="clear" w:color="auto" w:fill="CCEEFF"/>
          </w:tcPr>
          <w:p>
            <w:pPr>
              <w:spacing w:after="0"/>
              <w:rPr>
                <w:sz w:val="14"/>
                <w:szCs w:val="14"/>
                <w:color w:val="auto"/>
              </w:rPr>
            </w:pPr>
          </w:p>
        </w:tc>
      </w:tr>
      <w:tr>
        <w:trPr>
          <w:trHeight w:val="219"/>
        </w:trPr>
        <w:tc>
          <w:tcPr>
            <w:tcW w:w="30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6"/>
                <w:szCs w:val="16"/>
                <w:color w:val="auto"/>
                <w:vertAlign w:val="superscript"/>
              </w:rPr>
              <w:t>(b)</w:t>
            </w:r>
          </w:p>
        </w:tc>
        <w:tc>
          <w:tcPr>
            <w:tcW w:w="1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Maryland Department of General Services and University System of Maryland</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26"/>
        </w:trPr>
        <w:tc>
          <w:tcPr>
            <w:tcW w:w="37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80" w:type="dxa"/>
            <w:vAlign w:val="bottom"/>
          </w:tcPr>
          <w:p>
            <w:pPr>
              <w:spacing w:after="0"/>
              <w:rPr>
                <w:sz w:val="11"/>
                <w:szCs w:val="11"/>
                <w:color w:val="auto"/>
              </w:rPr>
            </w:pPr>
          </w:p>
        </w:tc>
        <w:tc>
          <w:tcPr>
            <w:tcW w:w="41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 Expiration</w:t>
            </w:r>
          </w:p>
        </w:tc>
        <w:tc>
          <w:tcPr>
            <w:tcW w:w="0" w:type="dxa"/>
            <w:vAlign w:val="bottom"/>
          </w:tcPr>
          <w:p>
            <w:pPr>
              <w:spacing w:after="0"/>
              <w:rPr>
                <w:sz w:val="1"/>
                <w:szCs w:val="1"/>
                <w:color w:val="auto"/>
              </w:rPr>
            </w:pPr>
          </w:p>
        </w:tc>
      </w:tr>
      <w:tr>
        <w:trPr>
          <w:trHeight w:val="118"/>
        </w:trPr>
        <w:tc>
          <w:tcPr>
            <w:tcW w:w="37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tcPr>
          <w:p>
            <w:pPr>
              <w:jc w:val="right"/>
              <w:ind w:right="445"/>
              <w:spacing w:after="0"/>
              <w:rPr>
                <w:sz w:val="20"/>
                <w:szCs w:val="20"/>
                <w:color w:val="auto"/>
              </w:rPr>
            </w:pPr>
            <w:r>
              <w:rPr>
                <w:rFonts w:ascii="Times New Roman" w:cs="Times New Roman" w:eastAsia="Times New Roman" w:hAnsi="Times New Roman"/>
                <w:sz w:val="8"/>
                <w:szCs w:val="8"/>
                <w:b w:val="1"/>
                <w:bCs w:val="1"/>
                <w:color w:val="auto"/>
              </w:rPr>
              <w:t>(a)</w:t>
            </w:r>
          </w:p>
        </w:tc>
        <w:tc>
          <w:tcPr>
            <w:tcW w:w="80" w:type="dxa"/>
            <w:vAlign w:val="bottom"/>
          </w:tcPr>
          <w:p>
            <w:pPr>
              <w:spacing w:after="0"/>
              <w:rPr>
                <w:sz w:val="10"/>
                <w:szCs w:val="10"/>
                <w:color w:val="auto"/>
              </w:rPr>
            </w:pPr>
          </w:p>
        </w:tc>
        <w:tc>
          <w:tcPr>
            <w:tcW w:w="4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top w:val="single" w:sz="8" w:color="auto"/>
            </w:tcBorders>
            <w:shd w:val="clear" w:color="auto" w:fill="CCEEFF"/>
          </w:tcPr>
          <w:p>
            <w:pPr>
              <w:ind w:left="10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6"/>
                <w:szCs w:val="16"/>
                <w:color w:val="auto"/>
                <w:vertAlign w:val="superscript"/>
              </w:rPr>
              <w:t>(b) (c)</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Borders>
              <w:top w:val="single" w:sz="8" w:color="CCEEFF"/>
            </w:tcBorders>
            <w:shd w:val="clear" w:color="auto" w:fill="CCEEFF"/>
          </w:tcPr>
          <w:p>
            <w:pPr>
              <w:spacing w:after="0"/>
              <w:rPr>
                <w:sz w:val="13"/>
                <w:szCs w:val="13"/>
                <w:color w:val="auto"/>
              </w:rPr>
            </w:pPr>
          </w:p>
        </w:tc>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2040</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San Juan Mesa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Sleeping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2032</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South Trent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Spanish Fork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2028</w:t>
            </w:r>
          </w:p>
        </w:tc>
        <w:tc>
          <w:tcPr>
            <w:tcW w:w="0" w:type="dxa"/>
            <w:vAlign w:val="bottom"/>
          </w:tcPr>
          <w:p>
            <w:pPr>
              <w:spacing w:after="0"/>
              <w:rPr>
                <w:sz w:val="1"/>
                <w:szCs w:val="1"/>
                <w:color w:val="auto"/>
              </w:rPr>
            </w:pPr>
          </w:p>
        </w:tc>
      </w:tr>
      <w:tr>
        <w:trPr>
          <w:trHeight w:val="180"/>
        </w:trPr>
        <w:tc>
          <w:tcPr>
            <w:tcW w:w="372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16"/>
                <w:szCs w:val="16"/>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tcPr>
          <w:p>
            <w:pPr>
              <w:spacing w:after="0"/>
              <w:rPr>
                <w:sz w:val="15"/>
                <w:szCs w:val="15"/>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5"/>
                <w:szCs w:val="15"/>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80"/>
        </w:trPr>
        <w:tc>
          <w:tcPr>
            <w:tcW w:w="372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1"/>
                <w:szCs w:val="11"/>
                <w:color w:val="auto"/>
              </w:rPr>
              <w:t xml:space="preserve">Spring Canyon III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2039</w:t>
            </w:r>
          </w:p>
        </w:tc>
        <w:tc>
          <w:tcPr>
            <w:tcW w:w="0" w:type="dxa"/>
            <w:vAlign w:val="bottom"/>
          </w:tcPr>
          <w:p>
            <w:pPr>
              <w:spacing w:after="0"/>
              <w:rPr>
                <w:sz w:val="1"/>
                <w:szCs w:val="1"/>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Taloga</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3"/>
                <w:szCs w:val="13"/>
                <w:color w:val="auto"/>
              </w:rPr>
            </w:pP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2031</w:t>
            </w:r>
          </w:p>
        </w:tc>
        <w:tc>
          <w:tcPr>
            <w:tcW w:w="0" w:type="dxa"/>
            <w:vAlign w:val="bottom"/>
          </w:tcPr>
          <w:p>
            <w:pPr>
              <w:spacing w:after="0"/>
              <w:rPr>
                <w:sz w:val="1"/>
                <w:szCs w:val="1"/>
                <w:color w:val="auto"/>
              </w:rPr>
            </w:pPr>
          </w:p>
        </w:tc>
      </w:tr>
      <w:tr>
        <w:trPr>
          <w:trHeight w:val="165"/>
        </w:trPr>
        <w:tc>
          <w:tcPr>
            <w:tcW w:w="3720" w:type="dxa"/>
            <w:vAlign w:val="bottom"/>
            <w:gridSpan w:val="2"/>
            <w:shd w:val="clear" w:color="auto" w:fill="CCEEFF"/>
          </w:tcPr>
          <w:p>
            <w:pPr>
              <w:ind w:left="100"/>
              <w:spacing w:after="0" w:line="165" w:lineRule="exact"/>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6"/>
                <w:szCs w:val="16"/>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shd w:val="clear" w:color="auto" w:fill="CCEEFF"/>
          </w:tcPr>
          <w:p>
            <w:pPr>
              <w:spacing w:after="0"/>
              <w:rPr>
                <w:sz w:val="14"/>
                <w:szCs w:val="14"/>
                <w:color w:val="auto"/>
              </w:rPr>
            </w:pP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2027</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gridSpan w:val="2"/>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3,797</w:t>
            </w:r>
          </w:p>
        </w:tc>
        <w:tc>
          <w:tcPr>
            <w:tcW w:w="8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net generation capacity</w:t>
            </w: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9,037</w:t>
            </w:r>
          </w:p>
        </w:tc>
        <w:tc>
          <w:tcPr>
            <w:tcW w:w="8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capacity represents the maximum, or rated, generating or storage capacity of the facility multiplied by the Company’s percentage ownership in the facility as of September 30, 2024.</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Note 4,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4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6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through an indirect subsidiary, entered into an agreement with Clearway Renew to acquire the Class A membership interests in Pine Forest TE Holdco LLC, a tax equity fund that upon mechanical completion will own Pine Forest, a 300 MW solar facility that will be paired with a 200 MW BESS facility currently under construction in Hopkins County, Texas, for $46 million in cash consideration, subject to closing adjustments. Also, on October 28, 2024, the Company, through an indirect subsidiary, entered into an agreement with Clearway Renew to acquire 50% of the Class B membership interests in Pine Forest TE Holdco LLC for $90 million in cash consideration, subject to closing adjustments. The consummation of the transaction is subject to customary closing conditions and certain third-party approvals and is expected in the second half of 2025.</w:t>
      </w:r>
    </w:p>
    <w:p>
      <w:pPr>
        <w:spacing w:after="0" w:line="90"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27, 2024, the Company, through an indirect subsidiary, entered into an agreement with Clearway Renew to acquire the Class A membership interests in Luna Valley, a 200 MW solar facility currently under construction in Fresno County, California, and Daggett 1, a 114 MW BESS facility currently under construction in San Bernardino, California, for $143 million in cash consideration, subject to closing adjustments. The consummation of the transaction is subject to customary closing conditions and certain third-party approvals and is expected in the first half of 2025.</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7, 2024, the Company, through an indirect subsidiary, entered into an agreement with Clearway Renew to acquire the Class A membership interests in Rosamond South I, a 140 MW solar facility that will be paired with a 117 MW BESS facility currently under construction in Rosamond, California, for $21 million in cash consideration, subject to closing adjustments. The consummation of the transaction is subject to customary closing conditions and certain third-party approvals and is expected in the first half of 2025.</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2024, the Company, through an indirect subsidiary, entered into an agreement with Clearway Renew to acquire the Class A membership interests in Dan’s Mountain, a 55 MW wind facility currently under construction in Allegany County, Maryland, for $44 million in cash consideration, subject to closing adjustments. The consummation of the transaction is subject to customary closing conditions and certain third-party approvals and is expected in the fourth quarter of 2024.</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See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28, 2024, the Company contracted with a load serving entity to sell approximately 90 MW of Marsh Landing’s RA commencing in September 2026 and ending in December 2030. On July 31, 2024, the Company contracted with an additional load serving entity to sell approximately 195 MW of Marsh Landing’s RA commencing in October 2026 and ending in December 2028. Marsh Landing is now contracted for approximately 99% of its capacity through 2027 and approximately 49% of its capacity through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Facility-level Financing Activities</w:t>
      </w:r>
    </w:p>
    <w:p>
      <w:pPr>
        <w:spacing w:after="0" w:line="136" w:lineRule="exact"/>
        <w:rPr>
          <w:sz w:val="20"/>
          <w:szCs w:val="20"/>
          <w:color w:val="auto"/>
        </w:rPr>
      </w:pPr>
    </w:p>
    <w:p>
      <w:pPr>
        <w:ind w:left="520" w:hanging="260"/>
        <w:spacing w:after="0" w:line="290" w:lineRule="auto"/>
        <w:tabs>
          <w:tab w:leader="none" w:pos="516"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connection with the 2024 Drop Downs of Texas Solar Nova 2 and Cedar Creek, the Company assumed non-recourse facility-level debt.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 associated with each facility.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jc w:val="both"/>
        <w:ind w:left="520" w:hanging="260"/>
        <w:spacing w:after="0" w:line="270" w:lineRule="auto"/>
        <w:tabs>
          <w:tab w:leader="none" w:pos="516"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related to Broken Bow and Crofton Bluffs and to pay related financing costs.</w:t>
      </w:r>
    </w:p>
    <w:p>
      <w:pPr>
        <w:spacing w:after="0" w:line="93"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25, 2024, the Company, through its indirect subsidiary, Natural Gas Holdco, entered into a financing agreement that provides for a $200 million letter of credit facility, which is being utilized to support the collateral needs of the Company’s merchant conventional facilities and freed up capacity on the Company’s corporate revolving credit facility.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letter of credit facility.</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Clearway Renew utilized the proceeds to repay the loan that was previously issued to its consolidated subsidiary by Rosie Class B LLC and to redeem Rosie Class B LLC’s entire equity investment in Rosie Central BESS. The Company utilized proceeds from Clearway Renew, along with $39 million held previously in escrow and $56 million of the Company’s additional purchase price contributed back by CEG, to repay the tax equity bridge loan, to make a distribution to the cash equity investor, to fund construction completion reserves and to pay associated fees. See Note 4,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and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transactions.</w:t>
      </w:r>
    </w:p>
    <w:p>
      <w:pPr>
        <w:spacing w:after="0" w:line="104"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June 11, 2024, the Company, through its indirect subsidiary, NIMH Solar LLC, refinanced its amended and restated credit agreement, which was scheduled to mature in September 2024, resulting in the issuance of a $137 million term loan facility, as well as $17 million in letters of credit in support of debt service and facility obligations. The Company utilized the proceeds from the term loan and existing sources of liquidity to pay off the existing debt.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refinanced credit agreement.</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See Note 7, </w:t>
      </w:r>
      <w:r>
        <w:rPr>
          <w:rFonts w:ascii="Times New Roman" w:cs="Times New Roman" w:eastAsia="Times New Roman" w:hAnsi="Times New Roman"/>
          <w:sz w:val="14"/>
          <w:szCs w:val="14"/>
          <w:i w:val="1"/>
          <w:iCs w:val="1"/>
          <w:color w:val="auto"/>
        </w:rPr>
        <w:t>Long-term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discussion of the transactions.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Company’s environmental matters are further described in the Company’s 2023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Environmental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Regulatory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of the Company’s 2023 Form 10-K</w:t>
      </w:r>
      <w:r>
        <w:rPr>
          <w:rFonts w:ascii="Times New Roman" w:cs="Times New Roman" w:eastAsia="Times New Roman" w:hAnsi="Times New Roman"/>
          <w:sz w:val="14"/>
          <w:szCs w:val="14"/>
          <w:i w:val="1"/>
          <w:iCs w:val="1"/>
          <w:color w:val="auto"/>
        </w:rPr>
        <w:t>.</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gridSpan w:val="11"/>
          </w:tcPr>
          <w:p>
            <w:pPr>
              <w:ind w:left="4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40" w:type="dxa"/>
            <w:vAlign w:val="bottom"/>
          </w:tcPr>
          <w:p>
            <w:pPr>
              <w:spacing w:after="0"/>
              <w:rPr>
                <w:sz w:val="13"/>
                <w:szCs w:val="13"/>
                <w:color w:val="auto"/>
              </w:rPr>
            </w:pPr>
          </w:p>
        </w:tc>
        <w:tc>
          <w:tcPr>
            <w:tcW w:w="2160" w:type="dxa"/>
            <w:vAlign w:val="bottom"/>
            <w:gridSpan w:val="7"/>
          </w:tcPr>
          <w:p>
            <w:pPr>
              <w:ind w:left="48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91"/>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89"/>
              <w:spacing w:after="0" w:line="117"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11"/>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10"/>
              <w:spacing w:after="0" w:line="117"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30"/>
              <w:spacing w:after="0" w:line="117" w:lineRule="exact"/>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Energy and capacity revenues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333333"/>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437</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333333"/>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416</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333333"/>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1,176</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333333"/>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1,099</w:t>
            </w:r>
          </w:p>
        </w:tc>
        <w:tc>
          <w:tcPr>
            <w:tcW w:w="8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Contract amortization</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(138)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72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486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1,115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Cost of fuels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48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333333"/>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133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389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308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882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178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333333"/>
              </w:rPr>
              <w:t>94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333333"/>
              </w:rPr>
              <w:t>84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233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285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333333"/>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interest (expense) income</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Other interest expense</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(236)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(118)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(218)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(159)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60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33333"/>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(111)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27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4980" w:type="dxa"/>
            <w:vAlign w:val="bottom"/>
            <w:gridSpan w:val="3"/>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Less: Net (loss) income attributable to noncontrolling interests and redeemable</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80" w:type="dxa"/>
            <w:vAlign w:val="bottom"/>
            <w:gridSpan w:val="2"/>
            <w:shd w:val="clear" w:color="auto" w:fill="CCEEFF"/>
          </w:tcPr>
          <w:p>
            <w:pPr>
              <w:ind w:left="80"/>
              <w:spacing w:after="0" w:line="171" w:lineRule="exact"/>
              <w:rPr>
                <w:sz w:val="20"/>
                <w:szCs w:val="20"/>
                <w:color w:val="auto"/>
              </w:rPr>
            </w:pPr>
            <w:r>
              <w:rPr>
                <w:rFonts w:ascii="Times New Roman" w:cs="Times New Roman" w:eastAsia="Times New Roman" w:hAnsi="Times New Roman"/>
                <w:sz w:val="14"/>
                <w:szCs w:val="14"/>
                <w:color w:val="auto"/>
              </w:rPr>
              <w:t xml:space="preserve">Solar MWh generated/sold (in thousands)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2,943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6,999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4,232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gridSpan w:val="2"/>
          </w:tcPr>
          <w:p>
            <w:pPr>
              <w:ind w:left="60"/>
              <w:spacing w:after="0" w:line="181" w:lineRule="exact"/>
              <w:rPr>
                <w:sz w:val="20"/>
                <w:szCs w:val="20"/>
                <w:color w:val="auto"/>
              </w:rPr>
            </w:pPr>
            <w:r>
              <w:rPr>
                <w:rFonts w:ascii="Times New Roman" w:cs="Times New Roman" w:eastAsia="Times New Roman" w:hAnsi="Times New Roman"/>
                <w:sz w:val="14"/>
                <w:szCs w:val="14"/>
                <w:color w:val="auto"/>
              </w:rPr>
              <w:t xml:space="preserve">Wind MWh generated/sold (in thousands) </w:t>
            </w:r>
            <w:r>
              <w:rPr>
                <w:rFonts w:ascii="Times New Roman" w:cs="Times New Roman" w:eastAsia="Times New Roman" w:hAnsi="Times New Roman"/>
                <w:sz w:val="18"/>
                <w:szCs w:val="18"/>
                <w:color w:val="auto"/>
                <w:vertAlign w:val="superscript"/>
              </w:rPr>
              <w:t>(a)</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7,478</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7,262</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9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8"/>
                <w:szCs w:val="18"/>
                <w:color w:val="auto"/>
                <w:vertAlign w:val="superscript"/>
              </w:rPr>
              <w:t>(a)</w:t>
            </w: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4,955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14,477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Times New Roman" w:cs="Times New Roman" w:eastAsia="Times New Roman" w:hAnsi="Times New Roman"/>
                <w:sz w:val="14"/>
                <w:szCs w:val="14"/>
                <w:color w:val="auto"/>
              </w:rPr>
              <w:t xml:space="preserve">Solar weighted-average capacity factor </w:t>
            </w:r>
            <w:r>
              <w:rPr>
                <w:rFonts w:ascii="Times New Roman" w:cs="Times New Roman" w:eastAsia="Times New Roman" w:hAnsi="Times New Roman"/>
                <w:sz w:val="18"/>
                <w:szCs w:val="18"/>
                <w:color w:val="auto"/>
                <w:vertAlign w:val="superscript"/>
              </w:rPr>
              <w:t>(b)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auto"/>
              </w:rPr>
              <w:t>38.9 %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34.2 %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auto"/>
              </w:rPr>
              <w:t>32.5 %</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31.7 %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Wind weighted-average capacity factor </w:t>
            </w:r>
            <w:r>
              <w:rPr>
                <w:rFonts w:ascii="Times New Roman" w:cs="Times New Roman" w:eastAsia="Times New Roman" w:hAnsi="Times New Roman"/>
                <w:sz w:val="18"/>
                <w:szCs w:val="18"/>
                <w:color w:val="auto"/>
                <w:vertAlign w:val="superscript"/>
              </w:rPr>
              <w:t>(c)</w:t>
            </w:r>
          </w:p>
        </w:tc>
        <w:tc>
          <w:tcPr>
            <w:tcW w:w="2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Conventional MWh generated (in thousands)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445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Conventional equivalent availability factor</w:t>
            </w:r>
          </w:p>
        </w:tc>
        <w:tc>
          <w:tcPr>
            <w:tcW w:w="2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2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2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ind w:right="444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Management’s Discussion of the Results of Operations for the Three Months Ended September 30, 2024 and 2023 </w:t>
      </w:r>
      <w:r>
        <w:rPr>
          <w:rFonts w:ascii="Times New Roman" w:cs="Times New Roman" w:eastAsia="Times New Roman" w:hAnsi="Times New Roman"/>
          <w:sz w:val="14"/>
          <w:szCs w:val="14"/>
          <w:b w:val="1"/>
          <w:bCs w:val="1"/>
          <w:i w:val="1"/>
          <w:iCs w:val="1"/>
          <w:color w:val="auto"/>
        </w:rPr>
        <w:t>Operating Revenues</w:t>
      </w:r>
    </w:p>
    <w:p>
      <w:pPr>
        <w:spacing w:after="0" w:line="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increased by $115 million during the three months ended September 30, 2024, compared to the same period in 2023, due to a combination of the drivers summarized in the table below:</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3"/>
          <w:szCs w:val="13"/>
          <w:b w:val="1"/>
          <w:bCs w:val="1"/>
          <w:color w:val="auto"/>
        </w:rPr>
        <w:t>(In millions)</w:t>
      </w:r>
    </w:p>
    <w:p>
      <w:pPr>
        <w:sectPr>
          <w:pgSz w:w="11900" w:h="16838" w:orient="portrait"/>
          <w:cols w:equalWidth="0" w:num="1">
            <w:col w:w="11280"/>
          </w:cols>
          <w:pgMar w:left="300" w:top="728" w:right="319" w:bottom="1440" w:gutter="0" w:footer="0" w:header="0"/>
        </w:sectPr>
      </w:pPr>
    </w:p>
    <w:tbl>
      <w:tblPr>
        <w:tblLayout w:type="fixed"/>
        <w:tblInd w:w="20" w:type="dxa"/>
        <w:tblCellMar>
          <w:top w:w="0" w:type="dxa"/>
          <w:left w:w="0" w:type="dxa"/>
          <w:bottom w:w="0" w:type="dxa"/>
          <w:right w:w="0" w:type="dxa"/>
        </w:tblCellMar>
      </w:tblPr>
      <w:tr>
        <w:trPr>
          <w:trHeight w:val="160"/>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Conventional Segment</w:t>
            </w: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Decrease in energy revenue primarily driven by lower prices from merchant operations at the Walnut Creek and Marsh Landing</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facilities, offset in part by lower cost of fuels as noted below.</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76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Decrease primarily driven by lower prices for capacity revenue due to the PPA expiration and commencement of RA capacity</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at the El Segundo facility during the third quarter of 2023.</w:t>
            </w:r>
          </w:p>
        </w:tc>
        <w:tc>
          <w:tcPr>
            <w:tcW w:w="0" w:type="dxa"/>
            <w:vAlign w:val="bottom"/>
          </w:tcPr>
          <w:p>
            <w:pPr>
              <w:spacing w:after="0"/>
              <w:rPr>
                <w:sz w:val="1"/>
                <w:szCs w:val="1"/>
                <w:color w:val="auto"/>
              </w:rPr>
            </w:pPr>
          </w:p>
        </w:tc>
      </w:tr>
      <w:tr>
        <w:trPr>
          <w:trHeight w:val="145"/>
        </w:trPr>
        <w:tc>
          <w:tcPr>
            <w:tcW w:w="238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6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Increase driven by the Daggett 2, Daggett 3, Victory Pass and Arica solar and BESS acquisitions, which reached commercial</w:t>
            </w: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76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operations in December 2023, July 2023, March 2024 and April 2024, respectively, the acquisitions of Texas Solar Nova 1 and</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76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Texas Solar Nova 2 in December 2023 and March 2024, respectively, and the Rosamond Central BESS acquisition, which</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reached commercial operations in June 2024.</w:t>
            </w:r>
          </w:p>
        </w:tc>
        <w:tc>
          <w:tcPr>
            <w:tcW w:w="0" w:type="dxa"/>
            <w:vAlign w:val="bottom"/>
          </w:tcPr>
          <w:p>
            <w:pPr>
              <w:spacing w:after="0"/>
              <w:rPr>
                <w:sz w:val="1"/>
                <w:szCs w:val="1"/>
                <w:color w:val="auto"/>
              </w:rPr>
            </w:pPr>
          </w:p>
        </w:tc>
      </w:tr>
      <w:tr>
        <w:trPr>
          <w:trHeight w:val="180"/>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driven by the acquisition of the Cedar Creek wind facility in April 2024.</w:t>
            </w:r>
          </w:p>
        </w:tc>
        <w:tc>
          <w:tcPr>
            <w:tcW w:w="0" w:type="dxa"/>
            <w:vAlign w:val="bottom"/>
          </w:tcPr>
          <w:p>
            <w:pPr>
              <w:spacing w:after="0"/>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driven by PPA amortization for various facilities.</w:t>
            </w:r>
          </w:p>
        </w:tc>
        <w:tc>
          <w:tcPr>
            <w:tcW w:w="0" w:type="dxa"/>
            <w:vAlign w:val="bottom"/>
          </w:tcPr>
          <w:p>
            <w:pPr>
              <w:spacing w:after="0"/>
              <w:rPr>
                <w:sz w:val="1"/>
                <w:szCs w:val="1"/>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Mark-to-market economic hedging</w:t>
            </w:r>
          </w:p>
        </w:tc>
        <w:tc>
          <w:tcPr>
            <w:tcW w:w="7600" w:type="dxa"/>
            <w:vAlign w:val="bottom"/>
          </w:tcPr>
          <w:p>
            <w:pPr>
              <w:ind w:left="260"/>
              <w:spacing w:after="0" w:line="144" w:lineRule="exact"/>
              <w:rPr>
                <w:sz w:val="20"/>
                <w:szCs w:val="20"/>
                <w:color w:val="auto"/>
              </w:rPr>
            </w:pPr>
            <w:r>
              <w:rPr>
                <w:rFonts w:ascii="Times New Roman" w:cs="Times New Roman" w:eastAsia="Times New Roman" w:hAnsi="Times New Roman"/>
                <w:sz w:val="14"/>
                <w:szCs w:val="14"/>
                <w:color w:val="auto"/>
              </w:rPr>
              <w:t>Increase primarily driven by decreases in forward power prices in the ERCOT and PJM markets.</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-817880</wp:posOffset>
            </wp:positionV>
            <wp:extent cx="7161530" cy="384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384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-319405</wp:posOffset>
            </wp:positionV>
            <wp:extent cx="7161530"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134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-1235710</wp:posOffset>
            </wp:positionV>
            <wp:extent cx="7161530" cy="208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000" w:hanging="996"/>
        <w:spacing w:after="0"/>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w:t>
      </w:r>
    </w:p>
    <w:p>
      <w:pPr>
        <w:spacing w:after="0" w:line="16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w:t>
      </w:r>
    </w:p>
    <w:p>
      <w:pPr>
        <w:spacing w:after="0" w:line="200" w:lineRule="exact"/>
        <w:rPr>
          <w:sz w:val="20"/>
          <w:szCs w:val="20"/>
          <w:color w:val="auto"/>
        </w:rPr>
      </w:pPr>
    </w:p>
    <w:p>
      <w:pPr>
        <w:spacing w:after="0" w:line="24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51</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4</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w:t>
      </w:r>
    </w:p>
    <w:p>
      <w:pPr>
        <w:spacing w:after="0" w:line="16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90</w:t>
      </w:r>
    </w:p>
    <w:p>
      <w:pPr>
        <w:spacing w:after="0" w:line="30" w:lineRule="exact"/>
        <w:rPr>
          <w:sz w:val="20"/>
          <w:szCs w:val="20"/>
          <w:color w:val="auto"/>
        </w:rPr>
      </w:pPr>
    </w:p>
    <w:p>
      <w:pPr>
        <w:ind w:left="980" w:hanging="976"/>
        <w:spacing w:after="0"/>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80835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20"/>
            <w:col w:w="1260"/>
          </w:cols>
          <w:pgMar w:left="300" w:top="728" w:right="31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$13 million during the three months ended September 30, 2024, compared to the same period in 2023, primarily driven by lower prices on fuel purchases at the Walnut Creek and Marsh Landing facilities.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increased by $91 million during the three months ended September 30, 2024, compared to the same period in 2023,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0"/>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segment primarily due to solar and BESS acquisitions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100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the three months ended September 30, 2024, the Company recorded an income tax expense of $33 million on pretax income of $60 million. For the same period in 2023, the Company recorded an income tax expense of $57 million on pretax income of $72 million. The $24 million decrease in income tax expense during the three months ended September 30, 2024, compared to the same period in 2023, was primarily due to the allocation of taxable earnings and losses, which includes the effect of applying the HLBV method of accounting for book purposes for certain partnerships.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Income Attributable to Noncontrolling Interests and Redeemable Noncontrolling Interests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2024, the Company had a net loss of $9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sectPr>
      </w:pPr>
    </w:p>
    <w:p>
      <w:pPr>
        <w:spacing w:after="0" w:line="199"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VP-Arica TE Holdco LLC and Rosie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61530" cy="208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and Rosie TE Holdco LLC HLBV losses)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96"/>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67" w:lineRule="exact"/>
        <w:rPr>
          <w:sz w:val="20"/>
          <w:szCs w:val="20"/>
          <w:color w:val="auto"/>
        </w:rPr>
      </w:pPr>
    </w:p>
    <w:p>
      <w:pPr>
        <w:ind w:left="936" w:hanging="936"/>
        <w:spacing w:after="0"/>
        <w:tabs>
          <w:tab w:leader="none" w:pos="936"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(112)</w:t>
      </w:r>
    </w:p>
    <w:p>
      <w:pPr>
        <w:spacing w:after="0" w:line="34" w:lineRule="exact"/>
        <w:rPr>
          <w:rFonts w:ascii="Times New Roman" w:cs="Times New Roman" w:eastAsia="Times New Roman" w:hAnsi="Times New Roman"/>
          <w:sz w:val="13"/>
          <w:szCs w:val="13"/>
          <w:color w:val="auto"/>
        </w:rPr>
      </w:pPr>
    </w:p>
    <w:p>
      <w:pPr>
        <w:ind w:left="105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54</w:t>
      </w:r>
    </w:p>
    <w:p>
      <w:pPr>
        <w:spacing w:after="0" w:line="19" w:lineRule="exact"/>
        <w:rPr>
          <w:rFonts w:ascii="Times New Roman" w:cs="Times New Roman" w:eastAsia="Times New Roman" w:hAnsi="Times New Roman"/>
          <w:sz w:val="13"/>
          <w:szCs w:val="13"/>
          <w:color w:val="auto"/>
        </w:rPr>
      </w:pPr>
    </w:p>
    <w:p>
      <w:pPr>
        <w:ind w:left="105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80835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6" w:lineRule="exact"/>
        <w:rPr>
          <w:sz w:val="20"/>
          <w:szCs w:val="20"/>
          <w:color w:val="auto"/>
        </w:rPr>
      </w:pPr>
    </w:p>
    <w:p>
      <w:pPr>
        <w:ind w:left="1056" w:hanging="1056"/>
        <w:spacing w:after="0"/>
        <w:tabs>
          <w:tab w:leader="none" w:pos="10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8083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0835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80835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364"/>
            <w:col w:w="1256"/>
          </w:cols>
          <w:pgMar w:left="300" w:top="728" w:right="319" w:bottom="1440" w:gutter="0" w:footer="0" w:header="0"/>
          <w:type w:val="continuous"/>
        </w:sectPr>
      </w:pPr>
    </w:p>
    <w:p>
      <w:pPr>
        <w:spacing w:after="0" w:line="53"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2023, the Company had a net income of $11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type w:val="continuous"/>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Daggett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61530" cy="12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Daggett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980" w:hanging="976"/>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129</w:t>
      </w:r>
    </w:p>
    <w:p>
      <w:pPr>
        <w:spacing w:after="0" w:line="23"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80835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6" w:lineRule="exact"/>
        <w:rPr>
          <w:sz w:val="20"/>
          <w:szCs w:val="20"/>
          <w:color w:val="auto"/>
        </w:rPr>
      </w:pPr>
    </w:p>
    <w:p>
      <w:pPr>
        <w:ind w:left="1060" w:hanging="1056"/>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835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0835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80835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60"/>
          </w:cols>
          <w:pgMar w:left="300" w:top="728" w:right="31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4" w:name="page45"/>
    <w:bookmarkEnd w:id="44"/>
    <w:p>
      <w:pPr>
        <w:ind w:right="452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Management’s Discussion of the Results of Operations for the Nine Months Ended September 30, 2024 and 2023 </w:t>
      </w:r>
      <w:r>
        <w:rPr>
          <w:rFonts w:ascii="Times New Roman" w:cs="Times New Roman" w:eastAsia="Times New Roman" w:hAnsi="Times New Roman"/>
          <w:sz w:val="14"/>
          <w:szCs w:val="14"/>
          <w:b w:val="1"/>
          <w:bCs w:val="1"/>
          <w:i w:val="1"/>
          <w:iCs w:val="1"/>
          <w:color w:val="auto"/>
        </w:rPr>
        <w:t>Operating Revenues</w:t>
      </w:r>
    </w:p>
    <w:p>
      <w:pPr>
        <w:spacing w:after="0" w:line="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increased by $50 million during the nine months ended September 30, 2024, compared to the same period in 2023, due to a combination of the drivers summarized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20"/>
        </w:trPr>
        <w:tc>
          <w:tcPr>
            <w:tcW w:w="24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Conventional Segment</w:t>
            </w:r>
          </w:p>
        </w:tc>
        <w:tc>
          <w:tcPr>
            <w:tcW w:w="7600" w:type="dxa"/>
            <w:vAlign w:val="bottom"/>
            <w:shd w:val="clear" w:color="auto" w:fill="CCEEFF"/>
          </w:tcPr>
          <w:p>
            <w:pPr>
              <w:ind w:left="260"/>
              <w:spacing w:after="0" w:line="120" w:lineRule="exact"/>
              <w:rPr>
                <w:sz w:val="20"/>
                <w:szCs w:val="20"/>
                <w:color w:val="auto"/>
              </w:rPr>
            </w:pPr>
            <w:r>
              <w:rPr>
                <w:rFonts w:ascii="Times New Roman" w:cs="Times New Roman" w:eastAsia="Times New Roman" w:hAnsi="Times New Roman"/>
                <w:sz w:val="13"/>
                <w:szCs w:val="13"/>
                <w:color w:val="auto"/>
              </w:rPr>
              <w:t>Decrease primarily driven by lower prices for capacity revenue due to the expiration of PPAs and commencement of RA capacity</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12"/>
                <w:szCs w:val="12"/>
                <w:color w:val="auto"/>
              </w:rPr>
            </w:pPr>
          </w:p>
        </w:tc>
        <w:tc>
          <w:tcPr>
            <w:tcW w:w="760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revenue at the Walnut Creek and Marsh Landing facilities during the second quarter of 2023 and the El Segundo facility during</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16"/>
                <w:szCs w:val="16"/>
                <w:color w:val="auto"/>
              </w:rPr>
            </w:pPr>
          </w:p>
        </w:tc>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the third quarter of 2023.</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76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Decrease driven by the sales-type lease revenue recognition of the Marsh Landing Black Start addition during the second quarter</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2023.</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8"/>
        </w:trPr>
        <w:tc>
          <w:tcPr>
            <w:tcW w:w="2400" w:type="dxa"/>
            <w:vAlign w:val="bottom"/>
            <w:shd w:val="clear" w:color="auto" w:fill="CCEEFF"/>
          </w:tcPr>
          <w:p>
            <w:pPr>
              <w:spacing w:after="0"/>
              <w:rPr>
                <w:sz w:val="12"/>
                <w:szCs w:val="12"/>
                <w:color w:val="auto"/>
              </w:rPr>
            </w:pPr>
          </w:p>
        </w:tc>
        <w:tc>
          <w:tcPr>
            <w:tcW w:w="760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primarily driven by higher energy revenue due to the commencement of merchant operations following the expiration of</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spacing w:after="0"/>
              <w:rPr>
                <w:sz w:val="16"/>
                <w:szCs w:val="16"/>
                <w:color w:val="auto"/>
              </w:rPr>
            </w:pPr>
          </w:p>
        </w:tc>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PPAs at the Walnut Creek, Marsh Landing and El Segundo facilities during 2023.</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6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driven by the Daggett 2, Daggett 3, Victory Pass and Arica solar and BESS acquisitions, which reached commercial</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7600" w:type="dxa"/>
            <w:vAlign w:val="bottom"/>
          </w:tcPr>
          <w:p>
            <w:pPr>
              <w:ind w:left="260"/>
              <w:spacing w:after="0" w:line="145" w:lineRule="exact"/>
              <w:rPr>
                <w:sz w:val="20"/>
                <w:szCs w:val="20"/>
                <w:color w:val="auto"/>
              </w:rPr>
            </w:pPr>
            <w:r>
              <w:rPr>
                <w:rFonts w:ascii="Times New Roman" w:cs="Times New Roman" w:eastAsia="Times New Roman" w:hAnsi="Times New Roman"/>
                <w:sz w:val="14"/>
                <w:szCs w:val="14"/>
                <w:color w:val="auto"/>
              </w:rPr>
              <w:t>operations in December 2023, July 2023, March 2024 and April 2024, respectively, the acquisition of Texas Solar Nova 1 and</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76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Texas Solar Nova 2 in December 2023 and March 2024, respectively, and the Rosamond Central BESS acquisition, which</w:t>
            </w:r>
          </w:p>
        </w:tc>
        <w:tc>
          <w:tcPr>
            <w:tcW w:w="2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reached commercial operations in June 2024.</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15"/>
                <w:szCs w:val="15"/>
                <w:color w:val="auto"/>
              </w:rPr>
            </w:pPr>
          </w:p>
        </w:tc>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primarily driven by higher wind production at the Alta wind facilities.</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Increase driven by the acquisition of the Cedar Creek wind facility in April 2024.</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primarily driven by the Walnut Creek PPA, which was fully amortized during the second quarter of 2023.</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8"/>
        </w:trPr>
        <w:tc>
          <w:tcPr>
            <w:tcW w:w="24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 economic hedging</w:t>
            </w:r>
          </w:p>
        </w:tc>
        <w:tc>
          <w:tcPr>
            <w:tcW w:w="760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Decrease primarily driven by an increase in forward power prices in the PJM market.</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8"/>
        </w:trPr>
        <w:tc>
          <w:tcPr>
            <w:tcW w:w="2400" w:type="dxa"/>
            <w:vAlign w:val="bottom"/>
            <w:shd w:val="clear" w:color="auto" w:fill="CCEEFF"/>
          </w:tcPr>
          <w:p>
            <w:pPr>
              <w:spacing w:after="0"/>
              <w:rPr>
                <w:sz w:val="12"/>
                <w:szCs w:val="12"/>
                <w:color w:val="auto"/>
              </w:rPr>
            </w:pPr>
          </w:p>
        </w:tc>
        <w:tc>
          <w:tcPr>
            <w:tcW w:w="7600" w:type="dxa"/>
            <w:vAlign w:val="bottom"/>
            <w:shd w:val="clear" w:color="auto" w:fill="CCEEFF"/>
          </w:tcPr>
          <w:p>
            <w:pPr>
              <w:ind w:left="260"/>
              <w:spacing w:after="0" w:line="138" w:lineRule="exact"/>
              <w:rPr>
                <w:sz w:val="20"/>
                <w:szCs w:val="20"/>
                <w:color w:val="auto"/>
              </w:rPr>
            </w:pPr>
            <w:r>
              <w:rPr>
                <w:rFonts w:ascii="Times New Roman" w:cs="Times New Roman" w:eastAsia="Times New Roman" w:hAnsi="Times New Roman"/>
                <w:sz w:val="14"/>
                <w:szCs w:val="14"/>
                <w:color w:val="auto"/>
              </w:rPr>
              <w:t>Increase due to heat rate call option contracts entered into by El Segundo, Marsh Landing and Walnut Creek during the third</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400" w:type="dxa"/>
            <w:vAlign w:val="bottom"/>
            <w:shd w:val="clear" w:color="auto" w:fill="CCEEFF"/>
          </w:tcPr>
          <w:p>
            <w:pPr>
              <w:spacing w:after="0"/>
              <w:rPr>
                <w:sz w:val="16"/>
                <w:szCs w:val="16"/>
                <w:color w:val="auto"/>
              </w:rPr>
            </w:pPr>
          </w:p>
        </w:tc>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quarter of 2023.</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$13 million during the nine months ended September 30, 2024, compared to the same period in 2023, primarily due to the associated costs of the sales-type lease recognition of the Marsh Landing Black Start addition during the second quarter of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Operations and maintenance expense increased by $19 million during the nine months ended September 30, 2024, compared to the same period in 2023, primarily due to solar and BESS acquisitions.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Depreciation, amortization and accretion increased $82 million during the nine months ended September 30, 2024, compared to the same period in 2023, primarily due to the acquisitions of the Daggett 2, Daggett 3, Victory Pass and Arica solar and BESS facilities, Texas Solar Nova 1 and Texas Solar Nova 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 Earnings of Unconsolidated Affiliates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Equity in earnings of unconsolidated affiliates increased by $22 million during nine months ended September 30, 2024, compared to the same period in 2023, due to changes in the fair value of interest rate swaps, lower depreciation expense and higher wind production.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increased by $82 million during the nine months ended September 30, 2024, compared to the same period in 2023, primarily due to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segment primarily due to solar and BESS acquisitions</w:t>
            </w:r>
          </w:p>
        </w:tc>
        <w:tc>
          <w:tcPr>
            <w:tcW w:w="200" w:type="dxa"/>
            <w:vAlign w:val="bottom"/>
          </w:tcPr>
          <w:p>
            <w:pPr>
              <w:spacing w:after="0"/>
              <w:rPr>
                <w:sz w:val="15"/>
                <w:szCs w:val="15"/>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100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82</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For the nine months ended September 30, 2024, the Company recorded an income tax expense of $30 million on pretax income of $15 million. For the same period in 2023, the Company recorded an income tax expense of $67 million on a pretax income of $126 million. The $37 million decrease in income tax expense during the nine months ended September 30, 2024, compared to the same period in 2023, was primarily due to the allocation of taxable earnings and losses, which includes the effect of applying the HLBV method of accounting for book purposes for certain partnerships. Additionally, the income tax expense for the nine months ended September 30, 2024 was calculated based on year-to-date results as this represents the best estimate of the income tax rate. This differs from prior periods where income tax expense was calculated based on a forecasted effective tax rate under ASC 740-270.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Income Attributable to Noncontrolling Interests and Redeemable Noncontrolling Interests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2024, the Company had a net loss of $100 million attributable to noncontrolling interests and redeemable noncontrolling interests comprised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20"/>
        </w:trPr>
        <w:tc>
          <w:tcPr>
            <w:tcW w:w="1000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Losses attributable to tax equity financing arrangements and the application of the HLBV method (primarily due to VP-Arica TE Holdco LLC, Rosie TE HoldCo LLC, Daggett</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91"/>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 Holdco LLC and Daggett 2 TE Holdco LLC HLBV losses)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38"/>
        </w:trPr>
        <w:tc>
          <w:tcPr>
            <w:tcW w:w="100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Rosie TE Holdco LLC, Daggett TE Holdco LLC and Daggett 2 TE Holdco LLC</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91"/>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 losses)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1"/>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71"/>
        </w:trPr>
        <w:tc>
          <w:tcPr>
            <w:tcW w:w="100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2023, the Company had a net income of $17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sect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61530" cy="121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p>
      <w:pPr>
        <w:spacing w:after="0" w:line="19"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Daggett TE Holdco LLC HLBV losses during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161530" cy="208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980" w:hanging="976"/>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143</w:t>
      </w:r>
    </w:p>
    <w:p>
      <w:pPr>
        <w:spacing w:after="0" w:line="23"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79</w:t>
      </w:r>
    </w:p>
    <w:p>
      <w:pPr>
        <w:spacing w:after="0" w:line="16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835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10" w:lineRule="exact"/>
        <w:rPr>
          <w:sz w:val="20"/>
          <w:szCs w:val="20"/>
          <w:color w:val="auto"/>
        </w:rPr>
      </w:pPr>
    </w:p>
    <w:p>
      <w:pPr>
        <w:ind w:left="1060" w:hanging="1056"/>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0835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835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80835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00" w:space="320"/>
            <w:col w:w="1260"/>
          </w:cols>
          <w:pgMar w:left="300" w:top="728" w:right="31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the Company’s liquidity was approximately $1.27 billion and $1.51 billion, respectively, comprised of cash, restricted cash and availability under the Company’s revolving credit facility.</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168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3"/>
                <w:szCs w:val="13"/>
                <w:color w:val="auto"/>
              </w:rPr>
            </w:pPr>
          </w:p>
        </w:tc>
        <w:tc>
          <w:tcPr>
            <w:tcW w:w="1560" w:type="dxa"/>
            <w:vAlign w:val="bottom"/>
          </w:tcPr>
          <w:p>
            <w:pPr>
              <w:jc w:val="right"/>
              <w:ind w:right="31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Clearway Energy, Inc. and Clearway Energy LLC, excluding subsidiaries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180"/>
        </w:trPr>
        <w:tc>
          <w:tcPr>
            <w:tcW w:w="20" w:type="dxa"/>
            <w:vAlign w:val="bottom"/>
            <w:shd w:val="clear" w:color="auto" w:fill="CCEEFF"/>
          </w:tcPr>
          <w:p>
            <w:pPr>
              <w:spacing w:after="0"/>
              <w:rPr>
                <w:sz w:val="15"/>
                <w:szCs w:val="15"/>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Subsidiaries</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20" w:type="dxa"/>
            <w:vAlign w:val="bottom"/>
          </w:tcPr>
          <w:p>
            <w:pPr>
              <w:spacing w:after="0"/>
              <w:rPr>
                <w:sz w:val="15"/>
                <w:szCs w:val="15"/>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accounts</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20" w:type="dxa"/>
            <w:vAlign w:val="bottom"/>
            <w:tcBorders>
              <w:bottom w:val="single" w:sz="8" w:color="CCEEFF"/>
            </w:tcBorders>
          </w:tcPr>
          <w:p>
            <w:pPr>
              <w:spacing w:after="0"/>
              <w:rPr>
                <w:sz w:val="15"/>
                <w:szCs w:val="15"/>
                <w:color w:val="auto"/>
              </w:rPr>
            </w:pPr>
          </w:p>
        </w:tc>
        <w:tc>
          <w:tcPr>
            <w:tcW w:w="7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Reserves, including debt service, distributions, performance obligations and other reserves</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71"/>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180"/>
        </w:trPr>
        <w:tc>
          <w:tcPr>
            <w:tcW w:w="20" w:type="dxa"/>
            <w:vAlign w:val="bottom"/>
            <w:tcBorders>
              <w:bottom w:val="single" w:sz="8" w:color="CCEEFF"/>
            </w:tcBorders>
          </w:tcPr>
          <w:p>
            <w:pPr>
              <w:spacing w:after="0"/>
              <w:rPr>
                <w:sz w:val="15"/>
                <w:szCs w:val="15"/>
                <w:color w:val="auto"/>
              </w:rPr>
            </w:pPr>
          </w:p>
        </w:tc>
        <w:tc>
          <w:tcPr>
            <w:tcW w:w="7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Revolving credit facility availability</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liquidity</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$382 million and $516 million of restricted cash balances as of September 30, 2024 and December 31, 2023,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September 30, 2024, these restricted funds were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comprised of $183 million designated to fund operating expenses, approximately $71 million designated for current debt service payments and $89 million restricted for reserves including debt service, performance obligations and other reserves, as well as capital expenditures. The remaining $39 million is held in distribution reserve accounts.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September 30, 2024, the Company had no outstanding borrowings under the revolving credit facility and $108 million in letters of credit outstanding. </w:t>
      </w:r>
      <w:r>
        <w:rPr>
          <w:rFonts w:ascii="Times New Roman" w:cs="Times New Roman" w:eastAsia="Times New Roman" w:hAnsi="Times New Roman"/>
          <w:sz w:val="14"/>
          <w:szCs w:val="14"/>
          <w:color w:val="231F20"/>
        </w:rPr>
        <w:t>The facility will continue to be used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for general corporate purposes including financing of future acquisitions and posting letters of credit.</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credit ratings for the Company and its Senior Notes as of September 30,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80"/>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4.750% Senior Notes, due 2028</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3.750% Senior Notes, due 2031</w:t>
            </w: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4"/>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3.750% Senior Notes, due 2032</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this Form 10-Q and Item 15 — Note 10,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to the consolidated financial statements included in the Company’s 2023 Form 10-K, the Company’s financing arrangements consist of corporate level debt, which includes Senior Notes and the revolving credit facility; the ATM Program; and facility-level financings for its various assets.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31F20"/>
        </w:rPr>
        <w:t>Capistrano Portfolio Holdco LLC Financing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term loan bears interest at a rate of SOFR plus 1.625% per annum and matures on September 28, 2033. The Company utilized the proceeds from the term loan to pay off the existing debt in the amount of $63 million related to Broken Bow and Crofton Bluffs and to pay related financing costs.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Company’s merchant conventional facilities and freed up capacity on the Company’s corporate revolving credit facility. The letter of credit facility has an initial term of three years and the option for two additional one-year extensions. As of September 30, 2024, $107 million was outstanding under the letter of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(ii) capital expenditures; (iii) off-balance sheet arrangements; (iv) acquisitions and investments, as described more fully in</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Note 3,</w:t>
      </w:r>
      <w:r>
        <w:rPr>
          <w:rFonts w:ascii="Times New Roman" w:cs="Times New Roman" w:eastAsia="Times New Roman" w:hAnsi="Times New Roman"/>
          <w:sz w:val="14"/>
          <w:szCs w:val="14"/>
          <w:i w:val="1"/>
          <w:iCs w:val="1"/>
          <w:color w:val="000000"/>
        </w:rPr>
        <w:t xml:space="preserve"> Acquisitions </w:t>
      </w:r>
      <w:r>
        <w:rPr>
          <w:rFonts w:ascii="Times New Roman" w:cs="Times New Roman" w:eastAsia="Times New Roman" w:hAnsi="Times New Roman"/>
          <w:sz w:val="14"/>
          <w:szCs w:val="14"/>
          <w:color w:val="000000"/>
        </w:rPr>
        <w:t>and Note 4,</w:t>
      </w:r>
      <w:r>
        <w:rPr>
          <w:rFonts w:ascii="Times New Roman" w:cs="Times New Roman" w:eastAsia="Times New Roman" w:hAnsi="Times New Roman"/>
          <w:sz w:val="14"/>
          <w:szCs w:val="14"/>
          <w:i w:val="1"/>
          <w:iCs w:val="1"/>
          <w:color w:val="000000"/>
        </w:rPr>
        <w:t xml:space="preserve"> Investments Accounted for by the Equity Method and Variable Interest Entities</w:t>
      </w:r>
      <w:r>
        <w:rPr>
          <w:rFonts w:ascii="Times New Roman" w:cs="Times New Roman" w:eastAsia="Times New Roman" w:hAnsi="Times New Roman"/>
          <w:sz w:val="14"/>
          <w:szCs w:val="14"/>
          <w:color w:val="231F20"/>
        </w:rPr>
        <w:t>; and (v) cash dividends to investors.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Capital Expenditures</w:t>
      </w:r>
    </w:p>
    <w:p>
      <w:pPr>
        <w:spacing w:after="0" w:line="13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2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231F20"/>
        </w:rPr>
        <w:t xml:space="preserve">For the nine months ended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the Company used approximately $237 million to fund capital expenditures, including growth </w:t>
      </w:r>
      <w:r>
        <w:rPr>
          <w:rFonts w:ascii="Times New Roman" w:cs="Times New Roman" w:eastAsia="Times New Roman" w:hAnsi="Times New Roman"/>
          <w:sz w:val="14"/>
          <w:szCs w:val="14"/>
          <w:color w:val="000000"/>
        </w:rPr>
        <w:t>expenditures of $229 million, primarily in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Renewables segment, funded through construction-related financing. Growth capital expenditures included $106 million incurred in connection with the Victory Pass and Arica solar and BESS facilities, $41 million incurred in connection with the Rosamond Central BESS facility, $28 million incurred in connection with the repowering of the Cedro Hill wind facility, $18 million incurred in connection with the Texas Solar Nova 1 and Texas Solar Nova 2 facilities, $14 million incurred in connection with the Daggett 2 solar and BESS facility, $9 million incurred in connection with the Daggett 3 solar and BESS facility, $8 million incurred in connection with the Cedar Creek wind facility and $5 million incurred by other facilities. In addition, the Company incurred $8 million in maintenance capital expenditures.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September 30, 2024, the Company has several investments with an ownership interest percentage of 50% or less. GenConn is a VIE for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Company is not the primary beneficiary. The Company’s pro-rata share of non-recourse debt held by unconsolidated affiliates was approximately $290 million as of September 30, 2024. This indebtedness may restrict the ability of these subsidiaries to issue dividends or distributions to the Company.</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4"/>
          <w:szCs w:val="14"/>
          <w:color w:val="231F20"/>
        </w:rPr>
        <w:t>2023</w:t>
      </w:r>
      <w:r>
        <w:rPr>
          <w:rFonts w:ascii="Times New Roman" w:cs="Times New Roman" w:eastAsia="Times New Roman" w:hAnsi="Times New Roman"/>
          <w:sz w:val="14"/>
          <w:szCs w:val="14"/>
          <w:color w:val="auto"/>
        </w:rPr>
        <w:t xml:space="preserve"> Form 10-K.</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Rosamond Central BESS Drop Down and Financing Activities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June 13, 2024, when the Rosamond Central BESS facility reached substantial completion, the Company paid $279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Including the additional purchase price, the Company’s total purchase price was $349 million, $80 million of which was funded by the Company with the remaining $269 million funded through contributions from third-party investors. Clearway Renew utilized the additional proceeds to repay the balance of $184 million on the loan previously issued to its consolidated subsidiary by Rosie Class B LLC and to redeem Rosie Class B LLC’s entire equity investment in Rosie Central BESS of $28 million. The Company utilized proceeds from Clearway Renew, along with $39 million held previously in escrow and $56 million of the Company’s additional purchase price that was contributed back by CEG, to repay the tax equity bridge loan, to make a distribution to the cash equity investor, to fund construction completion reserves and to pay associated fees. Additionally, on June 13, 2024, the outstanding construction loans were converted to a term loan.</w:t>
      </w:r>
    </w:p>
    <w:p>
      <w:pPr>
        <w:spacing w:after="0" w:line="10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Victory Pass and Arica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Renew as additional purchase price, in connection with the Company’s acquisition of the Class A membership interests in VP-Arica TargetCo LLC on October 31, 2023, which was funded with existing sources of liquidity.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Prior to the repayment of the tax equity bridge loan, the Company borrowed an additional $62 million during 2024.</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Cedar Creek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acquisition was funded with existing sources of liquidity. Additionally, the Company assumed the facility’s financing agreement, which included a construction loan that converted to a term loan at acquisition date along with a cash equity bridge loan and tax equity bridge loan that were both repaid at acquisition date.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9" w:name="page50"/>
    <w:bookmarkEnd w:id="49"/>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Texas Solar Nova 2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Texas Solar Nova 2 has an 18-year PPA with an investment-grade counterparty that commenced in February 2024. The Company’s portion of the purchase price was funded with existing sources of liquidity. Additionally, the Company assumed the facility’s financing agreement, which included a tax equity bridge loan that was repaid at acquisition date and a term loan.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Cash Dividends to Investors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4"/>
          <w:szCs w:val="14"/>
          <w:color w:val="000000"/>
        </w:rPr>
        <w:t>he Class A common stock and Class C common stock are subject to available capital, market conditions and compliance with associated laws, regulations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other contractual obligations. The Company expects that, based on current circumstances, comparable cash dividends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common stock and Class C common stock during the nine months ended September 30,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13"/>
                <w:szCs w:val="13"/>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4"/>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Class C share</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October 29, 2024, the Company declared quarterly dividends on its Class A and Class C common stock of $0.4240 per share payable on December 16, 2024 to stockholders of record as of December 2,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reflect the changes in cash flows for the comparative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40" w:type="dxa"/>
            <w:vAlign w:val="bottom"/>
          </w:tcPr>
          <w:p>
            <w:pPr>
              <w:spacing w:after="0"/>
              <w:rPr>
                <w:sz w:val="13"/>
                <w:szCs w:val="13"/>
                <w:color w:val="auto"/>
              </w:rPr>
            </w:pPr>
          </w:p>
        </w:tc>
        <w:tc>
          <w:tcPr>
            <w:tcW w:w="23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40" w:type="dxa"/>
            <w:vAlign w:val="bottom"/>
          </w:tcPr>
          <w:p>
            <w:pPr>
              <w:spacing w:after="0"/>
              <w:rPr>
                <w:sz w:val="13"/>
                <w:szCs w:val="13"/>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7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578</w:t>
            </w:r>
          </w:p>
        </w:tc>
        <w:tc>
          <w:tcPr>
            <w:tcW w:w="100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(674)</w:t>
            </w:r>
          </w:p>
        </w:tc>
        <w:tc>
          <w:tcPr>
            <w:tcW w:w="10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(281)</w:t>
            </w: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371"/>
        </w:trPr>
        <w:tc>
          <w:tcPr>
            <w:tcW w:w="72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tc>
        <w:tc>
          <w:tcPr>
            <w:tcW w:w="8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operating income after adjusting for non-cash items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38"/>
        </w:trPr>
        <w:tc>
          <w:tcPr>
            <w:tcW w:w="9980" w:type="dxa"/>
            <w:vAlign w:val="bottom"/>
            <w:gridSpan w:val="5"/>
          </w:tcPr>
          <w:p>
            <w:pPr>
              <w:ind w:left="100"/>
              <w:spacing w:after="0" w:line="138" w:lineRule="exact"/>
              <w:rPr>
                <w:sz w:val="20"/>
                <w:szCs w:val="20"/>
                <w:color w:val="auto"/>
              </w:rPr>
            </w:pPr>
            <w:r>
              <w:rPr>
                <w:rFonts w:ascii="Times New Roman" w:cs="Times New Roman" w:eastAsia="Times New Roman" w:hAnsi="Times New Roman"/>
                <w:sz w:val="14"/>
                <w:szCs w:val="14"/>
                <w:color w:val="auto"/>
              </w:rPr>
              <w:t>Increase from changes in working capital primarily driven by the timing of accounts receivable collections and payments of current liabilities, including accounts payable 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income taxes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distributions from unconsolidated affiliates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2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8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cash paid for Drop Down Assets, net of cash acquired</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capital expenditures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note receivable – affiliate</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investments in unconsolidated affiliates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the return of investment from unconsolidated affiliates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2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net cash used in financing activities were driven by:</w:t>
            </w:r>
          </w:p>
        </w:tc>
        <w:tc>
          <w:tcPr>
            <w:tcW w:w="8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contributions from noncontrolling interests, net of distributions</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tax-related distributions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payments of debt issuance costs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payments for long-term debt and a decrease in proceeds from issuance of long-term debt</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dividends paid to common stockholders and distributions paid to CEG unit holders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231F20"/>
              </w:rPr>
              <w:t>51</w:t>
            </w: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72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NOLs, Deferred Tax Assets and Uncertain Tax Position Implications, under ASC 740</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2023, the Company had a cumulative federal NOL carryforward balance of $353 million for financial statement purposes, none of which were subject to expiration. Additionally, as of December 31, 2023, the Company had a cumulative state NOL carryforward balance of $102 million for financial statement purposes, which will expire between 2024 and 2040 if unutilized. The Company does not anticipate material income tax payments through 2026. In addition, as of December 31, 2023, the Company had PTC and ITC carryforward balances totaling $21 million, which will expire between 2035 and 2043 if unutilized.</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had an interest disallowance carryforward of $75 million as a result of Internal Revenue Code §163(j). The disallowed interest deduction has an indefinite carryforward period and any limitations on the utilization of this carryforward have been factored into the Company’s valuation allowance analysis.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after the utilization of various federal and state NOL carryforwards, paid $1 million in federal and state income taxes during the nine months ended September 30, 2024 and does not expect to pay additional material federal or state income taxes for the remainder of the current year. The Company does not anticipate being subject to the corporate minimum tax on financial statement income as enacted by the recently passed the IRA, which is discussed in further detail below.</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facilities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spacing w:after="0" w:line="9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 As of September 30, 2024, the U.S. federal partnership returns of three of the Company’s subsidiaries are under audit by the IRS. The IRS has issued proposed adjustments with respect to one of the subsidiaries under audit, which the Company believes that such proposed adjustments are without merit and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The Company believes that an adequate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no material uncertain tax benefits as of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w:t>
      </w:r>
      <w:r>
        <w:rPr>
          <w:rFonts w:ascii="Times New Roman" w:cs="Times New Roman" w:eastAsia="Times New Roman" w:hAnsi="Times New Roman"/>
          <w:sz w:val="14"/>
          <w:szCs w:val="14"/>
          <w:color w:val="000000"/>
        </w:rPr>
        <w:t xml:space="preserve"> Note 5</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 Activity (Losses) Gains</w:t>
            </w:r>
          </w:p>
        </w:tc>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2023</w:t>
            </w:r>
          </w:p>
        </w:tc>
        <w:tc>
          <w:tcPr>
            <w:tcW w:w="55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tc>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fair value</w:t>
            </w:r>
          </w:p>
        </w:tc>
        <w:tc>
          <w:tcPr>
            <w:tcW w:w="55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September 30, 2024</w:t>
            </w:r>
          </w:p>
        </w:tc>
        <w:tc>
          <w:tcPr>
            <w:tcW w:w="55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500" w:type="dxa"/>
            <w:vAlign w:val="bottom"/>
            <w:vMerge w:val="restart"/>
          </w:tcPr>
          <w:p>
            <w:pPr>
              <w:jc w:val="right"/>
              <w:ind w:right="4129"/>
              <w:spacing w:after="0"/>
              <w:rPr>
                <w:sz w:val="20"/>
                <w:szCs w:val="20"/>
                <w:color w:val="auto"/>
              </w:rPr>
            </w:pPr>
            <w:r>
              <w:rPr>
                <w:rFonts w:ascii="Times New Roman" w:cs="Times New Roman" w:eastAsia="Times New Roman" w:hAnsi="Times New Roman"/>
                <w:sz w:val="14"/>
                <w:szCs w:val="14"/>
                <w:color w:val="231F20"/>
              </w:rPr>
              <w:t>52</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55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6"/>
          </w:tcPr>
          <w:p>
            <w:pPr>
              <w:jc w:val="center"/>
              <w:ind w:left="16"/>
              <w:spacing w:after="0"/>
              <w:rPr>
                <w:sz w:val="20"/>
                <w:szCs w:val="20"/>
                <w:color w:val="auto"/>
              </w:rPr>
            </w:pPr>
            <w:r>
              <w:rPr>
                <w:rFonts w:ascii="Times New Roman" w:cs="Times New Roman" w:eastAsia="Times New Roman" w:hAnsi="Times New Roman"/>
                <w:sz w:val="11"/>
                <w:szCs w:val="11"/>
                <w:b w:val="1"/>
                <w:bCs w:val="1"/>
                <w:color w:val="auto"/>
              </w:rPr>
              <w:t>Fair value of contracts as of September 30, 2024</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9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Hierarchy (Losses) Gains</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Total Fair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80"/>
              <w:spacing w:after="0" w:line="107" w:lineRule="exact"/>
              <w:rPr>
                <w:sz w:val="20"/>
                <w:szCs w:val="20"/>
                <w:color w:val="auto"/>
              </w:rPr>
            </w:pPr>
            <w:r>
              <w:rPr>
                <w:rFonts w:ascii="Times New Roman" w:cs="Times New Roman" w:eastAsia="Times New Roman" w:hAnsi="Times New Roman"/>
                <w:sz w:val="11"/>
                <w:szCs w:val="11"/>
                <w:b w:val="1"/>
                <w:bCs w:val="1"/>
                <w:color w:val="auto"/>
              </w:rPr>
              <w:t>1 Year or Less</w:t>
            </w:r>
          </w:p>
        </w:tc>
        <w:tc>
          <w:tcPr>
            <w:tcW w:w="100" w:type="dxa"/>
            <w:vAlign w:val="bottom"/>
          </w:tcPr>
          <w:p>
            <w:pPr>
              <w:spacing w:after="0"/>
              <w:rPr>
                <w:sz w:val="10"/>
                <w:szCs w:val="10"/>
                <w:color w:val="auto"/>
              </w:rPr>
            </w:pPr>
          </w:p>
        </w:tc>
        <w:tc>
          <w:tcPr>
            <w:tcW w:w="11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1 Year to 3 Years</w:t>
            </w: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w w:val="99"/>
              </w:rPr>
              <w:t>3 Years to 5 Years</w:t>
            </w:r>
          </w:p>
        </w:tc>
        <w:tc>
          <w:tcPr>
            <w:tcW w:w="980" w:type="dxa"/>
            <w:vAlign w:val="bottom"/>
          </w:tcPr>
          <w:p>
            <w:pPr>
              <w:jc w:val="right"/>
              <w:ind w:right="116"/>
              <w:spacing w:after="0" w:line="107" w:lineRule="exact"/>
              <w:rPr>
                <w:sz w:val="20"/>
                <w:szCs w:val="20"/>
                <w:color w:val="auto"/>
              </w:rPr>
            </w:pPr>
            <w:r>
              <w:rPr>
                <w:rFonts w:ascii="Times New Roman" w:cs="Times New Roman" w:eastAsia="Times New Roman" w:hAnsi="Times New Roman"/>
                <w:sz w:val="11"/>
                <w:szCs w:val="11"/>
                <w:b w:val="1"/>
                <w:bCs w:val="1"/>
                <w:color w:val="auto"/>
              </w:rPr>
              <w:t>5 Years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55"/>
              <w:spacing w:after="0" w:line="107"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4"/>
                <w:szCs w:val="14"/>
                <w:color w:val="auto"/>
                <w:w w:val="99"/>
              </w:rPr>
              <w:t>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4"/>
                <w:szCs w:val="14"/>
                <w:color w:val="auto"/>
                <w:w w:val="99"/>
              </w:rPr>
              <w:t>51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97"/>
              <w:spacing w:after="0"/>
              <w:rPr>
                <w:sz w:val="20"/>
                <w:szCs w:val="20"/>
                <w:color w:val="auto"/>
              </w:rPr>
            </w:pPr>
            <w:r>
              <w:rPr>
                <w:rFonts w:ascii="Times New Roman" w:cs="Times New Roman" w:eastAsia="Times New Roman" w:hAnsi="Times New Roman"/>
                <w:sz w:val="14"/>
                <w:szCs w:val="14"/>
                <w:color w:val="auto"/>
                <w:w w:val="94"/>
              </w:rPr>
              <w:t>(89)</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center"/>
              <w:ind w:left="693"/>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4"/>
                <w:szCs w:val="14"/>
                <w:color w:val="auto"/>
                <w:w w:val="94"/>
              </w:rPr>
              <w:t>(38)</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acquisition accounting and determining the fair value of financial instruments.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ITEM 3 — Quantitative and Qualitative Disclosures About Market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4"/>
          <w:szCs w:val="14"/>
          <w:color w:val="000000"/>
        </w:rPr>
        <w:t>The following disclosures about market risk provide an update to, and should be read in conjunction with, Item 7A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Quantitative and Qualitative Disclosures About Market Risk,</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Company’s 2023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September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Derivative Instruments and Hedging Activities</w:t>
      </w:r>
      <w:r>
        <w:rPr>
          <w:rFonts w:ascii="Times New Roman" w:cs="Times New Roman" w:eastAsia="Times New Roman" w:hAnsi="Times New Roman"/>
          <w:sz w:val="14"/>
          <w:szCs w:val="14"/>
          <w:color w:val="231F20"/>
        </w:rPr>
        <w:t>, for more information.</w:t>
      </w:r>
    </w:p>
    <w:p>
      <w:pPr>
        <w:spacing w:after="0" w:line="9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231F20"/>
        </w:rPr>
        <w:t xml:space="preserve">Most of the Company’s subsidiaries enter into interest rate swaps intended to hedge the risks associated with interest rates on non-recourse facility-level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to the Company’s</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audited consolidated financial statements for the year ended December 31, 2023 included in the 2023 Form 10-K</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for more information about interest rate swaps of the</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Company’s subsidiaries.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interest rate swaps had been discontinued on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xml:space="preserve">, the counterparties would have owed the Company </w:t>
      </w:r>
      <w:r>
        <w:rPr>
          <w:rFonts w:ascii="Times New Roman" w:cs="Times New Roman" w:eastAsia="Times New Roman" w:hAnsi="Times New Roman"/>
          <w:sz w:val="14"/>
          <w:szCs w:val="14"/>
          <w:color w:val="000000"/>
        </w:rPr>
        <w:t>$100 million.</w:t>
      </w:r>
      <w:r>
        <w:rPr>
          <w:rFonts w:ascii="Times New Roman" w:cs="Times New Roman" w:eastAsia="Times New Roman" w:hAnsi="Times New Roman"/>
          <w:sz w:val="14"/>
          <w:szCs w:val="14"/>
          <w:color w:val="231F20"/>
        </w:rPr>
        <w:t xml:space="preserve">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a change of 1%, or 100 basis points, in interest rates would result in an approximately $1 million change in market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September 30, 2024</w:t>
      </w:r>
      <w:r>
        <w:rPr>
          <w:rFonts w:ascii="Times New Roman" w:cs="Times New Roman" w:eastAsia="Times New Roman" w:hAnsi="Times New Roman"/>
          <w:sz w:val="14"/>
          <w:szCs w:val="14"/>
          <w:color w:val="231F20"/>
        </w:rPr>
        <w:t>, the fair value of the Company’s debt was $6.90 billion and the carrying value was $7.20 billion. The Company estimates that a decrease of 1%, or 100 basis points, in market interest rates would have increased the fair value of its long-term debt by approximately $328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to the consolidated financial statements for more information about concentration of credit risk.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ITEM 4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during the quarter ended September 30,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Information regarding risk factors appears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the Company’s 2023 Form 10-K. There have been no material changes in the Company’s risk factors since those reported in its 2023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UNREGISTERED SALES OF EQUITY SECURITIES AND USE OF PROCEEDS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OTHER INFORMATION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Disclosure Pursuant to Item 1.01 of Form 8-K – Entry Into a Material Definitive Agreement</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In connection with the Company entering into definitive agreements to acquire 100% of the Class A membership interests and 50% of the Class B membership interests in Pine Forest TE HoldCo LLC, as described in Part I, Item 2, </w:t>
      </w:r>
      <w:r>
        <w:rPr>
          <w:rFonts w:ascii="Times New Roman" w:cs="Times New Roman" w:eastAsia="Times New Roman" w:hAnsi="Times New Roman"/>
          <w:sz w:val="14"/>
          <w:szCs w:val="14"/>
          <w:i w:val="1"/>
          <w:iCs w:val="1"/>
          <w:color w:val="auto"/>
        </w:rPr>
        <w:t>Management’s Discussion and Analysis of Financial Condition and the Results of Operations – Significant Events – Drop Down Transactions</w:t>
      </w:r>
      <w:r>
        <w:rPr>
          <w:rFonts w:ascii="Times New Roman" w:cs="Times New Roman" w:eastAsia="Times New Roman" w:hAnsi="Times New Roman"/>
          <w:sz w:val="14"/>
          <w:szCs w:val="14"/>
          <w:color w:val="auto"/>
        </w:rPr>
        <w:t>, on October 28, 2024, the Company, Clearway Energy LLC and CEG amended and restated the Amended and Restated Exchange Agreement, dated as of May 14, 2015, or the First Amended Exchange Agreement, by entering into a Second Amended and Restated Exchange Agreement, or the Second Amended Exchange Agreement, pursuant to which CEG (and certain permitted assignees and permitted transferees who acquire Class B units or Class D units of Clearway Energy LLC, or collectively with CEG, the CEG Unitholders) may from time to time cause Clearway Energy LLC to exchange their Class B units for shares of the Company’s Class A common stock, or exchange their Class D units for shares of the Company’s Class C common stock, on a one-for-one basis, subject to equitable adjustments for stock splits, stock dividends and reclassifications.</w:t>
      </w:r>
    </w:p>
    <w:p>
      <w:pPr>
        <w:spacing w:after="0" w:line="10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Second Amended Exchange Agreement amends and restates the First Amended Exchange Agreement to, among other things, provide for an equitable cash settlement, to be paid by the exchanging CEG Unitholder to the Company on the applicable exchange date, for the value of certain assets of the Company that are not held by Clearway Energy LLC, including the membership interests of Pine Forest TE HoldCo LLC held by the Company. The amount of any such payment will be calculated based on the net present value of the projected discounted cash flow of such assets, using a discount rate equal to the weighted average cost of capital for such assets, and the daily volume-weighted average closing price of the Company’s Class A common stock or Class C common stock, as applicable, for the trailing 30 trading days ending on the second trading day prior to the applicable exchange date. The intent of this amendment is to maintain parity in the value of the shares of Class A or Class C common stock received in return for the Class B or Class D units exchanged, to accommodate investments that may be held directly or indirectly by the Company but that are not held through Clearway Energy LLC.</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Second Amended Exchange Agreement does not purport to be complete and is qualified in its entirety by reference to the complete text of the Second Amended Exchange Agreement, which is filed herewith as Exhibit 10.2 and is incorporated herein by reference.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6" w:name="page57"/>
    <w:bookmarkEnd w:id="56"/>
    <w:p>
      <w:pPr>
        <w:jc w:val="both"/>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Disclosure Pursuant to Item 5.02 of Form 8-K – Departure of Directors or Certain Officers; Election of Directors; Appointment of Certain Officers; Compensatory Arrangements of Certain Officers.</w:t>
      </w:r>
    </w:p>
    <w:p>
      <w:pPr>
        <w:spacing w:after="0" w:line="8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previously disclosed, on October 10, 2024, Vincent Stoquart informed the Company of his intention to resign from the board of directors, or the Board, of the Company effective as of the close of business on October 23, 2024. On October 24, 2024, the Board elected Olivier Jouny to replace Mr. Stoquart and to serve as a member of the Board, effective as of such date.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Mr. Jouny will not initially serve on any committee of the Board or receive any separate compensation for his service as a director.</w:t>
      </w:r>
    </w:p>
    <w:p>
      <w:pPr>
        <w:spacing w:after="0" w:line="13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Mr. Jouny, age 44, has served as Senior Vice President of the Renewables division of TotalEnergies since September 1, 2024. From January 2023 to August 2024, he was Senior Vice President of the Integrated Power division of TotalEnergies inside the Gas, Renewables and Power branch, where he developed an expertise in electricity markets and flexible power generation assets. Prior to that, Mr. Jouny served as Managing Director of TotalEnergies E&amp;P in Angola. He was, during this period, also the country chair for TotalEnergies in Angola. In September 2016, he joined the Marketing &amp; Services branch where he was appointed Managing Director of Total Marine Fuels, TotalEnergies’ worldwide business unit in charge of bunkering activities, based in Singapore. In 2008, he joined the Exploration &amp; Production branch where he held several positions in Yemen, France and the Republic of Congo. He was successively Commercial Manager of Yemen LNG, Head of E&amp;P New Ventures Economics Department and Business Development Manager of Total E&amp;P Congo based in Pointe Noire. Mr. Jouny began his career in the Gas &amp; Power Division serving in marketing activities on the European gas markets and then LNG downstream developments in North &amp; Central Americas. Mr. Jouny graduated as a mechanical engineer from the Mines Paris Tech.</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and Mr. Jouny have entered into an indemnification agreement that provides Mr. Jouny with contractual rights to indemnification, expense advancement and reimbursement to the fullest extent permitted under Delaware law. The foregoing description of such indemnification agreement does not purport to be complete and is qualified in its entirety by reference to the complete text of the Form of Indemnification Agreement, the form of which was filed as Exhibit 10.4 to the Company’s 2023 Form 10-K, and which is incorporated herein by reference.</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are no arrangements or understandings between Mr. Jouny and any other person pursuant to which Mr. Jouny was elected to serve on the Board. Mr. Jouny does not have any direct or indirect material interest in any transaction required to be disclosed pursuant to Item 404(a) of Regulation S-K.</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Plans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ITEM 6 — EXHIBITS</w:t>
      </w:r>
    </w:p>
    <w:p>
      <w:pPr>
        <w:sectPr>
          <w:pgSz w:w="11900" w:h="16838" w:orient="portrait"/>
          <w:cols w:equalWidth="0" w:num="1">
            <w:col w:w="11220"/>
          </w:cols>
          <w:pgMar w:left="300" w:top="918" w:right="379" w:bottom="1440" w:gutter="0" w:footer="0" w:header="0"/>
        </w:sectPr>
      </w:pPr>
    </w:p>
    <w:p>
      <w:pPr>
        <w:spacing w:after="0" w:line="17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2" w:lineRule="exact"/>
        <w:rPr>
          <w:sz w:val="20"/>
          <w:szCs w:val="20"/>
          <w:color w:val="auto"/>
        </w:rPr>
      </w:pPr>
    </w:p>
    <w:p>
      <w:pPr>
        <w:ind w:left="20"/>
        <w:spacing w:after="0"/>
        <w:tabs>
          <w:tab w:leader="none" w:pos="100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10.1</w:t>
      </w:r>
      <w:r>
        <w:rPr>
          <w:sz w:val="20"/>
          <w:szCs w:val="20"/>
          <w:color w:val="auto"/>
        </w:rPr>
        <w:tab/>
      </w:r>
      <w:hyperlink r:id="rId116">
        <w:r>
          <w:rPr>
            <w:rFonts w:ascii="Times New Roman" w:cs="Times New Roman" w:eastAsia="Times New Roman" w:hAnsi="Times New Roman"/>
            <w:sz w:val="12"/>
            <w:szCs w:val="12"/>
            <w:u w:val="single" w:color="auto"/>
            <w:color w:val="0000FF"/>
          </w:rPr>
          <w:t>Consulting Agreement, dated as of June 20, 2024, by and between Clearway Energy, Inc. and Christopher Sotos.</w:t>
        </w:r>
      </w:hyperlink>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June 25, 2024.</w:t>
      </w:r>
    </w:p>
    <w:p>
      <w:pPr>
        <w:spacing w:after="0" w:line="1" w:lineRule="exact"/>
        <w:rPr>
          <w:sz w:val="20"/>
          <w:szCs w:val="20"/>
          <w:color w:val="auto"/>
        </w:rPr>
      </w:pPr>
    </w:p>
    <w:p>
      <w:pPr>
        <w:sectPr>
          <w:pgSz w:w="11900" w:h="16838" w:orient="portrait"/>
          <w:cols w:equalWidth="0" w:num="2">
            <w:col w:w="6760" w:space="160"/>
            <w:col w:w="4300"/>
          </w:cols>
          <w:pgMar w:left="300" w:top="918" w:right="379" w:bottom="1440" w:gutter="0" w:footer="0" w:header="0"/>
          <w:type w:val="continuous"/>
        </w:sectPr>
      </w:pPr>
    </w:p>
    <w:tbl>
      <w:tblPr>
        <w:tblLayout w:type="fixed"/>
        <w:tblInd w:w="20" w:type="dxa"/>
        <w:tblCellMar>
          <w:top w:w="0" w:type="dxa"/>
          <w:left w:w="0" w:type="dxa"/>
          <w:bottom w:w="0" w:type="dxa"/>
          <w:right w:w="0" w:type="dxa"/>
        </w:tblCellMar>
      </w:tblPr>
      <w:tr>
        <w:trPr>
          <w:trHeight w:val="142"/>
        </w:trPr>
        <w:tc>
          <w:tcPr>
            <w:tcW w:w="2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w w:val="87"/>
              </w:rPr>
              <w:t>10.2</w:t>
            </w:r>
          </w:p>
        </w:tc>
        <w:tc>
          <w:tcPr>
            <w:tcW w:w="780" w:type="dxa"/>
            <w:vAlign w:val="bottom"/>
          </w:tcPr>
          <w:p>
            <w:pPr>
              <w:spacing w:after="0"/>
              <w:rPr>
                <w:sz w:val="12"/>
                <w:szCs w:val="12"/>
                <w:color w:val="auto"/>
              </w:rPr>
            </w:pPr>
          </w:p>
        </w:tc>
        <w:tc>
          <w:tcPr>
            <w:tcW w:w="5840" w:type="dxa"/>
            <w:vAlign w:val="bottom"/>
            <w:gridSpan w:val="6"/>
          </w:tcPr>
          <w:p>
            <w:pPr>
              <w:spacing w:after="0" w:line="143" w:lineRule="exact"/>
              <w:rPr>
                <w:sz w:val="20"/>
                <w:szCs w:val="20"/>
                <w:color w:val="auto"/>
              </w:rPr>
            </w:pPr>
            <w:r>
              <w:rPr>
                <w:rFonts w:ascii="Times New Roman" w:cs="Times New Roman" w:eastAsia="Times New Roman" w:hAnsi="Times New Roman"/>
                <w:sz w:val="13"/>
                <w:szCs w:val="13"/>
                <w:color w:val="0000FF"/>
              </w:rPr>
              <w:t>Second Amended and Restated Exchange Agreement, dated as of October 28, 2024, by and among Clearway</w:t>
            </w:r>
          </w:p>
        </w:tc>
        <w:tc>
          <w:tcPr>
            <w:tcW w:w="10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07"/>
        </w:trPr>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4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Energy, Inc., Clearway Energy LLC and Clearway Energy Group LLC.</w:t>
            </w:r>
          </w:p>
        </w:tc>
        <w:tc>
          <w:tcPr>
            <w:tcW w:w="214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31.1</w:t>
            </w:r>
          </w:p>
        </w:tc>
        <w:tc>
          <w:tcPr>
            <w:tcW w:w="780" w:type="dxa"/>
            <w:vAlign w:val="bottom"/>
          </w:tcPr>
          <w:p>
            <w:pPr>
              <w:spacing w:after="0"/>
              <w:rPr>
                <w:sz w:val="13"/>
                <w:szCs w:val="13"/>
                <w:color w:val="auto"/>
              </w:rPr>
            </w:pPr>
          </w:p>
        </w:tc>
        <w:tc>
          <w:tcPr>
            <w:tcW w:w="2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Craig Cornelius.</w:t>
            </w:r>
          </w:p>
        </w:tc>
        <w:tc>
          <w:tcPr>
            <w:tcW w:w="2860" w:type="dxa"/>
            <w:vAlign w:val="bottom"/>
            <w:gridSpan w:val="4"/>
          </w:tcPr>
          <w:p>
            <w:pPr>
              <w:spacing w:after="0"/>
              <w:rPr>
                <w:sz w:val="13"/>
                <w:szCs w:val="13"/>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31.2</w:t>
            </w:r>
          </w:p>
        </w:tc>
        <w:tc>
          <w:tcPr>
            <w:tcW w:w="780" w:type="dxa"/>
            <w:vAlign w:val="bottom"/>
          </w:tcPr>
          <w:p>
            <w:pPr>
              <w:spacing w:after="0"/>
              <w:rPr>
                <w:sz w:val="13"/>
                <w:szCs w:val="13"/>
                <w:color w:val="auto"/>
              </w:rPr>
            </w:pPr>
          </w:p>
        </w:tc>
        <w:tc>
          <w:tcPr>
            <w:tcW w:w="3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780" w:type="dxa"/>
            <w:vAlign w:val="bottom"/>
            <w:gridSpan w:val="3"/>
          </w:tcPr>
          <w:p>
            <w:pPr>
              <w:spacing w:after="0"/>
              <w:rPr>
                <w:sz w:val="13"/>
                <w:szCs w:val="13"/>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tcPr>
          <w:p>
            <w:pPr>
              <w:spacing w:after="0"/>
              <w:rPr>
                <w:sz w:val="13"/>
                <w:szCs w:val="13"/>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6"/>
              </w:rPr>
              <w:t>Furnished herewith.</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7"/>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INS</w:t>
            </w: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SCH</w:t>
            </w: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CAL</w:t>
            </w: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DEF</w:t>
            </w: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LAB</w:t>
            </w: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PRE</w:t>
            </w: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32"/>
        </w:trPr>
        <w:tc>
          <w:tcPr>
            <w:tcW w:w="22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780" w:type="dxa"/>
            <w:vAlign w:val="bottom"/>
          </w:tcPr>
          <w:p>
            <w:pPr>
              <w:spacing w:after="0"/>
              <w:rPr>
                <w:sz w:val="11"/>
                <w:szCs w:val="11"/>
                <w:color w:val="auto"/>
              </w:rPr>
            </w:pPr>
          </w:p>
        </w:tc>
        <w:tc>
          <w:tcPr>
            <w:tcW w:w="5840" w:type="dxa"/>
            <w:vAlign w:val="bottom"/>
            <w:gridSpan w:val="6"/>
          </w:tcPr>
          <w:p>
            <w:pPr>
              <w:spacing w:after="0" w:line="132" w:lineRule="exact"/>
              <w:rPr>
                <w:sz w:val="20"/>
                <w:szCs w:val="20"/>
                <w:color w:val="auto"/>
              </w:rPr>
            </w:pPr>
            <w:r>
              <w:rPr>
                <w:rFonts w:ascii="Times New Roman" w:cs="Times New Roman" w:eastAsia="Times New Roman" w:hAnsi="Times New Roman"/>
                <w:sz w:val="13"/>
                <w:szCs w:val="13"/>
                <w:color w:val="auto"/>
              </w:rPr>
              <w:t>Cover Page Interactive Data File (the cover page interactive data file does not appear in Exhibit 104 because its</w:t>
            </w:r>
          </w:p>
        </w:tc>
        <w:tc>
          <w:tcPr>
            <w:tcW w:w="108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rPr>
              <w:t>Filed herewith.</w:t>
            </w:r>
          </w:p>
        </w:tc>
      </w:tr>
      <w:tr>
        <w:trPr>
          <w:trHeight w:val="165"/>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Inline XBRL tags are embedded within the Inline XBRL document).</w:t>
            </w: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18" w:right="37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w:t>
      </w:r>
    </w:p>
    <w:p>
      <w:pPr>
        <w:sectPr>
          <w:pgSz w:w="11900" w:h="16838" w:orient="portrait"/>
          <w:cols w:equalWidth="0" w:num="1">
            <w:col w:w="11280"/>
          </w:cols>
          <w:pgMar w:left="300" w:top="728" w:right="31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October 30, 2024</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ENERGY, INC.</w:t>
      </w: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90385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90385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6000" w:space="720"/>
            <w:col w:w="4560"/>
          </w:cols>
          <w:pgMar w:left="300" w:top="728" w:right="31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231F20"/>
        </w:rPr>
        <w:t>59</w:t>
      </w:r>
    </w:p>
    <w:p>
      <w:pPr>
        <w:sectPr>
          <w:pgSz w:w="11900" w:h="16838" w:orient="portrait"/>
          <w:cols w:equalWidth="0" w:num="1">
            <w:col w:w="11280"/>
          </w:cols>
          <w:pgMar w:left="300" w:top="728" w:right="319" w:bottom="1440" w:gutter="0" w:footer="0" w:header="0"/>
          <w:type w:val="continuous"/>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Craig Cornelius, certify that:</w:t>
      </w:r>
    </w:p>
    <w:p>
      <w:pPr>
        <w:spacing w:after="0" w:line="274" w:lineRule="exact"/>
        <w:rPr>
          <w:sz w:val="20"/>
          <w:szCs w:val="20"/>
          <w:color w:val="auto"/>
        </w:rPr>
      </w:pPr>
    </w:p>
    <w:p>
      <w:pPr>
        <w:ind w:left="520" w:hanging="515"/>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14605</wp:posOffset>
            </wp:positionV>
            <wp:extent cx="183896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color w:val="auto"/>
        </w:rPr>
        <w:t>Craig Cornelius</w:t>
      </w:r>
    </w:p>
    <w:p>
      <w:pPr>
        <w:ind w:left="71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71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30, 2024</w:t>
      </w:r>
    </w:p>
    <w:p>
      <w:pPr>
        <w:sectPr>
          <w:pgSz w:w="11900" w:h="16838" w:orient="portrait"/>
          <w:cols w:equalWidth="0" w:num="1">
            <w:col w:w="11280"/>
          </w:cols>
          <w:pgMar w:left="300" w:top="802"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74" w:lineRule="exact"/>
        <w:rPr>
          <w:sz w:val="20"/>
          <w:szCs w:val="20"/>
          <w:color w:val="auto"/>
        </w:rPr>
      </w:pPr>
    </w:p>
    <w:p>
      <w:pPr>
        <w:ind w:left="520" w:hanging="515"/>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14605</wp:posOffset>
            </wp:positionV>
            <wp:extent cx="186626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866265" cy="698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color w:val="auto"/>
        </w:rPr>
        <w:t>Sarah Rubenstein</w:t>
      </w:r>
    </w:p>
    <w:p>
      <w:pPr>
        <w:ind w:left="7480"/>
        <w:spacing w:after="0" w:line="221"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w:t>
      </w:r>
    </w:p>
    <w:p>
      <w:pPr>
        <w:ind w:left="7480"/>
        <w:spacing w:after="0" w:line="206" w:lineRule="auto"/>
        <w:rPr>
          <w:sz w:val="20"/>
          <w:szCs w:val="20"/>
          <w:color w:val="auto"/>
        </w:rPr>
      </w:pPr>
      <w:r>
        <w:rPr>
          <w:rFonts w:ascii="Times New Roman" w:cs="Times New Roman" w:eastAsia="Times New Roman" w:hAnsi="Times New Roman"/>
          <w:sz w:val="14"/>
          <w:szCs w:val="14"/>
          <w:i w:val="1"/>
          <w:iCs w:val="1"/>
          <w:color w:val="auto"/>
        </w:rPr>
        <w:t>Officer</w:t>
      </w:r>
    </w:p>
    <w:p>
      <w:pPr>
        <w:ind w:left="7480"/>
        <w:spacing w:after="0" w:line="205" w:lineRule="auto"/>
        <w:rPr>
          <w:sz w:val="20"/>
          <w:szCs w:val="20"/>
          <w:color w:val="auto"/>
        </w:rPr>
      </w:pPr>
      <w:r>
        <w:rPr>
          <w:rFonts w:ascii="Times New Roman" w:cs="Times New Roman" w:eastAsia="Times New Roman" w:hAnsi="Times New Roman"/>
          <w:sz w:val="14"/>
          <w:szCs w:val="14"/>
          <w:i w:val="1"/>
          <w:iCs w:val="1"/>
          <w:color w:val="auto"/>
        </w:rPr>
        <w:t>(Principal Financial Officer and Principal</w:t>
      </w:r>
    </w:p>
    <w:p>
      <w:pPr>
        <w:ind w:left="7480"/>
        <w:spacing w:after="0"/>
        <w:rPr>
          <w:sz w:val="20"/>
          <w:szCs w:val="20"/>
          <w:color w:val="auto"/>
        </w:rPr>
      </w:pPr>
      <w:r>
        <w:rPr>
          <w:rFonts w:ascii="Times New Roman" w:cs="Times New Roman" w:eastAsia="Times New Roman" w:hAnsi="Times New Roman"/>
          <w:sz w:val="14"/>
          <w:szCs w:val="14"/>
          <w:i w:val="1"/>
          <w:iCs w:val="1"/>
          <w:color w:val="auto"/>
        </w:rPr>
        <w:t>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30, 2024</w:t>
      </w:r>
    </w:p>
    <w:p>
      <w:pPr>
        <w:sectPr>
          <w:pgSz w:w="11900" w:h="16838" w:orient="portrait"/>
          <w:cols w:equalWidth="0" w:num="1">
            <w:col w:w="11280"/>
          </w:cols>
          <w:pgMar w:left="300" w:top="727"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Clearway Energy, Inc. on Form 10-Q for the quarter ended September 30, 2024,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Company as of the dates and for the periods expressed in the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30, 2024</w:t>
      </w:r>
    </w:p>
    <w:p>
      <w:pPr>
        <w:spacing w:after="0" w:line="8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10-Q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2"/>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16" Type="http://schemas.openxmlformats.org/officeDocument/2006/relationships/hyperlink" Target="https://www.sec.gov/Archives/edgar/data/1567683/000110465924074480/tm241811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2024-10-30T16:12:27Z</dcterms:created>
  <dcterms:modified xsi:type="dcterms:W3CDTF">2024-10-30T16:12:27Z</dcterms:modified>
</cp:coreProperties>
</file>