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32025_081006.xml.htm"/>
      <w:bookmarkStart w:id="1" w:name="ksform410032025_0810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Cornelius Craig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CLEARWAY ENERGY,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CARNEGIE CENTER,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Clearway Energy,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CWEN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C Common Stock, par value $.01 per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63,475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330,104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the Issuer withheld to satisfy tax withholding obligations in connection with the vesting of restricted stock units previously reported in Table I.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October 1, 2025, 125,000 shares vested. Mr. Cornelius elected to satisfy his tax obligation upon the exchange of common stock for RSUs having a value on the date of the exchange equal to the withholding obligation. This form reflects the surrender of 63,475 shares of Class C Common Stock to satisfy the grantee's tax withholding obligation.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P. Malcarney,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6637" TargetMode="External"/><Relationship Id="rId5" Type="http://schemas.openxmlformats.org/officeDocument/2006/relationships/hyperlink" Target="http://www.sec.gov/cgi-bin/browse-edgar?action=getcompany&amp;CIK=00015676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655</Words>
  <Characters>3540</Characters>
  <CharactersWithSpaces>4134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