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12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 w:after="283"/>
        <w:jc w:val="center"/>
        <w:rPr>
          <w:rFonts w:ascii="Times New Roman;serif" w:hAnsi="Times New Roman;serif"/>
          <w:b/>
          <w:color w:val="231F20"/>
          <w:sz w:val="20"/>
        </w:rPr>
      </w:pPr>
      <w:r>
        <w:rPr>
          <w:rFonts w:ascii="Times New Roman;serif" w:hAnsi="Times New Roman;serif"/>
          <w:b/>
          <w:color w:val="231F20"/>
          <w:sz w:val="20"/>
        </w:rPr>
        <w:t>Pursuant to Section 13 OR 15(d) of The Securities Exchange Act of 1934</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5, 2025</w:t>
      </w:r>
      <w:r>
        <w:rPr>
          <w:color w:val="000000"/>
        </w:rPr>
        <w:t xml:space="preserve"> </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 xml:space="preserve">CLEARWAY ENERGY, INC.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001-36002</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46-1777204</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 xml:space="preserve">300 Carnegie Center, Suite 300, Princeton, New Jersey 08540 </w:t>
      </w:r>
    </w:p>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(609) 608-1525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N/A</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CWEN.A</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On August 5, 2025, Clearway Energy, Inc. issued a press release announcing its financial results for the quarter ended June 30, 2025.  A copy of the press release is furnished as Exhibit 99.1 to this report on Form 8-K and is hereby incorporated by reference. </w:t>
      </w:r>
      <w:r>
        <w:rPr>
          <w:rFonts w:ascii="Times New Roman;serif" w:hAnsi="Times New Roman;serif"/>
          <w:b w:val="false"/>
          <w:color w:val="212529"/>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before="0" w:after="0"/>
        <w:jc w:val="both"/>
        <w:rPr/>
      </w:pPr>
      <w:r>
        <w:rPr/>
      </w:r>
    </w:p>
    <w:p>
      <w:pPr>
        <w:pStyle w:val="TextBody"/>
        <w:bidi w:val="0"/>
        <w:spacing w:lineRule="auto" w:line="288" w:before="0" w:after="14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 xml:space="preserve">In accordance with General Instruction B.2 of Form 8-K, the information set forth in the attached exhibit is deemed to be furnished and shall not be deemed to be “filed” for purposes of Section 18 of the Exchange Act. </w:t>
      </w:r>
    </w:p>
    <w:tbl>
      <w:tblPr>
        <w:tblW w:w="859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179"/>
        <w:gridCol w:w="2179"/>
        <w:gridCol w:w="309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clearwayenergyi.htm">
              <w:r>
                <w:rPr>
                  <w:rStyle w:val="InternetLink"/>
                  <w:rFonts w:ascii="Times New Roman;serif" w:hAnsi="Times New Roman;serif"/>
                  <w:b w:val="false"/>
                  <w:color w:val="000080"/>
                  <w:sz w:val="20"/>
                  <w:u w:val="single"/>
                </w:rPr>
                <w:t xml:space="preserve">Press Release, dated </w:t>
              </w:r>
            </w:hyperlink>
            <w:hyperlink w:anchor="exhibit991-clearwayenergyi.htm">
              <w:r>
                <w:rPr>
                  <w:rStyle w:val="InternetLink"/>
                  <w:rFonts w:ascii="Times New Roman;serif" w:hAnsi="Times New Roman;serif"/>
                  <w:b w:val="false"/>
                  <w:color w:val="000080"/>
                  <w:sz w:val="20"/>
                  <w:u w:val="single"/>
                </w:rPr>
                <w:t>August 5,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6344" w:type="dxa"/>
        <w:jc w:val="left"/>
        <w:tblInd w:w="0" w:type="dxa"/>
        <w:tblLayout w:type="fixed"/>
        <w:tblCellMar>
          <w:top w:w="28" w:type="dxa"/>
          <w:left w:w="28" w:type="dxa"/>
          <w:bottom w:w="28" w:type="dxa"/>
          <w:right w:w="28" w:type="dxa"/>
        </w:tblCellMar>
      </w:tblPr>
      <w:tblGrid>
        <w:gridCol w:w="705"/>
        <w:gridCol w:w="619"/>
        <w:gridCol w:w="625"/>
        <w:gridCol w:w="300"/>
        <w:gridCol w:w="300"/>
        <w:gridCol w:w="300"/>
        <w:gridCol w:w="1013"/>
        <w:gridCol w:w="1013"/>
        <w:gridCol w:w="146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P. Malcarney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P. Malcarney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2025</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00"/>
        <w:jc w:val="left"/>
        <w:rPr/>
      </w:pPr>
      <w:r>
        <w:rPr/>
      </w:r>
    </w:p>
    <w:p>
      <w:pPr>
        <w:pStyle w:val="TextBody"/>
        <w:bidi w:val="0"/>
        <w:spacing w:before="0" w:after="0"/>
        <w:ind w:left="0" w:right="0" w:firstLine="1440"/>
        <w:jc w:val="right"/>
        <w:rPr/>
      </w:pPr>
      <w:r>
        <w:rPr/>
      </w:r>
    </w:p>
    <w:p>
      <w:pPr>
        <w:pStyle w:val="TextBody"/>
        <w:bidi w:val="0"/>
        <w:spacing w:before="0" w:after="20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71462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olor w:val="000000"/>
        </w:rPr>
        <w:t xml:space="preserve">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Clearway Energy, Inc. Reports Second Quarter 2025 Financial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Repowering program advancing with Goat Mountain commercialized for 2027 and Mt. Storm on track</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Sponsor-enabled growth advancing with 2025/2026 COD program now over 1.6 GW including new offer from Clearway Group to invest in 291 MW Western states storage portfolio</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Third party acquisitions also continuing with closing of previously announced Catalina Solar project</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Updating 2025 financial guidance range to reflect FY2025 contribution from closed 3</w:t>
      </w:r>
      <w:r>
        <w:rPr>
          <w:rFonts w:ascii="Times New Roman;serif" w:hAnsi="Times New Roman;serif"/>
          <w:b/>
          <w:color w:val="000000"/>
          <w:sz w:val="13"/>
        </w:rPr>
        <w:t>rd</w:t>
      </w:r>
      <w:r>
        <w:rPr>
          <w:color w:val="000000"/>
        </w:rPr>
        <w:t xml:space="preserve"> </w:t>
      </w:r>
      <w:r>
        <w:rPr>
          <w:rFonts w:ascii="Times New Roman;serif" w:hAnsi="Times New Roman;serif"/>
          <w:b/>
          <w:color w:val="000000"/>
          <w:sz w:val="20"/>
        </w:rPr>
        <w:t>party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Increasing the quarterly dividend by 1.6% to $0.4456</w:t>
      </w:r>
      <w:r>
        <w:rPr>
          <w:color w:val="000000"/>
        </w:rPr>
        <w:t xml:space="preserve"> </w:t>
      </w:r>
      <w:r>
        <w:rPr>
          <w:rFonts w:ascii="Times New Roman;serif" w:hAnsi="Times New Roman;serif"/>
          <w:b/>
          <w:color w:val="000000"/>
          <w:sz w:val="20"/>
        </w:rPr>
        <w:t>per share in the third quarter of 20</w:t>
      </w:r>
      <w:r>
        <w:rPr>
          <w:rFonts w:ascii="Times New Roman;serif" w:hAnsi="Times New Roman;serif"/>
          <w:b/>
          <w:color w:val="242424"/>
          <w:sz w:val="20"/>
        </w:rPr>
        <w:t>25,</w:t>
      </w:r>
      <w:r>
        <w:rPr>
          <w:color w:val="000000"/>
        </w:rPr>
        <w:t xml:space="preserve"> </w:t>
      </w:r>
      <w:r>
        <w:rPr>
          <w:rFonts w:ascii="Times New Roman;serif" w:hAnsi="Times New Roman;serif"/>
          <w:b/>
          <w:color w:val="000000"/>
          <w:sz w:val="20"/>
        </w:rPr>
        <w:t xml:space="preserve">or $1.7824 per share annualized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PRINCETON, NJ </w:t>
      </w:r>
      <w:r>
        <w:rPr>
          <w:color w:val="000000"/>
        </w:rPr>
        <w:t xml:space="preserve">— </w:t>
      </w:r>
      <w:r>
        <w:rPr>
          <w:rFonts w:ascii="Times New Roman;serif" w:hAnsi="Times New Roman;serif"/>
          <w:b/>
          <w:color w:val="000000"/>
          <w:sz w:val="20"/>
        </w:rPr>
        <w:t>August 5, 2025</w:t>
      </w:r>
      <w:r>
        <w:rPr>
          <w:color w:val="000000"/>
        </w:rPr>
        <w:t xml:space="preserve">— </w:t>
      </w:r>
      <w:r>
        <w:rPr>
          <w:rFonts w:ascii="Times New Roman;serif" w:hAnsi="Times New Roman;serif"/>
          <w:b w:val="false"/>
          <w:color w:val="000000"/>
          <w:sz w:val="20"/>
        </w:rPr>
        <w:t>Clearway Energy, Inc. (NYSE: CWEN, CWEN.A) today reported second quarter 2025 financial results, including Net Income of $12 million, Adjusted EBITDA of $343 million, Cash from Operating Activities of $191 million, and Cash Available for Distribution (CAFD) of $152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half of this year, we made strong progress towards our near-term and long-term growth goals – demonstrating how our multiple growth pathways reinforce each other as we accelerate accretive growth into the future. We have increased the bottom-end of our 2025 guidance range to account for contributions expected this year from all recently closed acquisitions, while sound planning and execution has kept all sponsor-enabled committed growth investments on schedule. Looking further out, we further crystallized visibility into our 2027 growth objectives, including through today’s announced drop-down offer to invest in a contracted storage portfolio. Collectively, our growth pathways have put us in a position to increase our 2027 CAFD per share target range to $2.50 to $2.70, with building blocks including our wind repowering campaign and highly resilient sponsor development pipeline providing the foundation for growth beyond 2027,” said Craig Cornelius, Clearway Energy, Inc.’s President and Chief Executive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and Cash Available for Distribution used in this press release are non-GAAP measures and are explained in greater detail under “Non-GAAP Financial Information”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 of Financial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Segment Results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Table 1: Net Income/(Loss)</w:t>
      </w:r>
    </w:p>
    <w:tbl>
      <w:tblPr>
        <w:tblW w:w="6430" w:type="dxa"/>
        <w:jc w:val="left"/>
        <w:tblInd w:w="0" w:type="dxa"/>
        <w:tblLayout w:type="fixed"/>
        <w:tblCellMar>
          <w:top w:w="28" w:type="dxa"/>
          <w:left w:w="28" w:type="dxa"/>
          <w:bottom w:w="28" w:type="dxa"/>
          <w:right w:w="28" w:type="dxa"/>
        </w:tblCellMar>
      </w:tblPr>
      <w:tblGrid>
        <w:gridCol w:w="706"/>
        <w:gridCol w:w="620"/>
        <w:gridCol w:w="624"/>
        <w:gridCol w:w="109"/>
        <w:gridCol w:w="109"/>
        <w:gridCol w:w="109"/>
        <w:gridCol w:w="249"/>
        <w:gridCol w:w="427"/>
        <w:gridCol w:w="129"/>
        <w:gridCol w:w="129"/>
        <w:gridCol w:w="129"/>
        <w:gridCol w:w="129"/>
        <w:gridCol w:w="274"/>
        <w:gridCol w:w="334"/>
        <w:gridCol w:w="142"/>
        <w:gridCol w:w="109"/>
        <w:gridCol w:w="109"/>
        <w:gridCol w:w="109"/>
        <w:gridCol w:w="211"/>
        <w:gridCol w:w="436"/>
        <w:gridCol w:w="109"/>
        <w:gridCol w:w="109"/>
        <w:gridCol w:w="109"/>
        <w:gridCol w:w="109"/>
        <w:gridCol w:w="211"/>
        <w:gridCol w:w="43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6/30/24</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Renewables &amp;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2: Adjusted EBITDA</w:t>
      </w:r>
    </w:p>
    <w:tbl>
      <w:tblPr>
        <w:tblW w:w="6447" w:type="dxa"/>
        <w:jc w:val="left"/>
        <w:tblInd w:w="0" w:type="dxa"/>
        <w:tblLayout w:type="fixed"/>
        <w:tblCellMar>
          <w:top w:w="28" w:type="dxa"/>
          <w:left w:w="28" w:type="dxa"/>
          <w:bottom w:w="28" w:type="dxa"/>
          <w:right w:w="28" w:type="dxa"/>
        </w:tblCellMar>
      </w:tblPr>
      <w:tblGrid>
        <w:gridCol w:w="706"/>
        <w:gridCol w:w="620"/>
        <w:gridCol w:w="624"/>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6/30/24</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Renewables &amp;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3: Cash from Operating Activities and Cash Available for Distribution (CAFD)</w:t>
      </w:r>
    </w:p>
    <w:tbl>
      <w:tblPr>
        <w:tblW w:w="7841" w:type="dxa"/>
        <w:jc w:val="left"/>
        <w:tblInd w:w="0" w:type="dxa"/>
        <w:tblLayout w:type="fixed"/>
        <w:tblCellMar>
          <w:top w:w="28" w:type="dxa"/>
          <w:left w:w="28" w:type="dxa"/>
          <w:bottom w:w="28" w:type="dxa"/>
          <w:right w:w="28" w:type="dxa"/>
        </w:tblCellMar>
      </w:tblPr>
      <w:tblGrid>
        <w:gridCol w:w="1210"/>
        <w:gridCol w:w="1064"/>
        <w:gridCol w:w="1070"/>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6/30/24</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Available for Distribution (CAFD)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second quarter of 2025, the Company reported Net Income of $12 million, Adjusted EBITDA of $343 million, Cash from Operating Activities of $191 million, and CAFD of $152 million. Net Income increased versus 2024 primarily due to lower tax expenses. Adjusted EBITDA results in the second quarter were lower than 2024 due to lower renewable production primarily at certain wind facilities and lower energy margin for the Flexible Generation facilities due to lower pricing and milder weather, partially offset by the contribution of growth investments. CAFD results in the second quarter of 2025 were lower than 2024 primarily due to lower EBITDA and higher project-level debt service, which was driven in part by timing.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Operational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Table 4: Selected Operating Results</w:t>
      </w:r>
      <w:r>
        <w:rPr>
          <w:rFonts w:ascii="Times New Roman;serif" w:hAnsi="Times New Roman;serif"/>
          <w:b/>
          <w:color w:val="000000"/>
          <w:sz w:val="13"/>
        </w:rPr>
        <w:t>1</w:t>
      </w:r>
      <w:r>
        <w:rPr>
          <w:color w:val="000000"/>
        </w:rPr>
        <w:t xml:space="preserve"> </w:t>
      </w:r>
    </w:p>
    <w:tbl>
      <w:tblPr>
        <w:tblW w:w="9564" w:type="dxa"/>
        <w:jc w:val="left"/>
        <w:tblInd w:w="0" w:type="dxa"/>
        <w:tblLayout w:type="fixed"/>
        <w:tblCellMar>
          <w:top w:w="28" w:type="dxa"/>
          <w:left w:w="28" w:type="dxa"/>
          <w:bottom w:w="28" w:type="dxa"/>
          <w:right w:w="28" w:type="dxa"/>
        </w:tblCellMar>
      </w:tblPr>
      <w:tblGrid>
        <w:gridCol w:w="1549"/>
        <w:gridCol w:w="1360"/>
        <w:gridCol w:w="1365"/>
        <w:gridCol w:w="109"/>
        <w:gridCol w:w="109"/>
        <w:gridCol w:w="109"/>
        <w:gridCol w:w="255"/>
        <w:gridCol w:w="256"/>
        <w:gridCol w:w="416"/>
        <w:gridCol w:w="156"/>
        <w:gridCol w:w="156"/>
        <w:gridCol w:w="156"/>
        <w:gridCol w:w="255"/>
        <w:gridCol w:w="256"/>
        <w:gridCol w:w="416"/>
        <w:gridCol w:w="109"/>
        <w:gridCol w:w="109"/>
        <w:gridCol w:w="109"/>
        <w:gridCol w:w="255"/>
        <w:gridCol w:w="256"/>
        <w:gridCol w:w="416"/>
        <w:gridCol w:w="135"/>
        <w:gridCol w:w="135"/>
        <w:gridCol w:w="135"/>
        <w:gridCol w:w="255"/>
        <w:gridCol w:w="256"/>
        <w:gridCol w:w="471"/>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(MWh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6/30/24</w:t>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 Equivalent Availability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Solar MWh generated/sold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Wind MWh generated/sold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w:t>
            </w:r>
          </w:p>
        </w:tc>
      </w:tr>
      <w:tr>
        <w:trPr/>
        <w:tc>
          <w:tcPr>
            <w:tcW w:w="4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Renewables &amp; Storage generated/sold</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availability at the Flexible Generation segment was lower than the second quarter of 2024 primarily due to outages at certain facilities. Generation in the Renewables &amp; Storage segment during the second quarter of 2025 was 1% higher than the second quarter of 2024 primarily due to the contribution of growth investments partially offset by lower wind resource at certain facilities.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Table 5: Liquidity</w:t>
      </w:r>
      <w:r>
        <w:rPr>
          <w:color w:val="000000"/>
        </w:rPr>
        <w:t xml:space="preserve"> </w:t>
      </w:r>
    </w:p>
    <w:tbl>
      <w:tblPr>
        <w:tblW w:w="9604" w:type="dxa"/>
        <w:jc w:val="left"/>
        <w:tblInd w:w="0" w:type="dxa"/>
        <w:tblLayout w:type="fixed"/>
        <w:tblCellMar>
          <w:top w:w="28" w:type="dxa"/>
          <w:left w:w="28" w:type="dxa"/>
          <w:bottom w:w="28" w:type="dxa"/>
          <w:right w:w="28" w:type="dxa"/>
        </w:tblCellMar>
      </w:tblPr>
      <w:tblGrid>
        <w:gridCol w:w="2372"/>
        <w:gridCol w:w="2084"/>
        <w:gridCol w:w="2098"/>
        <w:gridCol w:w="109"/>
        <w:gridCol w:w="109"/>
        <w:gridCol w:w="109"/>
        <w:gridCol w:w="216"/>
        <w:gridCol w:w="632"/>
        <w:gridCol w:w="111"/>
        <w:gridCol w:w="109"/>
        <w:gridCol w:w="109"/>
        <w:gridCol w:w="109"/>
        <w:gridCol w:w="240"/>
        <w:gridCol w:w="701"/>
        <w:gridCol w:w="124"/>
        <w:gridCol w:w="109"/>
        <w:gridCol w:w="109"/>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12/31/2024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liquidity as of June 30, 2025, was $1,298 million, which was $32 million lower than as of December 31, 2024, primarily due to the execution of growth investments.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2025</w:t>
      </w:r>
      <w:r>
        <w:rPr>
          <w:rFonts w:ascii="Times New Roman;serif" w:hAnsi="Times New Roman;serif"/>
          <w:b w:val="false"/>
          <w:color w:val="231F20"/>
          <w:sz w:val="20"/>
        </w:rPr>
        <w:t xml:space="preserve">, the Company's liquidity included </w:t>
      </w:r>
      <w:r>
        <w:rPr>
          <w:rFonts w:ascii="Times New Roman;serif" w:hAnsi="Times New Roman;serif"/>
          <w:b w:val="false"/>
          <w:color w:val="000000"/>
          <w:sz w:val="20"/>
        </w:rPr>
        <w:t>$526 million</w:t>
      </w:r>
      <w:r>
        <w:rPr>
          <w:color w:val="231F20"/>
        </w:rPr>
        <w:t xml:space="preserve"> </w:t>
      </w:r>
      <w:r>
        <w:rPr>
          <w:rFonts w:ascii="Times New Roman;serif" w:hAnsi="Times New Roman;serif"/>
          <w:b w:val="false"/>
          <w:color w:val="231F20"/>
          <w:sz w:val="20"/>
        </w:rPr>
        <w:t xml:space="preserve">of restricted cash. Restricted cash consists primarily of funds to satisfy the requirements of certain debt arrangements and funds held within the Company’s projects that are restricted in their use. As </w:t>
      </w:r>
      <w:r>
        <w:rPr>
          <w:rFonts w:ascii="Times New Roman;serif" w:hAnsi="Times New Roman;serif"/>
          <w:b w:val="false"/>
          <w:color w:val="000000"/>
          <w:sz w:val="20"/>
        </w:rPr>
        <w:t xml:space="preserve">of June 30, 2025, these restricted funds were comprised of $112 million designated to fund </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Excludes equity method investments</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Generation sold excludes MWh that are reimbursable for economic curtailment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operating expenses, approximately $176 million designated for current debt service payments, and $83 million of reserves for debt service, performance obligations and other items including capital expenditures.</w:t>
      </w:r>
      <w:r>
        <w:rPr>
          <w:color w:val="FF0000"/>
        </w:rPr>
        <w:t xml:space="preserve"> </w:t>
      </w:r>
      <w:r>
        <w:rPr>
          <w:rFonts w:ascii="Times New Roman;serif" w:hAnsi="Times New Roman;serif"/>
          <w:b w:val="false"/>
          <w:color w:val="000000"/>
          <w:sz w:val="20"/>
        </w:rPr>
        <w:t xml:space="preserve">The remaining $155 million is held in distribution reserve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 Company had $112 million in outstanding borrowings under its revolving credit facility, and on July 11, 2025, the Company borrowed an additional $123 million under the facility, primarily to support the acquisition of Catalina on July 16,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Potential future sources of liquidity include excess operating cash flow, availability under the revolving credit facility</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asset dispositions, and, subject to market conditions, new corporate debt and equity financings.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Growth Investments and Strategic Announcements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Goat Mountain Potential Repowering Update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2025, Goat Mountain, a wind project located in Sterling, Texas, signed a 15-year PPA with a new hyperscaler customer to underpin a repowering targeted in 2027. Additionally, the project has finalized a capacity reservation agreement for a turbine order with a major OEM and entered into a development service agreement with Clearway Group to manage the repowering. The Company will potentially invest approximately $200 million in long-term corporate capital, subject to closing adjustments, and the investment decision to repower the project is subject to negotiation both with Clearway Group, and the review and approval by the Company’s Independent Directors.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Rosamond South II and Spindle Storage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18, 2025, Clearway Group offered the Company the opportunity to enter into partnership arrangements to own cash equity interests in a portfolio of 291 MW of storage projects located in California and Colorado that are expected to reach commercial operations in 2026. The potential corporate capital commitment for the investment is expected to be approximately $65 million. The investment is subject to negotiation both with Clearway Group, and the review and approval by the Company’s Independent Directors.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3rd Party Acquisition of Operational Solar Project (Catalina)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16, 2025, the Company, acquired Catalina Solar Lessee Holdco LLC, which leases and operates Catalina, a 109 MW solar facility located in Kern County, California, from a third-party for approximately $127 million. Catalina reached commercial operations in 2013 and has a PPA with an investment-grade utility through 2038. The Company estimates that its net corporate capital investment in Catalina will be $122 million.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Quarterly Dividend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August 4, 2025, Clearway Energy, Inc.’s Board of Directors declared a quarterly dividend on Class A and Class C common stock of</w:t>
      </w:r>
      <w:r>
        <w:rPr>
          <w:color w:val="000000"/>
        </w:rPr>
        <w:t xml:space="preserve"> </w:t>
      </w:r>
      <w:r>
        <w:rPr>
          <w:rFonts w:ascii="Times New Roman;serif" w:hAnsi="Times New Roman;serif"/>
          <w:b w:val="false"/>
          <w:color w:val="000000"/>
          <w:sz w:val="20"/>
        </w:rPr>
        <w:t xml:space="preserve">$0.4456 per share payable on September 16, 2025, to stockholders of record as of September 2, 2025.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 summer capacity and energy prices from flexible generation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 solar insolation during the summer months;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 wind resources during the spring and summer months;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Renewable energy resource throughout the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Debt service payments which are made either quarterly or semi-annually;</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Timing of maintenance capital expenditures and the impact of both unforced and forced outages; and</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Timing of distributions from unconsolidated affiliates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takes into consideration the timing of these factors to ensure sufficient funds are available for distributions and operating activities on a quarterly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Guidance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updating its 2025 full year CAFD guidance to a range of $405 million to $440 million based on the execution of third-party acquisitions. The midpoint of the 2025 financial guidance range is based on median renewable energy production estimates for the full year, while the range reflects a range of potential distributions of outcomes on resource and performance in the fiscal year. The guidance range also factors in completing committed growth investments on currently forecasted schedules.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Earnings Conference Call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5, 2025, Clearway Energy, Inc. will host a conference call at 5:00 p.m.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Clearway Energy,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Clearway Energy, Inc. is one of the largest owners of clean energy generation assets in the US and is leading the transition to a world powered by clean energy. Our portfolio comprises approximately 12 GW of gross capacity in 27 states, including 9.2 GW of wind, solar, and energy storage and over 2.8 GW of dispatchable power generation providing critical grid reliability services. Through our diversified and primarily contracted clean energy portfolio, Clearway Energy endeavors to provide our investors with stable and growing dividend income. Clearway Energy, Inc.’s Class C and Class A common stock are traded on the New York Stock Exchange under the symbols CWEN and CWEN.A, respectively. Clearway Energy, Inc. is sponsored by our controlling investor, Clearway Energy Group LLC. For more information, visit investor.clearwayenergy.com.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Safe Harbor Disclosure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Clearway Energy, Inc.’s (the “Company’s”) dividend expectations and its operations, its facilities and its financial results, statements regarding the likelihood, terms, timing and/or consummation of the transactions described above, the potential benefits, opportunities, and results with respect to the transactions, including the Company’s future relationship and arrangements with Global Infrastructure Partners, TotalEnergies, and Clearway Energy Group (collectively and together with their affiliates, “Related Persons”),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 believes that the expectations are reasonable at this time,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(including receipt of third party consents and regulatory approvals), risks related to the Company's ability to acquire assets, including risks that offered or committed transactions from Related Persons may not be approved, on the terms proposed or otherwise, by the Corporate Governance, Conflicts, and Nominating Committee of the Company’s Board of Directors (the “GCN”), or if approved, timely consummated;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contracts as existing contracts expire, changes in government 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this release contains reference to certain offered and committed transactions with Related Persons, which transactions are subject to the review, negotiation and approval of the GCN. Transactions referred to as “offered” (or any variation thereof) have been presented to the Company by the Related Persons, but the terms remain subject to review and negotiation by the GCN. Transactions may have been recently offered or undergone more extensive negotiations. Unless otherwise noted, no assumptions should be made with respect to the stage of negotiation of an offered transaction, nor should any assumptions be made that any offered transaction will be approved, committed or ultimately consummated on the terms described herein. Transactions referred to as “committed” or “signed” (or any variation thereof) represent transactions which have been approved by the GCN and for which definitive agreements have been delivered; however, such transactions have not yet been consummated and remain subject to various risks and uncertainties (including financing, third party consents and arrangements and regulatory approvals). The Company provides information regarding offered and committed transactions believing that such information is useful to an understanding of the Company’s business and operations; however, given the uncertainty of such transactions, undue reliance should not be placed on any expectations regarding such transactions and the Company can give no assurance that such expectations will prove to be correct, as actual results may vary materially.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undertakes no obligation to update or revise any forward-looking statements, whether as a result of new information, future events or otherwise. The Cash Available for Distribution are estimates as of today’s date, August 5, 2025, and are based on assumptions believed to be reasonable as of this date. The Company expressly disclaims any current intention to update such guidance. The foregoing review of factors that could cause The Company's actual results to differ materially from those contemplated in the forward-looking statements included in this news release should be considered in connection with information regarding risks and uncertainties that may affect The Company's future results included in The Company's filings with the Securities and Exchange Commission at www.sec.gov. In addition, The Company makes available free of charge at www.clearwayenergy.com, copies of materials it files with, or furnishes to, the Securities and Exchange Commission.</w: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Investors:                Media:</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Akil Marsh                Zadie Oleksiw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investor.relations@clearwayenergy.com    media@clearwayenergy.com</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609-608-1500                202-836-5754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24"/>
        <w:gridCol w:w="1488"/>
        <w:gridCol w:w="15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02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Clearway Energy,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Clearway Energy, Inc. Class A and Class C Common Stockholders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shares outstanding - basic and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C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Weighted Average Class A and Class C Common Share -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Dividends Per Class A Common Share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0.8135 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Dividends Per Class C Common Share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0.8135 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106"/>
        <w:gridCol w:w="1833"/>
        <w:gridCol w:w="1732"/>
        <w:gridCol w:w="233"/>
        <w:gridCol w:w="394"/>
        <w:gridCol w:w="129"/>
        <w:gridCol w:w="129"/>
        <w:gridCol w:w="129"/>
        <w:gridCol w:w="129"/>
        <w:gridCol w:w="233"/>
        <w:gridCol w:w="394"/>
        <w:gridCol w:w="129"/>
        <w:gridCol w:w="109"/>
        <w:gridCol w:w="109"/>
        <w:gridCol w:w="109"/>
        <w:gridCol w:w="216"/>
        <w:gridCol w:w="418"/>
        <w:gridCol w:w="119"/>
        <w:gridCol w:w="119"/>
        <w:gridCol w:w="119"/>
        <w:gridCol w:w="119"/>
        <w:gridCol w:w="216"/>
        <w:gridCol w:w="365"/>
        <w:gridCol w:w="119"/>
        <w:gridCol w:w="109"/>
        <w:gridCol w:w="109"/>
        <w:gridCol w:w="109"/>
        <w:gridCol w:w="171"/>
      </w:tblGrid>
      <w:tr>
        <w:trPr/>
        <w:tc>
          <w:tcPr>
            <w:tcW w:w="2106"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89" w:type="dxa"/>
            <w:gridSpan w:val="3"/>
            <w:tcBorders/>
          </w:tcPr>
          <w:p>
            <w:pPr>
              <w:pStyle w:val="TableContents"/>
              <w:bidi w:val="0"/>
              <w:spacing w:before="0" w:after="283"/>
              <w:jc w:val="left"/>
              <w:rPr>
                <w:sz w:val="4"/>
                <w:szCs w:val="4"/>
              </w:rPr>
            </w:pPr>
            <w:r>
              <w:rPr>
                <w:sz w:val="4"/>
                <w:szCs w:val="4"/>
              </w:rPr>
            </w:r>
          </w:p>
        </w:tc>
      </w:tr>
      <w:tr>
        <w:trPr/>
        <w:tc>
          <w:tcPr>
            <w:tcW w:w="5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(Loss) Income</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derivatives and changes in accumulated OCI, net of income tax benefit of $(4), $—, $(5) and $—</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Comprehensive (Loss) Income </w:t>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 and redeemable noncontrolling interests</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Attributable to Clearway Energy, Inc.</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CLEARWAY ENERGY, INC.</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3334"/>
        <w:gridCol w:w="2222"/>
        <w:gridCol w:w="2244"/>
        <w:gridCol w:w="202"/>
        <w:gridCol w:w="667"/>
        <w:gridCol w:w="112"/>
        <w:gridCol w:w="109"/>
        <w:gridCol w:w="109"/>
        <w:gridCol w:w="109"/>
        <w:gridCol w:w="215"/>
        <w:gridCol w:w="709"/>
        <w:gridCol w:w="173"/>
      </w:tblGrid>
      <w:tr>
        <w:trPr/>
        <w:tc>
          <w:tcPr>
            <w:tcW w:w="333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shares)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trade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affiliates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for power purchase agreements, net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intangible assets, net </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trade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affiliates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Redeemable noncontrolling interest in subsidiaries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$0.01 par value; 10,000,000 shares authorized; none issued </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Class B, Class C and Class D common stock, $0.01 par value; 3,000,000,000 shares authorized (Class A 500,000,000, Class B 500,000,000, Class C 1,000,000,000, Class D 1,000,000,000); 202,185,894 shares issued and outstanding (Class A 34,613,853, Class B 42,738,750, Class C 83,257,149, Class D 41,576,142) at June 30, 2025 and 202,147,579 shares issued and outstanding (Class A 34,613,853, Class B 42,738,750, Class C 82,833,226, Class D 41,961,750) at December 31, 2024</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7706" w:type="dxa"/>
        <w:jc w:val="left"/>
        <w:tblInd w:w="0" w:type="dxa"/>
        <w:tblLayout w:type="fixed"/>
        <w:tblCellMar>
          <w:top w:w="28" w:type="dxa"/>
          <w:left w:w="28" w:type="dxa"/>
          <w:bottom w:w="28" w:type="dxa"/>
          <w:right w:w="28" w:type="dxa"/>
        </w:tblCellMar>
      </w:tblPr>
      <w:tblGrid>
        <w:gridCol w:w="2045"/>
        <w:gridCol w:w="1795"/>
        <w:gridCol w:w="1800"/>
        <w:gridCol w:w="222"/>
        <w:gridCol w:w="478"/>
        <w:gridCol w:w="123"/>
        <w:gridCol w:w="123"/>
        <w:gridCol w:w="123"/>
        <w:gridCol w:w="123"/>
        <w:gridCol w:w="222"/>
        <w:gridCol w:w="478"/>
        <w:gridCol w:w="174"/>
      </w:tblGrid>
      <w:tr>
        <w:trPr/>
        <w:tc>
          <w:tcPr>
            <w:tcW w:w="204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Loss </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 in earnings of unconsolidated affiliates </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unconsolidated affiliates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financing costs and debt discounts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on debt extinguishment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carrying amount of right-of-use assets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deferred income taxes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derivative instruments and amortization of accumulated OCI</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working capital</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Drop Down Assets, net of cash acquired</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 from unconsolidated affiliates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note receivable - affiliate</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dividends and distributions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Pro-rata distributions to CEG</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revolving credit facility</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the issuance of long-term debt </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long-term debt</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 the Six Months Ended June 30, 2025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03"/>
        <w:gridCol w:w="527"/>
        <w:gridCol w:w="488"/>
        <w:gridCol w:w="211"/>
        <w:gridCol w:w="438"/>
        <w:gridCol w:w="117"/>
        <w:gridCol w:w="109"/>
        <w:gridCol w:w="109"/>
        <w:gridCol w:w="109"/>
        <w:gridCol w:w="249"/>
        <w:gridCol w:w="307"/>
        <w:gridCol w:w="140"/>
        <w:gridCol w:w="109"/>
        <w:gridCol w:w="109"/>
        <w:gridCol w:w="109"/>
        <w:gridCol w:w="196"/>
        <w:gridCol w:w="556"/>
        <w:gridCol w:w="109"/>
        <w:gridCol w:w="109"/>
        <w:gridCol w:w="109"/>
        <w:gridCol w:w="109"/>
        <w:gridCol w:w="220"/>
        <w:gridCol w:w="473"/>
        <w:gridCol w:w="122"/>
        <w:gridCol w:w="109"/>
        <w:gridCol w:w="109"/>
        <w:gridCol w:w="109"/>
        <w:gridCol w:w="355"/>
        <w:gridCol w:w="627"/>
        <w:gridCol w:w="199"/>
        <w:gridCol w:w="109"/>
        <w:gridCol w:w="109"/>
        <w:gridCol w:w="109"/>
        <w:gridCol w:w="232"/>
        <w:gridCol w:w="659"/>
        <w:gridCol w:w="130"/>
        <w:gridCol w:w="109"/>
        <w:gridCol w:w="109"/>
        <w:gridCol w:w="109"/>
        <w:gridCol w:w="211"/>
        <w:gridCol w:w="598"/>
        <w:gridCol w:w="176"/>
      </w:tblGrid>
      <w:tr>
        <w:trPr/>
        <w:tc>
          <w:tcPr>
            <w:tcW w:w="90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derivatives and changes in accumulated OCI,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CEG, net of contributions,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 non-cash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of assets under common control</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change in tax basis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 and distributions to CEG unit holders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derivatives and changes in accumulated OCI, net of tax</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CEG,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 net of distributions,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Pro-rata distributions to CEG,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of assets under common control</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change in tax basis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 and distributions to CEG unit holders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 the Six Months Ended June 30, 2024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30"/>
        <w:gridCol w:w="549"/>
        <w:gridCol w:w="509"/>
        <w:gridCol w:w="211"/>
        <w:gridCol w:w="438"/>
        <w:gridCol w:w="117"/>
        <w:gridCol w:w="109"/>
        <w:gridCol w:w="109"/>
        <w:gridCol w:w="109"/>
        <w:gridCol w:w="249"/>
        <w:gridCol w:w="306"/>
        <w:gridCol w:w="140"/>
        <w:gridCol w:w="109"/>
        <w:gridCol w:w="109"/>
        <w:gridCol w:w="109"/>
        <w:gridCol w:w="196"/>
        <w:gridCol w:w="556"/>
        <w:gridCol w:w="109"/>
        <w:gridCol w:w="109"/>
        <w:gridCol w:w="109"/>
        <w:gridCol w:w="109"/>
        <w:gridCol w:w="222"/>
        <w:gridCol w:w="478"/>
        <w:gridCol w:w="123"/>
        <w:gridCol w:w="109"/>
        <w:gridCol w:w="109"/>
        <w:gridCol w:w="109"/>
        <w:gridCol w:w="396"/>
        <w:gridCol w:w="487"/>
        <w:gridCol w:w="221"/>
        <w:gridCol w:w="109"/>
        <w:gridCol w:w="109"/>
        <w:gridCol w:w="109"/>
        <w:gridCol w:w="232"/>
        <w:gridCol w:w="659"/>
        <w:gridCol w:w="130"/>
        <w:gridCol w:w="109"/>
        <w:gridCol w:w="109"/>
        <w:gridCol w:w="109"/>
        <w:gridCol w:w="211"/>
        <w:gridCol w:w="598"/>
        <w:gridCol w:w="176"/>
      </w:tblGrid>
      <w:tr>
        <w:trPr/>
        <w:tc>
          <w:tcPr>
            <w:tcW w:w="93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gain on derivatives and changes in accumulated OCI,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CEG, net of contributions,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of assets under common control</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change in tax basis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 and distributions to CEG unit holders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2024</w:t>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derivatives and changes in accumulated OCI, net of tax</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CEG,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net of distributions,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 net of contributions, non-cash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of assets under common control</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 for change in tax basis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 and distributions to CEG unit holders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A-1: Three Months Ended June 30, 2025, Segment Adjusted EBITDA Reconciliation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796"/>
        <w:gridCol w:w="1335"/>
        <w:gridCol w:w="1312"/>
        <w:gridCol w:w="109"/>
        <w:gridCol w:w="109"/>
        <w:gridCol w:w="109"/>
        <w:gridCol w:w="366"/>
        <w:gridCol w:w="652"/>
        <w:gridCol w:w="191"/>
        <w:gridCol w:w="109"/>
        <w:gridCol w:w="109"/>
        <w:gridCol w:w="109"/>
        <w:gridCol w:w="344"/>
        <w:gridCol w:w="784"/>
        <w:gridCol w:w="178"/>
        <w:gridCol w:w="109"/>
        <w:gridCol w:w="109"/>
        <w:gridCol w:w="109"/>
        <w:gridCol w:w="109"/>
        <w:gridCol w:w="109"/>
        <w:gridCol w:w="264"/>
        <w:gridCol w:w="470"/>
        <w:gridCol w:w="137"/>
        <w:gridCol w:w="109"/>
        <w:gridCol w:w="109"/>
        <w:gridCol w:w="109"/>
        <w:gridCol w:w="211"/>
        <w:gridCol w:w="481"/>
        <w:gridCol w:w="158"/>
      </w:tblGrid>
      <w:tr>
        <w:trPr/>
        <w:tc>
          <w:tcPr>
            <w:tcW w:w="179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4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A-2: Three Months Ended June 30, 2024, Segment Adjusted EBITDA Reconciliation</w:t>
      </w:r>
    </w:p>
    <w:p>
      <w:pPr>
        <w:pStyle w:val="TextBody"/>
        <w:bidi w:val="0"/>
        <w:spacing w:lineRule="auto" w:line="288" w:before="0" w:after="0"/>
        <w:jc w:val="left"/>
        <w:rPr/>
      </w:pPr>
      <w:r>
        <w:rPr>
          <w:rFonts w:ascii="Times New Roman;serif" w:hAnsi="Times New Roman;serif"/>
          <w:b w:val="false"/>
          <w:color w:val="000000"/>
          <w:sz w:val="22"/>
        </w:rPr>
        <w:t>The following table summarizes the calculation of Adjusted EBITDA and provides a reconciliation to Net Income/(Loss):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30"/>
        <w:gridCol w:w="1360"/>
        <w:gridCol w:w="1338"/>
        <w:gridCol w:w="109"/>
        <w:gridCol w:w="109"/>
        <w:gridCol w:w="109"/>
        <w:gridCol w:w="368"/>
        <w:gridCol w:w="656"/>
        <w:gridCol w:w="192"/>
        <w:gridCol w:w="109"/>
        <w:gridCol w:w="109"/>
        <w:gridCol w:w="109"/>
        <w:gridCol w:w="346"/>
        <w:gridCol w:w="790"/>
        <w:gridCol w:w="179"/>
        <w:gridCol w:w="109"/>
        <w:gridCol w:w="109"/>
        <w:gridCol w:w="109"/>
        <w:gridCol w:w="109"/>
        <w:gridCol w:w="109"/>
        <w:gridCol w:w="264"/>
        <w:gridCol w:w="470"/>
        <w:gridCol w:w="137"/>
        <w:gridCol w:w="109"/>
        <w:gridCol w:w="109"/>
        <w:gridCol w:w="109"/>
        <w:gridCol w:w="211"/>
        <w:gridCol w:w="481"/>
        <w:gridCol w:w="157"/>
      </w:tblGrid>
      <w:tr>
        <w:trPr/>
        <w:tc>
          <w:tcPr>
            <w:tcW w:w="173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2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to Market (MtM) (Gain)/Loss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Appendix Table A-3: Six Months Ended June 30, 2025, Segment Adjusted EBITDA Reconciliation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736"/>
        <w:gridCol w:w="1358"/>
        <w:gridCol w:w="1336"/>
        <w:gridCol w:w="109"/>
        <w:gridCol w:w="109"/>
        <w:gridCol w:w="109"/>
        <w:gridCol w:w="368"/>
        <w:gridCol w:w="655"/>
        <w:gridCol w:w="192"/>
        <w:gridCol w:w="109"/>
        <w:gridCol w:w="109"/>
        <w:gridCol w:w="109"/>
        <w:gridCol w:w="346"/>
        <w:gridCol w:w="789"/>
        <w:gridCol w:w="179"/>
        <w:gridCol w:w="109"/>
        <w:gridCol w:w="109"/>
        <w:gridCol w:w="109"/>
        <w:gridCol w:w="109"/>
        <w:gridCol w:w="109"/>
        <w:gridCol w:w="264"/>
        <w:gridCol w:w="470"/>
        <w:gridCol w:w="137"/>
        <w:gridCol w:w="109"/>
        <w:gridCol w:w="109"/>
        <w:gridCol w:w="109"/>
        <w:gridCol w:w="211"/>
        <w:gridCol w:w="481"/>
        <w:gridCol w:w="157"/>
      </w:tblGrid>
      <w:tr>
        <w:trPr/>
        <w:tc>
          <w:tcPr>
            <w:tcW w:w="173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2"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A-4: Six Months Ended June 30, 2024, Segment Adjusted EBITDA Reconciliation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734"/>
        <w:gridCol w:w="1361"/>
        <w:gridCol w:w="1335"/>
        <w:gridCol w:w="109"/>
        <w:gridCol w:w="109"/>
        <w:gridCol w:w="109"/>
        <w:gridCol w:w="319"/>
        <w:gridCol w:w="730"/>
        <w:gridCol w:w="165"/>
        <w:gridCol w:w="109"/>
        <w:gridCol w:w="109"/>
        <w:gridCol w:w="109"/>
        <w:gridCol w:w="346"/>
        <w:gridCol w:w="789"/>
        <w:gridCol w:w="179"/>
        <w:gridCol w:w="109"/>
        <w:gridCol w:w="109"/>
        <w:gridCol w:w="109"/>
        <w:gridCol w:w="109"/>
        <w:gridCol w:w="109"/>
        <w:gridCol w:w="264"/>
        <w:gridCol w:w="470"/>
        <w:gridCol w:w="137"/>
        <w:gridCol w:w="109"/>
        <w:gridCol w:w="109"/>
        <w:gridCol w:w="109"/>
        <w:gridCol w:w="211"/>
        <w:gridCol w:w="481"/>
        <w:gridCol w:w="158"/>
      </w:tblGrid>
      <w:tr>
        <w:trPr/>
        <w:tc>
          <w:tcPr>
            <w:tcW w:w="173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3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to Market (MtM) (Gain)/Loss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A-5: Cash Available for Distribution Reconciliation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calculation of Cash Available for Distribution and provides a reconciliation to Cash from Operating Activities: </w:t>
      </w:r>
    </w:p>
    <w:tbl>
      <w:tblPr>
        <w:tblW w:w="10205" w:type="dxa"/>
        <w:jc w:val="left"/>
        <w:tblInd w:w="0" w:type="dxa"/>
        <w:tblLayout w:type="fixed"/>
        <w:tblCellMar>
          <w:top w:w="28" w:type="dxa"/>
          <w:left w:w="28" w:type="dxa"/>
          <w:bottom w:w="28" w:type="dxa"/>
          <w:right w:w="28" w:type="dxa"/>
        </w:tblCellMar>
      </w:tblPr>
      <w:tblGrid>
        <w:gridCol w:w="2077"/>
        <w:gridCol w:w="1778"/>
        <w:gridCol w:w="1791"/>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56"/>
      </w:tblGrid>
      <w:tr>
        <w:trPr/>
        <w:tc>
          <w:tcPr>
            <w:tcW w:w="207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 paid</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prepaid and accrued liabilities for tolling agreements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reflect sale-type leases and payments for lease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Adjusted EBITDA from unconsolidated affiliates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from Operating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and other</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from unconsolidated affiliates</w:t>
            </w:r>
            <w:r>
              <w:rPr>
                <w:rFonts w:ascii="Times New Roman;serif" w:hAnsi="Times New Roman;serif"/>
                <w:b w:val="false"/>
                <w:color w:val="000000"/>
                <w:sz w:val="13"/>
              </w:rPr>
              <w:t>3</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contributions (to)/from non-controlling interest</w:t>
            </w:r>
            <w:r>
              <w:rPr>
                <w:rFonts w:ascii="Times New Roman;serif" w:hAnsi="Times New Roman;serif"/>
                <w:b w:val="false"/>
                <w:color w:val="000000"/>
                <w:sz w:val="13"/>
              </w:rPr>
              <w:t>4</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 from notes receivable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amortization of indebtedness</w:t>
            </w:r>
            <w:r>
              <w:rPr>
                <w:rFonts w:ascii="Times New Roman;serif" w:hAnsi="Times New Roman;serif"/>
                <w:b w:val="false"/>
                <w:color w:val="000000"/>
                <w:sz w:val="13"/>
              </w:rPr>
              <w:t>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Available for Distribution before Adjustments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2024 Net impact of drop downs from timing of construction debt service </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Available for Distribution</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16"/>
        </w:rPr>
        <w:t>2024 excludes $28 million related to Rosamond Central BESS return of capital at substantial completion funding</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16"/>
        </w:rPr>
        <w:t>2025 excludes $369 million of net contributions related to Rosamond South I, Pine Forest and Dan’s Mountain; 2024 excludes $1,230 million of contributions related to the funding of Texas Solar Nova 2, Rosamond Central Battery Storage, Victory Pass, Arica and Cedar Creek</w:t>
      </w:r>
    </w:p>
    <w:p>
      <w:pPr>
        <w:pStyle w:val="TextBody"/>
        <w:bidi w:val="0"/>
        <w:spacing w:lineRule="auto" w:line="288"/>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16"/>
        </w:rPr>
        <w:t>2025 excludes $247 million for the repayment of construction bridge loans in connection with Pine Forest, Rosie South I, Luna Valley and Dan’s Mountain and $112 million for the refinancing of Buckthorn solar; 2024 excludes $2,545 million for the repayment of bridge loans in connection with Texas Solar Nova 2, Victory Pass, Arica and Cedar Creek and $137 million for the repayment of balloon at NIMH Solar</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A-6: Six Months Ended June 30, 2025, Sources and Uses of Liquidity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sources and uses of liquidity in 2025:</w:t>
      </w:r>
    </w:p>
    <w:p>
      <w:pPr>
        <w:pStyle w:val="TextBody"/>
        <w:bidi w:val="0"/>
        <w:spacing w:before="0" w:after="0"/>
        <w:jc w:val="left"/>
        <w:rPr/>
      </w:pPr>
      <w:r>
        <w:rPr/>
      </w:r>
    </w:p>
    <w:tbl>
      <w:tblPr>
        <w:tblW w:w="6626" w:type="dxa"/>
        <w:jc w:val="left"/>
        <w:tblInd w:w="0" w:type="dxa"/>
        <w:tblLayout w:type="fixed"/>
        <w:tblCellMar>
          <w:top w:w="28" w:type="dxa"/>
          <w:left w:w="28" w:type="dxa"/>
          <w:bottom w:w="28" w:type="dxa"/>
          <w:right w:w="28" w:type="dxa"/>
        </w:tblCellMar>
      </w:tblPr>
      <w:tblGrid>
        <w:gridCol w:w="1673"/>
        <w:gridCol w:w="1468"/>
        <w:gridCol w:w="1479"/>
        <w:gridCol w:w="109"/>
        <w:gridCol w:w="109"/>
        <w:gridCol w:w="109"/>
        <w:gridCol w:w="389"/>
        <w:gridCol w:w="985"/>
        <w:gridCol w:w="305"/>
      </w:tblGrid>
      <w:tr>
        <w:trPr/>
        <w:tc>
          <w:tcPr>
            <w:tcW w:w="167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for long-term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of dividends and distributions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Drop Down Assets,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 cash outflows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5"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305"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A-7: Adjusted EBITDA and Cash Available for Distribution Guidance</w:t>
      </w:r>
    </w:p>
    <w:tbl>
      <w:tblPr>
        <w:tblW w:w="10205" w:type="dxa"/>
        <w:jc w:val="left"/>
        <w:tblInd w:w="0" w:type="dxa"/>
        <w:tblLayout w:type="fixed"/>
        <w:tblCellMar>
          <w:top w:w="28" w:type="dxa"/>
          <w:left w:w="28" w:type="dxa"/>
          <w:bottom w:w="28" w:type="dxa"/>
          <w:right w:w="28" w:type="dxa"/>
        </w:tblCellMar>
      </w:tblPr>
      <w:tblGrid>
        <w:gridCol w:w="2059"/>
        <w:gridCol w:w="1688"/>
        <w:gridCol w:w="1686"/>
        <w:gridCol w:w="109"/>
        <w:gridCol w:w="768"/>
        <w:gridCol w:w="768"/>
        <w:gridCol w:w="771"/>
        <w:gridCol w:w="688"/>
        <w:gridCol w:w="688"/>
        <w:gridCol w:w="980"/>
      </w:tblGrid>
      <w:tr>
        <w:trPr/>
        <w:tc>
          <w:tcPr>
            <w:tcW w:w="205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Prior </w:t>
              <w:br/>
              <w:t>2025 Full Year Guidance Range</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Full Year Guidance Range</w:t>
            </w:r>
          </w:p>
        </w:tc>
      </w:tr>
      <w:tr>
        <w:trPr/>
        <w:tc>
          <w:tcPr>
            <w:tcW w:w="5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 - 0</w:t>
            </w:r>
          </w:p>
        </w:tc>
        <w:tc>
          <w:tcPr>
            <w:tcW w:w="2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 - 8</w:t>
            </w:r>
          </w:p>
        </w:tc>
      </w:tr>
      <w:tr>
        <w:trPr/>
        <w:tc>
          <w:tcPr>
            <w:tcW w:w="5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9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ARO Expense</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9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reflect CWEN share of Adjusted EBITDA in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9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1,195 - 1,235</w:t>
            </w:r>
          </w:p>
        </w:tc>
        <w:tc>
          <w:tcPr>
            <w:tcW w:w="2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1,200 - 1,235</w:t>
            </w:r>
          </w:p>
        </w:tc>
      </w:tr>
      <w:tr>
        <w:trPr/>
        <w:tc>
          <w:tcPr>
            <w:tcW w:w="5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interest paid</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prepaid and accrued liabilities for tolling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9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reflect sale-type leases and payments for lease expenses</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Pro-rata Adjusted EBITDA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9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from unconsolidated affiliates</w:t>
            </w:r>
            <w:r>
              <w:rPr>
                <w:rFonts w:ascii="Times New Roman;serif" w:hAnsi="Times New Roman;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Payments</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844 - 884</w:t>
            </w:r>
          </w:p>
        </w:tc>
        <w:tc>
          <w:tcPr>
            <w:tcW w:w="2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860 - 900</w:t>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to non-controlling interest</w:t>
            </w:r>
            <w:r>
              <w:rPr>
                <w:rFonts w:ascii="Times New Roman;serif" w:hAnsi="Times New Roman;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receipts from notes receivable</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Principal amortization of indebtedness</w:t>
            </w:r>
            <w:r>
              <w:rPr>
                <w:rFonts w:ascii="Times New Roman;serif" w:hAnsi="Times New Roman;serif"/>
                <w:b w:val="false"/>
                <w:color w:val="000000"/>
                <w:sz w:val="13"/>
              </w:rPr>
              <w:t>8</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Available for Distribution</w:t>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400 - 440</w:t>
            </w:r>
          </w:p>
        </w:tc>
        <w:tc>
          <w:tcPr>
            <w:tcW w:w="23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405 - 440</w:t>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40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16"/>
        </w:rPr>
        <w:t>Distribution from unconsolidated affiliates can be classified as Return of Investment on Unconsolidated Affiliates when actuals are reported. This is below cash from operating activities</w:t>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16"/>
        </w:rPr>
        <w:t>Includes tax equity proceeds and distributions to tax equity partners</w:t>
      </w:r>
    </w:p>
    <w:p>
      <w:pPr>
        <w:pStyle w:val="TextBody"/>
        <w:bidi w:val="0"/>
        <w:spacing w:lineRule="auto" w:line="288"/>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16"/>
        </w:rPr>
        <w:t xml:space="preserve">2025 excludes maturities assumed to be refinanced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EBITDA does not reflect cash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EBITDA does not reflect changes in, or cash requirements for, working capital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EBITDA does not reflect the significant interest expense, or the cash requirements necessary to service interest or principal payments, on debt or cash income tax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EBITDA does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companies in this industry may calculate EBITDA differently than Clearway Energy does, limiting its usefulness as a comparative measure.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Cash Available for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non-GAAP measure, Cash Available for Distribution is defined as of June 30, 2025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pStyle w:val="TextBody"/>
        <w:bidi w:val="0"/>
        <w:spacing w:before="0" w:after="0"/>
        <w:jc w:val="both"/>
        <w:rPr/>
      </w:pPr>
      <w:r>
        <w:rPr/>
      </w:r>
    </w:p>
    <w:p>
      <w:pPr>
        <w:pStyle w:val="TextBody"/>
        <w:bidi w:val="0"/>
        <w:spacing w:before="432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22" name="Frame2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6876</Words>
  <Characters>38591</Characters>
  <CharactersWithSpaces>44949</CharactersWithSpaces>
  <Paragraphs>1654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