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1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40" w:type="dxa"/>
            <w:vAlign w:val="bottom"/>
            <w:gridSpan w:val="6"/>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More Daniel B.</w:t>
              </w:r>
            </w:hyperlink>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40" w:type="dxa"/>
            <w:vAlign w:val="bottom"/>
            <w:gridSpan w:val="6"/>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Clearway Energy,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40" w:type="dxa"/>
            <w:vAlign w:val="bottom"/>
            <w:gridSpan w:val="6"/>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(First)</w:t>
            </w:r>
          </w:p>
        </w:tc>
        <w:tc>
          <w:tcPr>
            <w:tcW w:w="700" w:type="dxa"/>
            <w:vAlign w:val="bottom"/>
          </w:tcPr>
          <w:p>
            <w:pPr>
              <w:ind w:left="140"/>
              <w:spacing w:after="0"/>
              <w:rPr>
                <w:sz w:val="20"/>
                <w:szCs w:val="20"/>
                <w:color w:val="auto"/>
              </w:rPr>
            </w:pPr>
            <w:r>
              <w:rPr>
                <w:rFonts w:ascii="Arial" w:cs="Arial" w:eastAsia="Arial" w:hAnsi="Arial"/>
                <w:sz w:val="13"/>
                <w:szCs w:val="13"/>
                <w:color w:val="auto"/>
              </w:rPr>
              <w:t>(Middle)</w:t>
            </w: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40" w:type="dxa"/>
            <w:vAlign w:val="bottom"/>
            <w:gridSpan w:val="6"/>
            <w:vMerge w:val="continue"/>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CLEARWAY ENERGY, INC.</w:t>
            </w: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7"/>
                <w:szCs w:val="17"/>
                <w:color w:val="0000FF"/>
              </w:rPr>
              <w:t>03/01/2021</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3"/>
            <w:vMerge w:val="continue"/>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0" w:type="dxa"/>
            <w:vAlign w:val="bottom"/>
            <w:gridSpan w:val="4"/>
            <w:vMerge w:val="restart"/>
          </w:tcPr>
          <w:p>
            <w:pPr>
              <w:spacing w:after="0"/>
              <w:rPr>
                <w:sz w:val="20"/>
                <w:szCs w:val="20"/>
                <w:color w:val="auto"/>
              </w:rPr>
            </w:pPr>
            <w:r>
              <w:rPr>
                <w:rFonts w:ascii="Arial" w:cs="Arial" w:eastAsia="Arial" w:hAnsi="Arial"/>
                <w:sz w:val="17"/>
                <w:szCs w:val="17"/>
                <w:color w:val="0000FF"/>
              </w:rPr>
              <w:t>300 CARNEGIE CENTER, SUITE 300</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4"/>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500" w:type="dxa"/>
            <w:vAlign w:val="bottom"/>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500" w:type="dxa"/>
            <w:vAlign w:val="bottom"/>
            <w:gridSpan w:val="7"/>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Arial" w:cs="Arial" w:eastAsia="Arial" w:hAnsi="Arial"/>
                <w:sz w:val="17"/>
                <w:szCs w:val="17"/>
                <w:color w:val="0000FF"/>
              </w:rPr>
              <w:t>PRINCETON   NJ</w:t>
            </w:r>
          </w:p>
        </w:tc>
        <w:tc>
          <w:tcPr>
            <w:tcW w:w="86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Arial" w:cs="Arial" w:eastAsia="Arial" w:hAnsi="Arial"/>
                <w:sz w:val="17"/>
                <w:szCs w:val="17"/>
                <w:color w:val="0000FF"/>
              </w:rPr>
              <w:t>08540</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9"/>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4"/>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5"/>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5"/>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40" w:type="dxa"/>
            <w:vAlign w:val="bottom"/>
            <w:gridSpan w:val="4"/>
            <w:vMerge w:val="restart"/>
          </w:tcPr>
          <w:p>
            <w:pPr>
              <w:jc w:val="right"/>
              <w:ind w:right="57"/>
              <w:spacing w:after="0"/>
              <w:rPr>
                <w:sz w:val="20"/>
                <w:szCs w:val="20"/>
                <w:color w:val="auto"/>
              </w:rPr>
            </w:pPr>
            <w:r>
              <w:rPr>
                <w:rFonts w:ascii="Arial" w:cs="Arial" w:eastAsia="Arial" w:hAnsi="Arial"/>
                <w:sz w:val="17"/>
                <w:szCs w:val="17"/>
                <w:color w:val="0000FF"/>
              </w:rPr>
              <w:t>03/01/2021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300"/>
              <w:spacing w:after="0"/>
              <w:rPr>
                <w:sz w:val="20"/>
                <w:szCs w:val="20"/>
                <w:color w:val="auto"/>
              </w:rPr>
            </w:pPr>
            <w:r>
              <w:rPr>
                <w:rFonts w:ascii="Arial" w:cs="Arial" w:eastAsia="Arial" w:hAnsi="Arial"/>
                <w:sz w:val="17"/>
                <w:szCs w:val="17"/>
                <w:color w:val="0000FF"/>
              </w:rPr>
              <w:t>280</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3"/>
            <w:vMerge w:val="restart"/>
          </w:tcPr>
          <w:p>
            <w:pPr>
              <w:ind w:left="1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22"/>
                <w:szCs w:val="22"/>
                <w:color w:val="auto"/>
              </w:rPr>
            </w:pPr>
          </w:p>
        </w:tc>
        <w:tc>
          <w:tcPr>
            <w:tcW w:w="1200" w:type="dxa"/>
            <w:vAlign w:val="bottom"/>
            <w:gridSpan w:val="2"/>
            <w:vMerge w:val="restart"/>
          </w:tcPr>
          <w:p>
            <w:pPr>
              <w:ind w:left="280"/>
              <w:spacing w:after="0"/>
              <w:rPr>
                <w:sz w:val="20"/>
                <w:szCs w:val="20"/>
                <w:color w:val="auto"/>
              </w:rPr>
            </w:pPr>
            <w:r>
              <w:rPr>
                <w:rFonts w:ascii="Arial" w:cs="Arial" w:eastAsia="Arial" w:hAnsi="Arial"/>
                <w:sz w:val="17"/>
                <w:szCs w:val="17"/>
                <w:color w:val="0000FF"/>
              </w:rPr>
              <w:t>25,252</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4"/>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640" w:type="dxa"/>
            <w:vAlign w:val="bottom"/>
            <w:tcBorders>
              <w:bottom w:val="single" w:sz="8" w:color="2C2C2C"/>
            </w:tcBorders>
            <w:gridSpan w:val="5"/>
          </w:tcPr>
          <w:p>
            <w:pPr>
              <w:spacing w:after="0"/>
              <w:rPr>
                <w:sz w:val="8"/>
                <w:szCs w:val="8"/>
                <w:color w:val="auto"/>
              </w:rPr>
            </w:pPr>
          </w:p>
        </w:tc>
        <w:tc>
          <w:tcPr>
            <w:tcW w:w="2440" w:type="dxa"/>
            <w:vAlign w:val="bottom"/>
            <w:tcBorders>
              <w:bottom w:val="single" w:sz="8" w:color="2C2C2C"/>
            </w:tcBorders>
            <w:gridSpan w:val="6"/>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4"/>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-3009265</wp:posOffset>
            </wp:positionV>
            <wp:extent cx="7031355" cy="3054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054350"/>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dividend equivalent rights accrued on the Reporting Person's Deferred Stock Units, which become exercisable proportionately with the Deferred Stock Units to which they relate and may only be settled in Class C Common Stock of Clearway Energy, Inc.</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1,752 dividend equivalent rights that may only be settled in Class C Common Stock.</w:t>
      </w:r>
    </w:p>
    <w:p>
      <w:pPr>
        <w:spacing w:after="0" w:line="6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Michael A. Brown, by</w:t>
            </w:r>
          </w:p>
        </w:tc>
        <w:tc>
          <w:tcPr>
            <w:tcW w:w="3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03/03/2021</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Arial" w:cs="Arial" w:eastAsia="Arial" w:hAnsi="Arial"/>
                <w:sz w:val="17"/>
                <w:szCs w:val="17"/>
                <w:color w:val="0000FF"/>
                <w:w w:val="94"/>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39398"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2021-03-03T16:16:15Z</dcterms:created>
  <dcterms:modified xsi:type="dcterms:W3CDTF">2021-03-03T16:16:15Z</dcterms:modified>
</cp:coreProperties>
</file>