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9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963" w:orient="portrait"/>
          <w:cols w:equalWidth="0" w:num="2">
            <w:col w:w="2320" w:space="160"/>
            <w:col w:w="86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900" w:type="dxa"/>
            <w:vAlign w:val="bottom"/>
            <w:gridSpan w:val="9"/>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TotalEnergies SE</w:t>
              </w:r>
            </w:hyperlink>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00" w:type="dxa"/>
            <w:vAlign w:val="bottom"/>
            <w:gridSpan w:val="9"/>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Clearway Energy,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CWEN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0" w:type="dxa"/>
            <w:vAlign w:val="bottom"/>
            <w:gridSpan w:val="4"/>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4"/>
            <w:vMerge w:val="continue"/>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200" w:type="dxa"/>
            <w:vAlign w:val="bottom"/>
            <w:tcBorders>
              <w:bottom w:val="single" w:sz="8" w:color="0000EE"/>
            </w:tcBorders>
          </w:tcPr>
          <w:p>
            <w:pPr>
              <w:spacing w:after="0"/>
              <w:rPr>
                <w:sz w:val="6"/>
                <w:szCs w:val="6"/>
                <w:color w:val="auto"/>
              </w:rPr>
            </w:pPr>
          </w:p>
        </w:tc>
        <w:tc>
          <w:tcPr>
            <w:tcW w:w="600" w:type="dxa"/>
            <w:vAlign w:val="bottom"/>
            <w:tcBorders>
              <w:bottom w:val="single" w:sz="8" w:color="0000EE"/>
            </w:tcBorders>
          </w:tcPr>
          <w:p>
            <w:pPr>
              <w:spacing w:after="0"/>
              <w:rPr>
                <w:sz w:val="6"/>
                <w:szCs w:val="6"/>
                <w:color w:val="auto"/>
              </w:rPr>
            </w:pPr>
          </w:p>
        </w:tc>
        <w:tc>
          <w:tcPr>
            <w:tcW w:w="60" w:type="dxa"/>
            <w:vAlign w:val="bottom"/>
            <w:tcBorders>
              <w:bottom w:val="single" w:sz="8" w:color="0000EE"/>
            </w:tcBorders>
          </w:tcPr>
          <w:p>
            <w:pPr>
              <w:spacing w:after="0"/>
              <w:rPr>
                <w:sz w:val="6"/>
                <w:szCs w:val="6"/>
                <w:color w:val="auto"/>
              </w:rPr>
            </w:pPr>
          </w:p>
        </w:tc>
        <w:tc>
          <w:tcPr>
            <w:tcW w:w="560" w:type="dxa"/>
            <w:vAlign w:val="bottom"/>
            <w:tcBorders>
              <w:bottom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0" w:type="dxa"/>
            <w:vAlign w:val="bottom"/>
            <w:gridSpan w:val="4"/>
            <w:vMerge w:val="continue"/>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gridSpan w:val="2"/>
            <w:vMerge w:val="restart"/>
          </w:tcPr>
          <w:p>
            <w:pPr>
              <w:ind w:left="320"/>
              <w:spacing w:after="0"/>
              <w:rPr>
                <w:sz w:val="20"/>
                <w:szCs w:val="20"/>
                <w:color w:val="auto"/>
              </w:rPr>
            </w:pPr>
            <w:r>
              <w:rPr>
                <w:rFonts w:ascii="Arial" w:cs="Arial" w:eastAsia="Arial" w:hAnsi="Arial"/>
                <w:sz w:val="13"/>
                <w:szCs w:val="13"/>
                <w:color w:val="auto"/>
              </w:rPr>
              <w:t>Director</w:t>
            </w:r>
          </w:p>
        </w:tc>
        <w:tc>
          <w:tcPr>
            <w:tcW w:w="340" w:type="dxa"/>
            <w:vAlign w:val="bottom"/>
          </w:tcPr>
          <w:p>
            <w:pPr>
              <w:spacing w:after="0"/>
              <w:rPr>
                <w:sz w:val="5"/>
                <w:szCs w:val="5"/>
                <w:color w:val="auto"/>
              </w:rPr>
            </w:pPr>
          </w:p>
        </w:tc>
        <w:tc>
          <w:tcPr>
            <w:tcW w:w="1680" w:type="dxa"/>
            <w:vAlign w:val="bottom"/>
            <w:gridSpan w:val="5"/>
            <w:vMerge w:val="restart"/>
          </w:tcPr>
          <w:p>
            <w:pPr>
              <w:ind w:left="4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68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60" w:type="dxa"/>
            <w:vAlign w:val="bottom"/>
            <w:gridSpan w:val="3"/>
            <w:vMerge w:val="restart"/>
          </w:tcPr>
          <w:p>
            <w:pPr>
              <w:ind w:left="320"/>
              <w:spacing w:after="0"/>
              <w:rPr>
                <w:sz w:val="20"/>
                <w:szCs w:val="20"/>
                <w:color w:val="auto"/>
              </w:rPr>
            </w:pPr>
            <w:r>
              <w:rPr>
                <w:rFonts w:ascii="Arial" w:cs="Arial" w:eastAsia="Arial" w:hAnsi="Arial"/>
                <w:sz w:val="13"/>
                <w:szCs w:val="13"/>
                <w:color w:val="auto"/>
              </w:rPr>
              <w:t>Officer (give title</w:t>
            </w:r>
          </w:p>
        </w:tc>
        <w:tc>
          <w:tcPr>
            <w:tcW w:w="1680" w:type="dxa"/>
            <w:vAlign w:val="bottom"/>
            <w:gridSpan w:val="5"/>
            <w:vMerge w:val="restart"/>
          </w:tcPr>
          <w:p>
            <w:pPr>
              <w:ind w:left="4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gridSpan w:val="3"/>
            <w:vMerge w:val="continue"/>
          </w:tcPr>
          <w:p>
            <w:pPr>
              <w:spacing w:after="0" w:line="20" w:lineRule="exact"/>
              <w:rPr>
                <w:sz w:val="1"/>
                <w:szCs w:val="1"/>
                <w:color w:val="auto"/>
              </w:rPr>
            </w:pPr>
          </w:p>
        </w:tc>
        <w:tc>
          <w:tcPr>
            <w:tcW w:w="168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gridSpan w:val="3"/>
            <w:vMerge w:val="continue"/>
          </w:tcPr>
          <w:p>
            <w:pPr>
              <w:spacing w:after="0"/>
              <w:rPr>
                <w:sz w:val="2"/>
                <w:szCs w:val="2"/>
                <w:color w:val="auto"/>
              </w:rPr>
            </w:pPr>
          </w:p>
        </w:tc>
        <w:tc>
          <w:tcPr>
            <w:tcW w:w="168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1420" w:type="dxa"/>
            <w:vAlign w:val="bottom"/>
            <w:gridSpan w:val="4"/>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2900" w:type="dxa"/>
            <w:vAlign w:val="bottom"/>
            <w:gridSpan w:val="9"/>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ind w:left="320"/>
              <w:spacing w:after="0"/>
              <w:rPr>
                <w:sz w:val="20"/>
                <w:szCs w:val="20"/>
                <w:color w:val="auto"/>
              </w:rPr>
            </w:pPr>
            <w:r>
              <w:rPr>
                <w:rFonts w:ascii="Arial" w:cs="Arial" w:eastAsia="Arial" w:hAnsi="Arial"/>
                <w:sz w:val="13"/>
                <w:szCs w:val="13"/>
                <w:color w:val="auto"/>
              </w:rPr>
              <w:t>below)</w:t>
            </w:r>
          </w:p>
        </w:tc>
        <w:tc>
          <w:tcPr>
            <w:tcW w:w="340" w:type="dxa"/>
            <w:vAlign w:val="bottom"/>
          </w:tcPr>
          <w:p>
            <w:pPr>
              <w:spacing w:after="0"/>
              <w:rPr>
                <w:sz w:val="16"/>
                <w:szCs w:val="16"/>
                <w:color w:val="auto"/>
              </w:rPr>
            </w:pPr>
          </w:p>
        </w:tc>
        <w:tc>
          <w:tcPr>
            <w:tcW w:w="900" w:type="dxa"/>
            <w:vAlign w:val="bottom"/>
            <w:gridSpan w:val="2"/>
          </w:tcPr>
          <w:p>
            <w:pPr>
              <w:ind w:left="42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60" w:type="dxa"/>
            <w:vAlign w:val="bottom"/>
            <w:gridSpan w:val="6"/>
          </w:tcPr>
          <w:p>
            <w:pPr>
              <w:ind w:left="80"/>
              <w:spacing w:after="0"/>
              <w:rPr>
                <w:sz w:val="20"/>
                <w:szCs w:val="20"/>
                <w:color w:val="auto"/>
              </w:rPr>
            </w:pPr>
            <w:r>
              <w:rPr>
                <w:rFonts w:ascii="Times New Roman" w:cs="Times New Roman" w:eastAsia="Times New Roman" w:hAnsi="Times New Roman"/>
                <w:sz w:val="17"/>
                <w:szCs w:val="17"/>
                <w:color w:val="0000FF"/>
              </w:rPr>
              <w:t>05/02/2025</w:t>
            </w: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6"/>
                <w:szCs w:val="6"/>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10"/>
            <w:vMerge w:val="continue"/>
          </w:tcPr>
          <w:p>
            <w:pPr>
              <w:spacing w:after="0"/>
              <w:rPr>
                <w:sz w:val="9"/>
                <w:szCs w:val="9"/>
                <w:color w:val="auto"/>
              </w:rPr>
            </w:pPr>
          </w:p>
        </w:tc>
        <w:tc>
          <w:tcPr>
            <w:tcW w:w="340" w:type="dxa"/>
            <w:vAlign w:val="bottom"/>
          </w:tcPr>
          <w:p>
            <w:pPr>
              <w:spacing w:after="0"/>
              <w:rPr>
                <w:sz w:val="9"/>
                <w:szCs w:val="9"/>
                <w:color w:val="auto"/>
              </w:rPr>
            </w:pPr>
          </w:p>
        </w:tc>
        <w:tc>
          <w:tcPr>
            <w:tcW w:w="342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680" w:type="dxa"/>
            <w:vAlign w:val="bottom"/>
            <w:tcBorders>
              <w:bottom w:val="single" w:sz="8" w:color="9A9A9A"/>
            </w:tcBorders>
          </w:tcPr>
          <w:p>
            <w:pPr>
              <w:spacing w:after="0"/>
              <w:rPr>
                <w:sz w:val="3"/>
                <w:szCs w:val="3"/>
                <w:color w:val="auto"/>
              </w:rPr>
            </w:pPr>
          </w:p>
        </w:tc>
        <w:tc>
          <w:tcPr>
            <w:tcW w:w="66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vMerge w:val="restart"/>
          </w:tcPr>
          <w:p>
            <w:pPr>
              <w:spacing w:after="0"/>
              <w:rPr>
                <w:sz w:val="3"/>
                <w:szCs w:val="3"/>
                <w:color w:val="auto"/>
              </w:rPr>
            </w:pPr>
          </w:p>
        </w:tc>
        <w:tc>
          <w:tcPr>
            <w:tcW w:w="9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40" w:type="dxa"/>
            <w:vAlign w:val="bottom"/>
            <w:gridSpan w:val="8"/>
          </w:tcPr>
          <w:p>
            <w:pPr>
              <w:ind w:left="3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0000FF"/>
              </w:rPr>
              <w:t>COURBEVOIE I0</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80" w:type="dxa"/>
            <w:vAlign w:val="bottom"/>
          </w:tcPr>
          <w:p>
            <w:pPr>
              <w:ind w:left="140"/>
              <w:spacing w:after="0" w:line="189" w:lineRule="exact"/>
              <w:rPr>
                <w:sz w:val="20"/>
                <w:szCs w:val="20"/>
                <w:color w:val="auto"/>
              </w:rPr>
            </w:pPr>
            <w:r>
              <w:rPr>
                <w:rFonts w:ascii="Times New Roman" w:cs="Times New Roman" w:eastAsia="Times New Roman" w:hAnsi="Times New Roman"/>
                <w:sz w:val="17"/>
                <w:szCs w:val="17"/>
                <w:color w:val="0000FF"/>
              </w:rPr>
              <w:t>92400</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140" w:type="dxa"/>
            <w:vAlign w:val="bottom"/>
            <w:gridSpan w:val="8"/>
          </w:tcPr>
          <w:p>
            <w:pPr>
              <w:ind w:left="3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76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68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ind w:left="320"/>
              <w:spacing w:after="0"/>
              <w:rPr>
                <w:sz w:val="20"/>
                <w:szCs w:val="20"/>
                <w:color w:val="auto"/>
              </w:rPr>
            </w:pPr>
            <w:r>
              <w:rPr>
                <w:rFonts w:ascii="Arial" w:cs="Arial" w:eastAsia="Arial" w:hAnsi="Arial"/>
                <w:sz w:val="13"/>
                <w:szCs w:val="13"/>
                <w:color w:val="auto"/>
              </w:rPr>
              <w:t>Person</w:t>
            </w: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420" w:type="dxa"/>
            <w:vAlign w:val="bottom"/>
            <w:gridSpan w:val="4"/>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gridSpan w:val="2"/>
          </w:tcPr>
          <w:p>
            <w:pPr>
              <w:spacing w:after="0"/>
              <w:rPr>
                <w:sz w:val="10"/>
                <w:szCs w:val="10"/>
                <w:color w:val="auto"/>
              </w:rPr>
            </w:pPr>
          </w:p>
        </w:tc>
        <w:tc>
          <w:tcPr>
            <w:tcW w:w="184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21"/>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4"/>
          </w:tcPr>
          <w:p>
            <w:pPr>
              <w:ind w:left="600"/>
              <w:spacing w:after="0"/>
              <w:rPr>
                <w:sz w:val="20"/>
                <w:szCs w:val="20"/>
                <w:color w:val="auto"/>
              </w:rPr>
            </w:pPr>
            <w:r>
              <w:rPr>
                <w:rFonts w:ascii="Arial" w:cs="Arial" w:eastAsia="Arial" w:hAnsi="Arial"/>
                <w:sz w:val="12"/>
                <w:szCs w:val="12"/>
                <w:b w:val="1"/>
                <w:bCs w:val="1"/>
                <w:color w:val="auto"/>
                <w:w w:val="98"/>
              </w:rPr>
              <w:t>2. Transaction</w:t>
            </w:r>
          </w:p>
        </w:tc>
        <w:tc>
          <w:tcPr>
            <w:tcW w:w="80" w:type="dxa"/>
            <w:vAlign w:val="bottom"/>
          </w:tcPr>
          <w:p>
            <w:pPr>
              <w:spacing w:after="0"/>
              <w:rPr>
                <w:sz w:val="15"/>
                <w:szCs w:val="15"/>
                <w:color w:val="auto"/>
              </w:rPr>
            </w:pPr>
          </w:p>
        </w:tc>
        <w:tc>
          <w:tcPr>
            <w:tcW w:w="1340" w:type="dxa"/>
            <w:vAlign w:val="bottom"/>
            <w:gridSpan w:val="6"/>
          </w:tcPr>
          <w:p>
            <w:pPr>
              <w:ind w:left="220"/>
              <w:spacing w:after="0"/>
              <w:rPr>
                <w:sz w:val="20"/>
                <w:szCs w:val="20"/>
                <w:color w:val="auto"/>
              </w:rPr>
            </w:pPr>
            <w:r>
              <w:rPr>
                <w:rFonts w:ascii="Arial" w:cs="Arial" w:eastAsia="Arial" w:hAnsi="Arial"/>
                <w:sz w:val="12"/>
                <w:szCs w:val="12"/>
                <w:b w:val="1"/>
                <w:bCs w:val="1"/>
                <w:color w:val="auto"/>
              </w:rPr>
              <w:t>2A.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9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4"/>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340" w:type="dxa"/>
            <w:vAlign w:val="bottom"/>
            <w:gridSpan w:val="6"/>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9"/>
          </w:tcPr>
          <w:p>
            <w:pPr>
              <w:ind w:left="600"/>
              <w:spacing w:after="0" w:line="133" w:lineRule="exact"/>
              <w:rPr>
                <w:sz w:val="20"/>
                <w:szCs w:val="20"/>
                <w:color w:val="auto"/>
              </w:rPr>
            </w:pPr>
            <w:r>
              <w:rPr>
                <w:rFonts w:ascii="Arial" w:cs="Arial" w:eastAsia="Arial" w:hAnsi="Arial"/>
                <w:sz w:val="12"/>
                <w:szCs w:val="12"/>
                <w:b w:val="1"/>
                <w:bCs w:val="1"/>
                <w:color w:val="auto"/>
              </w:rPr>
              <w:t>(Month/Day/Year)  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6"/>
          </w:tcPr>
          <w:p>
            <w:pPr>
              <w:ind w:left="220"/>
              <w:spacing w:after="0" w:line="133"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10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11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500" w:type="dxa"/>
            <w:vAlign w:val="bottom"/>
            <w:gridSpan w:val="5"/>
            <w:vMerge w:val="restart"/>
          </w:tcPr>
          <w:p>
            <w:pPr>
              <w:ind w:left="700"/>
              <w:spacing w:after="0"/>
              <w:rPr>
                <w:sz w:val="20"/>
                <w:szCs w:val="20"/>
                <w:color w:val="auto"/>
              </w:rPr>
            </w:pPr>
            <w:r>
              <w:rPr>
                <w:rFonts w:ascii="Times New Roman" w:cs="Times New Roman" w:eastAsia="Times New Roman" w:hAnsi="Times New Roman"/>
                <w:sz w:val="17"/>
                <w:szCs w:val="17"/>
                <w:color w:val="0000FF"/>
              </w:rPr>
              <w:t>05/02/2025</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82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18,210</w:t>
            </w:r>
          </w:p>
        </w:tc>
        <w:tc>
          <w:tcPr>
            <w:tcW w:w="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340" w:type="dxa"/>
            <w:vAlign w:val="bottom"/>
            <w:vMerge w:val="restart"/>
          </w:tcPr>
          <w:p>
            <w:pPr>
              <w:ind w:left="180"/>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111,632</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gridSpan w:val="5"/>
            <w:vMerge w:val="continue"/>
          </w:tcPr>
          <w:p>
            <w:pPr>
              <w:spacing w:after="0"/>
              <w:rPr>
                <w:sz w:val="10"/>
                <w:szCs w:val="10"/>
                <w:color w:val="auto"/>
              </w:rPr>
            </w:pPr>
          </w:p>
        </w:tc>
        <w:tc>
          <w:tcPr>
            <w:tcW w:w="1500" w:type="dxa"/>
            <w:vAlign w:val="bottom"/>
            <w:gridSpan w:val="5"/>
            <w:vMerge w:val="continue"/>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3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40" w:type="dxa"/>
            <w:vAlign w:val="bottom"/>
            <w:gridSpan w:val="20"/>
          </w:tcPr>
          <w:p>
            <w:pPr>
              <w:jc w:val="center"/>
              <w:ind w:right="3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40" w:type="dxa"/>
            <w:vAlign w:val="bottom"/>
            <w:gridSpan w:val="17"/>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4"/>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20" w:type="dxa"/>
            <w:vAlign w:val="bottom"/>
            <w:gridSpan w:val="5"/>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1120" w:type="dxa"/>
            <w:vAlign w:val="bottom"/>
            <w:gridSpan w:val="4"/>
          </w:tcPr>
          <w:p>
            <w:pPr>
              <w:ind w:left="120"/>
              <w:spacing w:after="0"/>
              <w:rPr>
                <w:sz w:val="20"/>
                <w:szCs w:val="20"/>
                <w:color w:val="auto"/>
              </w:rPr>
            </w:pPr>
            <w:r>
              <w:rPr>
                <w:rFonts w:ascii="Arial" w:cs="Arial" w:eastAsia="Arial" w:hAnsi="Arial"/>
                <w:sz w:val="12"/>
                <w:szCs w:val="12"/>
                <w:b w:val="1"/>
                <w:bCs w:val="1"/>
                <w:color w:val="auto"/>
              </w:rPr>
              <w:t>7. Title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9. Number of</w:t>
            </w:r>
          </w:p>
        </w:tc>
        <w:tc>
          <w:tcPr>
            <w:tcW w:w="58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4"/>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56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4"/>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rPr>
                <w:sz w:val="11"/>
                <w:szCs w:val="11"/>
                <w:color w:val="auto"/>
              </w:rPr>
            </w:pP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4"/>
              </w:rPr>
              <w:t>Owned</w:t>
            </w:r>
          </w:p>
        </w:tc>
        <w:tc>
          <w:tcPr>
            <w:tcW w:w="340" w:type="dxa"/>
            <w:vAlign w:val="bottom"/>
          </w:tcPr>
          <w:p>
            <w:pPr>
              <w:spacing w:after="0"/>
              <w:rPr>
                <w:sz w:val="11"/>
                <w:szCs w:val="11"/>
                <w:color w:val="auto"/>
              </w:rPr>
            </w:pP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68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68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(Instr. 3, 4</w:t>
            </w: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8"/>
              </w:rPr>
              <w:t>Expiration</w:t>
            </w:r>
          </w:p>
        </w:tc>
        <w:tc>
          <w:tcPr>
            <w:tcW w:w="5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5"/>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60" w:type="dxa"/>
            <w:vAlign w:val="bottom"/>
            <w:gridSpan w:val="3"/>
          </w:tcPr>
          <w:p>
            <w:pPr>
              <w:ind w:left="14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500" w:type="dxa"/>
            <w:vAlign w:val="bottom"/>
            <w:tcBorders>
              <w:bottom w:val="single" w:sz="8" w:color="2C2C2C"/>
            </w:tcBorders>
            <w:gridSpan w:val="2"/>
          </w:tcPr>
          <w:p>
            <w:pPr>
              <w:spacing w:after="0"/>
              <w:rPr>
                <w:sz w:val="7"/>
                <w:szCs w:val="7"/>
                <w:color w:val="auto"/>
              </w:rPr>
            </w:pPr>
          </w:p>
        </w:tc>
        <w:tc>
          <w:tcPr>
            <w:tcW w:w="6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820" w:type="dxa"/>
            <w:vAlign w:val="bottom"/>
            <w:tcBorders>
              <w:top w:val="single" w:sz="8" w:color="2C2C2C"/>
            </w:tcBorders>
            <w:gridSpan w:val="9"/>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TotalEnergies SE</w:t>
              </w:r>
            </w:hyperlink>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4"/>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COURBEVOIE</w:t>
            </w: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I0</w:t>
            </w:r>
          </w:p>
        </w:tc>
        <w:tc>
          <w:tcPr>
            <w:tcW w:w="134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0000FF"/>
              </w:rPr>
              <w:t>92400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4"/>
          </w:tcPr>
          <w:p>
            <w:pPr>
              <w:ind w:left="50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500" w:type="dxa"/>
            <w:vAlign w:val="bottom"/>
            <w:tcBorders>
              <w:bottom w:val="single" w:sz="8" w:color="2C2C2C"/>
            </w:tcBorders>
            <w:gridSpan w:val="2"/>
          </w:tcPr>
          <w:p>
            <w:pPr>
              <w:spacing w:after="0"/>
              <w:rPr>
                <w:sz w:val="7"/>
                <w:szCs w:val="7"/>
                <w:color w:val="auto"/>
              </w:rPr>
            </w:pPr>
          </w:p>
        </w:tc>
        <w:tc>
          <w:tcPr>
            <w:tcW w:w="74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8"/>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TotalEnergies Gestion USA SARL</w:t>
              </w:r>
            </w:hyperlink>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4"/>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COURBEVOIE</w:t>
            </w: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I0</w:t>
            </w:r>
          </w:p>
        </w:tc>
        <w:tc>
          <w:tcPr>
            <w:tcW w:w="134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0000FF"/>
              </w:rPr>
              <w:t>92400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4"/>
          </w:tcPr>
          <w:p>
            <w:pPr>
              <w:ind w:left="50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-5318760</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sz w:val="1"/>
          <w:szCs w:val="1"/>
          <w:color w:val="auto"/>
        </w:rPr>
        <w:drawing>
          <wp:inline distT="0" distB="0" distL="0" distR="0">
            <wp:extent cx="33655" cy="18224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33655" cy="182245"/>
                    </a:xfrm>
                    <a:prstGeom prst="rect">
                      <a:avLst/>
                    </a:prstGeom>
                    <a:noFill/>
                    <a:ln>
                      <a:noFill/>
                    </a:ln>
                  </pic:spPr>
                </pic:pic>
              </a:graphicData>
            </a:graphic>
          </wp:inline>
        </w:drawing>
      </w:r>
      <w:r>
        <w:rPr>
          <w:rFonts w:ascii="Arial" w:cs="Arial" w:eastAsia="Arial" w:hAnsi="Arial"/>
          <w:sz w:val="13"/>
          <w:szCs w:val="13"/>
          <w:color w:val="auto"/>
        </w:rPr>
        <w:t xml:space="preserve"> 1. Name and Address of Reporting Person</w:t>
      </w:r>
      <w:r>
        <w:rPr>
          <w:rFonts w:ascii="Arial" w:cs="Arial" w:eastAsia="Arial" w:hAnsi="Arial"/>
          <w:sz w:val="22"/>
          <w:szCs w:val="22"/>
          <w:color w:val="auto"/>
          <w:vertAlign w:val="superscript"/>
        </w:rPr>
        <w:t>*</w:t>
      </w:r>
    </w:p>
    <w:p>
      <w:pPr>
        <w:sectPr>
          <w:pgSz w:w="11900" w:h="16963" w:orient="portrait"/>
          <w:cols w:equalWidth="0" w:num="1">
            <w:col w:w="11080"/>
          </w:cols>
          <w:pgMar w:left="460" w:top="219" w:right="359" w:bottom="0" w:gutter="0" w:footer="0" w:header="0"/>
          <w:type w:val="continuous"/>
        </w:sectPr>
      </w:pPr>
    </w:p>
    <w:bookmarkStart w:id="1" w:name="page2"/>
    <w:bookmarkEnd w:id="1"/>
    <w:p>
      <w:pPr>
        <w:ind w:left="10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TotalEnergies Holdings USA,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-152400</wp:posOffset>
            </wp:positionV>
            <wp:extent cx="2809240" cy="48018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809240" cy="4801870"/>
                    </a:xfrm>
                    <a:prstGeom prst="rect">
                      <a:avLst/>
                    </a:prstGeom>
                    <a:noFill/>
                  </pic:spPr>
                </pic:pic>
              </a:graphicData>
            </a:graphic>
          </wp:anchor>
        </w:drawing>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28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1201 LOUISIANA ST. SUITE 1800</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2"/>
          </w:tcPr>
          <w:p>
            <w:pPr>
              <w:ind w:left="28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48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8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80" w:type="dxa"/>
            <w:vAlign w:val="bottom"/>
            <w:gridSpan w:val="3"/>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TotalEnergies Delaware, Inc.</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136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28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1201 LOUISIANA ST. SUITE 1800</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2"/>
          </w:tcPr>
          <w:p>
            <w:pPr>
              <w:ind w:left="28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1">
        <w:r>
          <w:rPr>
            <w:rFonts w:ascii="Times New Roman" w:cs="Times New Roman" w:eastAsia="Times New Roman" w:hAnsi="Times New Roman"/>
            <w:sz w:val="21"/>
            <w:szCs w:val="21"/>
            <w:u w:val="single" w:color="auto"/>
            <w:color w:val="0000EE"/>
          </w:rPr>
          <w:t>TotalEnergies Renewables USA, LLC</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tcPr>
          <w:p>
            <w:pPr>
              <w:ind w:left="280"/>
              <w:spacing w:after="0"/>
              <w:rPr>
                <w:sz w:val="20"/>
                <w:szCs w:val="20"/>
                <w:color w:val="auto"/>
              </w:rPr>
            </w:pPr>
            <w:r>
              <w:rPr>
                <w:rFonts w:ascii="Arial" w:cs="Arial" w:eastAsia="Arial" w:hAnsi="Arial"/>
                <w:sz w:val="13"/>
                <w:szCs w:val="13"/>
                <w:color w:val="auto"/>
              </w:rPr>
              <w:t>(First)</w:t>
            </w:r>
          </w:p>
        </w:tc>
        <w:tc>
          <w:tcPr>
            <w:tcW w:w="1480" w:type="dxa"/>
            <w:vAlign w:val="bottom"/>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1201 LOUISIANA ST. SUITE 1800</w:t>
            </w:r>
          </w:p>
        </w:tc>
        <w:tc>
          <w:tcPr>
            <w:tcW w:w="148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r>
      <w:tr>
        <w:trPr>
          <w:trHeight w:val="2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6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6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77002</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tcPr>
          <w:p>
            <w:pPr>
              <w:ind w:left="280"/>
              <w:spacing w:after="0"/>
              <w:rPr>
                <w:sz w:val="20"/>
                <w:szCs w:val="20"/>
                <w:color w:val="auto"/>
              </w:rPr>
            </w:pPr>
            <w:r>
              <w:rPr>
                <w:rFonts w:ascii="Arial" w:cs="Arial" w:eastAsia="Arial" w:hAnsi="Arial"/>
                <w:sz w:val="13"/>
                <w:szCs w:val="13"/>
                <w:color w:val="auto"/>
              </w:rPr>
              <w:t>(State)</w:t>
            </w:r>
          </w:p>
        </w:tc>
        <w:tc>
          <w:tcPr>
            <w:tcW w:w="1480" w:type="dxa"/>
            <w:vAlign w:val="bottom"/>
          </w:tcPr>
          <w:p>
            <w:pPr>
              <w:ind w:left="12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2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forfeiture of shares of restricted stock of Clearway Energy, Inc. (the "Issuer") previously granted by Clearway Energy Group LLC ("Clearway Energy Group") under its Long Term Equity Incentive Program to one or more of its employees.</w:t>
      </w:r>
    </w:p>
    <w:p>
      <w:pPr>
        <w:spacing w:after="0" w:line="7" w:lineRule="exact"/>
        <w:rPr>
          <w:rFonts w:ascii="Times New Roman" w:cs="Times New Roman" w:eastAsia="Times New Roman" w:hAnsi="Times New Roman"/>
          <w:sz w:val="13"/>
          <w:szCs w:val="13"/>
          <w:color w:val="008000"/>
        </w:rPr>
      </w:pPr>
    </w:p>
    <w:p>
      <w:pPr>
        <w:ind w:left="20" w:right="8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reported herein are held directly by Clearway Energy Group. GIP III Zephyr Acquisition Partners, L.P. ("Zephyr") is the sole member of Clearway Energy Group. Zephyr Holdings GP, LLC ("Zephyr GP") is the general partner of Zephyr.</w:t>
      </w:r>
    </w:p>
    <w:p>
      <w:pPr>
        <w:spacing w:after="0" w:line="7" w:lineRule="exact"/>
        <w:rPr>
          <w:rFonts w:ascii="Times New Roman" w:cs="Times New Roman" w:eastAsia="Times New Roman" w:hAnsi="Times New Roman"/>
          <w:sz w:val="13"/>
          <w:szCs w:val="13"/>
          <w:color w:val="008000"/>
        </w:rPr>
      </w:pPr>
    </w:p>
    <w:p>
      <w:pPr>
        <w:ind w:left="20" w:firstLine="7"/>
        <w:spacing w:after="0" w:line="244"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TotalEnergies Renewables USA, LLC holds 50% of the equity interests in Zephyr GP. TotalEnergies Holdings USA, Inc. is the sole shareholder of TotalEnergies Delaware, Inc., which is the sole member of TotalEnergies Renewables USA, LLC. TotalEnergies Gestion USA SARL, which is a direct wholly owned subsidiary of TotalEnergies SE, is the sole shareholder of TotalEnergies Holdings USA, Inc. Each of the foregoing entities is a "Reporting Person" and may be deemed to beneficially own the securities reported herein; however, each Reporting Person disclaims beneficial ownership of the securities reported herein, except to the extent of such Reporting Person's pecuniary interest therein. Solely for purposes of Section 16 of the Exchange Act, each Reporting Person may be deemed a "director by deputization".</w:t>
      </w:r>
    </w:p>
    <w:p>
      <w:pPr>
        <w:sectPr>
          <w:pgSz w:w="11900" w:h="16838" w:orient="portrait"/>
          <w:cols w:equalWidth="0" w:num="1">
            <w:col w:w="10820"/>
          </w:cols>
          <w:pgMar w:left="480" w:top="139" w:right="599" w:bottom="113" w:gutter="0" w:footer="0" w:header="0"/>
        </w:sectPr>
      </w:pPr>
    </w:p>
    <w:p>
      <w:pPr>
        <w:spacing w:after="0" w:line="5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 SE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550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35509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Marine Delaitre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198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0198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Marine Delaitre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613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9613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9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GESTION USA SARL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442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Agathe Rozenbaum-Rameix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90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2490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Name: Agathe Rozenbaum-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280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Rameix Title: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98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97980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905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39052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HOLDINGS USA, INC.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6809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12680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 Richard Frazier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391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1391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Richard Frazier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3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8464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84645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DELAWARE, INC.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8554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11855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Richard Frazier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0774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10077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Richard Frazier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3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152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41529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RENEWABLES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376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12376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By: /s/ Richard Frazier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58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Richard Frazier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3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152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4152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05/06/2025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05/06/2025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05/06/2025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05/06/2025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05/06/2025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99" w:lineRule="exact"/>
        <w:rPr>
          <w:sz w:val="20"/>
          <w:szCs w:val="20"/>
          <w:color w:val="auto"/>
        </w:rPr>
      </w:pPr>
    </w:p>
    <w:p>
      <w:pPr>
        <w:sectPr>
          <w:pgSz w:w="11900" w:h="16838" w:orient="portrait"/>
          <w:cols w:equalWidth="0" w:num="2">
            <w:col w:w="8700" w:space="60"/>
            <w:col w:w="2060"/>
          </w:cols>
          <w:pgMar w:left="480" w:top="139" w:right="599" w:bottom="113"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0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480" w:top="139" w:right="599" w:bottom="11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9"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13" Type="http://schemas.openxmlformats.org/officeDocument/2006/relationships/hyperlink" Target="http://www.sec.gov/cgi-bin/browse-edgar?action=getcompany&amp;CIK=0000879764" TargetMode="External"/><Relationship Id="rId14" Type="http://schemas.openxmlformats.org/officeDocument/2006/relationships/hyperlink" Target="http://www.sec.gov/cgi-bin/browse-edgar?action=getcompany&amp;CIK=0001567683" TargetMode="External"/><Relationship Id="rId15" Type="http://schemas.openxmlformats.org/officeDocument/2006/relationships/hyperlink" Target="http://www.sec.gov/cgi-bin/browse-edgar?action=getcompany&amp;CIK=0001941906" TargetMode="External"/><Relationship Id="rId18" Type="http://schemas.openxmlformats.org/officeDocument/2006/relationships/hyperlink" Target="http://www.sec.gov/cgi-bin/browse-edgar?action=getcompany&amp;CIK=0001942439" TargetMode="External"/><Relationship Id="rId20" Type="http://schemas.openxmlformats.org/officeDocument/2006/relationships/hyperlink" Target="http://www.sec.gov/cgi-bin/browse-edgar?action=getcompany&amp;CIK=0001942500" TargetMode="External"/><Relationship Id="rId21" Type="http://schemas.openxmlformats.org/officeDocument/2006/relationships/hyperlink" Target="http://www.sec.gov/cgi-bin/browse-edgar?action=getcompany&amp;CIK=00019424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2025-05-06T15:35:51Z</dcterms:created>
  <dcterms:modified xsi:type="dcterms:W3CDTF">2025-05-06T15:35:51Z</dcterms:modified>
</cp:coreProperties>
</file>