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2026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CLEARWAY ENERGY, INC.</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3" w:lineRule="exact"/>
        <w:rPr>
          <w:sz w:val="24"/>
          <w:szCs w:val="24"/>
          <w:color w:val="auto"/>
        </w:rPr>
      </w:pPr>
    </w:p>
    <w:tbl>
      <w:tblPr>
        <w:tblLayout w:type="fixed"/>
        <w:tblInd w:w="300" w:type="dxa"/>
        <w:tblCellMar>
          <w:top w:w="0" w:type="dxa"/>
          <w:left w:w="0" w:type="dxa"/>
          <w:bottom w:w="0" w:type="dxa"/>
          <w:right w:w="0" w:type="dxa"/>
        </w:tblCellMar>
      </w:tblPr>
      <w:tr>
        <w:trPr>
          <w:trHeight w:val="252"/>
        </w:trPr>
        <w:tc>
          <w:tcPr>
            <w:tcW w:w="3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001-36002</w:t>
            </w:r>
          </w:p>
        </w:tc>
        <w:tc>
          <w:tcPr>
            <w:tcW w:w="33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46-1777204</w:t>
            </w:r>
          </w:p>
        </w:tc>
        <w:tc>
          <w:tcPr>
            <w:tcW w:w="0" w:type="dxa"/>
            <w:vAlign w:val="bottom"/>
          </w:tcPr>
          <w:p>
            <w:pPr>
              <w:spacing w:after="0"/>
              <w:rPr>
                <w:sz w:val="1"/>
                <w:szCs w:val="1"/>
                <w:color w:val="auto"/>
              </w:rPr>
            </w:pPr>
          </w:p>
        </w:tc>
      </w:tr>
      <w:tr>
        <w:trPr>
          <w:trHeight w:val="202"/>
        </w:trPr>
        <w:tc>
          <w:tcPr>
            <w:tcW w:w="3680" w:type="dxa"/>
            <w:vAlign w:val="bottom"/>
          </w:tcPr>
          <w:p>
            <w:pPr>
              <w:jc w:val="center"/>
              <w:ind w:right="29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35" w:lineRule="exact"/>
        <w:rPr>
          <w:rFonts w:ascii="MS PGothic" w:cs="MS PGothic" w:eastAsia="MS PGothic" w:hAnsi="MS PGothic"/>
          <w:sz w:val="18"/>
          <w:szCs w:val="18"/>
          <w:color w:val="auto"/>
        </w:rPr>
      </w:pPr>
    </w:p>
    <w:p>
      <w:pPr>
        <w:ind w:right="2800" w:firstLine="48"/>
        <w:spacing w:after="0" w:line="268"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CWEN.A</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CWEN</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50"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56" w:lineRule="exact"/>
        <w:rPr>
          <w:sz w:val="20"/>
          <w:szCs w:val="20"/>
          <w:color w:val="auto"/>
        </w:rPr>
      </w:pPr>
    </w:p>
    <w:p>
      <w:pPr>
        <w:jc w:val="both"/>
        <w:ind w:firstLine="183"/>
        <w:spacing w:after="0" w:line="261" w:lineRule="auto"/>
        <w:rPr>
          <w:sz w:val="20"/>
          <w:szCs w:val="20"/>
          <w:color w:val="auto"/>
        </w:rPr>
      </w:pPr>
      <w:r>
        <w:rPr>
          <w:rFonts w:ascii="Times New Roman" w:cs="Times New Roman" w:eastAsia="Times New Roman" w:hAnsi="Times New Roman"/>
          <w:sz w:val="18"/>
          <w:szCs w:val="18"/>
          <w:color w:val="auto"/>
        </w:rPr>
        <w:t xml:space="preserve">On May 7, 2026, Clearway Energy, Inc. issued a press release announcing its financial results for the quarter ended March 31, 2026. A copy of the press release is furnished as Exhibit 99.1 to this report on Form 8-K and is hereby incorporated by reference. </w:t>
      </w:r>
      <w:r>
        <w:rPr>
          <w:rFonts w:ascii="Times New Roman" w:cs="Times New Roman" w:eastAsia="Times New Roman" w:hAnsi="Times New Roman"/>
          <w:sz w:val="18"/>
          <w:szCs w:val="18"/>
          <w:color w:val="212529"/>
        </w:rPr>
        <w:t>In accordance with General Instruction B.2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Form 8-K, the information set forth in this Item 2.02 and in the attached exhibit are deemed to be furnished and shall not be deemed to be “filed” for purposes of Section 18 of the Securities Exchange Act of 1934, as amended (the “Exchange Act”).</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92" w:right="339" w:bottom="1440" w:gutter="0" w:footer="0" w:header="0"/>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May 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740" w:space="720"/>
            <w:col w:w="8780"/>
          </w:cols>
          <w:pgMar w:left="320" w:top="1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2" w:name="page3"/>
    <w:bookmarkEnd w:id="2"/>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Malcarney</w:t>
            </w:r>
          </w:p>
        </w:tc>
      </w:tr>
      <w:tr>
        <w:trPr>
          <w:trHeight w:val="218"/>
        </w:trPr>
        <w:tc>
          <w:tcPr>
            <w:tcW w:w="5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Kevin P. Malcarney</w:t>
            </w:r>
          </w:p>
        </w:tc>
      </w:tr>
      <w:tr>
        <w:trPr>
          <w:trHeight w:val="234"/>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Energy, Inc. Reports First Quarter 2026 Financial Results</w:t>
      </w:r>
    </w:p>
    <w:p>
      <w:pPr>
        <w:spacing w:after="0" w:line="259" w:lineRule="exact"/>
        <w:rPr>
          <w:sz w:val="20"/>
          <w:szCs w:val="20"/>
          <w:color w:val="auto"/>
        </w:rPr>
      </w:pPr>
    </w:p>
    <w:p>
      <w:pPr>
        <w:ind w:left="660" w:hanging="328"/>
        <w:spacing w:after="0" w:line="26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Fleet Enhancement program advancing with all repowerings for 2026/2027 on schedule, new long-term hyperscaler PPA at Mesquite Sky, and further project contract enhancements in process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Sponsor-enabled growth program accelerating with late-stage pipeline now at 12.7 GW, and Honeycomb Phase I funded</w:t>
      </w:r>
    </w:p>
    <w:p>
      <w:pPr>
        <w:spacing w:after="0" w:line="14" w:lineRule="exact"/>
        <w:rPr>
          <w:rFonts w:ascii="Arial" w:cs="Arial" w:eastAsia="Arial" w:hAnsi="Arial"/>
          <w:sz w:val="22"/>
          <w:szCs w:val="22"/>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Third-party M&amp;A program continuing rigorous execution, with on-time closing of Cardinal operating solar portfolio in 1Q26 and operating performance of earlier 2025 asset acquisitions on-track</w:t>
      </w: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Upside opportunity from digital infrastructure complexes also advancing, as Clearway Group completed first generator equipment purchases for first generation in 2028 and established delivery partnership with Quanta/Blattner; 500 MW of PPAs signed and awarded at Montana complex to date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share simplification proposal approved at 2026 Annual Meeting of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Reaffirming 2026 financial guidance</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7, 2026</w:t>
      </w:r>
      <w:r>
        <w:rPr>
          <w:rFonts w:ascii="Times New Roman" w:cs="Times New Roman" w:eastAsia="Times New Roman" w:hAnsi="Times New Roman"/>
          <w:sz w:val="18"/>
          <w:szCs w:val="18"/>
          <w:color w:val="auto"/>
        </w:rPr>
        <w:t>— Clearway Energy, Inc. (NYSE: CWEN, CWEN.A) today reported first quarter 2026 financial results, including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$68 million, Adjusted EBITDA of $257 million, Cash from Operating Activities of $401 million, and Cash Available for Distribution (CAFD) of $70 million.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diversified fleet remains on track to deliver on our financial guidance for the year. Looking further out, we have increased the total corporate capital investment opportunities we are targeting through 2029 by 20% since last November, demonstrating substantial progress and potential upside to the long-term financial objectives we have set for our business. This progress now increases our enterprise’s total late-stage opportunity pipeline to 12.7 GW. With all these advancements, we are in a very solid position to continue to strive for the top end or better of our $2.90 to $3.10 CAFD per share target for 2030. We also continue to be optimistic about our ability to grow CAFD per share 5–8%+ in the years beyond 2030, including growing at the top end of that range in 2031 from our 2030 target baseline, with potential upside from the co-located digital infrastructure growth pathway. Finally, stockholder approval of a simplified share structure will now benefit all holders with a more liquid investment, greater attractiveness to a broader investor base, and additional flexibility to support our capital allocation strategy,” said Craig Cornelius, Chief Executive Officer of Clearway Energy, Inc.</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and Cash Available for Distribution used in this press release are non-GAAP measures and are explained in greater detail under “Non-GAAP Financial Information”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 Net Income/(Loss)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60" w:type="dxa"/>
            <w:vAlign w:val="bottom"/>
          </w:tcPr>
          <w:p>
            <w:pPr>
              <w:spacing w:after="0"/>
              <w:rPr>
                <w:sz w:val="21"/>
                <w:szCs w:val="21"/>
                <w:color w:val="auto"/>
              </w:rPr>
            </w:pPr>
          </w:p>
        </w:tc>
        <w:tc>
          <w:tcPr>
            <w:tcW w:w="26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6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3/31/26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3/31/25</w:t>
            </w:r>
          </w:p>
        </w:tc>
      </w:tr>
      <w:tr>
        <w:trPr>
          <w:trHeight w:val="223"/>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 &amp; Storage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81"/>
        </w:trPr>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2: Adjusted EBITDA</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3/31/26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3/31/25</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1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Renewables &amp; Storage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Cash from Operating Activities and Cash Available for Distribution (CAFD)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3/31/26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3/31/25</w:t>
            </w:r>
          </w:p>
        </w:tc>
      </w:tr>
      <w:tr>
        <w:trPr>
          <w:trHeight w:val="223"/>
        </w:trPr>
        <w:tc>
          <w:tcPr>
            <w:tcW w:w="4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Available for Distribution (CAFD)</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quarter of 2026, the Company reported Net Loss of $68 million, Adjusted EBITDA of $257 million, Cash from Operating Activities of $401 million, and CAFD of $70 million. Net Loss decreased versus 2025 primarily due to changes in mark-to-market for economic hedges. Adjusted EBITDA results in the first quarter of 2026 were higher than 2025 primarily due to the contribution from growth investments partially offset by lower wind resource at certain facilities. CAFD results in the first quarter of 2026 also reflected timing for certain cash receipts from growth investments.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Performance</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41"/>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4: Selected Operating Results</w:t>
            </w:r>
            <w:r>
              <w:rPr>
                <w:rFonts w:ascii="Times New Roman" w:cs="Times New Roman" w:eastAsia="Times New Roman" w:hAnsi="Times New Roman"/>
                <w:sz w:val="23"/>
                <w:szCs w:val="23"/>
                <w:b w:val="1"/>
                <w:bCs w:val="1"/>
                <w:color w:val="auto"/>
                <w:vertAlign w:val="superscript"/>
              </w:rPr>
              <w:t>1</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8"/>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(MWh in thousands)</w:t>
            </w:r>
          </w:p>
        </w:tc>
        <w:tc>
          <w:tcPr>
            <w:tcW w:w="348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6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3/31/26</w:t>
            </w:r>
          </w:p>
        </w:tc>
        <w:tc>
          <w:tcPr>
            <w:tcW w:w="16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3/31/25</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 Equivalent Availability Factor</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88.7 %</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w:t>
            </w:r>
          </w:p>
        </w:tc>
      </w:tr>
      <w:tr>
        <w:trPr>
          <w:trHeight w:val="230"/>
        </w:trPr>
        <w:tc>
          <w:tcPr>
            <w:tcW w:w="6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Solar MWh generated/sold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9"/>
        </w:trPr>
        <w:tc>
          <w:tcPr>
            <w:tcW w:w="6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Wind MWh generated/sold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70"/>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Renewables &amp; Storage generated/sold</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60" w:type="dxa"/>
            <w:vAlign w:val="bottom"/>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532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pacing w:after="0" w:line="2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Generation in the Renewables &amp; Storage segment during the first quarter of 2026 was 8% higher than the first quarter of 2025 primarily due to the contribution of growth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2263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equity method investments</w:t>
      </w:r>
    </w:p>
    <w:p>
      <w:pPr>
        <w:ind w:left="120" w:hanging="112"/>
        <w:spacing w:after="0" w:line="196"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Generation sold excludes MWh that are reimbursable for economic curtailment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13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5: Liquidity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20" w:type="dxa"/>
            <w:vAlign w:val="bottom"/>
          </w:tcPr>
          <w:p>
            <w:pPr>
              <w:spacing w:after="0"/>
              <w:rPr>
                <w:sz w:val="22"/>
                <w:szCs w:val="22"/>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3/31/2026</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12/31/2025</w:t>
            </w: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Clearway Energy, Inc. and Clearway Energy LLC, excluding subsidiaries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Subsidiaries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accounts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7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3"/>
        </w:trPr>
        <w:tc>
          <w:tcPr>
            <w:tcW w:w="7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liquidity as of March 31, 2026, was $1,229 million, which was $168 million higher than as of December 31, 2025.</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the Company’s liquidity included $355 million of restricted cash. Restricted cash consists primarily of funds to satisfy the requirements of certain debt arrangements and funds held within the Company’s projects that are restricted in their use. As </w:t>
      </w:r>
      <w:r>
        <w:rPr>
          <w:rFonts w:ascii="Times New Roman" w:cs="Times New Roman" w:eastAsia="Times New Roman" w:hAnsi="Times New Roman"/>
          <w:sz w:val="18"/>
          <w:szCs w:val="18"/>
          <w:color w:val="000000"/>
        </w:rPr>
        <w:t>of March 31, 2026,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restricted funds were comprised of $141 million designated to fund operating expenses, approximately $97 million designated for current debt service payments, and $85 million of reserves for debt service, performance obligations and other items including capital expenditures. The remaining $32 million is held in distribution reserve accounts.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2026, the Company had no outstanding borrowings under the revolving credit facility and $151 million in letters of credit outstanding.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facility will continue to be used for general corporate purposes including financing of future investments or acquisitions and posting letters of credit.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future sources of liquidity include excess operating cash flow, availability under the revolving credit facility, asset dispositions, and, subject to market conditions, new corporate debt and equity financings.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Investments and Strategic Updates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Honeycomb Phase 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2026, the Honeycomb Portfolio BESS facilities, four BESS facilities in Utah, representing 320 MW of capacity, reached substantial completion.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portfolio is underpinned by 20-year tolling agreements with an investment grade utility. The Company’s total capital investment was $97 million.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Share Simplification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29, 2026, the Company announced at its 2026 Annual Meeting of Stockholders that its proposal to simplify its public share class structure into a single share class was approved. On May 1, 2026, the Company amended and restated the Company’s certificate of incorporation (the Charter Amendment) that converted each share of the Company’s Class A common stock, par value $0.01 per share, into one share of the Company’s Class C common stock, par value $0.01 per share. Under the terms of the Charter Amendment, the Class A Conversion occurred automatically at 12:01 a.m., Eastern Time, on the second business day following the filing of the Charter Amendment. As described in the Company’s proxy filing, simultaneously, shares of the Company’s Class B common stock were placed in the voting trust, such that public voting interest remains the same as prior to the Class A Conversion.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Mesquite Sky PPA Restructuring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27, 2026, the Company restructured its existing energy-related commodity contract associated with the Mesquite Sky wind facility, which resulted in an in-substance financing to settle existing derivative liabilities over time. In connection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87"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with the restructuring, the Company also entered into a 15-year PPA with an investment-grade hyperscaler, which replaces the volumetric and price exposure of Mesquite Sky’s energy-related commodity contract with more favorable pricing.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Cardinal Acquisition [formerly Deriva]</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30, 2026, the Company, through its indirect subsidiaries, completed the acquisition of the Cardinal Portfolio for total cash consideration of $324 million, subject to post-closing adjustments. Of the total consideration, $244 million relates to facilities consolidated by the Company and $80 million relates to facilities held through a 50/50 joint venture with a third-party investor. After factoring in cash acquired, transaction expenses and proceeds from the related financing activities, the Company estimates that its net capital investment in the Cardinal Portfolio will be approximately $240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6, 2026, Clearway Energy, Inc.’s Board of Directors declared a quarterly dividend on Class C common stoc</w:t>
      </w:r>
      <w:r>
        <w:rPr>
          <w:rFonts w:ascii="Times New Roman" w:cs="Times New Roman" w:eastAsia="Times New Roman" w:hAnsi="Times New Roman"/>
          <w:sz w:val="18"/>
          <w:szCs w:val="18"/>
          <w:color w:val="242424"/>
        </w:rPr>
        <w:t>k, including shares that were received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in the Class A Conversion, </w:t>
      </w:r>
      <w:r>
        <w:rPr>
          <w:rFonts w:ascii="Times New Roman" w:cs="Times New Roman" w:eastAsia="Times New Roman" w:hAnsi="Times New Roman"/>
          <w:sz w:val="18"/>
          <w:szCs w:val="18"/>
          <w:color w:val="000000"/>
        </w:rPr>
        <w:t>of $0.4676 pe</w:t>
      </w:r>
      <w:r>
        <w:rPr>
          <w:rFonts w:ascii="Times New Roman" w:cs="Times New Roman" w:eastAsia="Times New Roman" w:hAnsi="Times New Roman"/>
          <w:sz w:val="18"/>
          <w:szCs w:val="18"/>
          <w:color w:val="242424"/>
        </w:rPr>
        <w:t xml:space="preserve">r </w:t>
      </w:r>
      <w:r>
        <w:rPr>
          <w:rFonts w:ascii="Times New Roman" w:cs="Times New Roman" w:eastAsia="Times New Roman" w:hAnsi="Times New Roman"/>
          <w:sz w:val="18"/>
          <w:szCs w:val="18"/>
          <w:color w:val="000000"/>
        </w:rPr>
        <w:t>share payable on June 15, 2026 to stockholders of record as of June 1, 2026.</w:t>
      </w: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summer capacity and energy prices from flexible generation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solar insolation during the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wind resources during the spring and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resource throughout the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payments which are made either quarterly or semi-annually;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maintenance capital expenditures and the impact of both unforced and forced outages;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distributions from unconsolidated affiliates.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takes into consideration the timing of these factors to ensure sufficient funds are available for distributions and operating activities on a quarterly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reaffirming its 2026 full year CAFD guidance range of $470 million to $510 million. The midpoint of the 2026 financial guidance range is based on median renewable energy production estimates for the full year, while the range reflects a potential distribution of outcomes on resource and performance in the fiscal year. The guidance range also factors in completing committed growth investments on currently forecasted schedules.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7, 2026, Clearway Energy, Inc. will host a conference call at 5:00 p.m.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Our portfolio comprises approximately 13.6 GW of gross capacity in 27 states, including approximately 10.8 GW of wind, solar and battery energy storage systems and approximately 2.8 GW of flexible dispatchable power generation providing critical grid reliability services. Through our diversified and primarily contracted clean energy portfolio, Clearway Energy endeavors to provide its investors with stable and growing dividend income. Clearway Energy, Inc.’s common stock is traded on the New York Stock</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Exchange under the symbol CWEN. Clearway Energy, Inc. is sponsored by its controlling investor, Clearway Energy Group LLC. For more information, visit investor.clearwayenergy.com.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statements regarding the anticipated consummation of the transactions described above, the anticipated benefits, opportunities, and results with respect to the transactions, including the Company’s future relationship and arrangements with 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 undertakes no obligation to update or revise any forward-looking statements, whether as a result of new information, future events or otherwise. The Cash Available for Distribution are estimates as of today’s date, May 7, 2026,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5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8"/>
          <w:szCs w:val="18"/>
          <w:color w:val="auto"/>
        </w:rPr>
        <w:t>Akil Marsh</w:t>
      </w:r>
      <w:r>
        <w:rPr>
          <w:sz w:val="20"/>
          <w:szCs w:val="20"/>
          <w:color w:val="auto"/>
        </w:rPr>
        <w:tab/>
      </w:r>
      <w:r>
        <w:rPr>
          <w:rFonts w:ascii="Times New Roman" w:cs="Times New Roman" w:eastAsia="Times New Roman" w:hAnsi="Times New Roman"/>
          <w:sz w:val="18"/>
          <w:szCs w:val="18"/>
          <w:color w:val="auto"/>
        </w:rPr>
        <w:t>Julia Poska</w:t>
      </w:r>
    </w:p>
    <w:p>
      <w:pPr>
        <w:spacing w:after="0" w:line="9" w:lineRule="exact"/>
        <w:rPr>
          <w:sz w:val="20"/>
          <w:szCs w:val="20"/>
          <w:color w:val="auto"/>
        </w:rPr>
      </w:pPr>
    </w:p>
    <w:p>
      <w:pPr>
        <w:ind w:left="180"/>
        <w:spacing w:after="0"/>
        <w:tabs>
          <w:tab w:leader="none" w:pos="3220" w:val="left"/>
        </w:tabs>
        <w:rPr>
          <w:sz w:val="20"/>
          <w:szCs w:val="20"/>
          <w:color w:val="auto"/>
        </w:rPr>
      </w:pPr>
      <w:r>
        <w:rPr>
          <w:rFonts w:ascii="Times New Roman" w:cs="Times New Roman" w:eastAsia="Times New Roman" w:hAnsi="Times New Roman"/>
          <w:sz w:val="18"/>
          <w:szCs w:val="18"/>
          <w:color w:val="auto"/>
        </w:rPr>
        <w:t>investor.relations@clearwayenergy.com</w:t>
      </w:r>
      <w:r>
        <w:rPr>
          <w:sz w:val="20"/>
          <w:szCs w:val="20"/>
          <w:color w:val="auto"/>
        </w:rPr>
        <w:tab/>
      </w:r>
      <w:r>
        <w:rPr>
          <w:rFonts w:ascii="Times New Roman" w:cs="Times New Roman" w:eastAsia="Times New Roman" w:hAnsi="Times New Roman"/>
          <w:sz w:val="17"/>
          <w:szCs w:val="17"/>
          <w:color w:val="auto"/>
        </w:rPr>
        <w:t>Julia.Poska@Clearwayenergy.com</w:t>
      </w:r>
    </w:p>
    <w:p>
      <w:pPr>
        <w:spacing w:after="0" w:line="9" w:lineRule="exact"/>
        <w:rPr>
          <w:sz w:val="20"/>
          <w:szCs w:val="20"/>
          <w:color w:val="auto"/>
        </w:rPr>
      </w:pPr>
    </w:p>
    <w:p>
      <w:pPr>
        <w:ind w:left="180"/>
        <w:spacing w:after="0"/>
        <w:tabs>
          <w:tab w:leader="none" w:pos="1900" w:val="left"/>
        </w:tabs>
        <w:rPr>
          <w:sz w:val="20"/>
          <w:szCs w:val="20"/>
          <w:color w:val="auto"/>
        </w:rPr>
      </w:pPr>
      <w:r>
        <w:rPr>
          <w:rFonts w:ascii="Times New Roman" w:cs="Times New Roman" w:eastAsia="Times New Roman" w:hAnsi="Times New Roman"/>
          <w:sz w:val="18"/>
          <w:szCs w:val="18"/>
          <w:color w:val="auto"/>
        </w:rPr>
        <w:t>609-608-1500</w:t>
      </w:r>
      <w:r>
        <w:rPr>
          <w:sz w:val="20"/>
          <w:szCs w:val="20"/>
          <w:color w:val="auto"/>
        </w:rPr>
        <w:tab/>
      </w:r>
      <w:r>
        <w:rPr>
          <w:rFonts w:ascii="Times New Roman" w:cs="Times New Roman" w:eastAsia="Times New Roman" w:hAnsi="Times New Roman"/>
          <w:sz w:val="17"/>
          <w:szCs w:val="17"/>
          <w:color w:val="auto"/>
        </w:rPr>
        <w:t>202-836-5754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 below</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 and redeemable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Clearway Energy, Inc.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Share Attributable to Clearway Energy, Inc. Class A and Class C Common Stockholders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8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Weighted Average Class A and Class C Common Share - Basic and Diluted</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0.4602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0.4312</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5560"/>
              <w:spacing w:after="0"/>
              <w:rPr>
                <w:sz w:val="20"/>
                <w:szCs w:val="20"/>
                <w:color w:val="auto"/>
              </w:rPr>
            </w:pPr>
            <w:r>
              <w:rPr>
                <w:rFonts w:ascii="Times New Roman" w:cs="Times New Roman" w:eastAsia="Times New Roman" w:hAnsi="Times New Roman"/>
                <w:sz w:val="16"/>
                <w:szCs w:val="16"/>
                <w:color w:val="auto"/>
              </w:rPr>
              <w:t>6</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8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995"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derivatives and changes in accumulated OCI/OCL, net of income tax benefit of $(1)</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$(1)</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76"/>
        </w:trPr>
        <w:tc>
          <w:tcPr>
            <w:tcW w:w="82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 and redeemable noncontrolling</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interests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Clearway Energy,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5560"/>
              <w:spacing w:after="0"/>
              <w:rPr>
                <w:sz w:val="20"/>
                <w:szCs w:val="20"/>
                <w:color w:val="auto"/>
              </w:rPr>
            </w:pPr>
            <w:r>
              <w:rPr>
                <w:rFonts w:ascii="Times New Roman" w:cs="Times New Roman" w:eastAsia="Times New Roman" w:hAnsi="Times New Roman"/>
                <w:sz w:val="16"/>
                <w:szCs w:val="16"/>
                <w:color w:val="auto"/>
              </w:rPr>
              <w:t>7</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8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887" w:right="3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80" w:type="dxa"/>
            <w:vAlign w:val="bottom"/>
            <w:vMerge w:val="restart"/>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11,596</w:t>
            </w:r>
          </w:p>
        </w:tc>
        <w:tc>
          <w:tcPr>
            <w:tcW w:w="0" w:type="dxa"/>
            <w:vAlign w:val="bottom"/>
          </w:tcPr>
          <w:p>
            <w:pPr>
              <w:spacing w:after="0"/>
              <w:rPr>
                <w:sz w:val="1"/>
                <w:szCs w:val="1"/>
                <w:color w:val="auto"/>
              </w:rPr>
            </w:pP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0" w:type="dxa"/>
            <w:vAlign w:val="bottom"/>
          </w:tcPr>
          <w:p>
            <w:pPr>
              <w:spacing w:after="0"/>
              <w:rPr>
                <w:sz w:val="1"/>
                <w:szCs w:val="1"/>
                <w:color w:val="auto"/>
              </w:rPr>
            </w:pPr>
          </w:p>
        </w:tc>
      </w:tr>
      <w:tr>
        <w:trPr>
          <w:trHeight w:val="19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liabilities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8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205,218,918 shares issued and</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(Class A 34,613,853, Class B 42,738,750, Class C 86,290,173, Class D 41,576,142) at March 31, 2026</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203,773,674 shares issued and outstanding (Class A 34,613,853, Class B 42,738,750, Class C 84,844,929, Class D</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41,576,142) at December 31, 2025</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 Retained earnings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80" w:top="887" w:right="379" w:bottom="1440"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40"/>
          </w:cols>
          <w:pgMar w:left="380" w:top="887" w:right="37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derivative instruments and amortization of accumulated OCI/OCL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transferable tax credits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Drop Down Assets, net of cash acquired</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equipment deposits and asset purchases from affiliate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Contributions from noncontrolling interests,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Class C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Buyout of noncontrolling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2" w:name="page13"/>
    <w:bookmarkEnd w:id="12"/>
    <w:p>
      <w:pPr>
        <w:ind w:left="448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7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0" w:type="dxa"/>
            <w:vAlign w:val="bottom"/>
          </w:tcPr>
          <w:p>
            <w:pPr>
              <w:spacing w:after="0"/>
              <w:rPr>
                <w:sz w:val="12"/>
                <w:szCs w:val="12"/>
                <w:color w:val="auto"/>
              </w:rPr>
            </w:pPr>
          </w:p>
        </w:tc>
        <w:tc>
          <w:tcPr>
            <w:tcW w:w="1220" w:type="dxa"/>
            <w:vAlign w:val="bottom"/>
            <w:gridSpan w:val="6"/>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20" w:type="dxa"/>
            <w:vAlign w:val="bottom"/>
          </w:tcPr>
          <w:p>
            <w:pPr>
              <w:spacing w:after="0"/>
              <w:rPr>
                <w:sz w:val="12"/>
                <w:szCs w:val="12"/>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78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116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110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4"/>
                <w:szCs w:val="14"/>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Unrealized gain on derivatives and changes in</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OCL, net of tax</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Distributions to noncontrolling interests, net of</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4"/>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contributions, cash</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Cardinal Portfolio acquisition</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Buyout of noncontrolling interest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the issuance of Class C common stock</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Common stock dividends and distributions to CEG</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4"/>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unit holders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1160" w:type="dxa"/>
            <w:vAlign w:val="bottom"/>
            <w:gridSpan w:val="4"/>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11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5"/>
                <w:szCs w:val="15"/>
                <w:color w:val="auto"/>
              </w:rPr>
            </w:pPr>
          </w:p>
        </w:tc>
        <w:tc>
          <w:tcPr>
            <w:tcW w:w="110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2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1,805</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Unrealized loss on derivatives and changes in</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cash</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interests, non-cash</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1,735</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10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Appendix Table A-1: Three Months Ended March 31, 2026, Segment Adjusted EBITDA Reconciliation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53"/>
              <w:spacing w:after="0" w:line="15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418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4"/>
        </w:trPr>
        <w:tc>
          <w:tcPr>
            <w:tcW w:w="41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Mark to Market (MtM) Losses/(Gains) on economic</w:t>
            </w: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hedges</w:t>
            </w: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4"/>
        </w:trPr>
        <w:tc>
          <w:tcPr>
            <w:tcW w:w="418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0" w:type="dxa"/>
            <w:vAlign w:val="bottom"/>
          </w:tcPr>
          <w:p>
            <w:pPr>
              <w:spacing w:after="0"/>
              <w:rPr>
                <w:sz w:val="1"/>
                <w:szCs w:val="1"/>
                <w:color w:val="auto"/>
              </w:rPr>
            </w:pP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A-2: Three Months Ended March 31, 2025,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53"/>
              <w:spacing w:after="0" w:line="15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418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75"/>
        </w:trPr>
        <w:tc>
          <w:tcPr>
            <w:tcW w:w="4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Mark to Market (MtM) Losses/(Gains) on economic</w:t>
            </w: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hedges</w:t>
            </w: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5"/>
        </w:trPr>
        <w:tc>
          <w:tcPr>
            <w:tcW w:w="41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139"/>
          </w:cols>
          <w:pgMar w:left="320" w:top="76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Appendix Table A-3: Cash Available for Distribution Reconciliation</w:t>
      </w:r>
    </w:p>
    <w:p>
      <w:pPr>
        <w:spacing w:after="0" w:line="32"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20"/>
          <w:szCs w:val="20"/>
          <w:color w:val="auto"/>
        </w:rPr>
        <w:t>The following table summarizes the calculation of Cash Available for Distribution and provides a reconciliation to Cash from Operating Activities: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3/31/26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3/31/25</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0" w:type="dxa"/>
            <w:vAlign w:val="bottom"/>
          </w:tcPr>
          <w:p>
            <w:pPr>
              <w:spacing w:after="0"/>
              <w:rPr>
                <w:sz w:val="1"/>
                <w:szCs w:val="1"/>
                <w:color w:val="auto"/>
              </w:rPr>
            </w:pPr>
          </w:p>
        </w:tc>
      </w:tr>
      <w:tr>
        <w:trPr>
          <w:trHeight w:val="22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reflect sale-type leases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6"/>
        </w:trPr>
        <w:tc>
          <w:tcPr>
            <w:tcW w:w="74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Proceeds from transferable tax credits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2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74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distributions (to)/from non-controlling interest</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7480" w:type="dxa"/>
            <w:vAlign w:val="bottom"/>
            <w:tcBorders>
              <w:bottom w:val="single" w:sz="8" w:color="auto"/>
            </w:tcBorders>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3"/>
                <w:szCs w:val="23"/>
                <w:color w:val="auto"/>
                <w:vertAlign w:val="superscript"/>
              </w:rPr>
              <w:t>5</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 before Adjustments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impact of drop downs from timing of construction debt service</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2263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2026 excludes $279 million of proceeds from tax credit transfers related to Pine Forest, which were primarily used to repay bridge loans</w:t>
      </w:r>
    </w:p>
    <w:p>
      <w:pPr>
        <w:spacing w:after="0" w:line="28" w:lineRule="exact"/>
        <w:rPr>
          <w:sz w:val="20"/>
          <w:szCs w:val="20"/>
          <w:color w:val="auto"/>
        </w:rPr>
      </w:pPr>
    </w:p>
    <w:p>
      <w:pPr>
        <w:ind w:right="300" w:firstLine="8"/>
        <w:spacing w:after="0" w:line="205" w:lineRule="auto"/>
        <w:tabs>
          <w:tab w:leader="none" w:pos="103"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2026 excludes $245 million of net distributions primarily related to Goat Mountain, Pine Forest and Rosamond South I; 2025 excludes $64 million of net contributions primarily related to Rosamond South I</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2026 excludes $231 million for the repayment of bridge loans in connection with Pine Forest; 2025 excludes $6 million for the repayment of bridge loans in connection with Rosamond South I</w:t>
      </w:r>
    </w:p>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180"/>
          </w:cols>
          <w:pgMar w:left="320" w:top="761" w:right="399" w:bottom="1440" w:gutter="0" w:footer="0" w:header="0"/>
        </w:sectPr>
      </w:pPr>
    </w:p>
    <w:bookmarkStart w:id="15" w:name="page16"/>
    <w:bookmarkEnd w:id="15"/>
    <w:p>
      <w:pPr>
        <w:ind w:right="2539"/>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Appendix Table A-4: Three Months Ended March 31, 2026, Sources and Uses of Liquidity </w:t>
      </w:r>
      <w:r>
        <w:rPr>
          <w:rFonts w:ascii="Times New Roman" w:cs="Times New Roman" w:eastAsia="Times New Roman" w:hAnsi="Times New Roman"/>
          <w:sz w:val="20"/>
          <w:szCs w:val="20"/>
          <w:color w:val="auto"/>
        </w:rPr>
        <w:t>The following table summarizes the sources and uses of liquidity in 2026: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b w:val="1"/>
                <w:bCs w:val="1"/>
                <w:color w:val="auto"/>
              </w:rPr>
              <w:t>3/31/26</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Class C common stock</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3"/>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interests, net of contributions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3"/>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3"/>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equipment deposits and asset purchases from affiliate</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66"/>
        </w:trPr>
        <w:tc>
          <w:tcPr>
            <w:tcW w:w="50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total cash, cash equivalents, and restricted cash</w:t>
            </w:r>
          </w:p>
        </w:tc>
        <w:tc>
          <w:tcPr>
            <w:tcW w:w="11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0" w:type="dxa"/>
            <w:vAlign w:val="bottom"/>
          </w:tcPr>
          <w:p>
            <w:pPr>
              <w:spacing w:after="0"/>
              <w:rPr>
                <w:sz w:val="1"/>
                <w:szCs w:val="1"/>
                <w:color w:val="auto"/>
              </w:rPr>
            </w:pPr>
          </w:p>
        </w:tc>
      </w:tr>
      <w:tr>
        <w:trPr>
          <w:trHeight w:val="723"/>
        </w:trPr>
        <w:tc>
          <w:tcPr>
            <w:tcW w:w="5040" w:type="dxa"/>
            <w:vAlign w:val="bottom"/>
          </w:tcPr>
          <w:p>
            <w:pPr>
              <w:spacing w:after="0"/>
              <w:rPr>
                <w:sz w:val="24"/>
                <w:szCs w:val="24"/>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76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Appendix Table A-5: Adjusted EBITDA and Cash Available for Distribution Guidance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60" w:type="dxa"/>
            <w:vAlign w:val="bottom"/>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2026 Full Year</w:t>
            </w:r>
          </w:p>
        </w:tc>
        <w:tc>
          <w:tcPr>
            <w:tcW w:w="0" w:type="dxa"/>
            <w:vAlign w:val="bottom"/>
          </w:tcPr>
          <w:p>
            <w:pPr>
              <w:spacing w:after="0"/>
              <w:rPr>
                <w:sz w:val="1"/>
                <w:szCs w:val="1"/>
                <w:color w:val="auto"/>
              </w:rPr>
            </w:pPr>
          </w:p>
        </w:tc>
      </w:tr>
      <w:tr>
        <w:trPr>
          <w:trHeight w:val="243"/>
        </w:trPr>
        <w:tc>
          <w:tcPr>
            <w:tcW w:w="7020" w:type="dxa"/>
            <w:vAlign w:val="bottom"/>
            <w:tcBorders>
              <w:bottom w:val="single" w:sz="8" w:color="auto"/>
            </w:tcBorders>
            <w:vMerge w:val="continue"/>
          </w:tcPr>
          <w:p>
            <w:pPr>
              <w:spacing w:after="0"/>
              <w:rPr>
                <w:sz w:val="21"/>
                <w:szCs w:val="21"/>
                <w:color w:val="auto"/>
              </w:rPr>
            </w:pPr>
          </w:p>
        </w:tc>
        <w:tc>
          <w:tcPr>
            <w:tcW w:w="21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Guidance Range</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 - (4)</w:t>
            </w:r>
          </w:p>
        </w:tc>
        <w:tc>
          <w:tcPr>
            <w:tcW w:w="0" w:type="dxa"/>
            <w:vAlign w:val="bottom"/>
          </w:tcPr>
          <w:p>
            <w:pPr>
              <w:spacing w:after="0"/>
              <w:rPr>
                <w:sz w:val="1"/>
                <w:szCs w:val="1"/>
                <w:color w:val="auto"/>
              </w:rPr>
            </w:pPr>
          </w:p>
        </w:tc>
      </w:tr>
      <w:tr>
        <w:trPr>
          <w:trHeight w:val="223"/>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Contract Amortization and ARO Expense</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to reflect CWEN share of Adjusted EBITDA in unconsolidated affiliates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1,441 - 1,481</w:t>
            </w:r>
          </w:p>
        </w:tc>
        <w:tc>
          <w:tcPr>
            <w:tcW w:w="0" w:type="dxa"/>
            <w:vAlign w:val="bottom"/>
          </w:tcPr>
          <w:p>
            <w:pPr>
              <w:spacing w:after="0"/>
              <w:rPr>
                <w:sz w:val="1"/>
                <w:szCs w:val="1"/>
                <w:color w:val="auto"/>
              </w:rPr>
            </w:pPr>
          </w:p>
        </w:tc>
      </w:tr>
      <w:tr>
        <w:trPr>
          <w:trHeight w:val="223"/>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reflect sale-type leases and payments for lease expenses</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57"/>
        </w:trPr>
        <w:tc>
          <w:tcPr>
            <w:tcW w:w="702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Cash distributions from unconsolidated affiliates</w:t>
            </w:r>
            <w:r>
              <w:rPr>
                <w:rFonts w:ascii="Times New Roman" w:cs="Times New Roman" w:eastAsia="Times New Roman" w:hAnsi="Times New Roman"/>
                <w:sz w:val="23"/>
                <w:szCs w:val="23"/>
                <w:color w:val="auto"/>
                <w:vertAlign w:val="superscript"/>
              </w:rPr>
              <w:t>6</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Payments</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1,022 - 1,062</w:t>
            </w:r>
          </w:p>
        </w:tc>
        <w:tc>
          <w:tcPr>
            <w:tcW w:w="0" w:type="dxa"/>
            <w:vAlign w:val="bottom"/>
          </w:tcPr>
          <w:p>
            <w:pPr>
              <w:spacing w:after="0"/>
              <w:rPr>
                <w:sz w:val="1"/>
                <w:szCs w:val="1"/>
                <w:color w:val="auto"/>
              </w:rPr>
            </w:pPr>
          </w:p>
        </w:tc>
      </w:tr>
      <w:tr>
        <w:trPr>
          <w:trHeight w:val="250"/>
        </w:trPr>
        <w:tc>
          <w:tcPr>
            <w:tcW w:w="7020" w:type="dxa"/>
            <w:vAlign w:val="bottom"/>
            <w:shd w:val="clear" w:color="auto" w:fill="CCEEFF"/>
          </w:tcPr>
          <w:p>
            <w:pPr>
              <w:ind w:left="180"/>
              <w:spacing w:after="0" w:line="250" w:lineRule="exact"/>
              <w:rPr>
                <w:sz w:val="20"/>
                <w:szCs w:val="20"/>
                <w:color w:val="auto"/>
              </w:rPr>
            </w:pPr>
            <w:r>
              <w:rPr>
                <w:rFonts w:ascii="Times New Roman" w:cs="Times New Roman" w:eastAsia="Times New Roman" w:hAnsi="Times New Roman"/>
                <w:sz w:val="18"/>
                <w:szCs w:val="18"/>
                <w:color w:val="auto"/>
              </w:rPr>
              <w:t>Net distributions to non-controlling interest</w:t>
            </w:r>
            <w:r>
              <w:rPr>
                <w:rFonts w:ascii="Times New Roman" w:cs="Times New Roman" w:eastAsia="Times New Roman" w:hAnsi="Times New Roman"/>
                <w:sz w:val="23"/>
                <w:szCs w:val="23"/>
                <w:color w:val="auto"/>
                <w:vertAlign w:val="superscript"/>
              </w:rPr>
              <w:t>7</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auto"/>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3"/>
                <w:szCs w:val="23"/>
                <w:color w:val="auto"/>
                <w:vertAlign w:val="superscript"/>
              </w:rPr>
              <w:t>8</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470 - 510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263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86"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Distribution from unconsolidated affiliates can be classified as Return of Investment on Unconsolidated Affiliates when actuals are reported. This is below cash from operating activities</w:t>
      </w:r>
    </w:p>
    <w:p>
      <w:pPr>
        <w:spacing w:after="0" w:line="43" w:lineRule="exact"/>
        <w:rPr>
          <w:rFonts w:ascii="Times New Roman" w:cs="Times New Roman" w:eastAsia="Times New Roman" w:hAnsi="Times New Roman"/>
          <w:sz w:val="23"/>
          <w:szCs w:val="23"/>
          <w:color w:val="auto"/>
          <w:vertAlign w:val="superscript"/>
        </w:rPr>
      </w:pPr>
    </w:p>
    <w:p>
      <w:pPr>
        <w:ind w:right="6760"/>
        <w:spacing w:after="0" w:line="211"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Includes tax equity proceeds and distributions to tax equity partners </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4"/>
          <w:szCs w:val="14"/>
          <w:color w:val="auto"/>
        </w:rPr>
        <w:t xml:space="preserve"> Excludes maturities assumed to be refinanced</w:t>
      </w:r>
    </w:p>
    <w:p>
      <w:pPr>
        <w:spacing w:after="0" w:line="12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14</w:t>
      </w:r>
    </w:p>
    <w:sectPr>
      <w:pgSz w:w="11900" w:h="16838" w:orient="portrait"/>
      <w:cols w:equalWidth="0" w:num="1">
        <w:col w:w="10760"/>
      </w:cols>
      <w:pgMar w:left="320" w:top="76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4"/>
      <w:numFmt w:val="bullet"/>
      <w:start w:val="1"/>
    </w:lvl>
  </w:abstractNum>
  <w:abstractNum w:abstractNumId="7">
    <w:nsid w:val="7545E146"/>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2026-05-07T16:15:07Z</dcterms:created>
  <dcterms:modified xsi:type="dcterms:W3CDTF">2026-05-07T16:15:07Z</dcterms:modified>
</cp:coreProperties>
</file>